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Times New Roman" w:hAnsi="Times New Roman" w:eastAsia="宋体" w:cs="Times New Roman"/>
          <w:b w:val="0"/>
          <w:color w:val="000000" w:themeColor="text1"/>
          <w:sz w:val="36"/>
          <w:szCs w:val="36"/>
          <w:shd w:val="clear" w:color="auto" w:fill="auto"/>
          <w14:textFill>
            <w14:solidFill>
              <w14:schemeClr w14:val="tx1"/>
            </w14:solidFill>
          </w14:textFill>
        </w:rPr>
      </w:pPr>
      <w:bookmarkStart w:id="15" w:name="_GoBack"/>
      <w:bookmarkEnd w:id="15"/>
    </w:p>
    <w:p>
      <w:pPr>
        <w:keepNext w:val="0"/>
        <w:keepLines w:val="0"/>
        <w:widowControl w:val="0"/>
        <w:suppressLineNumbers w:val="0"/>
        <w:autoSpaceDE w:val="0"/>
        <w:autoSpaceDN w:val="0"/>
        <w:spacing w:before="0" w:beforeAutospacing="0" w:after="0" w:afterAutospacing="0"/>
        <w:ind w:left="0" w:right="0"/>
        <w:jc w:val="left"/>
        <w:rPr>
          <w:rFonts w:hint="default" w:ascii="Times New Roman" w:hAnsi="Times New Roman" w:eastAsia="宋体" w:cs="Times New Roman"/>
          <w:color w:val="000000" w:themeColor="text1"/>
          <w:kern w:val="0"/>
          <w:sz w:val="36"/>
          <w:szCs w:val="36"/>
          <w:shd w:val="clear" w:color="auto" w:fill="auto"/>
          <w:lang w:val="en-US" w:eastAsia="zh-CN" w:bidi="ar"/>
          <w14:textFill>
            <w14:solidFill>
              <w14:schemeClr w14:val="tx1"/>
            </w14:solidFill>
          </w14:textFill>
        </w:rPr>
      </w:pPr>
    </w:p>
    <w:p>
      <w:pPr>
        <w:jc w:val="both"/>
        <w:rPr>
          <w:rFonts w:hint="default" w:ascii="Times New Roman" w:hAnsi="Times New Roman" w:eastAsia="宋体" w:cs="Times New Roman"/>
          <w:b w:val="0"/>
          <w:color w:val="000000" w:themeColor="text1"/>
          <w:sz w:val="36"/>
          <w:szCs w:val="36"/>
          <w:shd w:val="clear" w:color="auto" w:fill="auto"/>
          <w14:textFill>
            <w14:solidFill>
              <w14:schemeClr w14:val="tx1"/>
            </w14:solidFill>
          </w14:textFill>
        </w:rPr>
      </w:pPr>
    </w:p>
    <w:p>
      <w:pPr>
        <w:keepNext w:val="0"/>
        <w:keepLines w:val="0"/>
        <w:widowControl w:val="0"/>
        <w:suppressLineNumbers w:val="0"/>
        <w:autoSpaceDE w:val="0"/>
        <w:autoSpaceDN w:val="0"/>
        <w:spacing w:before="0" w:beforeAutospacing="0" w:after="0" w:afterAutospacing="0"/>
        <w:ind w:left="0" w:right="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p>
    <w:p>
      <w:pPr>
        <w:keepNext w:val="0"/>
        <w:keepLines w:val="0"/>
        <w:widowControl w:val="0"/>
        <w:suppressLineNumbers w:val="0"/>
        <w:autoSpaceDE w:val="0"/>
        <w:autoSpaceDN w:val="0"/>
        <w:spacing w:before="0" w:beforeAutospacing="0" w:after="0" w:afterAutospacing="0"/>
        <w:ind w:left="0" w:right="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p>
    <w:p>
      <w:pPr>
        <w:adjustRightInd w:val="0"/>
        <w:snapToGrid w:val="0"/>
        <w:jc w:val="center"/>
        <w:outlineLvl w:val="0"/>
        <w:rPr>
          <w:rFonts w:hint="default" w:ascii="Times New Roman" w:hAnsi="Times New Roman" w:eastAsia="宋体" w:cs="Times New Roman"/>
          <w:b w:val="0"/>
          <w:bCs/>
          <w:color w:val="000000" w:themeColor="text1"/>
          <w:sz w:val="60"/>
          <w:szCs w:val="60"/>
          <w:shd w:val="clear" w:color="auto" w:fill="auto"/>
          <w14:textFill>
            <w14:solidFill>
              <w14:schemeClr w14:val="tx1"/>
            </w14:solidFill>
          </w14:textFill>
        </w:rPr>
      </w:pPr>
      <w:r>
        <w:rPr>
          <w:rFonts w:hint="default" w:ascii="Times New Roman" w:hAnsi="Times New Roman" w:eastAsia="宋体" w:cs="Times New Roman"/>
          <w:b w:val="0"/>
          <w:bCs/>
          <w:color w:val="000000" w:themeColor="text1"/>
          <w:sz w:val="60"/>
          <w:szCs w:val="60"/>
          <w:shd w:val="clear" w:color="auto" w:fill="auto"/>
          <w14:textFill>
            <w14:solidFill>
              <w14:schemeClr w14:val="tx1"/>
            </w14:solidFill>
          </w14:textFill>
        </w:rPr>
        <w:t>建设项目</w:t>
      </w:r>
      <w:r>
        <w:rPr>
          <w:rFonts w:hint="eastAsia" w:cs="Times New Roman"/>
          <w:b w:val="0"/>
          <w:bCs/>
          <w:color w:val="000000" w:themeColor="text1"/>
          <w:sz w:val="60"/>
          <w:szCs w:val="60"/>
          <w:shd w:val="clear" w:color="auto" w:fill="auto"/>
          <w:lang w:val="en-US" w:eastAsia="zh-CN"/>
          <w14:textFill>
            <w14:solidFill>
              <w14:schemeClr w14:val="tx1"/>
            </w14:solidFill>
          </w14:textFill>
        </w:rPr>
        <w:t>生态</w:t>
      </w:r>
      <w:r>
        <w:rPr>
          <w:rFonts w:hint="default" w:ascii="Times New Roman" w:hAnsi="Times New Roman" w:eastAsia="宋体" w:cs="Times New Roman"/>
          <w:b w:val="0"/>
          <w:bCs/>
          <w:color w:val="000000" w:themeColor="text1"/>
          <w:sz w:val="60"/>
          <w:szCs w:val="60"/>
          <w:shd w:val="clear" w:color="auto" w:fill="auto"/>
          <w14:textFill>
            <w14:solidFill>
              <w14:schemeClr w14:val="tx1"/>
            </w14:solidFill>
          </w14:textFill>
        </w:rPr>
        <w:t>环境影响报告表</w:t>
      </w:r>
    </w:p>
    <w:p>
      <w:pPr>
        <w:adjustRightInd w:val="0"/>
        <w:snapToGrid w:val="0"/>
        <w:spacing w:line="288" w:lineRule="auto"/>
        <w:jc w:val="center"/>
        <w:outlineLvl w:val="0"/>
        <w:rPr>
          <w:rFonts w:hint="default" w:ascii="Times New Roman" w:hAnsi="Times New Roman" w:eastAsia="宋体" w:cs="Times New Roman"/>
          <w:b w:val="0"/>
          <w:color w:val="000000" w:themeColor="text1"/>
          <w:kern w:val="44"/>
          <w:sz w:val="44"/>
          <w:szCs w:val="44"/>
          <w:shd w:val="clear" w:color="auto" w:fill="auto"/>
          <w:lang w:eastAsia="zh-CN"/>
          <w14:textFill>
            <w14:solidFill>
              <w14:schemeClr w14:val="tx1"/>
            </w14:solidFill>
          </w14:textFill>
        </w:rPr>
      </w:pPr>
      <w:bookmarkStart w:id="0" w:name="_Hlk57883728"/>
      <w:r>
        <w:rPr>
          <w:rFonts w:hint="eastAsia" w:cs="Times New Roman"/>
          <w:b w:val="0"/>
          <w:color w:val="000000" w:themeColor="text1"/>
          <w:kern w:val="44"/>
          <w:sz w:val="44"/>
          <w:szCs w:val="44"/>
          <w:shd w:val="clear" w:color="auto" w:fill="auto"/>
          <w:lang w:eastAsia="zh-CN"/>
          <w14:textFill>
            <w14:solidFill>
              <w14:schemeClr w14:val="tx1"/>
            </w14:solidFill>
          </w14:textFill>
        </w:rPr>
        <w:t>（</w:t>
      </w:r>
      <w:r>
        <w:rPr>
          <w:rFonts w:hint="eastAsia" w:cs="Times New Roman"/>
          <w:b w:val="0"/>
          <w:color w:val="000000" w:themeColor="text1"/>
          <w:kern w:val="44"/>
          <w:sz w:val="44"/>
          <w:szCs w:val="44"/>
          <w:shd w:val="clear" w:color="auto" w:fill="auto"/>
          <w:lang w:val="en-US" w:eastAsia="zh-CN"/>
          <w14:textFill>
            <w14:solidFill>
              <w14:schemeClr w14:val="tx1"/>
            </w14:solidFill>
          </w14:textFill>
        </w:rPr>
        <w:t>污染影响类</w:t>
      </w:r>
      <w:r>
        <w:rPr>
          <w:rFonts w:hint="eastAsia" w:cs="Times New Roman"/>
          <w:b w:val="0"/>
          <w:color w:val="000000" w:themeColor="text1"/>
          <w:kern w:val="44"/>
          <w:sz w:val="44"/>
          <w:szCs w:val="44"/>
          <w:shd w:val="clear" w:color="auto" w:fill="auto"/>
          <w:lang w:eastAsia="zh-CN"/>
          <w14:textFill>
            <w14:solidFill>
              <w14:schemeClr w14:val="tx1"/>
            </w14:solidFill>
          </w14:textFill>
        </w:rPr>
        <w:t>）</w:t>
      </w:r>
    </w:p>
    <w:p>
      <w:pPr>
        <w:jc w:val="center"/>
        <w:rPr>
          <w:rFonts w:hint="default" w:ascii="Times New Roman" w:hAnsi="Times New Roman" w:eastAsia="宋体" w:cs="Times New Roman"/>
          <w:b w:val="0"/>
          <w:color w:val="000000" w:themeColor="text1"/>
          <w:sz w:val="52"/>
          <w:szCs w:val="52"/>
          <w:shd w:val="clear" w:color="auto" w:fill="auto"/>
          <w14:textFill>
            <w14:solidFill>
              <w14:schemeClr w14:val="tx1"/>
            </w14:solidFill>
          </w14:textFill>
        </w:rPr>
      </w:pPr>
    </w:p>
    <w:p>
      <w:pPr>
        <w:jc w:val="both"/>
        <w:rPr>
          <w:rFonts w:hint="default" w:ascii="Times New Roman" w:hAnsi="Times New Roman" w:eastAsia="宋体" w:cs="Times New Roman"/>
          <w:b w:val="0"/>
          <w:color w:val="000000" w:themeColor="text1"/>
          <w:sz w:val="44"/>
          <w:szCs w:val="44"/>
          <w:shd w:val="clear" w:color="auto" w:fill="auto"/>
          <w14:textFill>
            <w14:solidFill>
              <w14:schemeClr w14:val="tx1"/>
            </w14:solidFill>
          </w14:textFill>
        </w:rPr>
      </w:pPr>
    </w:p>
    <w:p>
      <w:pPr>
        <w:keepNext w:val="0"/>
        <w:keepLines w:val="0"/>
        <w:widowControl w:val="0"/>
        <w:suppressLineNumbers w:val="0"/>
        <w:autoSpaceDE w:val="0"/>
        <w:autoSpaceDN w:val="0"/>
        <w:spacing w:before="0" w:beforeAutospacing="0" w:after="0" w:afterAutospacing="0"/>
        <w:ind w:left="0" w:right="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p>
    <w:p>
      <w:pPr>
        <w:ind w:firstLine="1040"/>
        <w:jc w:val="both"/>
        <w:rPr>
          <w:rFonts w:hint="default" w:ascii="Times New Roman" w:hAnsi="Times New Roman" w:eastAsia="宋体" w:cs="Times New Roman"/>
          <w:b w:val="0"/>
          <w:color w:val="000000" w:themeColor="text1"/>
          <w:sz w:val="44"/>
          <w:szCs w:val="44"/>
          <w:shd w:val="clear" w:color="auto" w:fill="auto"/>
          <w14:textFill>
            <w14:solidFill>
              <w14:schemeClr w14:val="tx1"/>
            </w14:solidFill>
          </w14:textFill>
        </w:rPr>
      </w:pPr>
    </w:p>
    <w:p>
      <w:pPr>
        <w:keepNext w:val="0"/>
        <w:keepLines w:val="0"/>
        <w:widowControl w:val="0"/>
        <w:suppressLineNumbers w:val="0"/>
        <w:autoSpaceDE w:val="0"/>
        <w:autoSpaceDN w:val="0"/>
        <w:spacing w:before="0" w:beforeAutospacing="0" w:after="0" w:afterAutospacing="0"/>
        <w:ind w:left="0" w:right="0"/>
        <w:jc w:val="left"/>
        <w:rPr>
          <w:rFonts w:hint="default" w:ascii="宋体" w:hAnsi="Times New Roman" w:eastAsia="宋体" w:cs="宋体"/>
          <w:color w:val="000000" w:themeColor="text1"/>
          <w:kern w:val="0"/>
          <w:sz w:val="24"/>
          <w:szCs w:val="24"/>
          <w:lang w:val="en-US" w:eastAsia="zh-CN" w:bidi="ar"/>
          <w14:textFill>
            <w14:solidFill>
              <w14:schemeClr w14:val="tx1"/>
            </w14:solidFill>
          </w14:textFill>
        </w:rPr>
      </w:pPr>
    </w:p>
    <w:p>
      <w:pPr>
        <w:ind w:firstLine="1040"/>
        <w:jc w:val="both"/>
        <w:rPr>
          <w:rFonts w:hint="default" w:ascii="Times New Roman" w:hAnsi="Times New Roman" w:eastAsia="宋体" w:cs="Times New Roman"/>
          <w:b w:val="0"/>
          <w:color w:val="000000" w:themeColor="text1"/>
          <w:sz w:val="44"/>
          <w:szCs w:val="44"/>
          <w:shd w:val="clear" w:color="auto" w:fill="auto"/>
          <w14:textFill>
            <w14:solidFill>
              <w14:schemeClr w14:val="tx1"/>
            </w14:solidFill>
          </w14:textFill>
        </w:rPr>
      </w:pPr>
    </w:p>
    <w:bookmarkEnd w:id="0"/>
    <w:p>
      <w:pPr>
        <w:keepNext w:val="0"/>
        <w:keepLines w:val="0"/>
        <w:pageBreakBefore w:val="0"/>
        <w:widowControl w:val="0"/>
        <w:kinsoku/>
        <w:wordWrap/>
        <w:overflowPunct/>
        <w:topLinePunct w:val="0"/>
        <w:autoSpaceDE/>
        <w:autoSpaceDN/>
        <w:bidi w:val="0"/>
        <w:adjustRightInd w:val="0"/>
        <w:snapToGrid w:val="0"/>
        <w:spacing w:line="288" w:lineRule="auto"/>
        <w:ind w:left="0" w:hanging="1800" w:hangingChars="500"/>
        <w:jc w:val="left"/>
        <w:textAlignment w:val="auto"/>
        <w:rPr>
          <w:rFonts w:hint="default" w:ascii="Times New Roman" w:hAnsi="Times New Roman" w:eastAsia="宋体" w:cs="Times New Roman"/>
          <w:b w:val="0"/>
          <w:color w:val="000000" w:themeColor="text1"/>
          <w:sz w:val="36"/>
          <w:szCs w:val="36"/>
          <w:u w:val="single"/>
          <w:shd w:val="clear" w:color="auto" w:fill="auto"/>
          <w:lang w:val="en-US" w:eastAsia="zh-CN"/>
          <w14:textFill>
            <w14:solidFill>
              <w14:schemeClr w14:val="tx1"/>
            </w14:solidFill>
          </w14:textFill>
        </w:rPr>
      </w:pPr>
      <w:r>
        <w:rPr>
          <w:rFonts w:hint="default" w:ascii="Times New Roman" w:hAnsi="Times New Roman" w:eastAsia="宋体" w:cs="Times New Roman"/>
          <w:b w:val="0"/>
          <w:color w:val="000000" w:themeColor="text1"/>
          <w:sz w:val="36"/>
          <w:szCs w:val="36"/>
          <w:shd w:val="clear" w:color="auto" w:fill="auto"/>
          <w14:textFill>
            <w14:solidFill>
              <w14:schemeClr w14:val="tx1"/>
            </w14:solidFill>
          </w14:textFill>
        </w:rPr>
        <w:t>项目名称</w:t>
      </w:r>
      <w:r>
        <w:rPr>
          <w:rFonts w:hint="default" w:ascii="Times New Roman" w:hAnsi="Times New Roman" w:eastAsia="宋体" w:cs="Times New Roman"/>
          <w:b w:val="0"/>
          <w:color w:val="000000" w:themeColor="text1"/>
          <w:sz w:val="36"/>
          <w:szCs w:val="36"/>
          <w:shd w:val="clear" w:color="auto" w:fill="auto"/>
          <w:lang w:eastAsia="zh-CN"/>
          <w14:textFill>
            <w14:solidFill>
              <w14:schemeClr w14:val="tx1"/>
            </w14:solidFill>
          </w14:textFill>
        </w:rPr>
        <w:t>：</w:t>
      </w:r>
      <w:r>
        <w:rPr>
          <w:rFonts w:hint="eastAsia" w:ascii="Times New Roman" w:hAnsi="Times New Roman" w:eastAsia="宋体" w:cs="Times New Roman"/>
          <w:b w:val="0"/>
          <w:color w:val="000000" w:themeColor="text1"/>
          <w:sz w:val="36"/>
          <w:szCs w:val="36"/>
          <w:u w:val="single"/>
          <w:shd w:val="clear" w:color="auto" w:fill="auto"/>
          <w:lang w:val="en-US" w:eastAsia="zh-CN"/>
          <w14:textFill>
            <w14:solidFill>
              <w14:schemeClr w14:val="tx1"/>
            </w14:solidFill>
          </w14:textFill>
        </w:rPr>
        <w:t>特变电工智能电缆产业园建设项目（三期</w:t>
      </w:r>
      <w:r>
        <w:rPr>
          <w:rFonts w:hint="eastAsia" w:cs="Times New Roman"/>
          <w:b w:val="0"/>
          <w:color w:val="000000" w:themeColor="text1"/>
          <w:sz w:val="36"/>
          <w:szCs w:val="36"/>
          <w:u w:val="single"/>
          <w:shd w:val="clear" w:color="auto" w:fill="auto"/>
          <w:lang w:val="en-US" w:eastAsia="zh-CN"/>
          <w14:textFill>
            <w14:solidFill>
              <w14:schemeClr w14:val="tx1"/>
            </w14:solidFill>
          </w14:textFill>
        </w:rPr>
        <w:t>）（重新报批）</w:t>
      </w:r>
      <w:r>
        <w:rPr>
          <w:rFonts w:hint="eastAsia" w:ascii="Times New Roman" w:hAnsi="Times New Roman" w:eastAsia="宋体" w:cs="Times New Roman"/>
          <w:b w:val="0"/>
          <w:color w:val="000000" w:themeColor="text1"/>
          <w:sz w:val="36"/>
          <w:szCs w:val="36"/>
          <w:u w:val="single"/>
          <w:shd w:val="clear" w:color="auto" w:fill="auto"/>
          <w:lang w:val="en-US" w:eastAsia="zh-CN"/>
          <w14:textFill>
            <w14:solidFill>
              <w14:schemeClr w14:val="tx1"/>
            </w14:solidFill>
          </w14:textFill>
        </w:rPr>
        <w:t xml:space="preserve"> </w:t>
      </w:r>
      <w:r>
        <w:rPr>
          <w:rFonts w:hint="default" w:ascii="Times New Roman" w:hAnsi="Times New Roman" w:eastAsia="宋体" w:cs="Times New Roman"/>
          <w:b w:val="0"/>
          <w:color w:val="000000" w:themeColor="text1"/>
          <w:sz w:val="36"/>
          <w:szCs w:val="36"/>
          <w:u w:val="single"/>
          <w:shd w:val="clear" w:color="auto" w:fill="auto"/>
          <w:lang w:val="en-US" w:eastAsia="zh-CN"/>
          <w14:textFill>
            <w14:solidFill>
              <w14:schemeClr w14:val="tx1"/>
            </w14:solidFill>
          </w14:textFill>
        </w:rPr>
        <w:t xml:space="preserve">       </w:t>
      </w:r>
    </w:p>
    <w:p>
      <w:pPr>
        <w:adjustRightInd w:val="0"/>
        <w:snapToGrid w:val="0"/>
        <w:spacing w:line="288" w:lineRule="auto"/>
        <w:ind w:left="1677" w:leftChars="0" w:hanging="1677" w:hangingChars="466"/>
        <w:jc w:val="both"/>
        <w:rPr>
          <w:rFonts w:hint="default" w:ascii="Times New Roman" w:hAnsi="Times New Roman" w:eastAsia="宋体" w:cs="Times New Roman"/>
          <w:b w:val="0"/>
          <w:color w:val="000000" w:themeColor="text1"/>
          <w:sz w:val="36"/>
          <w:szCs w:val="36"/>
          <w:u w:val="single"/>
          <w:shd w:val="clear" w:color="auto" w:fill="auto"/>
          <w14:textFill>
            <w14:solidFill>
              <w14:schemeClr w14:val="tx1"/>
            </w14:solidFill>
          </w14:textFill>
        </w:rPr>
      </w:pPr>
      <w:r>
        <w:rPr>
          <w:rFonts w:hint="default" w:ascii="Times New Roman" w:hAnsi="Times New Roman" w:eastAsia="宋体" w:cs="Times New Roman"/>
          <w:b w:val="0"/>
          <w:color w:val="000000" w:themeColor="text1"/>
          <w:sz w:val="36"/>
          <w:szCs w:val="36"/>
          <w:shd w:val="clear" w:color="auto" w:fill="auto"/>
          <w14:textFill>
            <w14:solidFill>
              <w14:schemeClr w14:val="tx1"/>
            </w14:solidFill>
          </w14:textFill>
        </w:rPr>
        <w:t>建设单位（盖章）：</w:t>
      </w:r>
      <w:r>
        <w:rPr>
          <w:rFonts w:hint="eastAsia" w:ascii="Times New Roman" w:hAnsi="Times New Roman" w:eastAsia="宋体" w:cs="Times New Roman"/>
          <w:b w:val="0"/>
          <w:color w:val="000000" w:themeColor="text1"/>
          <w:sz w:val="36"/>
          <w:szCs w:val="36"/>
          <w:u w:val="single"/>
          <w:shd w:val="clear" w:color="auto" w:fill="auto"/>
          <w:lang w:val="en-US" w:eastAsia="zh-CN"/>
          <w14:textFill>
            <w14:solidFill>
              <w14:schemeClr w14:val="tx1"/>
            </w14:solidFill>
          </w14:textFill>
        </w:rPr>
        <w:t>特变电工</w:t>
      </w:r>
      <w:r>
        <w:rPr>
          <w:rFonts w:hint="eastAsia" w:cs="Times New Roman"/>
          <w:b w:val="0"/>
          <w:color w:val="000000" w:themeColor="text1"/>
          <w:sz w:val="36"/>
          <w:szCs w:val="36"/>
          <w:u w:val="single"/>
          <w:shd w:val="clear" w:color="auto" w:fill="auto"/>
          <w:lang w:val="en-US" w:eastAsia="zh-CN"/>
          <w14:textFill>
            <w14:solidFill>
              <w14:schemeClr w14:val="tx1"/>
            </w14:solidFill>
          </w14:textFill>
        </w:rPr>
        <w:t>新疆电缆有限公司</w:t>
      </w:r>
      <w:r>
        <w:rPr>
          <w:rFonts w:hint="default" w:ascii="Times New Roman" w:hAnsi="Times New Roman" w:eastAsia="宋体" w:cs="Times New Roman"/>
          <w:b w:val="0"/>
          <w:color w:val="000000" w:themeColor="text1"/>
          <w:sz w:val="36"/>
          <w:szCs w:val="36"/>
          <w:u w:val="single"/>
          <w:shd w:val="clear" w:color="auto" w:fill="auto"/>
          <w:lang w:val="en-US" w:eastAsia="zh-CN"/>
          <w14:textFill>
            <w14:solidFill>
              <w14:schemeClr w14:val="tx1"/>
            </w14:solidFill>
          </w14:textFill>
        </w:rPr>
        <w:t xml:space="preserve">     </w:t>
      </w:r>
      <w:r>
        <w:rPr>
          <w:rFonts w:hint="default" w:ascii="Times New Roman" w:hAnsi="Times New Roman" w:eastAsia="宋体" w:cs="Times New Roman"/>
          <w:b w:val="0"/>
          <w:color w:val="000000" w:themeColor="text1"/>
          <w:sz w:val="36"/>
          <w:szCs w:val="36"/>
          <w:u w:val="single"/>
          <w:shd w:val="clear" w:color="auto" w:fill="auto"/>
          <w14:textFill>
            <w14:solidFill>
              <w14:schemeClr w14:val="tx1"/>
            </w14:solidFill>
          </w14:textFill>
        </w:rPr>
        <w:t xml:space="preserve">                </w:t>
      </w:r>
    </w:p>
    <w:p>
      <w:pPr>
        <w:adjustRightInd w:val="0"/>
        <w:snapToGrid w:val="0"/>
        <w:spacing w:line="288" w:lineRule="auto"/>
        <w:jc w:val="both"/>
        <w:rPr>
          <w:rFonts w:hint="default" w:ascii="Times New Roman" w:hAnsi="Times New Roman" w:eastAsia="宋体" w:cs="Times New Roman"/>
          <w:b w:val="0"/>
          <w:color w:val="000000" w:themeColor="text1"/>
          <w:sz w:val="36"/>
          <w:szCs w:val="36"/>
          <w:u w:val="single"/>
          <w:shd w:val="clear" w:color="auto" w:fill="auto"/>
          <w14:textFill>
            <w14:solidFill>
              <w14:schemeClr w14:val="tx1"/>
            </w14:solidFill>
          </w14:textFill>
        </w:rPr>
      </w:pPr>
      <w:r>
        <w:rPr>
          <w:rFonts w:hint="default" w:ascii="Times New Roman" w:hAnsi="Times New Roman" w:eastAsia="宋体" w:cs="Times New Roman"/>
          <w:b w:val="0"/>
          <w:color w:val="000000" w:themeColor="text1"/>
          <w:sz w:val="36"/>
          <w:szCs w:val="36"/>
          <w:shd w:val="clear" w:color="auto" w:fill="auto"/>
          <w14:textFill>
            <w14:solidFill>
              <w14:schemeClr w14:val="tx1"/>
            </w14:solidFill>
          </w14:textFill>
        </w:rPr>
        <w:t>编制日期：</w:t>
      </w:r>
      <w:r>
        <w:rPr>
          <w:rFonts w:hint="default" w:ascii="Times New Roman" w:hAnsi="Times New Roman" w:eastAsia="宋体" w:cs="Times New Roman"/>
          <w:b w:val="0"/>
          <w:color w:val="000000" w:themeColor="text1"/>
          <w:sz w:val="36"/>
          <w:szCs w:val="36"/>
          <w:u w:val="single"/>
          <w:shd w:val="clear" w:color="auto" w:fill="auto"/>
          <w14:textFill>
            <w14:solidFill>
              <w14:schemeClr w14:val="tx1"/>
            </w14:solidFill>
          </w14:textFill>
        </w:rPr>
        <w:t xml:space="preserve">         </w:t>
      </w:r>
      <w:r>
        <w:rPr>
          <w:rFonts w:hint="eastAsia" w:ascii="Times New Roman" w:hAnsi="Times New Roman" w:eastAsia="宋体" w:cs="Times New Roman"/>
          <w:b w:val="0"/>
          <w:color w:val="000000" w:themeColor="text1"/>
          <w:sz w:val="36"/>
          <w:szCs w:val="36"/>
          <w:u w:val="single"/>
          <w:shd w:val="clear" w:color="auto" w:fill="auto"/>
          <w:lang w:val="en-US" w:eastAsia="zh-CN"/>
          <w14:textFill>
            <w14:solidFill>
              <w14:schemeClr w14:val="tx1"/>
            </w14:solidFill>
          </w14:textFill>
        </w:rPr>
        <w:t>二〇二六</w:t>
      </w:r>
      <w:r>
        <w:rPr>
          <w:rFonts w:hint="default" w:ascii="Times New Roman" w:hAnsi="Times New Roman" w:eastAsia="宋体" w:cs="Times New Roman"/>
          <w:b w:val="0"/>
          <w:color w:val="000000" w:themeColor="text1"/>
          <w:sz w:val="36"/>
          <w:szCs w:val="36"/>
          <w:u w:val="single"/>
          <w:shd w:val="clear" w:color="auto" w:fill="auto"/>
          <w:lang w:val="en-US" w:eastAsia="zh-CN"/>
          <w14:textFill>
            <w14:solidFill>
              <w14:schemeClr w14:val="tx1"/>
            </w14:solidFill>
          </w14:textFill>
        </w:rPr>
        <w:t>年</w:t>
      </w:r>
      <w:r>
        <w:rPr>
          <w:rFonts w:hint="eastAsia" w:cs="Times New Roman"/>
          <w:b w:val="0"/>
          <w:color w:val="000000" w:themeColor="text1"/>
          <w:sz w:val="36"/>
          <w:szCs w:val="36"/>
          <w:u w:val="single"/>
          <w:shd w:val="clear" w:color="auto" w:fill="auto"/>
          <w:lang w:val="en-US" w:eastAsia="zh-CN"/>
          <w14:textFill>
            <w14:solidFill>
              <w14:schemeClr w14:val="tx1"/>
            </w14:solidFill>
          </w14:textFill>
        </w:rPr>
        <w:t>九</w:t>
      </w:r>
      <w:r>
        <w:rPr>
          <w:rFonts w:hint="default" w:ascii="Times New Roman" w:hAnsi="Times New Roman" w:eastAsia="宋体" w:cs="Times New Roman"/>
          <w:b w:val="0"/>
          <w:color w:val="000000" w:themeColor="text1"/>
          <w:sz w:val="36"/>
          <w:szCs w:val="36"/>
          <w:u w:val="single"/>
          <w:shd w:val="clear" w:color="auto" w:fill="auto"/>
          <w:lang w:val="en-US" w:eastAsia="zh-CN"/>
          <w14:textFill>
            <w14:solidFill>
              <w14:schemeClr w14:val="tx1"/>
            </w14:solidFill>
          </w14:textFill>
        </w:rPr>
        <w:t xml:space="preserve">月      </w:t>
      </w:r>
      <w:r>
        <w:rPr>
          <w:rFonts w:hint="default" w:ascii="Times New Roman" w:hAnsi="Times New Roman" w:eastAsia="宋体" w:cs="Times New Roman"/>
          <w:b w:val="0"/>
          <w:color w:val="000000" w:themeColor="text1"/>
          <w:sz w:val="36"/>
          <w:szCs w:val="36"/>
          <w:u w:val="single"/>
          <w:shd w:val="clear" w:color="auto" w:fill="auto"/>
          <w14:textFill>
            <w14:solidFill>
              <w14:schemeClr w14:val="tx1"/>
            </w14:solidFill>
          </w14:textFill>
        </w:rPr>
        <w:t xml:space="preserve">                 </w:t>
      </w:r>
    </w:p>
    <w:p>
      <w:pPr>
        <w:adjustRightInd w:val="0"/>
        <w:snapToGrid w:val="0"/>
        <w:spacing w:line="288" w:lineRule="auto"/>
        <w:ind w:firstLine="1040"/>
        <w:jc w:val="both"/>
        <w:rPr>
          <w:rFonts w:hint="default" w:ascii="Times New Roman" w:hAnsi="Times New Roman" w:eastAsia="宋体" w:cs="Times New Roman"/>
          <w:b w:val="0"/>
          <w:color w:val="000000" w:themeColor="text1"/>
          <w:sz w:val="36"/>
          <w:szCs w:val="36"/>
          <w:u w:val="single"/>
          <w:shd w:val="clear" w:color="auto" w:fill="auto"/>
          <w14:textFill>
            <w14:solidFill>
              <w14:schemeClr w14:val="tx1"/>
            </w14:solidFill>
          </w14:textFill>
        </w:rPr>
      </w:pPr>
    </w:p>
    <w:p>
      <w:pPr>
        <w:adjustRightInd w:val="0"/>
        <w:snapToGrid w:val="0"/>
        <w:spacing w:line="288" w:lineRule="auto"/>
        <w:ind w:firstLine="1040"/>
        <w:jc w:val="both"/>
        <w:rPr>
          <w:rFonts w:hint="default" w:ascii="Times New Roman" w:hAnsi="Times New Roman" w:eastAsia="宋体" w:cs="Times New Roman"/>
          <w:b w:val="0"/>
          <w:color w:val="000000" w:themeColor="text1"/>
          <w:sz w:val="36"/>
          <w:szCs w:val="36"/>
          <w:shd w:val="clear" w:color="auto" w:fill="auto"/>
          <w14:textFill>
            <w14:solidFill>
              <w14:schemeClr w14:val="tx1"/>
            </w14:solidFill>
          </w14:textFill>
        </w:rPr>
      </w:pPr>
    </w:p>
    <w:p>
      <w:pPr>
        <w:adjustRightInd w:val="0"/>
        <w:snapToGrid w:val="0"/>
        <w:spacing w:line="288" w:lineRule="auto"/>
        <w:jc w:val="both"/>
        <w:rPr>
          <w:rFonts w:hint="default" w:ascii="Times New Roman" w:hAnsi="Times New Roman" w:eastAsia="宋体" w:cs="Times New Roman"/>
          <w:b w:val="0"/>
          <w:color w:val="000000" w:themeColor="text1"/>
          <w:sz w:val="36"/>
          <w:szCs w:val="36"/>
          <w:shd w:val="clear" w:color="auto" w:fill="auto"/>
          <w14:textFill>
            <w14:solidFill>
              <w14:schemeClr w14:val="tx1"/>
            </w14:solidFill>
          </w14:textFill>
        </w:rPr>
      </w:pPr>
    </w:p>
    <w:p>
      <w:pPr>
        <w:adjustRightInd w:val="0"/>
        <w:snapToGrid w:val="0"/>
        <w:spacing w:line="288" w:lineRule="auto"/>
        <w:jc w:val="center"/>
        <w:rPr>
          <w:rFonts w:hint="default" w:ascii="Times New Roman" w:hAnsi="Times New Roman" w:eastAsia="宋体" w:cs="Times New Roman"/>
          <w:b w:val="0"/>
          <w:color w:val="000000" w:themeColor="text1"/>
          <w:sz w:val="36"/>
          <w:szCs w:val="36"/>
          <w:shd w:val="clear" w:color="auto" w:fill="auto"/>
          <w14:textFill>
            <w14:solidFill>
              <w14:schemeClr w14:val="tx1"/>
            </w14:solidFill>
          </w14:textFill>
        </w:rPr>
      </w:pPr>
      <w:r>
        <w:rPr>
          <w:rFonts w:hint="default" w:ascii="Times New Roman" w:hAnsi="Times New Roman" w:eastAsia="宋体" w:cs="Times New Roman"/>
          <w:b w:val="0"/>
          <w:color w:val="000000" w:themeColor="text1"/>
          <w:sz w:val="36"/>
          <w:szCs w:val="36"/>
          <w:shd w:val="clear" w:color="auto" w:fill="auto"/>
          <w14:textFill>
            <w14:solidFill>
              <w14:schemeClr w14:val="tx1"/>
            </w14:solidFill>
          </w14:textFill>
        </w:rPr>
        <w:t>中华人民共和国生态环境部制</w:t>
      </w:r>
    </w:p>
    <w:p>
      <w:pPr>
        <w:jc w:val="both"/>
        <w:rPr>
          <w:rFonts w:hint="default" w:ascii="Times New Roman" w:hAnsi="Times New Roman" w:eastAsia="宋体" w:cs="Times New Roman"/>
          <w:b w:val="0"/>
          <w:color w:val="000000" w:themeColor="text1"/>
          <w:sz w:val="21"/>
          <w14:textFill>
            <w14:solidFill>
              <w14:schemeClr w14:val="tx1"/>
            </w14:solidFill>
          </w14:textFill>
        </w:rPr>
      </w:pPr>
    </w:p>
    <w:p>
      <w:pPr>
        <w:keepNext w:val="0"/>
        <w:keepLines w:val="0"/>
        <w:widowControl w:val="0"/>
        <w:suppressLineNumbers w:val="0"/>
        <w:autoSpaceDE w:val="0"/>
        <w:autoSpaceDN w:val="0"/>
        <w:spacing w:before="0" w:beforeAutospacing="0" w:after="0" w:afterAutospacing="0"/>
        <w:ind w:left="0" w:right="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p>
    <w:p>
      <w:pPr>
        <w:jc w:val="both"/>
        <w:rPr>
          <w:rFonts w:hint="default" w:ascii="Times New Roman" w:hAnsi="Times New Roman" w:eastAsia="宋体" w:cs="Times New Roman"/>
          <w:b w:val="0"/>
          <w:color w:val="000000" w:themeColor="text1"/>
          <w:sz w:val="2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47"/>
        <w:rPr>
          <w:rFonts w:hint="default"/>
          <w:color w:val="000000" w:themeColor="text1"/>
          <w14:textFill>
            <w14:solidFill>
              <w14:schemeClr w14:val="tx1"/>
            </w14:solidFill>
          </w14:textFill>
        </w:rPr>
      </w:pPr>
    </w:p>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33"/>
        <w:tblW w:w="8780" w:type="dxa"/>
        <w:jc w:val="center"/>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Layout w:type="fixed"/>
        <w:tblCellMar>
          <w:top w:w="0" w:type="dxa"/>
          <w:left w:w="0" w:type="dxa"/>
          <w:bottom w:w="0" w:type="dxa"/>
          <w:right w:w="0" w:type="dxa"/>
        </w:tblCellMar>
      </w:tblPr>
      <w:tblGrid>
        <w:gridCol w:w="4271"/>
        <w:gridCol w:w="240"/>
        <w:gridCol w:w="4269"/>
      </w:tblGrid>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4097"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r>
              <w:drawing>
                <wp:inline distT="0" distB="0" distL="114300" distR="114300">
                  <wp:extent cx="2697480" cy="2462530"/>
                  <wp:effectExtent l="0" t="0" r="7620" b="13970"/>
                  <wp:docPr id="9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9"/>
                          <pic:cNvPicPr>
                            <a:picLocks noChangeAspect="1"/>
                          </pic:cNvPicPr>
                        </pic:nvPicPr>
                        <pic:blipFill>
                          <a:blip r:embed="rId7"/>
                          <a:stretch>
                            <a:fillRect/>
                          </a:stretch>
                        </pic:blipFill>
                        <pic:spPr>
                          <a:xfrm>
                            <a:off x="0" y="0"/>
                            <a:ext cx="2697480" cy="2462530"/>
                          </a:xfrm>
                          <a:prstGeom prst="rect">
                            <a:avLst/>
                          </a:prstGeom>
                          <a:noFill/>
                          <a:ln>
                            <a:noFill/>
                          </a:ln>
                        </pic:spPr>
                      </pic:pic>
                    </a:graphicData>
                  </a:graphic>
                </wp:inline>
              </w:drawing>
            </w:r>
          </w:p>
        </w:tc>
        <w:tc>
          <w:tcPr>
            <w:tcW w:w="240"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 w:val="28"/>
                <w:szCs w:val="28"/>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color w:val="000000" w:themeColor="text1"/>
                <w:lang w:eastAsia="zh-CN"/>
                <w14:textFill>
                  <w14:solidFill>
                    <w14:schemeClr w14:val="tx1"/>
                  </w14:solidFill>
                </w14:textFill>
              </w:rPr>
            </w:pPr>
            <w:r>
              <w:drawing>
                <wp:inline distT="0" distB="0" distL="114300" distR="114300">
                  <wp:extent cx="2698750" cy="2586990"/>
                  <wp:effectExtent l="0" t="0" r="6350" b="3810"/>
                  <wp:docPr id="9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0"/>
                          <pic:cNvPicPr>
                            <a:picLocks noChangeAspect="1"/>
                          </pic:cNvPicPr>
                        </pic:nvPicPr>
                        <pic:blipFill>
                          <a:blip r:embed="rId8"/>
                          <a:stretch>
                            <a:fillRect/>
                          </a:stretch>
                        </pic:blipFill>
                        <pic:spPr>
                          <a:xfrm>
                            <a:off x="0" y="0"/>
                            <a:ext cx="2698750" cy="2586990"/>
                          </a:xfrm>
                          <a:prstGeom prst="rect">
                            <a:avLst/>
                          </a:prstGeom>
                          <a:noFill/>
                          <a:ln>
                            <a:noFill/>
                          </a:ln>
                        </pic:spPr>
                      </pic:pic>
                    </a:graphicData>
                  </a:graphic>
                </wp:inline>
              </w:drawing>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18"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eastAsia" w:cs="Times New Roman"/>
                <w:b/>
                <w:color w:val="000000" w:themeColor="text1"/>
                <w:szCs w:val="21"/>
                <w:lang w:val="en-US" w:eastAsia="zh-CN"/>
                <w14:textFill>
                  <w14:solidFill>
                    <w14:schemeClr w14:val="tx1"/>
                  </w14:solidFill>
                </w14:textFill>
              </w:rPr>
              <w:t>项目区东侧</w:t>
            </w:r>
          </w:p>
        </w:tc>
        <w:tc>
          <w:tcPr>
            <w:tcW w:w="240"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eastAsia" w:cs="Times New Roman"/>
                <w:b/>
                <w:color w:val="000000" w:themeColor="text1"/>
                <w:szCs w:val="21"/>
                <w:lang w:val="en-US" w:eastAsia="zh-CN"/>
                <w14:textFill>
                  <w14:solidFill>
                    <w14:schemeClr w14:val="tx1"/>
                  </w14:solidFill>
                </w14:textFill>
              </w:rPr>
              <w:t>项目区南侧</w:t>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064"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eastAsia="zh-CN"/>
                <w14:textFill>
                  <w14:solidFill>
                    <w14:schemeClr w14:val="tx1"/>
                  </w14:solidFill>
                </w14:textFill>
              </w:rPr>
            </w:pPr>
            <w:r>
              <w:drawing>
                <wp:inline distT="0" distB="0" distL="114300" distR="114300">
                  <wp:extent cx="2697480" cy="2439035"/>
                  <wp:effectExtent l="0" t="0" r="7620" b="18415"/>
                  <wp:docPr id="9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1"/>
                          <pic:cNvPicPr>
                            <a:picLocks noChangeAspect="1"/>
                          </pic:cNvPicPr>
                        </pic:nvPicPr>
                        <pic:blipFill>
                          <a:blip r:embed="rId9"/>
                          <a:stretch>
                            <a:fillRect/>
                          </a:stretch>
                        </pic:blipFill>
                        <pic:spPr>
                          <a:xfrm>
                            <a:off x="0" y="0"/>
                            <a:ext cx="2697480" cy="2439035"/>
                          </a:xfrm>
                          <a:prstGeom prst="rect">
                            <a:avLst/>
                          </a:prstGeom>
                          <a:noFill/>
                          <a:ln>
                            <a:noFill/>
                          </a:ln>
                        </pic:spPr>
                      </pic:pic>
                    </a:graphicData>
                  </a:graphic>
                </wp:inline>
              </w:drawing>
            </w:r>
          </w:p>
        </w:tc>
        <w:tc>
          <w:tcPr>
            <w:tcW w:w="240"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 w:val="28"/>
                <w:szCs w:val="28"/>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r>
              <w:drawing>
                <wp:inline distT="0" distB="0" distL="114300" distR="114300">
                  <wp:extent cx="2700655" cy="2466340"/>
                  <wp:effectExtent l="0" t="0" r="4445" b="10160"/>
                  <wp:docPr id="9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2"/>
                          <pic:cNvPicPr>
                            <a:picLocks noChangeAspect="1"/>
                          </pic:cNvPicPr>
                        </pic:nvPicPr>
                        <pic:blipFill>
                          <a:blip r:embed="rId10"/>
                          <a:srcRect t="5162"/>
                          <a:stretch>
                            <a:fillRect/>
                          </a:stretch>
                        </pic:blipFill>
                        <pic:spPr>
                          <a:xfrm>
                            <a:off x="0" y="0"/>
                            <a:ext cx="2700655" cy="2466340"/>
                          </a:xfrm>
                          <a:prstGeom prst="rect">
                            <a:avLst/>
                          </a:prstGeom>
                          <a:noFill/>
                          <a:ln>
                            <a:noFill/>
                          </a:ln>
                        </pic:spPr>
                      </pic:pic>
                    </a:graphicData>
                  </a:graphic>
                </wp:inline>
              </w:drawing>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18"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Cs w:val="21"/>
                <w:lang w:val="en-US" w:eastAsia="zh-CN"/>
                <w14:textFill>
                  <w14:solidFill>
                    <w14:schemeClr w14:val="tx1"/>
                  </w14:solidFill>
                </w14:textFill>
              </w:rPr>
            </w:pPr>
            <w:r>
              <w:rPr>
                <w:rFonts w:hint="eastAsia" w:cs="Times New Roman"/>
                <w:b/>
                <w:color w:val="000000" w:themeColor="text1"/>
                <w:szCs w:val="21"/>
                <w:lang w:val="en-US" w:eastAsia="zh-CN"/>
                <w14:textFill>
                  <w14:solidFill>
                    <w14:schemeClr w14:val="tx1"/>
                  </w14:solidFill>
                </w14:textFill>
              </w:rPr>
              <w:t>项目区西侧</w:t>
            </w:r>
          </w:p>
        </w:tc>
        <w:tc>
          <w:tcPr>
            <w:tcW w:w="240"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Cs w:val="21"/>
                <w:lang w:val="en-US" w:eastAsia="zh-CN"/>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Cs w:val="21"/>
                <w:lang w:val="en-US" w:eastAsia="zh-CN"/>
                <w14:textFill>
                  <w14:solidFill>
                    <w14:schemeClr w14:val="tx1"/>
                  </w14:solidFill>
                </w14:textFill>
              </w:rPr>
            </w:pPr>
            <w:r>
              <w:rPr>
                <w:rFonts w:hint="eastAsia" w:cs="Times New Roman"/>
                <w:b/>
                <w:color w:val="000000" w:themeColor="text1"/>
                <w:szCs w:val="21"/>
                <w:lang w:val="en-US" w:eastAsia="zh-CN"/>
                <w14:textFill>
                  <w14:solidFill>
                    <w14:schemeClr w14:val="tx1"/>
                  </w14:solidFill>
                </w14:textFill>
              </w:rPr>
              <w:t>项目区北侧</w:t>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795"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r>
              <w:rPr>
                <w:rFonts w:hint="default" w:ascii="Times New Roman" w:hAnsi="Times New Roman" w:eastAsia="宋体" w:cs="Times New Roman"/>
                <w:b/>
                <w:color w:val="000000" w:themeColor="text1"/>
                <w:sz w:val="28"/>
                <w:szCs w:val="28"/>
                <w:lang w:eastAsia="zh-CN"/>
                <w14:textFill>
                  <w14:solidFill>
                    <w14:schemeClr w14:val="tx1"/>
                  </w14:solidFill>
                </w14:textFill>
              </w:rPr>
              <w:drawing>
                <wp:inline distT="0" distB="0" distL="114300" distR="114300">
                  <wp:extent cx="2708275" cy="2301240"/>
                  <wp:effectExtent l="0" t="0" r="15875" b="3810"/>
                  <wp:docPr id="3" name="图片 3" descr="9e2fc1320483df2252f1440f939d75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e2fc1320483df2252f1440f939d75c5"/>
                          <pic:cNvPicPr>
                            <a:picLocks noChangeAspect="1"/>
                          </pic:cNvPicPr>
                        </pic:nvPicPr>
                        <pic:blipFill>
                          <a:blip r:embed="rId11"/>
                          <a:stretch>
                            <a:fillRect/>
                          </a:stretch>
                        </pic:blipFill>
                        <pic:spPr>
                          <a:xfrm>
                            <a:off x="0" y="0"/>
                            <a:ext cx="2708275" cy="2301240"/>
                          </a:xfrm>
                          <a:prstGeom prst="rect">
                            <a:avLst/>
                          </a:prstGeom>
                        </pic:spPr>
                      </pic:pic>
                    </a:graphicData>
                  </a:graphic>
                </wp:inline>
              </w:drawing>
            </w:r>
          </w:p>
        </w:tc>
        <w:tc>
          <w:tcPr>
            <w:tcW w:w="240"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r>
              <w:rPr>
                <w:rFonts w:hint="default" w:ascii="Times New Roman" w:hAnsi="Times New Roman" w:eastAsia="宋体" w:cs="Times New Roman"/>
                <w:b/>
                <w:color w:val="000000" w:themeColor="text1"/>
                <w:sz w:val="28"/>
                <w:szCs w:val="28"/>
                <w:lang w:eastAsia="zh-CN"/>
                <w14:textFill>
                  <w14:solidFill>
                    <w14:schemeClr w14:val="tx1"/>
                  </w14:solidFill>
                </w14:textFill>
              </w:rPr>
              <w:drawing>
                <wp:inline distT="0" distB="0" distL="114300" distR="114300">
                  <wp:extent cx="2680970" cy="2278380"/>
                  <wp:effectExtent l="0" t="0" r="5080" b="7620"/>
                  <wp:docPr id="5" name="图片 5" descr="b1425cf01696aecd4c1660ea261203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1425cf01696aecd4c1660ea261203f2"/>
                          <pic:cNvPicPr>
                            <a:picLocks noChangeAspect="1"/>
                          </pic:cNvPicPr>
                        </pic:nvPicPr>
                        <pic:blipFill>
                          <a:blip r:embed="rId12"/>
                          <a:stretch>
                            <a:fillRect/>
                          </a:stretch>
                        </pic:blipFill>
                        <pic:spPr>
                          <a:xfrm>
                            <a:off x="0" y="0"/>
                            <a:ext cx="2680970" cy="2278380"/>
                          </a:xfrm>
                          <a:prstGeom prst="rect">
                            <a:avLst/>
                          </a:prstGeom>
                        </pic:spPr>
                      </pic:pic>
                    </a:graphicData>
                  </a:graphic>
                </wp:inline>
              </w:drawing>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90"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eastAsia" w:cs="Times New Roman"/>
                <w:b/>
                <w:color w:val="000000" w:themeColor="text1"/>
                <w:szCs w:val="21"/>
                <w:lang w:val="en-US" w:eastAsia="zh-CN"/>
                <w14:textFill>
                  <w14:solidFill>
                    <w14:schemeClr w14:val="tx1"/>
                  </w14:solidFill>
                </w14:textFill>
              </w:rPr>
              <w:t>现有工程危险废物贮存库</w:t>
            </w:r>
          </w:p>
        </w:tc>
        <w:tc>
          <w:tcPr>
            <w:tcW w:w="240"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eastAsia" w:cs="Times New Roman"/>
                <w:b/>
                <w:color w:val="000000" w:themeColor="text1"/>
                <w:szCs w:val="21"/>
                <w:lang w:val="en-US" w:eastAsia="zh-CN"/>
                <w14:textFill>
                  <w14:solidFill>
                    <w14:schemeClr w14:val="tx1"/>
                  </w14:solidFill>
                </w14:textFill>
              </w:rPr>
              <w:t>连铸连扎生产线</w:t>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163" w:hRule="atLeast"/>
          <w:jc w:val="center"/>
        </w:trPr>
        <w:tc>
          <w:tcPr>
            <w:tcW w:w="8780" w:type="dxa"/>
            <w:gridSpan w:val="3"/>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59" w:hRule="atLeast"/>
          <w:jc w:val="center"/>
        </w:trPr>
        <w:tc>
          <w:tcPr>
            <w:tcW w:w="8780" w:type="dxa"/>
            <w:gridSpan w:val="3"/>
            <w:tcBorders>
              <w:tl2br w:val="nil"/>
              <w:tr2bl w:val="nil"/>
            </w:tcBorders>
            <w:noWrap w:val="0"/>
            <w:vAlign w:val="center"/>
          </w:tcPr>
          <w:p>
            <w:pPr>
              <w:adjustRightInd w:val="0"/>
              <w:snapToGrid w:val="0"/>
              <w:jc w:val="center"/>
              <w:rPr>
                <w:rFonts w:hint="eastAsia" w:ascii="Times New Roman" w:hAnsi="Times New Roman" w:eastAsia="宋体" w:cs="Times New Roman"/>
                <w:b/>
                <w:color w:val="000000" w:themeColor="text1"/>
                <w:sz w:val="28"/>
                <w:szCs w:val="28"/>
                <w:lang w:eastAsia="zh-CN"/>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现场照片</w:t>
            </w:r>
            <w:r>
              <w:rPr>
                <w:rFonts w:hint="eastAsia" w:cs="Times New Roman"/>
                <w:b/>
                <w:color w:val="000000" w:themeColor="text1"/>
                <w:sz w:val="24"/>
                <w:szCs w:val="24"/>
                <w:lang w:eastAsia="zh-CN"/>
                <w14:textFill>
                  <w14:solidFill>
                    <w14:schemeClr w14:val="tx1"/>
                  </w14:solidFill>
                </w14:textFill>
              </w:rPr>
              <w:t>（</w:t>
            </w:r>
            <w:r>
              <w:rPr>
                <w:rFonts w:hint="eastAsia" w:cs="Times New Roman"/>
                <w:b/>
                <w:color w:val="000000" w:themeColor="text1"/>
                <w:sz w:val="24"/>
                <w:szCs w:val="24"/>
                <w:lang w:val="en-US" w:eastAsia="zh-CN"/>
                <w14:textFill>
                  <w14:solidFill>
                    <w14:schemeClr w14:val="tx1"/>
                  </w14:solidFill>
                </w14:textFill>
              </w:rPr>
              <w:t>1</w:t>
            </w:r>
            <w:r>
              <w:rPr>
                <w:rFonts w:hint="eastAsia" w:cs="Times New Roman"/>
                <w:b/>
                <w:color w:val="000000" w:themeColor="text1"/>
                <w:sz w:val="24"/>
                <w:szCs w:val="24"/>
                <w:lang w:eastAsia="zh-CN"/>
                <w14:textFill>
                  <w14:solidFill>
                    <w14:schemeClr w14:val="tx1"/>
                  </w14:solidFill>
                </w14:textFill>
              </w:rPr>
              <w:t>）</w:t>
            </w:r>
          </w:p>
        </w:tc>
      </w:tr>
    </w:tbl>
    <w:p>
      <w:pPr>
        <w:pStyle w:val="6"/>
        <w:numPr>
          <w:ilvl w:val="0"/>
          <w:numId w:val="0"/>
        </w:numPr>
        <w:spacing w:line="360" w:lineRule="auto"/>
        <w:jc w:val="center"/>
        <w:rPr>
          <w:rFonts w:hint="eastAsia" w:ascii="黑体" w:hAnsi="黑体" w:eastAsia="黑体" w:cs="黑体"/>
          <w:b w:val="0"/>
          <w:bCs/>
          <w:color w:val="000000" w:themeColor="text1"/>
          <w:kern w:val="44"/>
          <w:sz w:val="30"/>
          <w:szCs w:val="24"/>
          <w:lang w:val="en-US" w:eastAsia="zh-CN" w:bidi="ar-SA"/>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33"/>
        <w:tblW w:w="8780" w:type="dxa"/>
        <w:jc w:val="center"/>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Layout w:type="fixed"/>
        <w:tblCellMar>
          <w:top w:w="0" w:type="dxa"/>
          <w:left w:w="0" w:type="dxa"/>
          <w:bottom w:w="0" w:type="dxa"/>
          <w:right w:w="0" w:type="dxa"/>
        </w:tblCellMar>
      </w:tblPr>
      <w:tblGrid>
        <w:gridCol w:w="4271"/>
        <w:gridCol w:w="240"/>
        <w:gridCol w:w="4269"/>
      </w:tblGrid>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4097"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r>
              <w:rPr>
                <w:rFonts w:hint="default" w:ascii="Times New Roman" w:hAnsi="Times New Roman" w:eastAsia="宋体" w:cs="Times New Roman"/>
                <w:b/>
                <w:color w:val="000000" w:themeColor="text1"/>
                <w:sz w:val="28"/>
                <w:szCs w:val="28"/>
                <w:lang w:eastAsia="zh-CN"/>
                <w14:textFill>
                  <w14:solidFill>
                    <w14:schemeClr w14:val="tx1"/>
                  </w14:solidFill>
                </w14:textFill>
              </w:rPr>
              <w:drawing>
                <wp:inline distT="0" distB="0" distL="114300" distR="114300">
                  <wp:extent cx="2708275" cy="2504440"/>
                  <wp:effectExtent l="0" t="0" r="15875" b="10160"/>
                  <wp:docPr id="30" name="图片 30" descr="247538082d0118161d9d5bfc1b656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247538082d0118161d9d5bfc1b656ed4"/>
                          <pic:cNvPicPr>
                            <a:picLocks noChangeAspect="1"/>
                          </pic:cNvPicPr>
                        </pic:nvPicPr>
                        <pic:blipFill>
                          <a:blip r:embed="rId13"/>
                          <a:stretch>
                            <a:fillRect/>
                          </a:stretch>
                        </pic:blipFill>
                        <pic:spPr>
                          <a:xfrm>
                            <a:off x="0" y="0"/>
                            <a:ext cx="2708275" cy="2504440"/>
                          </a:xfrm>
                          <a:prstGeom prst="rect">
                            <a:avLst/>
                          </a:prstGeom>
                        </pic:spPr>
                      </pic:pic>
                    </a:graphicData>
                  </a:graphic>
                </wp:inline>
              </w:drawing>
            </w:r>
          </w:p>
        </w:tc>
        <w:tc>
          <w:tcPr>
            <w:tcW w:w="240"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 w:val="28"/>
                <w:szCs w:val="28"/>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b/>
                <w:color w:val="000000" w:themeColor="text1"/>
                <w:sz w:val="28"/>
                <w:szCs w:val="28"/>
                <w:lang w:eastAsia="zh-CN"/>
                <w14:textFill>
                  <w14:solidFill>
                    <w14:schemeClr w14:val="tx1"/>
                  </w14:solidFill>
                </w14:textFill>
              </w:rPr>
              <w:drawing>
                <wp:inline distT="0" distB="0" distL="114300" distR="114300">
                  <wp:extent cx="2708275" cy="2469515"/>
                  <wp:effectExtent l="0" t="0" r="15875" b="6985"/>
                  <wp:docPr id="26" name="图片 26" descr="2e4ee470ffa443cb8f2bf0d2142359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2e4ee470ffa443cb8f2bf0d21423594d"/>
                          <pic:cNvPicPr>
                            <a:picLocks noChangeAspect="1"/>
                          </pic:cNvPicPr>
                        </pic:nvPicPr>
                        <pic:blipFill>
                          <a:blip r:embed="rId14"/>
                          <a:stretch>
                            <a:fillRect/>
                          </a:stretch>
                        </pic:blipFill>
                        <pic:spPr>
                          <a:xfrm>
                            <a:off x="0" y="0"/>
                            <a:ext cx="2708275" cy="2469515"/>
                          </a:xfrm>
                          <a:prstGeom prst="rect">
                            <a:avLst/>
                          </a:prstGeom>
                        </pic:spPr>
                      </pic:pic>
                    </a:graphicData>
                  </a:graphic>
                </wp:inline>
              </w:drawing>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18"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default" w:ascii="Times New Roman" w:hAnsi="Times New Roman" w:eastAsia="宋体" w:cs="Times New Roman"/>
                <w:b/>
                <w:color w:val="000000" w:themeColor="text1"/>
                <w:szCs w:val="21"/>
                <w:lang w:val="en-US" w:eastAsia="zh-CN"/>
                <w14:textFill>
                  <w14:solidFill>
                    <w14:schemeClr w14:val="tx1"/>
                  </w14:solidFill>
                </w14:textFill>
              </w:rPr>
              <w:t>连铸连扎生产线</w:t>
            </w:r>
          </w:p>
        </w:tc>
        <w:tc>
          <w:tcPr>
            <w:tcW w:w="240"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eastAsia" w:cs="Times New Roman"/>
                <w:b/>
                <w:color w:val="000000" w:themeColor="text1"/>
                <w:szCs w:val="21"/>
                <w:lang w:val="en-US" w:eastAsia="zh-CN"/>
                <w14:textFill>
                  <w14:solidFill>
                    <w14:schemeClr w14:val="tx1"/>
                  </w14:solidFill>
                </w14:textFill>
              </w:rPr>
              <w:t>熔铝生产线</w:t>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064"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eastAsia="zh-CN"/>
                <w14:textFill>
                  <w14:solidFill>
                    <w14:schemeClr w14:val="tx1"/>
                  </w14:solidFill>
                </w14:textFill>
              </w:rPr>
            </w:pPr>
            <w:r>
              <w:rPr>
                <w:rFonts w:hint="default" w:ascii="Times New Roman" w:hAnsi="Times New Roman" w:eastAsia="宋体" w:cs="Times New Roman"/>
                <w:b/>
                <w:color w:val="000000" w:themeColor="text1"/>
                <w:szCs w:val="21"/>
                <w:lang w:eastAsia="zh-CN"/>
                <w14:textFill>
                  <w14:solidFill>
                    <w14:schemeClr w14:val="tx1"/>
                  </w14:solidFill>
                </w14:textFill>
              </w:rPr>
              <w:drawing>
                <wp:inline distT="0" distB="0" distL="114300" distR="114300">
                  <wp:extent cx="2708910" cy="2397760"/>
                  <wp:effectExtent l="0" t="0" r="15240" b="2540"/>
                  <wp:docPr id="29" name="图片 29" descr="936ae056f62291ee56b9e92af9399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936ae056f62291ee56b9e92af9399294"/>
                          <pic:cNvPicPr>
                            <a:picLocks noChangeAspect="1"/>
                          </pic:cNvPicPr>
                        </pic:nvPicPr>
                        <pic:blipFill>
                          <a:blip r:embed="rId15"/>
                          <a:stretch>
                            <a:fillRect/>
                          </a:stretch>
                        </pic:blipFill>
                        <pic:spPr>
                          <a:xfrm>
                            <a:off x="0" y="0"/>
                            <a:ext cx="2708910" cy="2397760"/>
                          </a:xfrm>
                          <a:prstGeom prst="rect">
                            <a:avLst/>
                          </a:prstGeom>
                        </pic:spPr>
                      </pic:pic>
                    </a:graphicData>
                  </a:graphic>
                </wp:inline>
              </w:drawing>
            </w:r>
          </w:p>
        </w:tc>
        <w:tc>
          <w:tcPr>
            <w:tcW w:w="240"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 w:val="28"/>
                <w:szCs w:val="28"/>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drawing>
                <wp:inline distT="0" distB="0" distL="114300" distR="114300">
                  <wp:extent cx="2680970" cy="2491740"/>
                  <wp:effectExtent l="0" t="0" r="5080" b="3810"/>
                  <wp:docPr id="28" name="图片 28" descr="5d5bb69cd3c5e82bddfc9ad0fdd12e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5d5bb69cd3c5e82bddfc9ad0fdd12eb6"/>
                          <pic:cNvPicPr>
                            <a:picLocks noChangeAspect="1"/>
                          </pic:cNvPicPr>
                        </pic:nvPicPr>
                        <pic:blipFill>
                          <a:blip r:embed="rId16"/>
                          <a:stretch>
                            <a:fillRect/>
                          </a:stretch>
                        </pic:blipFill>
                        <pic:spPr>
                          <a:xfrm>
                            <a:off x="0" y="0"/>
                            <a:ext cx="2680970" cy="2491740"/>
                          </a:xfrm>
                          <a:prstGeom prst="rect">
                            <a:avLst/>
                          </a:prstGeom>
                        </pic:spPr>
                      </pic:pic>
                    </a:graphicData>
                  </a:graphic>
                </wp:inline>
              </w:drawing>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18"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Cs w:val="21"/>
                <w:lang w:val="en-US" w:eastAsia="zh-CN"/>
                <w14:textFill>
                  <w14:solidFill>
                    <w14:schemeClr w14:val="tx1"/>
                  </w14:solidFill>
                </w14:textFill>
              </w:rPr>
            </w:pPr>
            <w:r>
              <w:rPr>
                <w:rFonts w:hint="default" w:ascii="Times New Roman" w:hAnsi="Times New Roman" w:cs="Times New Roman"/>
                <w:b/>
                <w:color w:val="000000" w:themeColor="text1"/>
                <w:szCs w:val="21"/>
                <w:lang w:val="en-US" w:eastAsia="zh-CN"/>
                <w14:textFill>
                  <w14:solidFill>
                    <w14:schemeClr w14:val="tx1"/>
                  </w14:solidFill>
                </w14:textFill>
              </w:rPr>
              <w:t>连铸连扎生产线</w:t>
            </w:r>
            <w:r>
              <w:rPr>
                <w:rFonts w:hint="eastAsia" w:cs="Times New Roman"/>
                <w:b/>
                <w:color w:val="000000" w:themeColor="text1"/>
                <w:szCs w:val="21"/>
                <w:lang w:val="en-US" w:eastAsia="zh-CN"/>
                <w14:textFill>
                  <w14:solidFill>
                    <w14:schemeClr w14:val="tx1"/>
                  </w14:solidFill>
                </w14:textFill>
              </w:rPr>
              <w:t>油雾处理设施</w:t>
            </w:r>
          </w:p>
        </w:tc>
        <w:tc>
          <w:tcPr>
            <w:tcW w:w="240"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Cs w:val="21"/>
                <w:lang w:val="en-US" w:eastAsia="zh-CN"/>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Cs w:val="21"/>
                <w:lang w:val="en-US" w:eastAsia="zh-CN"/>
                <w14:textFill>
                  <w14:solidFill>
                    <w14:schemeClr w14:val="tx1"/>
                  </w14:solidFill>
                </w14:textFill>
              </w:rPr>
            </w:pPr>
            <w:r>
              <w:rPr>
                <w:rFonts w:hint="eastAsia" w:cs="Times New Roman"/>
                <w:b/>
                <w:color w:val="000000" w:themeColor="text1"/>
                <w:szCs w:val="21"/>
                <w:lang w:val="en-US" w:eastAsia="zh-CN"/>
                <w14:textFill>
                  <w14:solidFill>
                    <w14:schemeClr w14:val="tx1"/>
                  </w14:solidFill>
                </w14:textFill>
              </w:rPr>
              <w:t>熔铝生产线布袋除尘器</w:t>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795"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r>
              <w:rPr>
                <w:rFonts w:hint="default" w:ascii="Times New Roman" w:hAnsi="Times New Roman" w:eastAsia="宋体" w:cs="Times New Roman"/>
                <w:b/>
                <w:color w:val="000000" w:themeColor="text1"/>
                <w:sz w:val="28"/>
                <w:szCs w:val="28"/>
                <w:lang w:eastAsia="zh-CN"/>
                <w14:textFill>
                  <w14:solidFill>
                    <w14:schemeClr w14:val="tx1"/>
                  </w14:solidFill>
                </w14:textFill>
              </w:rPr>
              <w:drawing>
                <wp:inline distT="0" distB="0" distL="114300" distR="114300">
                  <wp:extent cx="2708275" cy="2338070"/>
                  <wp:effectExtent l="0" t="0" r="15875" b="5080"/>
                  <wp:docPr id="31" name="图片 31" descr="0b496f851d06ae2676c2056cd1b76d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0b496f851d06ae2676c2056cd1b76d0b"/>
                          <pic:cNvPicPr>
                            <a:picLocks noChangeAspect="1"/>
                          </pic:cNvPicPr>
                        </pic:nvPicPr>
                        <pic:blipFill>
                          <a:blip r:embed="rId17"/>
                          <a:stretch>
                            <a:fillRect/>
                          </a:stretch>
                        </pic:blipFill>
                        <pic:spPr>
                          <a:xfrm>
                            <a:off x="0" y="0"/>
                            <a:ext cx="2708275" cy="2338070"/>
                          </a:xfrm>
                          <a:prstGeom prst="rect">
                            <a:avLst/>
                          </a:prstGeom>
                        </pic:spPr>
                      </pic:pic>
                    </a:graphicData>
                  </a:graphic>
                </wp:inline>
              </w:drawing>
            </w:r>
          </w:p>
        </w:tc>
        <w:tc>
          <w:tcPr>
            <w:tcW w:w="240"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r>
              <w:rPr>
                <w:rFonts w:hint="default" w:ascii="Times New Roman" w:hAnsi="Times New Roman" w:eastAsia="宋体" w:cs="Times New Roman"/>
                <w:b/>
                <w:color w:val="000000" w:themeColor="text1"/>
                <w:sz w:val="28"/>
                <w:szCs w:val="28"/>
                <w:lang w:eastAsia="zh-CN"/>
                <w14:textFill>
                  <w14:solidFill>
                    <w14:schemeClr w14:val="tx1"/>
                  </w14:solidFill>
                </w14:textFill>
              </w:rPr>
              <w:drawing>
                <wp:inline distT="0" distB="0" distL="114300" distR="114300">
                  <wp:extent cx="2680970" cy="2320925"/>
                  <wp:effectExtent l="0" t="0" r="5080" b="3175"/>
                  <wp:docPr id="32" name="图片 32" descr="0d407a3ecc46790cd282cd6ad483d1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0d407a3ecc46790cd282cd6ad483d1d3"/>
                          <pic:cNvPicPr>
                            <a:picLocks noChangeAspect="1"/>
                          </pic:cNvPicPr>
                        </pic:nvPicPr>
                        <pic:blipFill>
                          <a:blip r:embed="rId18"/>
                          <a:stretch>
                            <a:fillRect/>
                          </a:stretch>
                        </pic:blipFill>
                        <pic:spPr>
                          <a:xfrm>
                            <a:off x="0" y="0"/>
                            <a:ext cx="2680970" cy="2320925"/>
                          </a:xfrm>
                          <a:prstGeom prst="rect">
                            <a:avLst/>
                          </a:prstGeom>
                        </pic:spPr>
                      </pic:pic>
                    </a:graphicData>
                  </a:graphic>
                </wp:inline>
              </w:drawing>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90" w:hRule="atLeast"/>
          <w:jc w:val="center"/>
        </w:trPr>
        <w:tc>
          <w:tcPr>
            <w:tcW w:w="4271"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default" w:ascii="Times New Roman" w:hAnsi="Times New Roman" w:eastAsia="宋体" w:cs="Times New Roman"/>
                <w:b/>
                <w:color w:val="000000" w:themeColor="text1"/>
                <w:szCs w:val="21"/>
                <w:lang w:val="en-US" w:eastAsia="zh-CN"/>
                <w14:textFill>
                  <w14:solidFill>
                    <w14:schemeClr w14:val="tx1"/>
                  </w14:solidFill>
                </w14:textFill>
              </w:rPr>
              <w:t>新能源车间</w:t>
            </w:r>
          </w:p>
        </w:tc>
        <w:tc>
          <w:tcPr>
            <w:tcW w:w="240"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p>
        </w:tc>
        <w:tc>
          <w:tcPr>
            <w:tcW w:w="4269" w:type="dxa"/>
            <w:tcBorders>
              <w:tl2br w:val="nil"/>
              <w:tr2bl w:val="nil"/>
            </w:tcBorders>
            <w:noWrap w:val="0"/>
            <w:vAlign w:val="center"/>
          </w:tcPr>
          <w:p>
            <w:pPr>
              <w:adjustRightInd w:val="0"/>
              <w:snapToGrid w:val="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eastAsia" w:cs="Times New Roman"/>
                <w:b/>
                <w:color w:val="000000" w:themeColor="text1"/>
                <w:szCs w:val="21"/>
                <w:lang w:val="en-US" w:eastAsia="zh-CN"/>
                <w14:textFill>
                  <w14:solidFill>
                    <w14:schemeClr w14:val="tx1"/>
                  </w14:solidFill>
                </w14:textFill>
              </w:rPr>
              <w:t>工程师勘察图</w:t>
            </w: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163" w:hRule="atLeast"/>
          <w:jc w:val="center"/>
        </w:trPr>
        <w:tc>
          <w:tcPr>
            <w:tcW w:w="8780" w:type="dxa"/>
            <w:gridSpan w:val="3"/>
            <w:tcBorders>
              <w:tl2br w:val="nil"/>
              <w:tr2bl w:val="nil"/>
            </w:tcBorders>
            <w:noWrap w:val="0"/>
            <w:vAlign w:val="center"/>
          </w:tcPr>
          <w:p>
            <w:pPr>
              <w:adjustRightInd w:val="0"/>
              <w:snapToGrid w:val="0"/>
              <w:jc w:val="center"/>
              <w:rPr>
                <w:rFonts w:hint="default" w:ascii="Times New Roman" w:hAnsi="Times New Roman" w:cs="Times New Roman"/>
                <w:b/>
                <w:color w:val="000000" w:themeColor="text1"/>
                <w:szCs w:val="21"/>
                <w14:textFill>
                  <w14:solidFill>
                    <w14:schemeClr w14:val="tx1"/>
                  </w14:solidFill>
                </w14:textFill>
              </w:rPr>
            </w:pPr>
          </w:p>
        </w:tc>
      </w:tr>
      <w:tr>
        <w:tblPrEx>
          <w:tblBorders>
            <w:top w:val="single" w:color="auto" w:sz="8" w:space="0"/>
            <w:left w:val="dashSmallGap" w:color="auto" w:sz="4" w:space="0"/>
            <w:bottom w:val="single" w:color="auto" w:sz="8" w:space="0"/>
            <w:right w:val="dashSmallGap" w:color="auto" w:sz="4" w:space="0"/>
            <w:insideH w:val="single" w:color="auto" w:sz="8" w:space="0"/>
            <w:insideV w:val="none" w:color="auto" w:sz="0" w:space="0"/>
          </w:tblBorders>
          <w:tblCellMar>
            <w:top w:w="0" w:type="dxa"/>
            <w:left w:w="0" w:type="dxa"/>
            <w:bottom w:w="0" w:type="dxa"/>
            <w:right w:w="0" w:type="dxa"/>
          </w:tblCellMar>
        </w:tblPrEx>
        <w:trPr>
          <w:trHeight w:val="359" w:hRule="atLeast"/>
          <w:jc w:val="center"/>
        </w:trPr>
        <w:tc>
          <w:tcPr>
            <w:tcW w:w="8780" w:type="dxa"/>
            <w:gridSpan w:val="3"/>
            <w:tcBorders>
              <w:tl2br w:val="nil"/>
              <w:tr2bl w:val="nil"/>
            </w:tcBorders>
            <w:noWrap w:val="0"/>
            <w:vAlign w:val="center"/>
          </w:tcPr>
          <w:p>
            <w:pPr>
              <w:adjustRightInd w:val="0"/>
              <w:snapToGrid w:val="0"/>
              <w:jc w:val="center"/>
              <w:rPr>
                <w:rFonts w:hint="eastAsia" w:ascii="Times New Roman" w:hAnsi="Times New Roman" w:eastAsia="宋体" w:cs="Times New Roman"/>
                <w:b/>
                <w:color w:val="000000" w:themeColor="text1"/>
                <w:sz w:val="28"/>
                <w:szCs w:val="28"/>
                <w:lang w:eastAsia="zh-CN"/>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现场照片</w:t>
            </w:r>
            <w:r>
              <w:rPr>
                <w:rFonts w:hint="eastAsia" w:cs="Times New Roman"/>
                <w:b/>
                <w:color w:val="000000" w:themeColor="text1"/>
                <w:sz w:val="24"/>
                <w:szCs w:val="24"/>
                <w:lang w:eastAsia="zh-CN"/>
                <w14:textFill>
                  <w14:solidFill>
                    <w14:schemeClr w14:val="tx1"/>
                  </w14:solidFill>
                </w14:textFill>
              </w:rPr>
              <w:t>（</w:t>
            </w:r>
            <w:r>
              <w:rPr>
                <w:rFonts w:hint="eastAsia" w:cs="Times New Roman"/>
                <w:b/>
                <w:color w:val="000000" w:themeColor="text1"/>
                <w:sz w:val="24"/>
                <w:szCs w:val="24"/>
                <w:lang w:val="en-US" w:eastAsia="zh-CN"/>
                <w14:textFill>
                  <w14:solidFill>
                    <w14:schemeClr w14:val="tx1"/>
                  </w14:solidFill>
                </w14:textFill>
              </w:rPr>
              <w:t>2</w:t>
            </w:r>
            <w:r>
              <w:rPr>
                <w:rFonts w:hint="eastAsia" w:cs="Times New Roman"/>
                <w:b/>
                <w:color w:val="000000" w:themeColor="text1"/>
                <w:sz w:val="24"/>
                <w:szCs w:val="24"/>
                <w:lang w:eastAsia="zh-CN"/>
                <w14:textFill>
                  <w14:solidFill>
                    <w14:schemeClr w14:val="tx1"/>
                  </w14:solidFill>
                </w14:textFill>
              </w:rPr>
              <w:t>）</w:t>
            </w:r>
          </w:p>
        </w:tc>
      </w:tr>
    </w:tbl>
    <w:p>
      <w:pPr>
        <w:rPr>
          <w:rFonts w:hint="eastAsia"/>
          <w:color w:val="000000" w:themeColor="text1"/>
          <w:lang w:val="en-US" w:eastAsia="zh-CN"/>
          <w14:textFill>
            <w14:solidFill>
              <w14:schemeClr w14:val="tx1"/>
            </w14:solidFill>
          </w14:textFill>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6"/>
        <w:numPr>
          <w:ilvl w:val="0"/>
          <w:numId w:val="0"/>
        </w:numPr>
        <w:spacing w:line="360" w:lineRule="auto"/>
        <w:jc w:val="center"/>
        <w:rPr>
          <w:rFonts w:hint="eastAsia" w:ascii="黑体" w:hAnsi="黑体" w:eastAsia="黑体" w:cs="黑体"/>
          <w:b w:val="0"/>
          <w:bCs/>
          <w:color w:val="000000" w:themeColor="text1"/>
          <w14:textFill>
            <w14:solidFill>
              <w14:schemeClr w14:val="tx1"/>
            </w14:solidFill>
          </w14:textFill>
        </w:rPr>
      </w:pPr>
      <w:r>
        <w:rPr>
          <w:rFonts w:hint="eastAsia" w:ascii="黑体" w:hAnsi="黑体" w:eastAsia="黑体" w:cs="黑体"/>
          <w:b w:val="0"/>
          <w:bCs/>
          <w:color w:val="000000" w:themeColor="text1"/>
          <w:kern w:val="44"/>
          <w:sz w:val="30"/>
          <w:szCs w:val="24"/>
          <w:lang w:val="en-US" w:eastAsia="zh-CN" w:bidi="ar-SA"/>
          <w14:textFill>
            <w14:solidFill>
              <w14:schemeClr w14:val="tx1"/>
            </w14:solidFill>
          </w14:textFill>
        </w:rPr>
        <w:t>一、</w:t>
      </w:r>
      <w:r>
        <w:rPr>
          <w:rFonts w:hint="eastAsia" w:ascii="黑体" w:hAnsi="黑体" w:eastAsia="黑体" w:cs="黑体"/>
          <w:b w:val="0"/>
          <w:bCs/>
          <w:color w:val="000000" w:themeColor="text1"/>
          <w14:textFill>
            <w14:solidFill>
              <w14:schemeClr w14:val="tx1"/>
            </w14:solidFill>
          </w14:textFill>
        </w:rPr>
        <w:t>建设项目基本情况</w:t>
      </w:r>
    </w:p>
    <w:tbl>
      <w:tblPr>
        <w:tblStyle w:val="33"/>
        <w:tblW w:w="852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1714"/>
        <w:gridCol w:w="2125"/>
        <w:gridCol w:w="1773"/>
        <w:gridCol w:w="291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建设项目名称</w:t>
            </w:r>
          </w:p>
        </w:tc>
        <w:tc>
          <w:tcPr>
            <w:tcW w:w="6808" w:type="dxa"/>
            <w:gridSpan w:val="3"/>
            <w:tcBorders>
              <w:tl2br w:val="nil"/>
              <w:tr2bl w:val="nil"/>
            </w:tcBorders>
            <w:shd w:val="clear" w:color="auto" w:fill="auto"/>
            <w:vAlign w:val="center"/>
          </w:tcPr>
          <w:p>
            <w:pPr>
              <w:jc w:val="center"/>
              <w:rPr>
                <w:rFonts w:hint="default"/>
                <w:b w:val="0"/>
                <w:bCs/>
                <w:color w:val="000000" w:themeColor="text1"/>
                <w:lang w:val="en-US"/>
                <w14:textFill>
                  <w14:solidFill>
                    <w14:schemeClr w14:val="tx1"/>
                  </w14:solidFill>
                </w14:textFill>
              </w:rPr>
            </w:pPr>
            <w:r>
              <w:rPr>
                <w:rFonts w:hint="default"/>
                <w:b w:val="0"/>
                <w:bCs/>
                <w:color w:val="000000" w:themeColor="text1"/>
                <w:lang w:val="en-US" w:eastAsia="zh-CN"/>
                <w14:textFill>
                  <w14:solidFill>
                    <w14:schemeClr w14:val="tx1"/>
                  </w14:solidFill>
                </w14:textFill>
              </w:rPr>
              <w:t>特变电工智能电缆产业园建设项目（三期）（重新报批）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pPr>
              <w:spacing w:line="36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项目代码</w:t>
            </w:r>
          </w:p>
        </w:tc>
        <w:tc>
          <w:tcPr>
            <w:tcW w:w="6808" w:type="dxa"/>
            <w:gridSpan w:val="3"/>
            <w:tcBorders>
              <w:tl2br w:val="nil"/>
              <w:tr2bl w:val="nil"/>
            </w:tcBorders>
            <w:shd w:val="clear" w:color="auto" w:fill="auto"/>
            <w:vAlign w:val="center"/>
          </w:tcPr>
          <w:p>
            <w:pPr>
              <w:spacing w:line="360" w:lineRule="auto"/>
              <w:jc w:val="center"/>
              <w:rPr>
                <w:rFonts w:hint="default" w:eastAsia="宋体"/>
                <w:b w:val="0"/>
                <w:bCs/>
                <w:color w:val="000000" w:themeColor="text1"/>
                <w:lang w:val="en-US" w:eastAsia="zh-CN"/>
                <w14:textFill>
                  <w14:solidFill>
                    <w14:schemeClr w14:val="tx1"/>
                  </w14:solidFill>
                </w14:textFill>
              </w:rPr>
            </w:pPr>
            <w:r>
              <w:rPr>
                <w:rFonts w:hint="default" w:eastAsia="宋体"/>
                <w:b w:val="0"/>
                <w:bCs/>
                <w:color w:val="000000" w:themeColor="text1"/>
                <w:lang w:val="en-US" w:eastAsia="zh-CN"/>
                <w14:textFill>
                  <w14:solidFill>
                    <w14:schemeClr w14:val="tx1"/>
                  </w14:solidFill>
                </w14:textFill>
              </w:rPr>
              <w:t>2405-652312-17-01-112280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pPr>
              <w:spacing w:line="24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建设单位联系人</w:t>
            </w:r>
          </w:p>
        </w:tc>
        <w:tc>
          <w:tcPr>
            <w:tcW w:w="2125" w:type="dxa"/>
            <w:tcBorders>
              <w:tl2br w:val="nil"/>
              <w:tr2bl w:val="nil"/>
            </w:tcBorders>
            <w:shd w:val="clear" w:color="auto" w:fill="auto"/>
            <w:vAlign w:val="center"/>
          </w:tcPr>
          <w:p>
            <w:pPr>
              <w:spacing w:line="360" w:lineRule="auto"/>
              <w:jc w:val="center"/>
              <w:rPr>
                <w:rFonts w:hint="default" w:eastAsia="宋体"/>
                <w:b w:val="0"/>
                <w:bCs/>
                <w:color w:val="000000" w:themeColor="text1"/>
                <w:lang w:val="en-US" w:eastAsia="zh-CN"/>
                <w14:textFill>
                  <w14:solidFill>
                    <w14:schemeClr w14:val="tx1"/>
                  </w14:solidFill>
                </w14:textFill>
              </w:rPr>
            </w:pPr>
            <w:r>
              <w:rPr>
                <w:rFonts w:hint="default" w:eastAsia="宋体"/>
                <w:b w:val="0"/>
                <w:bCs/>
                <w:color w:val="000000" w:themeColor="text1"/>
                <w:lang w:val="en-US" w:eastAsia="zh-CN"/>
                <w14:textFill>
                  <w14:solidFill>
                    <w14:schemeClr w14:val="tx1"/>
                  </w14:solidFill>
                </w14:textFill>
              </w:rPr>
              <w:t>潘志杰</w:t>
            </w:r>
          </w:p>
        </w:tc>
        <w:tc>
          <w:tcPr>
            <w:tcW w:w="1773" w:type="dxa"/>
            <w:tcBorders>
              <w:tl2br w:val="nil"/>
              <w:tr2bl w:val="nil"/>
            </w:tcBorders>
            <w:shd w:val="clear" w:color="auto" w:fill="auto"/>
            <w:vAlign w:val="center"/>
          </w:tcPr>
          <w:p>
            <w:pPr>
              <w:spacing w:line="36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联系方式</w:t>
            </w:r>
          </w:p>
        </w:tc>
        <w:tc>
          <w:tcPr>
            <w:tcW w:w="2910" w:type="dxa"/>
            <w:tcBorders>
              <w:tl2br w:val="nil"/>
              <w:tr2bl w:val="nil"/>
            </w:tcBorders>
            <w:shd w:val="clear" w:color="auto" w:fill="auto"/>
            <w:vAlign w:val="center"/>
          </w:tcPr>
          <w:p>
            <w:pPr>
              <w:spacing w:line="360" w:lineRule="auto"/>
              <w:jc w:val="center"/>
              <w:rPr>
                <w:rFonts w:hint="default" w:eastAsia="宋体"/>
                <w:b w:val="0"/>
                <w:bCs/>
                <w:color w:val="000000" w:themeColor="text1"/>
                <w:lang w:val="en-US" w:eastAsia="zh-CN"/>
                <w14:textFill>
                  <w14:solidFill>
                    <w14:schemeClr w14:val="tx1"/>
                  </w14:solidFill>
                </w14:textFill>
              </w:rPr>
            </w:pPr>
            <w:r>
              <w:rPr>
                <w:rFonts w:hint="default" w:eastAsia="宋体"/>
                <w:b w:val="0"/>
                <w:bCs/>
                <w:color w:val="000000" w:themeColor="text1"/>
                <w:lang w:val="en-US" w:eastAsia="zh-CN"/>
                <w14:textFill>
                  <w14:solidFill>
                    <w14:schemeClr w14:val="tx1"/>
                  </w14:solidFill>
                </w14:textFill>
              </w:rPr>
              <w:t>18599339388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pPr>
              <w:spacing w:line="36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建设地点</w:t>
            </w:r>
          </w:p>
        </w:tc>
        <w:tc>
          <w:tcPr>
            <w:tcW w:w="6808" w:type="dxa"/>
            <w:gridSpan w:val="3"/>
            <w:tcBorders>
              <w:tl2br w:val="nil"/>
              <w:tr2bl w:val="nil"/>
            </w:tcBorders>
            <w:shd w:val="clear" w:color="auto" w:fill="auto"/>
            <w:vAlign w:val="center"/>
          </w:tcPr>
          <w:p>
            <w:pPr>
              <w:jc w:val="center"/>
              <w:rPr>
                <w:rFonts w:hint="default" w:eastAsia="宋体"/>
                <w:b w:val="0"/>
                <w:bCs/>
                <w:color w:val="000000" w:themeColor="text1"/>
                <w:lang w:val="en-US" w:eastAsia="zh-CN"/>
                <w14:textFill>
                  <w14:solidFill>
                    <w14:schemeClr w14:val="tx1"/>
                  </w14:solidFill>
                </w14:textFill>
              </w:rPr>
            </w:pPr>
            <w:r>
              <w:rPr>
                <w:rFonts w:hint="default" w:eastAsia="宋体"/>
                <w:b w:val="0"/>
                <w:bCs/>
                <w:color w:val="000000" w:themeColor="text1"/>
                <w:lang w:val="en-US" w:eastAsia="zh-CN"/>
                <w14:textFill>
                  <w14:solidFill>
                    <w14:schemeClr w14:val="tx1"/>
                  </w14:solidFill>
                </w14:textFill>
              </w:rPr>
              <w:t>新疆维吾尔自治区</w:t>
            </w:r>
            <w:r>
              <w:rPr>
                <w:rFonts w:hint="eastAsia"/>
                <w:b w:val="0"/>
                <w:bCs/>
                <w:color w:val="000000" w:themeColor="text1"/>
                <w:lang w:val="en-US" w:eastAsia="zh-CN"/>
                <w14:textFill>
                  <w14:solidFill>
                    <w14:schemeClr w14:val="tx1"/>
                  </w14:solidFill>
                </w14:textFill>
              </w:rPr>
              <w:t>昌吉回族自治州昌吉国家高新技术产业开发区经一路和创业大道交汇处特变电工智能电缆产业园内</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pPr>
              <w:spacing w:line="360" w:lineRule="auto"/>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地理坐标</w:t>
            </w:r>
          </w:p>
        </w:tc>
        <w:tc>
          <w:tcPr>
            <w:tcW w:w="6808" w:type="dxa"/>
            <w:gridSpan w:val="3"/>
            <w:tcBorders>
              <w:tl2br w:val="nil"/>
              <w:tr2bl w:val="nil"/>
            </w:tcBorders>
            <w:shd w:val="clear" w:color="auto" w:fill="auto"/>
            <w:vAlign w:val="center"/>
          </w:tcPr>
          <w:p>
            <w:pPr>
              <w:spacing w:line="240" w:lineRule="auto"/>
              <w:jc w:val="center"/>
              <w:rPr>
                <w:rFonts w:hint="default"/>
                <w:color w:val="000000" w:themeColor="text1"/>
                <w:lang w:val="en-US" w:eastAsia="zh-CN"/>
                <w14:textFill>
                  <w14:solidFill>
                    <w14:schemeClr w14:val="tx1"/>
                  </w14:solidFill>
                </w14:textFill>
              </w:rPr>
            </w:pPr>
            <w:r>
              <w:rPr>
                <w:rFonts w:hint="default" w:ascii="Times New Roman" w:hAnsi="Times New Roman" w:cs="Times New Roman"/>
                <w:b w:val="0"/>
                <w:color w:val="000000" w:themeColor="text1"/>
                <w:kern w:val="2"/>
                <w:sz w:val="24"/>
                <w:szCs w:val="24"/>
                <w:lang w:val="en-US" w:eastAsia="zh-CN" w:bidi="ar-SA"/>
                <w14:textFill>
                  <w14:solidFill>
                    <w14:schemeClr w14:val="tx1"/>
                  </w14:solidFill>
                </w14:textFill>
              </w:rPr>
              <w:t>E87°</w:t>
            </w:r>
            <w:r>
              <w:rPr>
                <w:rFonts w:hint="eastAsia" w:cs="Times New Roman"/>
                <w:b w:val="0"/>
                <w:color w:val="000000" w:themeColor="text1"/>
                <w:kern w:val="2"/>
                <w:sz w:val="24"/>
                <w:szCs w:val="24"/>
                <w:lang w:val="en-US" w:eastAsia="zh-CN" w:bidi="ar-SA"/>
                <w14:textFill>
                  <w14:solidFill>
                    <w14:schemeClr w14:val="tx1"/>
                  </w14:solidFill>
                </w14:textFill>
              </w:rPr>
              <w:t>0</w:t>
            </w:r>
            <w:r>
              <w:rPr>
                <w:rFonts w:hint="default" w:ascii="Times New Roman" w:hAnsi="Times New Roman" w:cs="Times New Roman"/>
                <w:b w:val="0"/>
                <w:color w:val="000000" w:themeColor="text1"/>
                <w:kern w:val="2"/>
                <w:sz w:val="24"/>
                <w:szCs w:val="24"/>
                <w:lang w:val="en-US" w:eastAsia="zh-CN" w:bidi="ar-SA"/>
                <w14:textFill>
                  <w14:solidFill>
                    <w14:schemeClr w14:val="tx1"/>
                  </w14:solidFill>
                </w14:textFill>
              </w:rPr>
              <w:t>4'</w:t>
            </w:r>
            <w:r>
              <w:rPr>
                <w:rFonts w:hint="eastAsia" w:cs="Times New Roman"/>
                <w:b w:val="0"/>
                <w:color w:val="000000" w:themeColor="text1"/>
                <w:kern w:val="2"/>
                <w:sz w:val="24"/>
                <w:szCs w:val="24"/>
                <w:lang w:val="en-US" w:eastAsia="zh-CN" w:bidi="ar-SA"/>
                <w14:textFill>
                  <w14:solidFill>
                    <w14:schemeClr w14:val="tx1"/>
                  </w14:solidFill>
                </w14:textFill>
              </w:rPr>
              <w:t>24</w:t>
            </w:r>
            <w:r>
              <w:rPr>
                <w:rFonts w:hint="default" w:ascii="Times New Roman" w:hAnsi="Times New Roman" w:cs="Times New Roman"/>
                <w:b w:val="0"/>
                <w:color w:val="000000" w:themeColor="text1"/>
                <w:kern w:val="2"/>
                <w:sz w:val="24"/>
                <w:szCs w:val="24"/>
                <w:lang w:val="en-US" w:eastAsia="zh-CN" w:bidi="ar-SA"/>
                <w14:textFill>
                  <w14:solidFill>
                    <w14:schemeClr w14:val="tx1"/>
                  </w14:solidFill>
                </w14:textFill>
              </w:rPr>
              <w:t>.</w:t>
            </w:r>
            <w:r>
              <w:rPr>
                <w:rFonts w:hint="eastAsia" w:cs="Times New Roman"/>
                <w:b w:val="0"/>
                <w:color w:val="000000" w:themeColor="text1"/>
                <w:kern w:val="2"/>
                <w:sz w:val="24"/>
                <w:szCs w:val="24"/>
                <w:lang w:val="en-US" w:eastAsia="zh-CN" w:bidi="ar-SA"/>
                <w14:textFill>
                  <w14:solidFill>
                    <w14:schemeClr w14:val="tx1"/>
                  </w14:solidFill>
                </w14:textFill>
              </w:rPr>
              <w:t>484</w:t>
            </w:r>
            <w:r>
              <w:rPr>
                <w:rFonts w:hint="default" w:ascii="Times New Roman" w:hAnsi="Times New Roman" w:cs="Times New Roman"/>
                <w:b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w:t>
            </w:r>
            <w:r>
              <w:rPr>
                <w:rFonts w:hint="default" w:ascii="Times New Roman" w:hAnsi="Times New Roman" w:cs="Times New Roman"/>
                <w:b w:val="0"/>
                <w:color w:val="000000" w:themeColor="text1"/>
                <w:kern w:val="2"/>
                <w:sz w:val="24"/>
                <w:szCs w:val="24"/>
                <w:lang w:val="en-US" w:eastAsia="zh-CN" w:bidi="ar-SA"/>
                <w14:textFill>
                  <w14:solidFill>
                    <w14:schemeClr w14:val="tx1"/>
                  </w14:solidFill>
                </w14:textFill>
              </w:rPr>
              <w:t>N 44°0</w:t>
            </w:r>
            <w:r>
              <w:rPr>
                <w:rFonts w:hint="eastAsia" w:cs="Times New Roman"/>
                <w:b w:val="0"/>
                <w:color w:val="000000" w:themeColor="text1"/>
                <w:kern w:val="2"/>
                <w:sz w:val="24"/>
                <w:szCs w:val="24"/>
                <w:lang w:val="en-US" w:eastAsia="zh-CN" w:bidi="ar-SA"/>
                <w14:textFill>
                  <w14:solidFill>
                    <w14:schemeClr w14:val="tx1"/>
                  </w14:solidFill>
                </w14:textFill>
              </w:rPr>
              <w:t>5</w:t>
            </w:r>
            <w:r>
              <w:rPr>
                <w:rFonts w:hint="default" w:ascii="Times New Roman" w:hAnsi="Times New Roman" w:cs="Times New Roman"/>
                <w:b w:val="0"/>
                <w:color w:val="000000" w:themeColor="text1"/>
                <w:kern w:val="2"/>
                <w:sz w:val="24"/>
                <w:szCs w:val="24"/>
                <w:lang w:val="en-US" w:eastAsia="zh-CN" w:bidi="ar-SA"/>
                <w14:textFill>
                  <w14:solidFill>
                    <w14:schemeClr w14:val="tx1"/>
                  </w14:solidFill>
                </w14:textFill>
              </w:rPr>
              <w:t>'</w:t>
            </w:r>
            <w:r>
              <w:rPr>
                <w:rFonts w:hint="eastAsia" w:cs="Times New Roman"/>
                <w:b w:val="0"/>
                <w:color w:val="000000" w:themeColor="text1"/>
                <w:kern w:val="2"/>
                <w:sz w:val="24"/>
                <w:szCs w:val="24"/>
                <w:lang w:val="en-US" w:eastAsia="zh-CN" w:bidi="ar-SA"/>
                <w14:textFill>
                  <w14:solidFill>
                    <w14:schemeClr w14:val="tx1"/>
                  </w14:solidFill>
                </w14:textFill>
              </w:rPr>
              <w:t>24.505</w:t>
            </w:r>
            <w:r>
              <w:rPr>
                <w:rFonts w:hint="default" w:ascii="Times New Roman" w:hAnsi="Times New Roman" w:cs="Times New Roman"/>
                <w:b w:val="0"/>
                <w:color w:val="000000" w:themeColor="text1"/>
                <w:kern w:val="2"/>
                <w:sz w:val="24"/>
                <w:szCs w:val="24"/>
                <w:lang w:val="en-US" w:eastAsia="zh-CN" w:bidi="ar-SA"/>
                <w14:textFill>
                  <w14:solidFill>
                    <w14:schemeClr w14:val="tx1"/>
                  </w14:solidFill>
                </w14:textFill>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国民经济</w:t>
            </w:r>
          </w:p>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行业类别</w:t>
            </w:r>
          </w:p>
        </w:tc>
        <w:tc>
          <w:tcPr>
            <w:tcW w:w="2125" w:type="dxa"/>
            <w:tcBorders>
              <w:tl2br w:val="nil"/>
              <w:tr2bl w:val="nil"/>
            </w:tcBorders>
            <w:shd w:val="clear" w:color="auto" w:fill="auto"/>
            <w:vAlign w:val="center"/>
          </w:tcPr>
          <w:p>
            <w:pPr>
              <w:jc w:val="center"/>
              <w:rPr>
                <w:rFonts w:hint="default"/>
                <w:b w:val="0"/>
                <w:bCs/>
                <w:color w:val="000000" w:themeColor="text1"/>
                <w:lang w:val="en-US"/>
                <w14:textFill>
                  <w14:solidFill>
                    <w14:schemeClr w14:val="tx1"/>
                  </w14:solidFill>
                </w14:textFill>
              </w:rPr>
            </w:pPr>
            <w:r>
              <w:rPr>
                <w:rFonts w:hint="default"/>
                <w:b w:val="0"/>
                <w:bCs/>
                <w:color w:val="000000" w:themeColor="text1"/>
                <w:lang w:val="en-US" w:eastAsia="zh-CN"/>
                <w14:textFill>
                  <w14:solidFill>
                    <w14:schemeClr w14:val="tx1"/>
                  </w14:solidFill>
                </w14:textFill>
              </w:rPr>
              <w:t>C3252 铝压延加工 C3831 电线、电缆的制造</w:t>
            </w:r>
          </w:p>
        </w:tc>
        <w:tc>
          <w:tcPr>
            <w:tcW w:w="1773"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bookmarkStart w:id="1" w:name="_Hlk49843745"/>
            <w:r>
              <w:rPr>
                <w:b w:val="0"/>
                <w:bCs/>
                <w:color w:val="000000" w:themeColor="text1"/>
                <w14:textFill>
                  <w14:solidFill>
                    <w14:schemeClr w14:val="tx1"/>
                  </w14:solidFill>
                </w14:textFill>
              </w:rPr>
              <w:t>建设项目</w:t>
            </w:r>
          </w:p>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行业类别</w:t>
            </w:r>
            <w:bookmarkEnd w:id="1"/>
          </w:p>
        </w:tc>
        <w:tc>
          <w:tcPr>
            <w:tcW w:w="2910" w:type="dxa"/>
            <w:tcBorders>
              <w:tl2br w:val="nil"/>
              <w:tr2bl w:val="nil"/>
            </w:tcBorders>
            <w:shd w:val="clear" w:color="auto" w:fill="auto"/>
            <w:vAlign w:val="center"/>
          </w:tcPr>
          <w:p>
            <w:pPr>
              <w:pStyle w:val="27"/>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二十九、有色金属冶炼和压延加工业</w:t>
            </w:r>
            <w:r>
              <w:rPr>
                <w:rFonts w:hint="eastAsia"/>
                <w:color w:val="000000" w:themeColor="text1"/>
                <w:lang w:val="en-US" w:eastAsia="zh-CN"/>
                <w14:textFill>
                  <w14:solidFill>
                    <w14:schemeClr w14:val="tx1"/>
                  </w14:solidFill>
                </w14:textFill>
              </w:rPr>
              <w:t>32中65.</w:t>
            </w:r>
            <w:r>
              <w:rPr>
                <w:rFonts w:hint="default"/>
                <w:color w:val="000000" w:themeColor="text1"/>
                <w:lang w:val="en-US" w:eastAsia="zh-CN"/>
                <w14:textFill>
                  <w14:solidFill>
                    <w14:schemeClr w14:val="tx1"/>
                  </w14:solidFill>
                </w14:textFill>
              </w:rPr>
              <w:t>有色金属压延加工325</w:t>
            </w:r>
          </w:p>
          <w:p>
            <w:pPr>
              <w:pStyle w:val="27"/>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color w:val="000000" w:themeColor="text1"/>
                <w:lang w:val="en-US"/>
                <w14:textFill>
                  <w14:solidFill>
                    <w14:schemeClr w14:val="tx1"/>
                  </w14:solidFill>
                </w14:textFill>
              </w:rPr>
            </w:pPr>
            <w:r>
              <w:rPr>
                <w:rFonts w:hint="default"/>
                <w:color w:val="000000" w:themeColor="text1"/>
                <w:lang w:val="en-US" w:eastAsia="zh-CN"/>
                <w14:textFill>
                  <w14:solidFill>
                    <w14:schemeClr w14:val="tx1"/>
                  </w14:solidFill>
                </w14:textFill>
              </w:rPr>
              <w:t>三十五、电气机械和器材制造业</w:t>
            </w:r>
            <w:r>
              <w:rPr>
                <w:rFonts w:hint="eastAsia"/>
                <w:color w:val="000000" w:themeColor="text1"/>
                <w:lang w:val="en-US" w:eastAsia="zh-CN"/>
                <w14:textFill>
                  <w14:solidFill>
                    <w14:schemeClr w14:val="tx1"/>
                  </w14:solidFill>
                </w14:textFill>
              </w:rPr>
              <w:t>38中77.</w:t>
            </w:r>
            <w:r>
              <w:rPr>
                <w:rFonts w:hint="default"/>
                <w:color w:val="000000" w:themeColor="text1"/>
                <w:lang w:val="en-US" w:eastAsia="zh-CN"/>
                <w14:textFill>
                  <w14:solidFill>
                    <w14:schemeClr w14:val="tx1"/>
                  </w14:solidFill>
                </w14:textFill>
              </w:rPr>
              <w:t>电线、电缆光缆及电工器材制造38</w:t>
            </w:r>
            <w:r>
              <w:rPr>
                <w:rFonts w:hint="eastAsia"/>
                <w:color w:val="000000" w:themeColor="text1"/>
                <w:lang w:val="en-US" w:eastAsia="zh-CN"/>
                <w14:textFill>
                  <w14:solidFill>
                    <w14:schemeClr w14:val="tx1"/>
                  </w14:solidFill>
                </w14:textFill>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建设性质</w:t>
            </w:r>
          </w:p>
        </w:tc>
        <w:tc>
          <w:tcPr>
            <w:tcW w:w="2125" w:type="dxa"/>
            <w:tcBorders>
              <w:tl2br w:val="nil"/>
              <w:tr2bl w:val="nil"/>
            </w:tcBorders>
            <w:shd w:val="clear" w:color="auto" w:fill="auto"/>
            <w:vAlign w:val="center"/>
          </w:tcPr>
          <w:p>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新建（迁建）</w:t>
            </w:r>
          </w:p>
          <w:p>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改建</w:t>
            </w:r>
          </w:p>
          <w:p>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扩建</w:t>
            </w:r>
          </w:p>
          <w:p>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技术改造</w:t>
            </w:r>
          </w:p>
        </w:tc>
        <w:tc>
          <w:tcPr>
            <w:tcW w:w="1773"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建设项目</w:t>
            </w:r>
          </w:p>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申报情形</w:t>
            </w:r>
          </w:p>
        </w:tc>
        <w:tc>
          <w:tcPr>
            <w:tcW w:w="2910" w:type="dxa"/>
            <w:tcBorders>
              <w:tl2br w:val="nil"/>
              <w:tr2bl w:val="nil"/>
            </w:tcBorders>
            <w:shd w:val="clear" w:color="auto" w:fill="auto"/>
            <w:tcMar>
              <w:top w:w="0" w:type="dxa"/>
              <w:left w:w="108" w:type="dxa"/>
              <w:bottom w:w="0" w:type="dxa"/>
              <w:right w:w="0" w:type="dxa"/>
            </w:tcMar>
            <w:vAlign w:val="center"/>
          </w:tcPr>
          <w:p>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首次申报项目</w:t>
            </w:r>
          </w:p>
          <w:p>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不予批准后再次申报项目</w:t>
            </w:r>
          </w:p>
          <w:p>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超五年重新审核项目</w:t>
            </w:r>
          </w:p>
          <w:p>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重大变动重新报批项目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036" w:hRule="atLeast"/>
        </w:trPr>
        <w:tc>
          <w:tcPr>
            <w:tcW w:w="1714"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项目审批（核准/备案）部门（选填）</w:t>
            </w:r>
          </w:p>
        </w:tc>
        <w:tc>
          <w:tcPr>
            <w:tcW w:w="2125" w:type="dxa"/>
            <w:tcBorders>
              <w:tl2br w:val="nil"/>
              <w:tr2bl w:val="nil"/>
            </w:tcBorders>
            <w:shd w:val="clear" w:color="auto" w:fill="auto"/>
            <w:vAlign w:val="center"/>
          </w:tcPr>
          <w:p>
            <w:pPr>
              <w:jc w:val="center"/>
              <w:rPr>
                <w:rFonts w:hint="default" w:eastAsia="宋体"/>
                <w:b w:val="0"/>
                <w:bCs/>
                <w:color w:val="000000" w:themeColor="text1"/>
                <w:lang w:val="en-US" w:eastAsia="zh-CN"/>
                <w14:textFill>
                  <w14:solidFill>
                    <w14:schemeClr w14:val="tx1"/>
                  </w14:solidFill>
                </w14:textFill>
              </w:rPr>
            </w:pPr>
            <w:r>
              <w:rPr>
                <w:rFonts w:hint="default" w:eastAsia="宋体"/>
                <w:b w:val="0"/>
                <w:bCs/>
                <w:color w:val="000000" w:themeColor="text1"/>
                <w:lang w:val="en-US" w:eastAsia="zh-CN"/>
                <w14:textFill>
                  <w14:solidFill>
                    <w14:schemeClr w14:val="tx1"/>
                  </w14:solidFill>
                </w14:textFill>
              </w:rPr>
              <w:t>昌吉高新技术产业开发区产业发展科技局</w:t>
            </w:r>
          </w:p>
        </w:tc>
        <w:tc>
          <w:tcPr>
            <w:tcW w:w="1773"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项目审批（核准/备案）文号（选填）</w:t>
            </w:r>
          </w:p>
        </w:tc>
        <w:tc>
          <w:tcPr>
            <w:tcW w:w="2910" w:type="dxa"/>
            <w:tcBorders>
              <w:tl2br w:val="nil"/>
              <w:tr2bl w:val="nil"/>
            </w:tcBorders>
            <w:shd w:val="clear" w:color="auto" w:fill="auto"/>
            <w:vAlign w:val="center"/>
          </w:tcPr>
          <w:p>
            <w:pPr>
              <w:adjustRightInd w:val="0"/>
              <w:snapToGrid w:val="0"/>
              <w:jc w:val="center"/>
              <w:rPr>
                <w:rFonts w:hint="default" w:eastAsia="宋体"/>
                <w:b w:val="0"/>
                <w:bCs/>
                <w:color w:val="000000" w:themeColor="text1"/>
                <w:lang w:val="en-US" w:eastAsia="zh-CN"/>
                <w14:textFill>
                  <w14:solidFill>
                    <w14:schemeClr w14:val="tx1"/>
                  </w14:solidFill>
                </w14:textFill>
              </w:rPr>
            </w:pPr>
            <w:r>
              <w:rPr>
                <w:rFonts w:hint="default" w:eastAsia="宋体"/>
                <w:b w:val="0"/>
                <w:bCs/>
                <w:color w:val="000000" w:themeColor="text1"/>
                <w:lang w:val="en-US" w:eastAsia="zh-CN"/>
                <w14:textFill>
                  <w14:solidFill>
                    <w14:schemeClr w14:val="tx1"/>
                  </w14:solidFill>
                </w14:textFill>
              </w:rPr>
              <w:t xml:space="preserve">2405291976652300000076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c>
          <w:tcPr>
            <w:tcW w:w="1714"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总投资（万元）</w:t>
            </w:r>
          </w:p>
        </w:tc>
        <w:tc>
          <w:tcPr>
            <w:tcW w:w="2125" w:type="dxa"/>
            <w:tcBorders>
              <w:tl2br w:val="nil"/>
              <w:tr2bl w:val="nil"/>
            </w:tcBorders>
            <w:shd w:val="clear" w:color="auto" w:fill="auto"/>
            <w:vAlign w:val="center"/>
          </w:tcPr>
          <w:p>
            <w:pPr>
              <w:jc w:val="center"/>
              <w:rPr>
                <w:rFonts w:hint="default" w:eastAsia="宋体"/>
                <w:b w:val="0"/>
                <w:bCs/>
                <w:color w:val="000000" w:themeColor="text1"/>
                <w:highlight w:val="none"/>
                <w:lang w:val="en-US" w:eastAsia="zh-CN"/>
                <w14:textFill>
                  <w14:solidFill>
                    <w14:schemeClr w14:val="tx1"/>
                  </w14:solidFill>
                </w14:textFill>
              </w:rPr>
            </w:pPr>
            <w:r>
              <w:rPr>
                <w:rFonts w:hint="eastAsia"/>
                <w:b w:val="0"/>
                <w:bCs/>
                <w:color w:val="000000" w:themeColor="text1"/>
                <w:highlight w:val="none"/>
                <w:lang w:val="en-US" w:eastAsia="zh-CN"/>
                <w14:textFill>
                  <w14:solidFill>
                    <w14:schemeClr w14:val="tx1"/>
                  </w14:solidFill>
                </w14:textFill>
              </w:rPr>
              <w:t>104884</w:t>
            </w:r>
          </w:p>
        </w:tc>
        <w:tc>
          <w:tcPr>
            <w:tcW w:w="1773"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环保投资</w:t>
            </w:r>
          </w:p>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（万元）</w:t>
            </w:r>
          </w:p>
        </w:tc>
        <w:tc>
          <w:tcPr>
            <w:tcW w:w="2910" w:type="dxa"/>
            <w:tcBorders>
              <w:tl2br w:val="nil"/>
              <w:tr2bl w:val="nil"/>
            </w:tcBorders>
            <w:shd w:val="clear" w:color="auto" w:fill="auto"/>
            <w:vAlign w:val="center"/>
          </w:tcPr>
          <w:p>
            <w:pPr>
              <w:jc w:val="center"/>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437.4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67" w:hRule="atLeast"/>
        </w:trPr>
        <w:tc>
          <w:tcPr>
            <w:tcW w:w="1714"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环保投资占比（%）</w:t>
            </w:r>
          </w:p>
        </w:tc>
        <w:tc>
          <w:tcPr>
            <w:tcW w:w="2125" w:type="dxa"/>
            <w:tcBorders>
              <w:tl2br w:val="nil"/>
              <w:tr2bl w:val="nil"/>
            </w:tcBorders>
            <w:shd w:val="clear" w:color="auto" w:fill="auto"/>
            <w:vAlign w:val="center"/>
          </w:tcPr>
          <w:p>
            <w:pPr>
              <w:jc w:val="center"/>
              <w:rPr>
                <w:rFonts w:hint="default"/>
                <w:b w:val="0"/>
                <w:bCs/>
                <w:color w:val="000000" w:themeColor="text1"/>
                <w:highlight w:val="none"/>
                <w:lang w:val="en-US"/>
                <w14:textFill>
                  <w14:solidFill>
                    <w14:schemeClr w14:val="tx1"/>
                  </w14:solidFill>
                </w14:textFill>
              </w:rPr>
            </w:pPr>
            <w:r>
              <w:rPr>
                <w:rFonts w:hint="eastAsia"/>
                <w:b w:val="0"/>
                <w:bCs/>
                <w:color w:val="000000" w:themeColor="text1"/>
                <w:highlight w:val="none"/>
                <w:lang w:val="en-US" w:eastAsia="zh-CN"/>
                <w14:textFill>
                  <w14:solidFill>
                    <w14:schemeClr w14:val="tx1"/>
                  </w14:solidFill>
                </w14:textFill>
              </w:rPr>
              <w:t>0.42</w:t>
            </w:r>
          </w:p>
        </w:tc>
        <w:tc>
          <w:tcPr>
            <w:tcW w:w="1773"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施工工期</w:t>
            </w:r>
          </w:p>
        </w:tc>
        <w:tc>
          <w:tcPr>
            <w:tcW w:w="2910" w:type="dxa"/>
            <w:tcBorders>
              <w:tl2br w:val="nil"/>
              <w:tr2bl w:val="nil"/>
            </w:tcBorders>
            <w:shd w:val="clear" w:color="auto" w:fill="auto"/>
            <w:vAlign w:val="center"/>
          </w:tcPr>
          <w:p>
            <w:pPr>
              <w:jc w:val="center"/>
              <w:rPr>
                <w:rFonts w:hint="default"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12个月</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859" w:hRule="atLeast"/>
        </w:trPr>
        <w:tc>
          <w:tcPr>
            <w:tcW w:w="1714"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是否开工建设</w:t>
            </w:r>
          </w:p>
        </w:tc>
        <w:tc>
          <w:tcPr>
            <w:tcW w:w="2125" w:type="dxa"/>
            <w:tcBorders>
              <w:tl2br w:val="nil"/>
              <w:tr2bl w:val="nil"/>
            </w:tcBorders>
            <w:shd w:val="clear" w:color="auto" w:fill="auto"/>
            <w:vAlign w:val="center"/>
          </w:tcPr>
          <w:p>
            <w:pPr>
              <w:jc w:val="both"/>
              <w:rPr>
                <w:b w:val="0"/>
                <w:bCs/>
                <w:color w:val="000000" w:themeColor="text1"/>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否</w:t>
            </w:r>
          </w:p>
          <w:p>
            <w:pPr>
              <w:jc w:val="both"/>
              <w:rPr>
                <w:rFonts w:hint="default" w:eastAsia="宋体"/>
                <w:b w:val="0"/>
                <w:bCs/>
                <w:color w:val="000000" w:themeColor="text1"/>
                <w:lang w:val="en-US" w:eastAsia="zh-CN"/>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w:t>
            </w:r>
            <w:r>
              <w:rPr>
                <w:b w:val="0"/>
                <w:bCs/>
                <w:color w:val="000000" w:themeColor="text1"/>
                <w14:textFill>
                  <w14:solidFill>
                    <w14:schemeClr w14:val="tx1"/>
                  </w14:solidFill>
                </w14:textFill>
              </w:rPr>
              <w:t>是</w:t>
            </w:r>
          </w:p>
        </w:tc>
        <w:tc>
          <w:tcPr>
            <w:tcW w:w="1773" w:type="dxa"/>
            <w:tcBorders>
              <w:tl2br w:val="nil"/>
              <w:tr2bl w:val="nil"/>
            </w:tcBorders>
            <w:shd w:val="clear" w:color="auto" w:fill="auto"/>
            <w:vAlign w:val="center"/>
          </w:tcPr>
          <w:p>
            <w:pPr>
              <w:jc w:val="both"/>
              <w:rPr>
                <w:rFonts w:hint="eastAsia" w:cs="Times New Roman"/>
                <w:b w:val="0"/>
                <w:bCs/>
                <w:color w:val="000000" w:themeColor="text1"/>
                <w:kern w:val="0"/>
                <w:sz w:val="24"/>
                <w:lang w:eastAsia="zh-CN"/>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用地（用海）</w:t>
            </w:r>
          </w:p>
          <w:p>
            <w:pPr>
              <w:jc w:val="both"/>
              <w:rPr>
                <w:rFonts w:hint="eastAsia" w:cs="Times New Roman"/>
                <w:b w:val="0"/>
                <w:bCs/>
                <w:color w:val="000000" w:themeColor="text1"/>
                <w:kern w:val="0"/>
                <w:sz w:val="24"/>
                <w:lang w:eastAsia="zh-CN"/>
                <w14:textFill>
                  <w14:solidFill>
                    <w14:schemeClr w14:val="tx1"/>
                  </w14:solidFill>
                </w14:textFill>
              </w:rPr>
            </w:pPr>
            <w:r>
              <w:rPr>
                <w:rFonts w:hint="eastAsia" w:cs="Times New Roman"/>
                <w:b w:val="0"/>
                <w:bCs/>
                <w:color w:val="000000" w:themeColor="text1"/>
                <w:kern w:val="0"/>
                <w:sz w:val="24"/>
                <w:lang w:eastAsia="zh-CN"/>
                <w14:textFill>
                  <w14:solidFill>
                    <w14:schemeClr w14:val="tx1"/>
                  </w14:solidFill>
                </w14:textFill>
              </w:rPr>
              <w:t>面积（m</w:t>
            </w:r>
            <w:r>
              <w:rPr>
                <w:rFonts w:hint="eastAsia" w:cs="Times New Roman"/>
                <w:b w:val="0"/>
                <w:bCs/>
                <w:color w:val="000000" w:themeColor="text1"/>
                <w:kern w:val="0"/>
                <w:sz w:val="24"/>
                <w:vertAlign w:val="superscript"/>
                <w:lang w:eastAsia="zh-CN"/>
                <w14:textFill>
                  <w14:solidFill>
                    <w14:schemeClr w14:val="tx1"/>
                  </w14:solidFill>
                </w14:textFill>
              </w:rPr>
              <w:t>2</w:t>
            </w:r>
            <w:r>
              <w:rPr>
                <w:rFonts w:hint="eastAsia" w:cs="Times New Roman"/>
                <w:b w:val="0"/>
                <w:bCs/>
                <w:color w:val="000000" w:themeColor="text1"/>
                <w:kern w:val="0"/>
                <w:sz w:val="24"/>
                <w:lang w:eastAsia="zh-CN"/>
                <w14:textFill>
                  <w14:solidFill>
                    <w14:schemeClr w14:val="tx1"/>
                  </w14:solidFill>
                </w14:textFill>
              </w:rPr>
              <w:t>）</w:t>
            </w:r>
          </w:p>
        </w:tc>
        <w:tc>
          <w:tcPr>
            <w:tcW w:w="2910" w:type="dxa"/>
            <w:tcBorders>
              <w:tl2br w:val="nil"/>
              <w:tr2bl w:val="nil"/>
            </w:tcBorders>
            <w:shd w:val="clear" w:color="auto" w:fill="auto"/>
            <w:vAlign w:val="center"/>
          </w:tcPr>
          <w:p>
            <w:pPr>
              <w:jc w:val="center"/>
              <w:rPr>
                <w:rFonts w:hint="default" w:cs="Times New Roman"/>
                <w:b w:val="0"/>
                <w:bCs/>
                <w:color w:val="000000" w:themeColor="text1"/>
                <w:kern w:val="0"/>
                <w:sz w:val="24"/>
                <w:lang w:val="en-US" w:eastAsia="zh-CN"/>
                <w14:textFill>
                  <w14:solidFill>
                    <w14:schemeClr w14:val="tx1"/>
                  </w14:solidFill>
                </w14:textFill>
              </w:rPr>
            </w:pPr>
            <w:r>
              <w:rPr>
                <w:rFonts w:hint="default" w:cs="Times New Roman"/>
                <w:b w:val="0"/>
                <w:bCs/>
                <w:color w:val="000000" w:themeColor="text1"/>
                <w:kern w:val="0"/>
                <w:sz w:val="24"/>
                <w:lang w:val="en-US" w:eastAsia="zh-CN"/>
                <w14:textFill>
                  <w14:solidFill>
                    <w14:schemeClr w14:val="tx1"/>
                  </w14:solidFill>
                </w14:textFill>
              </w:rPr>
              <w:t>本项目在原有厂区内建设，不新增占地面积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57" w:hRule="atLeast"/>
        </w:trPr>
        <w:tc>
          <w:tcPr>
            <w:tcW w:w="1714"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专项评价设置情况</w:t>
            </w:r>
          </w:p>
        </w:tc>
        <w:tc>
          <w:tcPr>
            <w:tcW w:w="6808" w:type="dxa"/>
            <w:gridSpan w:val="3"/>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b w:val="0"/>
                <w:bCs/>
                <w:color w:val="000000" w:themeColor="text1"/>
                <w14:textFill>
                  <w14:solidFill>
                    <w14:schemeClr w14:val="tx1"/>
                  </w14:solidFill>
                </w14:textFill>
              </w:rPr>
              <w:t>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42" w:hRule="atLeast"/>
        </w:trPr>
        <w:tc>
          <w:tcPr>
            <w:tcW w:w="1714"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规划情况</w:t>
            </w:r>
          </w:p>
        </w:tc>
        <w:tc>
          <w:tcPr>
            <w:tcW w:w="6808" w:type="dxa"/>
            <w:gridSpan w:val="3"/>
            <w:tcBorders>
              <w:tl2br w:val="nil"/>
              <w:tr2bl w:val="nil"/>
            </w:tcBorders>
            <w:shd w:val="clear" w:color="auto" w:fill="auto"/>
            <w:vAlign w:val="center"/>
          </w:tcPr>
          <w:p>
            <w:pPr>
              <w:pStyle w:val="27"/>
              <w:numPr>
                <w:ilvl w:val="0"/>
                <w:numId w:val="0"/>
              </w:numPr>
              <w:spacing w:line="360" w:lineRule="auto"/>
              <w:jc w:val="both"/>
              <w:rPr>
                <w:rFonts w:hint="default"/>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规划名称：《昌吉市国土空间总体规划（2021—2035年）》</w:t>
            </w:r>
          </w:p>
          <w:p>
            <w:pPr>
              <w:pStyle w:val="27"/>
              <w:numPr>
                <w:ilvl w:val="0"/>
                <w:numId w:val="0"/>
              </w:numPr>
              <w:spacing w:line="360" w:lineRule="auto"/>
              <w:jc w:val="both"/>
              <w:rPr>
                <w:rFonts w:hint="default"/>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审批机关：新疆维吾尔自治区人民</w:t>
            </w:r>
            <w:r>
              <w:rPr>
                <w:rFonts w:hint="eastAsia"/>
                <w:b w:val="0"/>
                <w:bCs/>
                <w:color w:val="000000" w:themeColor="text1"/>
                <w:lang w:val="en-US" w:eastAsia="zh-CN"/>
                <w14:textFill>
                  <w14:solidFill>
                    <w14:schemeClr w14:val="tx1"/>
                  </w14:solidFill>
                </w14:textFill>
              </w:rPr>
              <w:t>政府</w:t>
            </w:r>
          </w:p>
          <w:p>
            <w:pPr>
              <w:pStyle w:val="27"/>
              <w:numPr>
                <w:ilvl w:val="0"/>
                <w:numId w:val="0"/>
              </w:numPr>
              <w:spacing w:line="360" w:lineRule="auto"/>
              <w:jc w:val="both"/>
              <w:rPr>
                <w:rFonts w:hint="default"/>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审批文件名称及文号：《关于昌吉市国土空间总体规划（2021—2035年）的批复》</w:t>
            </w:r>
            <w:r>
              <w:rPr>
                <w:rFonts w:hint="eastAsia"/>
                <w:b w:val="0"/>
                <w:bCs/>
                <w:color w:val="000000" w:themeColor="text1"/>
                <w:lang w:val="en-US" w:eastAsia="zh-CN"/>
                <w14:textFill>
                  <w14:solidFill>
                    <w14:schemeClr w14:val="tx1"/>
                  </w14:solidFill>
                </w14:textFill>
              </w:rPr>
              <w:t>（</w:t>
            </w:r>
            <w:r>
              <w:rPr>
                <w:rFonts w:hint="default"/>
                <w:b w:val="0"/>
                <w:bCs/>
                <w:color w:val="000000" w:themeColor="text1"/>
                <w:lang w:val="en-US" w:eastAsia="zh-CN"/>
                <w14:textFill>
                  <w14:solidFill>
                    <w14:schemeClr w14:val="tx1"/>
                  </w14:solidFill>
                </w14:textFill>
              </w:rPr>
              <w:t>新政函〔20</w:t>
            </w:r>
            <w:r>
              <w:rPr>
                <w:rFonts w:hint="eastAsia"/>
                <w:b w:val="0"/>
                <w:bCs/>
                <w:color w:val="000000" w:themeColor="text1"/>
                <w:lang w:val="en-US" w:eastAsia="zh-CN"/>
                <w14:textFill>
                  <w14:solidFill>
                    <w14:schemeClr w14:val="tx1"/>
                  </w14:solidFill>
                </w14:textFill>
              </w:rPr>
              <w:t>24</w:t>
            </w:r>
            <w:r>
              <w:rPr>
                <w:rFonts w:hint="default"/>
                <w:b w:val="0"/>
                <w:bCs/>
                <w:color w:val="000000" w:themeColor="text1"/>
                <w:lang w:val="en-US" w:eastAsia="zh-CN"/>
                <w14:textFill>
                  <w14:solidFill>
                    <w14:schemeClr w14:val="tx1"/>
                  </w14:solidFill>
                </w14:textFill>
              </w:rPr>
              <w:t>〕</w:t>
            </w:r>
            <w:r>
              <w:rPr>
                <w:rFonts w:hint="eastAsia"/>
                <w:b w:val="0"/>
                <w:bCs/>
                <w:color w:val="000000" w:themeColor="text1"/>
                <w:lang w:val="en-US" w:eastAsia="zh-CN"/>
                <w14:textFill>
                  <w14:solidFill>
                    <w14:schemeClr w14:val="tx1"/>
                  </w14:solidFill>
                </w14:textFill>
              </w:rPr>
              <w:t>137</w:t>
            </w:r>
            <w:r>
              <w:rPr>
                <w:rFonts w:hint="default"/>
                <w:b w:val="0"/>
                <w:bCs/>
                <w:color w:val="000000" w:themeColor="text1"/>
                <w:lang w:val="en-US" w:eastAsia="zh-CN"/>
                <w14:textFill>
                  <w14:solidFill>
                    <w14:schemeClr w14:val="tx1"/>
                  </w14:solidFill>
                </w14:textFill>
              </w:rPr>
              <w:t>号）</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38" w:hRule="atLeast"/>
        </w:trPr>
        <w:tc>
          <w:tcPr>
            <w:tcW w:w="1714" w:type="dxa"/>
            <w:tcBorders>
              <w:tl2br w:val="nil"/>
              <w:tr2bl w:val="nil"/>
            </w:tcBorders>
            <w:shd w:val="clear" w:color="auto" w:fill="auto"/>
            <w:vAlign w:val="center"/>
          </w:tcPr>
          <w:p>
            <w:pPr>
              <w:jc w:val="cente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规划环境影响</w:t>
            </w:r>
          </w:p>
          <w:p>
            <w:pPr>
              <w:jc w:val="center"/>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评价情况</w:t>
            </w:r>
          </w:p>
        </w:tc>
        <w:tc>
          <w:tcPr>
            <w:tcW w:w="6808" w:type="dxa"/>
            <w:gridSpan w:val="3"/>
            <w:tcBorders>
              <w:tl2br w:val="nil"/>
              <w:tr2bl w:val="nil"/>
            </w:tcBorders>
            <w:shd w:val="clear" w:color="auto" w:fill="auto"/>
            <w:vAlign w:val="center"/>
          </w:tcPr>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规划环评名称：《昌吉高新技术产业开发区总体规划（2014 -2030</w:t>
            </w:r>
            <w:r>
              <w:rPr>
                <w:rFonts w:hint="eastAsia"/>
                <w:b w:val="0"/>
                <w:bCs/>
                <w:color w:val="000000" w:themeColor="text1"/>
                <w:lang w:val="en-US" w:eastAsia="zh-CN"/>
                <w14:textFill>
                  <w14:solidFill>
                    <w14:schemeClr w14:val="tx1"/>
                  </w14:solidFill>
                </w14:textFill>
              </w:rPr>
              <w:t>年</w:t>
            </w:r>
            <w:r>
              <w:rPr>
                <w:rFonts w:hint="default"/>
                <w:b w:val="0"/>
                <w:bCs/>
                <w:color w:val="000000" w:themeColor="text1"/>
                <w:lang w:val="en-US" w:eastAsia="zh-CN"/>
                <w14:textFill>
                  <w14:solidFill>
                    <w14:schemeClr w14:val="tx1"/>
                  </w14:solidFill>
                </w14:textFill>
              </w:rPr>
              <w:t>）环境影响报告书</w:t>
            </w:r>
            <w:r>
              <w:rPr>
                <w:rFonts w:hint="eastAsia"/>
                <w:b w:val="0"/>
                <w:bCs/>
                <w:color w:val="000000" w:themeColor="text1"/>
                <w:lang w:val="en-US" w:eastAsia="zh-CN"/>
                <w14:textFill>
                  <w14:solidFill>
                    <w14:schemeClr w14:val="tx1"/>
                  </w14:solidFill>
                </w14:textFill>
              </w:rPr>
              <w:t>》</w:t>
            </w: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 xml:space="preserve">召集审查机关：原新疆维吾尔自治区环境保护厅 </w:t>
            </w: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b w:val="0"/>
                <w:bCs/>
                <w:color w:val="000000" w:themeColor="text1"/>
                <w:lang w:val="en-US" w:eastAsia="zh-CN"/>
                <w14:textFill>
                  <w14:solidFill>
                    <w14:schemeClr w14:val="tx1"/>
                  </w14:solidFill>
                </w14:textFill>
              </w:rPr>
            </w:pPr>
            <w:r>
              <w:rPr>
                <w:rFonts w:hint="default"/>
                <w:b w:val="0"/>
                <w:bCs/>
                <w:color w:val="000000" w:themeColor="text1"/>
                <w:lang w:val="en-US" w:eastAsia="zh-CN"/>
                <w14:textFill>
                  <w14:solidFill>
                    <w14:schemeClr w14:val="tx1"/>
                  </w14:solidFill>
                </w14:textFill>
              </w:rPr>
              <w:t>审查文件名称及文号：《关于昌吉高新技术产业开发区总体规划（2014 -2030）环境影响报告书的审查意见》</w:t>
            </w:r>
            <w:r>
              <w:rPr>
                <w:rFonts w:hint="eastAsia"/>
                <w:b w:val="0"/>
                <w:bCs/>
                <w:color w:val="000000" w:themeColor="text1"/>
                <w:lang w:val="en-US" w:eastAsia="zh-CN"/>
                <w14:textFill>
                  <w14:solidFill>
                    <w14:schemeClr w14:val="tx1"/>
                  </w14:solidFill>
                </w14:textFill>
              </w:rPr>
              <w:t>（</w:t>
            </w:r>
            <w:r>
              <w:rPr>
                <w:rFonts w:hint="default"/>
                <w:b w:val="0"/>
                <w:bCs/>
                <w:color w:val="000000" w:themeColor="text1"/>
                <w:lang w:val="en-US" w:eastAsia="zh-CN"/>
                <w14:textFill>
                  <w14:solidFill>
                    <w14:schemeClr w14:val="tx1"/>
                  </w14:solidFill>
                </w14:textFill>
              </w:rPr>
              <w:t>新环函〔20</w:t>
            </w:r>
            <w:r>
              <w:rPr>
                <w:rFonts w:hint="eastAsia"/>
                <w:b w:val="0"/>
                <w:bCs/>
                <w:color w:val="000000" w:themeColor="text1"/>
                <w:lang w:val="en-US" w:eastAsia="zh-CN"/>
                <w14:textFill>
                  <w14:solidFill>
                    <w14:schemeClr w14:val="tx1"/>
                  </w14:solidFill>
                </w14:textFill>
              </w:rPr>
              <w:t>15</w:t>
            </w:r>
            <w:r>
              <w:rPr>
                <w:rFonts w:hint="default"/>
                <w:b w:val="0"/>
                <w:bCs/>
                <w:color w:val="000000" w:themeColor="text1"/>
                <w:lang w:val="en-US" w:eastAsia="zh-CN"/>
                <w14:textFill>
                  <w14:solidFill>
                    <w14:schemeClr w14:val="tx1"/>
                  </w14:solidFill>
                </w14:textFill>
              </w:rPr>
              <w:t>〕3</w:t>
            </w:r>
            <w:r>
              <w:rPr>
                <w:rFonts w:hint="eastAsia"/>
                <w:b w:val="0"/>
                <w:bCs/>
                <w:color w:val="000000" w:themeColor="text1"/>
                <w:lang w:val="en-US" w:eastAsia="zh-CN"/>
                <w14:textFill>
                  <w14:solidFill>
                    <w14:schemeClr w14:val="tx1"/>
                  </w14:solidFill>
                </w14:textFill>
              </w:rPr>
              <w:t>06</w:t>
            </w:r>
            <w:r>
              <w:rPr>
                <w:rFonts w:hint="default"/>
                <w:b w:val="0"/>
                <w:bCs/>
                <w:color w:val="000000" w:themeColor="text1"/>
                <w:lang w:val="en-US" w:eastAsia="zh-CN"/>
                <w14:textFill>
                  <w14:solidFill>
                    <w14:schemeClr w14:val="tx1"/>
                  </w14:solidFill>
                </w14:textFill>
              </w:rPr>
              <w:t>号</w:t>
            </w:r>
            <w:r>
              <w:rPr>
                <w:rFonts w:hint="eastAsia"/>
                <w:b w:val="0"/>
                <w:bCs/>
                <w:color w:val="000000" w:themeColor="text1"/>
                <w:lang w:val="en-US" w:eastAsia="zh-CN"/>
                <w14:textFill>
                  <w14:solidFill>
                    <w14:schemeClr w14:val="tx1"/>
                  </w14:solidFill>
                </w14:textFill>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38" w:hRule="atLeast"/>
        </w:trPr>
        <w:tc>
          <w:tcPr>
            <w:tcW w:w="1714" w:type="dxa"/>
            <w:tcBorders>
              <w:tl2br w:val="nil"/>
              <w:tr2bl w:val="nil"/>
            </w:tcBorders>
            <w:shd w:val="clear" w:color="auto" w:fill="auto"/>
            <w:vAlign w:val="center"/>
          </w:tcPr>
          <w:p>
            <w:pPr>
              <w:jc w:val="center"/>
              <w:rPr>
                <w:rFonts w:hint="eastAsia"/>
                <w:b w:val="0"/>
                <w:bCs/>
                <w:color w:val="000000" w:themeColor="text1"/>
                <w14:textFill>
                  <w14:solidFill>
                    <w14:schemeClr w14:val="tx1"/>
                  </w14:solidFill>
                </w14:textFill>
              </w:rPr>
            </w:pPr>
            <w:r>
              <w:rPr>
                <w:rFonts w:hint="eastAsia" w:ascii="宋体" w:hAnsi="宋体" w:cs="宋体"/>
                <w:b w:val="0"/>
                <w:bCs/>
                <w:snapToGrid w:val="0"/>
                <w:color w:val="000000" w:themeColor="text1"/>
                <w:kern w:val="0"/>
                <w:szCs w:val="21"/>
                <w14:textFill>
                  <w14:solidFill>
                    <w14:schemeClr w14:val="tx1"/>
                  </w14:solidFill>
                </w14:textFill>
              </w:rPr>
              <w:t>规划及规划环境影响评价符合性分析</w:t>
            </w:r>
          </w:p>
        </w:tc>
        <w:tc>
          <w:tcPr>
            <w:tcW w:w="6808" w:type="dxa"/>
            <w:gridSpan w:val="3"/>
            <w:tcBorders>
              <w:tl2br w:val="nil"/>
              <w:tr2bl w:val="nil"/>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cs="Times New Roman"/>
                <w:b/>
                <w:snapToGrid w:val="0"/>
                <w:color w:val="000000" w:themeColor="text1"/>
                <w:kern w:val="0"/>
                <w:sz w:val="24"/>
                <w:szCs w:val="24"/>
                <w:lang w:val="en-US" w:eastAsia="zh-CN" w:bidi="ar-SA"/>
                <w14:textFill>
                  <w14:solidFill>
                    <w14:schemeClr w14:val="tx1"/>
                  </w14:solidFill>
                </w14:textFill>
              </w:rPr>
            </w:pPr>
            <w:r>
              <w:rPr>
                <w:rFonts w:hint="eastAsia" w:cs="Times New Roman"/>
                <w:b/>
                <w:snapToGrid w:val="0"/>
                <w:color w:val="000000" w:themeColor="text1"/>
                <w:kern w:val="0"/>
                <w:sz w:val="24"/>
                <w:szCs w:val="24"/>
                <w:lang w:val="en-US" w:eastAsia="zh-CN" w:bidi="ar-SA"/>
                <w14:textFill>
                  <w14:solidFill>
                    <w14:schemeClr w14:val="tx1"/>
                  </w14:solidFill>
                </w14:textFill>
              </w:rPr>
              <w:t>1 与《昌吉市国土空间总体规划（2021—2035年）》的符合性分析</w:t>
            </w:r>
          </w:p>
          <w:p>
            <w:pPr>
              <w:pStyle w:val="27"/>
              <w:numPr>
                <w:ilvl w:val="0"/>
                <w:numId w:val="0"/>
              </w:numPr>
              <w:spacing w:line="360" w:lineRule="auto"/>
              <w:ind w:firstLine="480" w:firstLineChars="20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昌吉市国土空间总体规划（2021—2035年）》昌吉市行政辖区范围，辖8镇2乡、昌吉国家农业科技园区（以下简称“农业园区”）、昌吉国家高新技术产业开发区（以下简称“高新区”）辖区内有新疆生产建设兵团第六师103团、第六师105团、第六师共青团农场、第六师军户农场、第十二师104团。市域国土调查面积7974 .4平方公里，其中昌吉市管辖土地7163 .2平方公里，新疆生产建设兵团使用土地811 .2平方公里。尊重“高山－绿洲－荒漠”垂直分布特征下的自然地理格局，优化生态、生产、生活空间，促进生态稳定、农业高效、城镇有序，推动绿洲城市高质量发展，构建全市“两带三片，一轴一城两园”的国土空间开发保护总体格局。“两带”指北部沙漠生态防护带与南部山前生态保护带；“三片”指南部天山生态屏障片区、北部荒漠生态屏障片区、绿洲农牧特色发展片区；“一轴”指乌昌综合服务轴；“一城两园”指昌吉市中心城区、昌吉国家农业科技园区与昌吉国家高新技术产业园。昌吉国家高新技术产业园重点发展装备制造、生物科技、新材料三大主导产业；培育信息技术、节能环保、医疗装备、新能源等战略新兴产业；做优职教、物流、通航、科创、金融等现代服务功能。</w:t>
            </w:r>
          </w:p>
          <w:p>
            <w:pPr>
              <w:pStyle w:val="27"/>
              <w:numPr>
                <w:ilvl w:val="0"/>
                <w:numId w:val="0"/>
              </w:numPr>
              <w:spacing w:line="360" w:lineRule="auto"/>
              <w:ind w:firstLine="480" w:firstLineChars="20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本项目位于昌吉高新技术产业开发区，项目所在位置土地性质为工业用地，与园区产业规划相符合并且建设用地符合相关规定要求，详见</w:t>
            </w:r>
            <w:r>
              <w:rPr>
                <w:rFonts w:hint="eastAsia"/>
                <w:b/>
                <w:bCs/>
                <w:color w:val="000000" w:themeColor="text1"/>
                <w:lang w:val="en-US" w:eastAsia="zh-CN"/>
                <w14:textFill>
                  <w14:solidFill>
                    <w14:schemeClr w14:val="tx1"/>
                  </w14:solidFill>
                </w14:textFill>
              </w:rPr>
              <w:t>附图1、附图2</w:t>
            </w:r>
            <w:r>
              <w:rPr>
                <w:rFonts w:hint="eastAsia"/>
                <w:color w:val="000000" w:themeColor="text1"/>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default" w:ascii="Times New Roman" w:hAnsi="Times New Roman" w:eastAsia="宋体" w:cs="Times New Roman"/>
                <w:b/>
                <w:snapToGrid w:val="0"/>
                <w:color w:val="000000" w:themeColor="text1"/>
                <w:kern w:val="0"/>
                <w:sz w:val="24"/>
                <w:highlight w:val="none"/>
                <w14:textFill>
                  <w14:solidFill>
                    <w14:schemeClr w14:val="tx1"/>
                  </w14:solidFill>
                </w14:textFill>
              </w:rPr>
            </w:pPr>
            <w:r>
              <w:rPr>
                <w:rFonts w:hint="eastAsia" w:cs="Times New Roman"/>
                <w:b/>
                <w:snapToGrid w:val="0"/>
                <w:color w:val="000000" w:themeColor="text1"/>
                <w:kern w:val="0"/>
                <w:sz w:val="24"/>
                <w:szCs w:val="24"/>
                <w:lang w:val="en-US" w:eastAsia="zh-CN" w:bidi="ar-SA"/>
                <w14:textFill>
                  <w14:solidFill>
                    <w14:schemeClr w14:val="tx1"/>
                  </w14:solidFill>
                </w14:textFill>
              </w:rPr>
              <w:t>2</w:t>
            </w:r>
            <w:r>
              <w:rPr>
                <w:rFonts w:hint="eastAsia" w:ascii="Times New Roman" w:hAnsi="Times New Roman" w:eastAsia="宋体" w:cs="Times New Roman"/>
                <w:b/>
                <w:snapToGrid w:val="0"/>
                <w:color w:val="000000" w:themeColor="text1"/>
                <w:kern w:val="0"/>
                <w:sz w:val="24"/>
                <w:szCs w:val="24"/>
                <w:lang w:val="en-US" w:eastAsia="zh-CN" w:bidi="ar-SA"/>
                <w14:textFill>
                  <w14:solidFill>
                    <w14:schemeClr w14:val="tx1"/>
                  </w14:solidFill>
                </w14:textFill>
              </w:rPr>
              <w:t xml:space="preserve"> 与《昌吉高新技术产业开发区总体规划（2014 -2030</w:t>
            </w:r>
            <w:r>
              <w:rPr>
                <w:rFonts w:hint="eastAsia" w:cs="Times New Roman"/>
                <w:b/>
                <w:snapToGrid w:val="0"/>
                <w:color w:val="000000" w:themeColor="text1"/>
                <w:kern w:val="0"/>
                <w:sz w:val="24"/>
                <w:szCs w:val="24"/>
                <w:lang w:val="en-US" w:eastAsia="zh-CN" w:bidi="ar-SA"/>
                <w14:textFill>
                  <w14:solidFill>
                    <w14:schemeClr w14:val="tx1"/>
                  </w14:solidFill>
                </w14:textFill>
              </w:rPr>
              <w:t>年</w:t>
            </w:r>
            <w:r>
              <w:rPr>
                <w:rFonts w:hint="eastAsia" w:ascii="Times New Roman" w:hAnsi="Times New Roman" w:eastAsia="宋体" w:cs="Times New Roman"/>
                <w:b/>
                <w:snapToGrid w:val="0"/>
                <w:color w:val="000000" w:themeColor="text1"/>
                <w:kern w:val="0"/>
                <w:sz w:val="24"/>
                <w:szCs w:val="24"/>
                <w:lang w:val="en-US" w:eastAsia="zh-CN" w:bidi="ar-SA"/>
                <w14:textFill>
                  <w14:solidFill>
                    <w14:schemeClr w14:val="tx1"/>
                  </w14:solidFill>
                </w14:textFill>
              </w:rPr>
              <w:t>）环境影响报告书》及审查意见的符合性分析</w:t>
            </w:r>
          </w:p>
          <w:p>
            <w:pPr>
              <w:pStyle w:val="44"/>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表</w:t>
            </w:r>
            <w:r>
              <w:rPr>
                <w:rFonts w:hint="eastAsia"/>
                <w:color w:val="000000" w:themeColor="text1"/>
                <w:sz w:val="21"/>
                <w:szCs w:val="21"/>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1</w:t>
            </w:r>
            <w:r>
              <w:rPr>
                <w:color w:val="000000" w:themeColor="text1"/>
                <w:sz w:val="21"/>
                <w:szCs w:val="21"/>
                <w14:textFill>
                  <w14:solidFill>
                    <w14:schemeClr w14:val="tx1"/>
                  </w14:solidFill>
                </w14:textFill>
              </w:rPr>
              <w:t xml:space="preserve">   与</w:t>
            </w:r>
            <w:r>
              <w:rPr>
                <w:rFonts w:hint="eastAsia"/>
                <w:color w:val="000000" w:themeColor="text1"/>
                <w:sz w:val="21"/>
                <w:szCs w:val="21"/>
                <w:lang w:val="en-US" w:eastAsia="zh-CN"/>
                <w14:textFill>
                  <w14:solidFill>
                    <w14:schemeClr w14:val="tx1"/>
                  </w14:solidFill>
                </w14:textFill>
              </w:rPr>
              <w:t>《昌吉高新技术产业开发区总体规划（2014 -2030年）环境影响报告书》及审查意见</w:t>
            </w:r>
            <w:r>
              <w:rPr>
                <w:color w:val="000000" w:themeColor="text1"/>
                <w:sz w:val="21"/>
                <w:szCs w:val="21"/>
                <w14:textFill>
                  <w14:solidFill>
                    <w14:schemeClr w14:val="tx1"/>
                  </w14:solidFill>
                </w14:textFill>
              </w:rPr>
              <w:t>符合性分析一览表</w:t>
            </w:r>
          </w:p>
          <w:tbl>
            <w:tblPr>
              <w:tblStyle w:val="32"/>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3128"/>
              <w:gridCol w:w="1971"/>
              <w:gridCol w:w="77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4" w:type="pct"/>
                  <w:tcBorders>
                    <w:bottom w:val="single" w:color="auto" w:sz="12" w:space="0"/>
                  </w:tcBorders>
                  <w:vAlign w:val="center"/>
                </w:tcPr>
                <w:p>
                  <w:pPr>
                    <w:pStyle w:val="45"/>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序号</w:t>
                  </w:r>
                </w:p>
              </w:tc>
              <w:tc>
                <w:tcPr>
                  <w:tcW w:w="2374" w:type="pct"/>
                  <w:tcBorders>
                    <w:bottom w:val="single" w:color="auto" w:sz="12" w:space="0"/>
                  </w:tcBorders>
                  <w:vAlign w:val="center"/>
                </w:tcPr>
                <w:p>
                  <w:pPr>
                    <w:pStyle w:val="45"/>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内容、要求</w:t>
                  </w:r>
                </w:p>
              </w:tc>
              <w:tc>
                <w:tcPr>
                  <w:tcW w:w="1496" w:type="pct"/>
                  <w:tcBorders>
                    <w:bottom w:val="single" w:color="auto" w:sz="12" w:space="0"/>
                  </w:tcBorders>
                  <w:vAlign w:val="center"/>
                </w:tcPr>
                <w:p>
                  <w:pPr>
                    <w:pStyle w:val="45"/>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本项目工程概况</w:t>
                  </w:r>
                </w:p>
              </w:tc>
              <w:tc>
                <w:tcPr>
                  <w:tcW w:w="585" w:type="pct"/>
                  <w:tcBorders>
                    <w:bottom w:val="single" w:color="auto" w:sz="12" w:space="0"/>
                  </w:tcBorders>
                  <w:vAlign w:val="center"/>
                </w:tcPr>
                <w:p>
                  <w:pPr>
                    <w:pStyle w:val="45"/>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4"/>
                  <w:tcBorders>
                    <w:bottom w:val="single" w:color="auto" w:sz="12" w:space="0"/>
                  </w:tcBorders>
                  <w:vAlign w:val="center"/>
                </w:tcPr>
                <w:p>
                  <w:pPr>
                    <w:pStyle w:val="45"/>
                    <w:rPr>
                      <w:b/>
                      <w:bCs/>
                      <w:color w:val="000000" w:themeColor="text1"/>
                      <w:sz w:val="21"/>
                      <w:szCs w:val="21"/>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《昌吉高新技术产业开发区总体规划（</w:t>
                  </w:r>
                  <w:r>
                    <w:rPr>
                      <w:rFonts w:hint="default"/>
                      <w:b/>
                      <w:bCs/>
                      <w:color w:val="000000" w:themeColor="text1"/>
                      <w:sz w:val="21"/>
                      <w:szCs w:val="21"/>
                      <w:lang w:val="en-US" w:eastAsia="zh-CN"/>
                      <w14:textFill>
                        <w14:solidFill>
                          <w14:schemeClr w14:val="tx1"/>
                        </w14:solidFill>
                      </w14:textFill>
                    </w:rPr>
                    <w:t>2014—2030</w:t>
                  </w:r>
                  <w:r>
                    <w:rPr>
                      <w:rFonts w:hint="eastAsia"/>
                      <w:b/>
                      <w:bCs/>
                      <w:color w:val="000000" w:themeColor="text1"/>
                      <w:sz w:val="21"/>
                      <w:szCs w:val="21"/>
                      <w:lang w:val="en-US" w:eastAsia="zh-CN"/>
                      <w14:textFill>
                        <w14:solidFill>
                          <w14:schemeClr w14:val="tx1"/>
                        </w14:solidFill>
                      </w14:textFill>
                    </w:rPr>
                    <w:t>年）环境影响报告书》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pct"/>
                  <w:tcBorders>
                    <w:top w:val="single" w:color="auto" w:sz="12" w:space="0"/>
                  </w:tcBorders>
                  <w:vAlign w:val="center"/>
                </w:tcPr>
                <w:p>
                  <w:pPr>
                    <w:pStyle w:val="45"/>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p>
              </w:tc>
              <w:tc>
                <w:tcPr>
                  <w:tcW w:w="2374" w:type="pct"/>
                  <w:tcBorders>
                    <w:top w:val="single" w:color="auto" w:sz="12" w:space="0"/>
                  </w:tcBorders>
                  <w:vAlign w:val="center"/>
                </w:tcPr>
                <w:p>
                  <w:pPr>
                    <w:pStyle w:val="45"/>
                    <w:jc w:val="both"/>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大气环境影响：工业园区主要入驻企业污染物排放对评价区的SO</w:t>
                  </w:r>
                  <w:r>
                    <w:rPr>
                      <w:rFonts w:hint="eastAsia" w:eastAsia="宋体"/>
                      <w:color w:val="000000" w:themeColor="text1"/>
                      <w:sz w:val="21"/>
                      <w:szCs w:val="21"/>
                      <w:vertAlign w:val="subscript"/>
                      <w:lang w:val="en-US" w:eastAsia="zh-CN"/>
                      <w14:textFill>
                        <w14:solidFill>
                          <w14:schemeClr w14:val="tx1"/>
                        </w14:solidFill>
                      </w14:textFill>
                    </w:rPr>
                    <w:t>2</w:t>
                  </w:r>
                  <w:r>
                    <w:rPr>
                      <w:rFonts w:hint="eastAsia" w:eastAsia="宋体"/>
                      <w:color w:val="000000" w:themeColor="text1"/>
                      <w:sz w:val="21"/>
                      <w:szCs w:val="21"/>
                      <w:lang w:val="en-US" w:eastAsia="zh-CN"/>
                      <w14:textFill>
                        <w14:solidFill>
                          <w14:schemeClr w14:val="tx1"/>
                        </w14:solidFill>
                      </w14:textFill>
                    </w:rPr>
                    <w:t>、 NOx、TSP浓度最大贡献值较低，主要污染物对评价区各敏感点环境空气质量产生影响较小。园区规划期环境影响是可以接受的。</w:t>
                  </w:r>
                </w:p>
              </w:tc>
              <w:tc>
                <w:tcPr>
                  <w:tcW w:w="1496" w:type="pct"/>
                  <w:tcBorders>
                    <w:top w:val="single" w:color="auto" w:sz="12" w:space="0"/>
                  </w:tcBorders>
                  <w:vAlign w:val="center"/>
                </w:tcPr>
                <w:p>
                  <w:pPr>
                    <w:pStyle w:val="45"/>
                    <w:jc w:val="both"/>
                    <w:rPr>
                      <w:rFonts w:hint="default"/>
                      <w:b w:val="0"/>
                      <w:bCs w:val="0"/>
                      <w:color w:val="000000" w:themeColor="text1"/>
                      <w:sz w:val="21"/>
                      <w:szCs w:val="21"/>
                      <w:lang w:val="en-US" w:eastAsia="zh-CN"/>
                      <w14:textFill>
                        <w14:solidFill>
                          <w14:schemeClr w14:val="tx1"/>
                        </w14:solidFill>
                      </w14:textFill>
                    </w:rPr>
                  </w:pPr>
                  <w:r>
                    <w:rPr>
                      <w:rFonts w:hint="default"/>
                      <w:b w:val="0"/>
                      <w:bCs w:val="0"/>
                      <w:color w:val="000000" w:themeColor="text1"/>
                      <w:sz w:val="21"/>
                      <w:szCs w:val="21"/>
                      <w:lang w:val="en-US" w:eastAsia="zh-CN"/>
                      <w14:textFill>
                        <w14:solidFill>
                          <w14:schemeClr w14:val="tx1"/>
                        </w14:solidFill>
                      </w14:textFill>
                    </w:rPr>
                    <w:t>本项目生产过程中熔铝炉、保温炉产生的废气经低氮燃烧器+烟气再循环+布袋除尘器处理后经</w:t>
                  </w:r>
                  <w:r>
                    <w:rPr>
                      <w:rFonts w:hint="eastAsia"/>
                      <w:b w:val="0"/>
                      <w:bCs w:val="0"/>
                      <w:color w:val="000000" w:themeColor="text1"/>
                      <w:sz w:val="21"/>
                      <w:szCs w:val="21"/>
                      <w:lang w:val="en-US" w:eastAsia="zh-CN"/>
                      <w14:textFill>
                        <w14:solidFill>
                          <w14:schemeClr w14:val="tx1"/>
                        </w14:solidFill>
                      </w14:textFill>
                    </w:rPr>
                    <w:t>20</w:t>
                  </w:r>
                  <w:r>
                    <w:rPr>
                      <w:rFonts w:hint="default"/>
                      <w:b w:val="0"/>
                      <w:bCs w:val="0"/>
                      <w:color w:val="000000" w:themeColor="text1"/>
                      <w:sz w:val="21"/>
                      <w:szCs w:val="21"/>
                      <w:lang w:val="en-US" w:eastAsia="zh-CN"/>
                      <w14:textFill>
                        <w14:solidFill>
                          <w14:schemeClr w14:val="tx1"/>
                        </w14:solidFill>
                      </w14:textFill>
                    </w:rPr>
                    <w:t>m高排气筒排放</w:t>
                  </w:r>
                  <w:r>
                    <w:rPr>
                      <w:rFonts w:hint="eastAsia"/>
                      <w:b w:val="0"/>
                      <w:bCs w:val="0"/>
                      <w:color w:val="000000" w:themeColor="text1"/>
                      <w:sz w:val="21"/>
                      <w:szCs w:val="21"/>
                      <w:lang w:val="en-US" w:eastAsia="zh-CN"/>
                      <w14:textFill>
                        <w14:solidFill>
                          <w14:schemeClr w14:val="tx1"/>
                        </w14:solidFill>
                      </w14:textFill>
                    </w:rPr>
                    <w:t>，连铸连扎工序废气处理后通过18m高排气筒排放</w:t>
                  </w:r>
                  <w:r>
                    <w:rPr>
                      <w:rFonts w:hint="default"/>
                      <w:b w:val="0"/>
                      <w:bCs w:val="0"/>
                      <w:color w:val="000000" w:themeColor="text1"/>
                      <w:sz w:val="21"/>
                      <w:szCs w:val="21"/>
                      <w:lang w:val="en-US" w:eastAsia="zh-CN"/>
                      <w14:textFill>
                        <w14:solidFill>
                          <w14:schemeClr w14:val="tx1"/>
                        </w14:solidFill>
                      </w14:textFill>
                    </w:rPr>
                    <w:t>；挤出机上方设置集气罩，产生的非甲烷总烃经1套 “活性炭吸附+催化燃烧设备处理”处理后的废气经15m 高排气筒达标排放</w:t>
                  </w:r>
                  <w:r>
                    <w:rPr>
                      <w:rFonts w:hint="eastAsia"/>
                      <w:b w:val="0"/>
                      <w:bCs w:val="0"/>
                      <w:color w:val="000000" w:themeColor="text1"/>
                      <w:sz w:val="21"/>
                      <w:szCs w:val="21"/>
                      <w:lang w:val="en-US" w:eastAsia="zh-CN"/>
                      <w14:textFill>
                        <w14:solidFill>
                          <w14:schemeClr w14:val="tx1"/>
                        </w14:solidFill>
                      </w14:textFill>
                    </w:rPr>
                    <w:t>。</w:t>
                  </w:r>
                </w:p>
              </w:tc>
              <w:tc>
                <w:tcPr>
                  <w:tcW w:w="585" w:type="pct"/>
                  <w:tcBorders>
                    <w:top w:val="single" w:color="auto" w:sz="12" w:space="0"/>
                  </w:tcBorders>
                  <w:vAlign w:val="center"/>
                </w:tcPr>
                <w:p>
                  <w:pPr>
                    <w:jc w:val="center"/>
                    <w:rPr>
                      <w:rFonts w:hint="eastAsia" w:eastAsia="宋体"/>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pct"/>
                  <w:tcBorders>
                    <w:tl2br w:val="nil"/>
                    <w:tr2bl w:val="nil"/>
                  </w:tcBorders>
                  <w:vAlign w:val="center"/>
                </w:tcPr>
                <w:p>
                  <w:pPr>
                    <w:pStyle w:val="45"/>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w:t>
                  </w:r>
                </w:p>
              </w:tc>
              <w:tc>
                <w:tcPr>
                  <w:tcW w:w="2374" w:type="pct"/>
                  <w:tcBorders>
                    <w:tl2br w:val="nil"/>
                    <w:tr2bl w:val="nil"/>
                  </w:tcBorders>
                  <w:vAlign w:val="center"/>
                </w:tcPr>
                <w:p>
                  <w:pPr>
                    <w:pStyle w:val="45"/>
                    <w:jc w:val="both"/>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水环境影响：依据《新疆维吾尔自治区地下水资源管理条例》和《昌吉市落实井电双控控制取用地下水实施方案》（昌市政办发〔2014〕66号）“除了生活饮用水以外，禁止任何形式的新增取用地下水，确保地下水开采量只减不增”，环评建议 ：高新区近期应加快落实三屯河地表水作为主要供水水源，辅助开采区域潜水和浅层承压水作为备用水源，远期应争取加大三屯河地表水供给量和采用大流域调水，保障园区用水需求。落实区域地下水总量控制和水位控制的“双控”措施，保证区域水资源采补平衡，并强化水资源管理，按照区域水资源规划在近期园区供水水源采用地表水的基础上，对园区企业排放废水先经企业自行处理达到《污水综合排放标准》三级标准后排入园区排水管道，最后进入园区污水处理厂，出水水质达到《城镇污水处理厂污染物排放标准》（GB18918 -2002）一级B标准，符合《城市杂用水水质标准（绿化）》（GB/T 18920-2002），在园区作为防护林绿化用水使用后 ，多余废水排放至50公里外的荒漠区作为生态恢复用水，在保证污水处理厂处理达标排放情况下，对荒漠区的生态恢复将产生积极影响</w:t>
                  </w:r>
                  <w:r>
                    <w:rPr>
                      <w:rFonts w:hint="eastAsia"/>
                      <w:color w:val="000000" w:themeColor="text1"/>
                      <w:sz w:val="21"/>
                      <w:szCs w:val="21"/>
                      <w:lang w:val="en-US" w:eastAsia="zh-CN"/>
                      <w14:textFill>
                        <w14:solidFill>
                          <w14:schemeClr w14:val="tx1"/>
                        </w14:solidFill>
                      </w14:textFill>
                    </w:rPr>
                    <w:t>。</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本项目生产用水，循环使用，不外排。生活污水排入园区下水管网，最终由园区污水处理厂处理</w:t>
                  </w:r>
                  <w:r>
                    <w:rPr>
                      <w:rFonts w:hint="eastAsia" w:cs="Times New Roman"/>
                      <w:b w:val="0"/>
                      <w:bCs w:val="0"/>
                      <w:color w:val="000000" w:themeColor="text1"/>
                      <w:kern w:val="2"/>
                      <w:sz w:val="21"/>
                      <w:szCs w:val="21"/>
                      <w:lang w:val="en-US" w:eastAsia="zh-CN" w:bidi="ar-SA"/>
                      <w14:textFill>
                        <w14:solidFill>
                          <w14:schemeClr w14:val="tx1"/>
                        </w14:solidFill>
                      </w14:textFill>
                    </w:rPr>
                    <w:t>。</w:t>
                  </w:r>
                </w:p>
              </w:tc>
              <w:tc>
                <w:tcPr>
                  <w:tcW w:w="585" w:type="pct"/>
                  <w:tcBorders>
                    <w:tl2br w:val="nil"/>
                    <w:tr2bl w:val="nil"/>
                  </w:tcBorders>
                  <w:vAlign w:val="center"/>
                </w:tcPr>
                <w:p>
                  <w:pPr>
                    <w:jc w:val="center"/>
                    <w:rPr>
                      <w:rFonts w:hint="eastAsia" w:eastAsia="宋体"/>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4" w:type="pct"/>
                  <w:tcBorders>
                    <w:tl2br w:val="nil"/>
                    <w:tr2bl w:val="nil"/>
                  </w:tcBorders>
                  <w:vAlign w:val="center"/>
                </w:tcPr>
                <w:p>
                  <w:pPr>
                    <w:pStyle w:val="45"/>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w:t>
                  </w:r>
                </w:p>
              </w:tc>
              <w:tc>
                <w:tcPr>
                  <w:tcW w:w="2374" w:type="pct"/>
                  <w:tcBorders>
                    <w:tl2br w:val="nil"/>
                    <w:tr2bl w:val="nil"/>
                  </w:tcBorders>
                  <w:vAlign w:val="center"/>
                </w:tcPr>
                <w:p>
                  <w:pPr>
                    <w:pStyle w:val="45"/>
                    <w:jc w:val="both"/>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声环境影响：工业园区声环境现状符合《声环境质量标准》（GB3096 -2008）中的相应标准。随着工业园区的建设，一些隔音降噪措施采用后区域声环境质量状况亦能够满足 GB3096 -2008中的相应标准要求。同时工业园区道路两侧、边界都设置了较宽的绿化带，可有效降低噪声的影响，保障区域声环境质量满足功能区划的要求</w:t>
                  </w:r>
                  <w:r>
                    <w:rPr>
                      <w:rFonts w:hint="eastAsia" w:cs="Times New Roman"/>
                      <w:bCs/>
                      <w:color w:val="000000" w:themeColor="text1"/>
                      <w:sz w:val="21"/>
                      <w:szCs w:val="21"/>
                      <w:highlight w:val="none"/>
                      <w:lang w:val="en-US" w:eastAsia="zh-CN"/>
                      <w14:textFill>
                        <w14:solidFill>
                          <w14:schemeClr w14:val="tx1"/>
                        </w14:solidFill>
                      </w14:textFill>
                    </w:rPr>
                    <w:t>。</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本项目噪声措施采取：设备加装减震垫、在厂区入口设置“减速慢行”，“禁止鸣笛”等标识牌，加强设备维护保养，可有效降低噪声的影响 ，保障区域声环境质量满足功能区划的要求</w:t>
                  </w:r>
                  <w:r>
                    <w:rPr>
                      <w:rFonts w:hint="eastAsia" w:cs="Times New Roman"/>
                      <w:b w:val="0"/>
                      <w:bCs w:val="0"/>
                      <w:color w:val="000000" w:themeColor="text1"/>
                      <w:kern w:val="2"/>
                      <w:sz w:val="21"/>
                      <w:szCs w:val="21"/>
                      <w:lang w:val="en-US" w:eastAsia="zh-CN" w:bidi="ar-SA"/>
                      <w14:textFill>
                        <w14:solidFill>
                          <w14:schemeClr w14:val="tx1"/>
                        </w14:solidFill>
                      </w14:textFill>
                    </w:rPr>
                    <w:t>。</w:t>
                  </w:r>
                </w:p>
              </w:tc>
              <w:tc>
                <w:tcPr>
                  <w:tcW w:w="585" w:type="pct"/>
                  <w:tcBorders>
                    <w:tl2br w:val="nil"/>
                    <w:tr2bl w:val="nil"/>
                  </w:tcBorders>
                  <w:vAlign w:val="center"/>
                </w:tcPr>
                <w:p>
                  <w:pPr>
                    <w:jc w:val="center"/>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4" w:type="pct"/>
                  <w:tcBorders>
                    <w:tl2br w:val="nil"/>
                    <w:tr2bl w:val="nil"/>
                  </w:tcBorders>
                  <w:vAlign w:val="center"/>
                </w:tcPr>
                <w:p>
                  <w:pPr>
                    <w:pStyle w:val="45"/>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w:t>
                  </w:r>
                </w:p>
              </w:tc>
              <w:tc>
                <w:tcPr>
                  <w:tcW w:w="2374" w:type="pct"/>
                  <w:tcBorders>
                    <w:tl2br w:val="nil"/>
                    <w:tr2bl w:val="nil"/>
                  </w:tcBorders>
                  <w:vAlign w:val="center"/>
                </w:tcPr>
                <w:p>
                  <w:pPr>
                    <w:pStyle w:val="46"/>
                    <w:numPr>
                      <w:ilvl w:val="0"/>
                      <w:numId w:val="0"/>
                    </w:numPr>
                    <w:jc w:val="both"/>
                    <w:rPr>
                      <w:rFonts w:hint="eastAsia"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工业区固废收集、处置系统建成后，生活垃圾、工业固体废物可实现及时清运、填埋。</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本项目产生一般工业固废外售废品回收站，</w:t>
                  </w:r>
                  <w:r>
                    <w:rPr>
                      <w:rFonts w:hint="eastAsia" w:cs="Times New Roman"/>
                      <w:b w:val="0"/>
                      <w:bCs w:val="0"/>
                      <w:color w:val="000000" w:themeColor="text1"/>
                      <w:kern w:val="2"/>
                      <w:sz w:val="21"/>
                      <w:szCs w:val="21"/>
                      <w:lang w:val="en-US" w:eastAsia="zh-CN" w:bidi="ar-SA"/>
                      <w14:textFill>
                        <w14:solidFill>
                          <w14:schemeClr w14:val="tx1"/>
                        </w14:solidFill>
                      </w14:textFill>
                    </w:rPr>
                    <w:t>危险废物</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暂存于</w:t>
                  </w:r>
                  <w:r>
                    <w:rPr>
                      <w:rFonts w:hint="eastAsia" w:cs="Times New Roman"/>
                      <w:b w:val="0"/>
                      <w:bCs w:val="0"/>
                      <w:color w:val="000000" w:themeColor="text1"/>
                      <w:kern w:val="2"/>
                      <w:sz w:val="21"/>
                      <w:szCs w:val="21"/>
                      <w:lang w:val="en-US" w:eastAsia="zh-CN" w:bidi="ar-SA"/>
                      <w14:textFill>
                        <w14:solidFill>
                          <w14:schemeClr w14:val="tx1"/>
                        </w14:solidFill>
                      </w14:textFill>
                    </w:rPr>
                    <w:t>危险废物贮存间</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暂存，定期委托有相关危废处理资质的单位进行处置</w:t>
                  </w:r>
                  <w:r>
                    <w:rPr>
                      <w:rFonts w:hint="eastAsia" w:cs="Times New Roman"/>
                      <w:b w:val="0"/>
                      <w:bCs w:val="0"/>
                      <w:color w:val="000000" w:themeColor="text1"/>
                      <w:kern w:val="2"/>
                      <w:sz w:val="21"/>
                      <w:szCs w:val="21"/>
                      <w:lang w:val="en-US" w:eastAsia="zh-CN" w:bidi="ar-SA"/>
                      <w14:textFill>
                        <w14:solidFill>
                          <w14:schemeClr w14:val="tx1"/>
                        </w14:solidFill>
                      </w14:textFill>
                    </w:rPr>
                    <w:t>。</w:t>
                  </w:r>
                </w:p>
              </w:tc>
              <w:tc>
                <w:tcPr>
                  <w:tcW w:w="585" w:type="pct"/>
                  <w:tcBorders>
                    <w:tl2br w:val="nil"/>
                    <w:tr2bl w:val="nil"/>
                  </w:tcBorders>
                  <w:vAlign w:val="center"/>
                </w:tcPr>
                <w:p>
                  <w:pPr>
                    <w:pStyle w:val="45"/>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4"/>
                  <w:tcBorders>
                    <w:tl2br w:val="nil"/>
                    <w:tr2bl w:val="nil"/>
                  </w:tcBorders>
                  <w:vAlign w:val="center"/>
                </w:tcPr>
                <w:p>
                  <w:pPr>
                    <w:pStyle w:val="45"/>
                    <w:rPr>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《昌吉高新技术产业开发区总体规划（</w:t>
                  </w:r>
                  <w:r>
                    <w:rPr>
                      <w:rFonts w:hint="default"/>
                      <w:b/>
                      <w:bCs/>
                      <w:color w:val="000000" w:themeColor="text1"/>
                      <w:sz w:val="21"/>
                      <w:szCs w:val="21"/>
                      <w14:textFill>
                        <w14:solidFill>
                          <w14:schemeClr w14:val="tx1"/>
                        </w14:solidFill>
                      </w14:textFill>
                    </w:rPr>
                    <w:t>2014—2030</w:t>
                  </w:r>
                  <w:r>
                    <w:rPr>
                      <w:rFonts w:hint="eastAsia"/>
                      <w:b/>
                      <w:bCs/>
                      <w:color w:val="000000" w:themeColor="text1"/>
                      <w:sz w:val="21"/>
                      <w:szCs w:val="21"/>
                      <w14:textFill>
                        <w14:solidFill>
                          <w14:schemeClr w14:val="tx1"/>
                        </w14:solidFill>
                      </w14:textFill>
                    </w:rPr>
                    <w:t>年）环境影响报告书》</w:t>
                  </w:r>
                  <w:r>
                    <w:rPr>
                      <w:rFonts w:hint="eastAsia"/>
                      <w:b/>
                      <w:bCs/>
                      <w:color w:val="000000" w:themeColor="text1"/>
                      <w:sz w:val="21"/>
                      <w:szCs w:val="21"/>
                      <w:lang w:val="en-US" w:eastAsia="zh-CN"/>
                      <w14:textFill>
                        <w14:solidFill>
                          <w14:schemeClr w14:val="tx1"/>
                        </w14:solidFill>
                      </w14:textFill>
                    </w:rPr>
                    <w:t>审查意见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4" w:type="pct"/>
                  <w:tcBorders>
                    <w:tl2br w:val="nil"/>
                    <w:tr2bl w:val="nil"/>
                  </w:tcBorders>
                  <w:vAlign w:val="center"/>
                </w:tcPr>
                <w:p>
                  <w:pPr>
                    <w:pStyle w:val="45"/>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p>
              </w:tc>
              <w:tc>
                <w:tcPr>
                  <w:tcW w:w="2374" w:type="pct"/>
                  <w:tcBorders>
                    <w:tl2br w:val="nil"/>
                    <w:tr2bl w:val="nil"/>
                  </w:tcBorders>
                  <w:vAlign w:val="center"/>
                </w:tcPr>
                <w:p>
                  <w:pPr>
                    <w:pStyle w:val="46"/>
                    <w:numPr>
                      <w:ilvl w:val="0"/>
                      <w:numId w:val="0"/>
                    </w:numPr>
                    <w:jc w:val="both"/>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园区发展定位：以装备制造业、新材料产业、生物科技和食品产业为主，配套现代服务业，将园区打造成为全区重要先进制造业基地，昌吉州生产性服务业创新中心</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本项目位于昌吉高新技术产业开发区装备制造产业区，符合园区规划。</w:t>
                  </w:r>
                </w:p>
              </w:tc>
              <w:tc>
                <w:tcPr>
                  <w:tcW w:w="585" w:type="pct"/>
                  <w:tcBorders>
                    <w:tl2br w:val="nil"/>
                    <w:tr2bl w:val="nil"/>
                  </w:tcBorders>
                  <w:vAlign w:val="center"/>
                </w:tcPr>
                <w:p>
                  <w:pPr>
                    <w:pStyle w:val="45"/>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4" w:type="pct"/>
                  <w:tcBorders>
                    <w:tl2br w:val="nil"/>
                    <w:tr2bl w:val="nil"/>
                  </w:tcBorders>
                  <w:vAlign w:val="center"/>
                </w:tcPr>
                <w:p>
                  <w:pPr>
                    <w:pStyle w:val="45"/>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w:t>
                  </w:r>
                </w:p>
              </w:tc>
              <w:tc>
                <w:tcPr>
                  <w:tcW w:w="2374" w:type="pct"/>
                  <w:tcBorders>
                    <w:tl2br w:val="nil"/>
                    <w:tr2bl w:val="nil"/>
                  </w:tcBorders>
                  <w:vAlign w:val="center"/>
                </w:tcPr>
                <w:p>
                  <w:pPr>
                    <w:pStyle w:val="46"/>
                    <w:numPr>
                      <w:ilvl w:val="0"/>
                      <w:numId w:val="0"/>
                    </w:numPr>
                    <w:jc w:val="both"/>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调整园区产业类型，禁止发展高耗水、环境影响较大的行业；调整园区内用地方案，在一类工业用地布设的三类企业应限期搬迁；合理规划集中供热规模和选址</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本项目不属于高耗水、环境影响较大的行业</w:t>
                  </w:r>
                  <w:r>
                    <w:rPr>
                      <w:rFonts w:hint="eastAsia" w:cs="Times New Roman"/>
                      <w:b w:val="0"/>
                      <w:bCs w:val="0"/>
                      <w:color w:val="000000" w:themeColor="text1"/>
                      <w:kern w:val="2"/>
                      <w:sz w:val="21"/>
                      <w:szCs w:val="21"/>
                      <w:lang w:val="en-US" w:eastAsia="zh-CN" w:bidi="ar-SA"/>
                      <w14:textFill>
                        <w14:solidFill>
                          <w14:schemeClr w14:val="tx1"/>
                        </w14:solidFill>
                      </w14:textFill>
                    </w:rPr>
                    <w:t>，本项目不属于在一类工业用地布设的三类企业。</w:t>
                  </w:r>
                </w:p>
              </w:tc>
              <w:tc>
                <w:tcPr>
                  <w:tcW w:w="585" w:type="pct"/>
                  <w:tcBorders>
                    <w:tl2br w:val="nil"/>
                    <w:tr2bl w:val="nil"/>
                  </w:tcBorders>
                  <w:vAlign w:val="center"/>
                </w:tcPr>
                <w:p>
                  <w:pPr>
                    <w:pStyle w:val="45"/>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4" w:type="pct"/>
                  <w:tcBorders>
                    <w:tl2br w:val="nil"/>
                    <w:tr2bl w:val="nil"/>
                  </w:tcBorders>
                  <w:vAlign w:val="center"/>
                </w:tcPr>
                <w:p>
                  <w:pPr>
                    <w:pStyle w:val="45"/>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w:t>
                  </w:r>
                </w:p>
              </w:tc>
              <w:tc>
                <w:tcPr>
                  <w:tcW w:w="2374" w:type="pct"/>
                  <w:tcBorders>
                    <w:tl2br w:val="nil"/>
                    <w:tr2bl w:val="nil"/>
                  </w:tcBorders>
                  <w:vAlign w:val="center"/>
                </w:tcPr>
                <w:p>
                  <w:pPr>
                    <w:pStyle w:val="46"/>
                    <w:numPr>
                      <w:ilvl w:val="0"/>
                      <w:numId w:val="0"/>
                    </w:numPr>
                    <w:jc w:val="both"/>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坚持实行入园企业环保准入审核制度，与产业定位方向不符的项目一律不得入园，对于入园的建设项目必须开展建设项目环境影响评价，并严格执行建设项目“三同时”环境管理制度</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本项目产业定位方向与园区相符</w:t>
                  </w:r>
                  <w:r>
                    <w:rPr>
                      <w:rFonts w:hint="eastAsia" w:cs="Times New Roman"/>
                      <w:b w:val="0"/>
                      <w:bCs w:val="0"/>
                      <w:color w:val="000000" w:themeColor="text1"/>
                      <w:kern w:val="2"/>
                      <w:sz w:val="21"/>
                      <w:szCs w:val="21"/>
                      <w:lang w:val="en-US" w:eastAsia="zh-CN" w:bidi="ar-SA"/>
                      <w14:textFill>
                        <w14:solidFill>
                          <w14:schemeClr w14:val="tx1"/>
                        </w14:solidFill>
                      </w14:textFill>
                    </w:rPr>
                    <w:t>。本项目正在重新办理环评手续，并严格执行建设项目“三同时”环境管理制度。</w:t>
                  </w:r>
                </w:p>
              </w:tc>
              <w:tc>
                <w:tcPr>
                  <w:tcW w:w="585" w:type="pct"/>
                  <w:tcBorders>
                    <w:tl2br w:val="nil"/>
                    <w:tr2bl w:val="nil"/>
                  </w:tcBorders>
                  <w:vAlign w:val="center"/>
                </w:tcPr>
                <w:p>
                  <w:pPr>
                    <w:pStyle w:val="45"/>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4" w:type="pct"/>
                  <w:tcBorders>
                    <w:tl2br w:val="nil"/>
                    <w:tr2bl w:val="nil"/>
                  </w:tcBorders>
                  <w:vAlign w:val="center"/>
                </w:tcPr>
                <w:p>
                  <w:pPr>
                    <w:pStyle w:val="45"/>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w:t>
                  </w:r>
                </w:p>
              </w:tc>
              <w:tc>
                <w:tcPr>
                  <w:tcW w:w="2374" w:type="pct"/>
                  <w:tcBorders>
                    <w:tl2br w:val="nil"/>
                    <w:tr2bl w:val="nil"/>
                  </w:tcBorders>
                  <w:vAlign w:val="center"/>
                </w:tcPr>
                <w:p>
                  <w:pPr>
                    <w:pStyle w:val="46"/>
                    <w:numPr>
                      <w:ilvl w:val="0"/>
                      <w:numId w:val="0"/>
                    </w:numPr>
                    <w:jc w:val="both"/>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园区范围内企业，应办理合法的环保手续，不符合园区规划布局、产业定位的企业应予以搬迁，园区项目须严格落实污染物总量控制要求 ，提出污染物减排具体方案和保障措施</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本项目</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位于昌吉高新技术产业开发区装备制造产业区，已办理合法的环保手续，符合园区规划</w:t>
                  </w:r>
                  <w:r>
                    <w:rPr>
                      <w:rFonts w:hint="eastAsia" w:cs="Times New Roman"/>
                      <w:b w:val="0"/>
                      <w:bCs w:val="0"/>
                      <w:color w:val="000000" w:themeColor="text1"/>
                      <w:kern w:val="2"/>
                      <w:sz w:val="21"/>
                      <w:szCs w:val="21"/>
                      <w:lang w:val="en-US" w:eastAsia="zh-CN" w:bidi="ar-SA"/>
                      <w14:textFill>
                        <w14:solidFill>
                          <w14:schemeClr w14:val="tx1"/>
                        </w14:solidFill>
                      </w14:textFill>
                    </w:rPr>
                    <w:t>。</w:t>
                  </w:r>
                </w:p>
              </w:tc>
              <w:tc>
                <w:tcPr>
                  <w:tcW w:w="585" w:type="pct"/>
                  <w:tcBorders>
                    <w:tl2br w:val="nil"/>
                    <w:tr2bl w:val="nil"/>
                  </w:tcBorders>
                  <w:vAlign w:val="center"/>
                </w:tcPr>
                <w:p>
                  <w:pPr>
                    <w:pStyle w:val="45"/>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4" w:type="pct"/>
                  <w:tcBorders>
                    <w:tl2br w:val="nil"/>
                    <w:tr2bl w:val="nil"/>
                  </w:tcBorders>
                  <w:vAlign w:val="center"/>
                </w:tcPr>
                <w:p>
                  <w:pPr>
                    <w:pStyle w:val="45"/>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w:t>
                  </w:r>
                </w:p>
              </w:tc>
              <w:tc>
                <w:tcPr>
                  <w:tcW w:w="2374" w:type="pct"/>
                  <w:tcBorders>
                    <w:tl2br w:val="nil"/>
                    <w:tr2bl w:val="nil"/>
                  </w:tcBorders>
                  <w:vAlign w:val="center"/>
                </w:tcPr>
                <w:p>
                  <w:pPr>
                    <w:pStyle w:val="46"/>
                    <w:numPr>
                      <w:ilvl w:val="0"/>
                      <w:numId w:val="0"/>
                    </w:numPr>
                    <w:jc w:val="both"/>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大力发展园区循环经济，制定切实可行的一般固体废物、危险废物和生产废水综合利用方案，提高资源利用效率。严格落实污染物总量控制要求，提出污染物减排具体方案及保障措施</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本项目产生一般工业固废外售废品回收站，危险废物暂存于危险废物贮存间暂存，定期委托有相关危废处理资质的单位进行处置</w:t>
                  </w:r>
                  <w:r>
                    <w:rPr>
                      <w:rFonts w:hint="eastAsia" w:cs="Times New Roman"/>
                      <w:b w:val="0"/>
                      <w:bCs w:val="0"/>
                      <w:color w:val="000000" w:themeColor="text1"/>
                      <w:kern w:val="2"/>
                      <w:sz w:val="21"/>
                      <w:szCs w:val="21"/>
                      <w:lang w:val="en-US" w:eastAsia="zh-CN" w:bidi="ar-SA"/>
                      <w14:textFill>
                        <w14:solidFill>
                          <w14:schemeClr w14:val="tx1"/>
                        </w14:solidFill>
                      </w14:textFill>
                    </w:rPr>
                    <w:t>。</w:t>
                  </w:r>
                </w:p>
              </w:tc>
              <w:tc>
                <w:tcPr>
                  <w:tcW w:w="585" w:type="pct"/>
                  <w:tcBorders>
                    <w:tl2br w:val="nil"/>
                    <w:tr2bl w:val="nil"/>
                  </w:tcBorders>
                  <w:vAlign w:val="center"/>
                </w:tcPr>
                <w:p>
                  <w:pPr>
                    <w:pStyle w:val="45"/>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bl>
          <w:p>
            <w:pPr>
              <w:pStyle w:val="27"/>
              <w:numPr>
                <w:ilvl w:val="0"/>
                <w:numId w:val="0"/>
              </w:numPr>
              <w:spacing w:line="360" w:lineRule="auto"/>
              <w:ind w:firstLine="480" w:firstLineChars="200"/>
              <w:jc w:val="both"/>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p>
            <w:pPr>
              <w:pStyle w:val="27"/>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000000" w:themeColor="text1"/>
                <w:lang w:val="en-US" w:eastAsia="zh-CN"/>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676" w:hRule="atLeast"/>
        </w:trPr>
        <w:tc>
          <w:tcPr>
            <w:tcW w:w="1714" w:type="dxa"/>
            <w:tcBorders>
              <w:tl2br w:val="nil"/>
              <w:tr2bl w:val="nil"/>
            </w:tcBorders>
            <w:shd w:val="clear" w:color="auto" w:fill="auto"/>
            <w:vAlign w:val="center"/>
          </w:tcPr>
          <w:p>
            <w:pPr>
              <w:autoSpaceDE w:val="0"/>
              <w:autoSpaceDN w:val="0"/>
              <w:adjustRightInd w:val="0"/>
              <w:snapToGrid w:val="0"/>
              <w:jc w:val="center"/>
              <w:rPr>
                <w:rFonts w:ascii="宋体" w:hAnsi="宋体" w:cs="宋体"/>
                <w:color w:val="000000" w:themeColor="text1"/>
                <w:kern w:val="0"/>
                <w:sz w:val="21"/>
                <w:szCs w:val="21"/>
                <w14:textFill>
                  <w14:solidFill>
                    <w14:schemeClr w14:val="tx1"/>
                  </w14:solidFill>
                </w14:textFill>
              </w:rPr>
            </w:pPr>
            <w:r>
              <w:rPr>
                <w:rFonts w:hint="eastAsia" w:ascii="宋体" w:hAnsi="宋体" w:cs="宋体"/>
                <w:b w:val="0"/>
                <w:bCs/>
                <w:color w:val="000000" w:themeColor="text1"/>
                <w:kern w:val="0"/>
                <w:szCs w:val="21"/>
                <w14:textFill>
                  <w14:solidFill>
                    <w14:schemeClr w14:val="tx1"/>
                  </w14:solidFill>
                </w14:textFill>
              </w:rPr>
              <w:t>其他符合性分析</w:t>
            </w:r>
          </w:p>
        </w:tc>
        <w:tc>
          <w:tcPr>
            <w:tcW w:w="6808" w:type="dxa"/>
            <w:gridSpan w:val="3"/>
            <w:tcBorders>
              <w:tl2br w:val="nil"/>
              <w:tr2bl w:val="nil"/>
            </w:tcBorders>
            <w:shd w:val="clear" w:color="auto" w:fill="auto"/>
            <w:vAlign w:val="center"/>
          </w:tcPr>
          <w:p>
            <w:pPr>
              <w:pStyle w:val="7"/>
              <w:numPr>
                <w:ilvl w:val="0"/>
                <w:numId w:val="0"/>
              </w:numPr>
              <w:spacing w:line="360" w:lineRule="auto"/>
              <w:jc w:val="both"/>
              <w:outlineLvl w:val="1"/>
              <w:rPr>
                <w:color w:val="000000" w:themeColor="text1"/>
                <w:sz w:val="24"/>
                <w:szCs w:val="24"/>
                <w14:textFill>
                  <w14:solidFill>
                    <w14:schemeClr w14:val="tx1"/>
                  </w14:solidFill>
                </w14:textFill>
              </w:rPr>
            </w:pPr>
            <w:r>
              <w:rPr>
                <w:rFonts w:ascii="Times New Roman" w:hAnsi="Times New Roman" w:eastAsia="宋体" w:cstheme="minorBidi"/>
                <w:b/>
                <w:color w:val="000000" w:themeColor="text1"/>
                <w:kern w:val="2"/>
                <w:sz w:val="24"/>
                <w:szCs w:val="24"/>
                <w:lang w:val="en-US" w:eastAsia="zh-CN" w:bidi="ar-SA"/>
                <w14:textFill>
                  <w14:solidFill>
                    <w14:schemeClr w14:val="tx1"/>
                  </w14:solidFill>
                </w14:textFill>
              </w:rPr>
              <w:t>1</w:t>
            </w:r>
            <w:r>
              <w:rPr>
                <w:rFonts w:hint="eastAsia" w:cstheme="minorBidi"/>
                <w:b/>
                <w:color w:val="000000" w:themeColor="text1"/>
                <w:kern w:val="2"/>
                <w:sz w:val="24"/>
                <w:szCs w:val="24"/>
                <w:lang w:val="en-US" w:eastAsia="zh-CN" w:bidi="ar-SA"/>
                <w14:textFill>
                  <w14:solidFill>
                    <w14:schemeClr w14:val="tx1"/>
                  </w14:solidFill>
                </w14:textFill>
              </w:rPr>
              <w:t xml:space="preserve"> </w:t>
            </w:r>
            <w:r>
              <w:rPr>
                <w:color w:val="000000" w:themeColor="text1"/>
                <w:sz w:val="24"/>
                <w:szCs w:val="24"/>
                <w14:textFill>
                  <w14:solidFill>
                    <w14:schemeClr w14:val="tx1"/>
                  </w14:solidFill>
                </w14:textFill>
              </w:rPr>
              <w:t>产业政策符合性分析</w:t>
            </w:r>
          </w:p>
          <w:p>
            <w:pPr>
              <w:pStyle w:val="27"/>
              <w:spacing w:line="360" w:lineRule="auto"/>
              <w:ind w:firstLine="480"/>
              <w:jc w:val="both"/>
              <w:rPr>
                <w:rFonts w:hint="default"/>
                <w:color w:val="000000" w:themeColor="text1"/>
                <w:lang w:val="en-US"/>
                <w14:textFill>
                  <w14:solidFill>
                    <w14:schemeClr w14:val="tx1"/>
                  </w14:solidFill>
                </w14:textFill>
              </w:rPr>
            </w:pPr>
            <w:r>
              <w:rPr>
                <w:rFonts w:hint="eastAsia"/>
                <w:color w:val="000000" w:themeColor="text1"/>
                <w14:textFill>
                  <w14:solidFill>
                    <w14:schemeClr w14:val="tx1"/>
                  </w14:solidFill>
                </w14:textFill>
              </w:rPr>
              <w:t>根据《国民经济行业分类与代码》</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GB4754-2017</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，本项目属于</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C3252 铝压延加工、C3831 电线、电缆的制造</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根据《产业结构调整指导目录（20</w:t>
            </w:r>
            <w:r>
              <w:rPr>
                <w:rFonts w:hint="eastAsia"/>
                <w:color w:val="000000" w:themeColor="text1"/>
                <w:lang w:val="en-US" w:eastAsia="zh-CN"/>
                <w14:textFill>
                  <w14:solidFill>
                    <w14:schemeClr w14:val="tx1"/>
                  </w14:solidFill>
                </w14:textFill>
              </w:rPr>
              <w:t>24</w:t>
            </w:r>
            <w:r>
              <w:rPr>
                <w:color w:val="000000" w:themeColor="text1"/>
                <w14:textFill>
                  <w14:solidFill>
                    <w14:schemeClr w14:val="tx1"/>
                  </w14:solidFill>
                </w14:textFill>
              </w:rPr>
              <w:t>年本）》</w:t>
            </w:r>
            <w:r>
              <w:rPr>
                <w:rFonts w:hint="eastAsia"/>
                <w:color w:val="000000" w:themeColor="text1"/>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本项目不属于</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14:textFill>
                  <w14:solidFill>
                    <w14:schemeClr w14:val="tx1"/>
                  </w14:solidFill>
                </w14:textFill>
              </w:rPr>
              <w:t>限制类</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14:textFill>
                  <w14:solidFill>
                    <w14:schemeClr w14:val="tx1"/>
                  </w14:solidFill>
                </w14:textFill>
              </w:rPr>
              <w:t>淘汰类和鼓励类</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属于</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14:textFill>
                  <w14:solidFill>
                    <w14:schemeClr w14:val="tx1"/>
                  </w14:solidFill>
                </w14:textFill>
              </w:rPr>
              <w:t>允许类</w:t>
            </w:r>
            <w:r>
              <w:rPr>
                <w:rFonts w:hint="eastAsia" w:cs="Times New Roman"/>
                <w:color w:val="000000" w:themeColor="text1"/>
                <w:sz w:val="24"/>
                <w:szCs w:val="24"/>
                <w:lang w:val="en-US"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规定范畴</w:t>
            </w:r>
            <w:r>
              <w:rPr>
                <w:rFonts w:hint="eastAsia"/>
                <w:color w:val="000000" w:themeColor="text1"/>
                <w:lang w:eastAsia="zh-CN"/>
                <w14:textFill>
                  <w14:solidFill>
                    <w14:schemeClr w14:val="tx1"/>
                  </w14:solidFill>
                </w14:textFill>
              </w:rPr>
              <w:t>，</w:t>
            </w:r>
            <w:r>
              <w:rPr>
                <w:rFonts w:hint="eastAsia"/>
                <w:b w:val="0"/>
                <w:bCs/>
                <w:color w:val="000000" w:themeColor="text1"/>
                <w:lang w:val="en-US" w:eastAsia="zh-CN"/>
                <w14:textFill>
                  <w14:solidFill>
                    <w14:schemeClr w14:val="tx1"/>
                  </w14:solidFill>
                </w14:textFill>
              </w:rPr>
              <w:t>同时对照《市场准入负面清单（2025年版）》，项目不属于“禁止准入类”“许可准入类”项目，</w:t>
            </w:r>
            <w:r>
              <w:rPr>
                <w:rFonts w:hint="eastAsia"/>
                <w:color w:val="000000" w:themeColor="text1"/>
                <w:lang w:eastAsia="zh-CN"/>
                <w14:textFill>
                  <w14:solidFill>
                    <w14:schemeClr w14:val="tx1"/>
                  </w14:solidFill>
                </w14:textFill>
              </w:rPr>
              <w:t>因此，</w:t>
            </w:r>
            <w:r>
              <w:rPr>
                <w:rFonts w:hint="eastAsia"/>
                <w:color w:val="000000" w:themeColor="text1"/>
                <w:lang w:val="en-US" w:eastAsia="zh-CN"/>
                <w14:textFill>
                  <w14:solidFill>
                    <w14:schemeClr w14:val="tx1"/>
                  </w14:solidFill>
                </w14:textFill>
              </w:rPr>
              <w:t>本项目符合国家的产业政策。</w:t>
            </w:r>
          </w:p>
          <w:p>
            <w:pPr>
              <w:pStyle w:val="7"/>
              <w:numPr>
                <w:ilvl w:val="0"/>
                <w:numId w:val="0"/>
              </w:numPr>
              <w:spacing w:line="360" w:lineRule="auto"/>
              <w:jc w:val="both"/>
              <w:outlineLvl w:val="1"/>
              <w:rPr>
                <w:rFonts w:hint="eastAsia" w:cstheme="minorBidi"/>
                <w:b/>
                <w:color w:val="000000" w:themeColor="text1"/>
                <w:kern w:val="2"/>
                <w:sz w:val="24"/>
                <w:szCs w:val="24"/>
                <w:lang w:val="en-US" w:eastAsia="zh-CN" w:bidi="ar-SA"/>
                <w14:textFill>
                  <w14:solidFill>
                    <w14:schemeClr w14:val="tx1"/>
                  </w14:solidFill>
                </w14:textFill>
              </w:rPr>
            </w:pPr>
            <w:r>
              <w:rPr>
                <w:rFonts w:ascii="Times New Roman" w:hAnsi="Times New Roman" w:eastAsia="宋体" w:cstheme="minorBidi"/>
                <w:b/>
                <w:color w:val="000000" w:themeColor="text1"/>
                <w:kern w:val="2"/>
                <w:sz w:val="24"/>
                <w:szCs w:val="24"/>
                <w:lang w:val="en-US" w:eastAsia="zh-CN" w:bidi="ar-SA"/>
                <w14:textFill>
                  <w14:solidFill>
                    <w14:schemeClr w14:val="tx1"/>
                  </w14:solidFill>
                </w14:textFill>
              </w:rPr>
              <w:t>2</w:t>
            </w:r>
            <w:r>
              <w:rPr>
                <w:rFonts w:hint="eastAsia" w:cstheme="minorBidi"/>
                <w:b/>
                <w:color w:val="000000" w:themeColor="text1"/>
                <w:kern w:val="2"/>
                <w:sz w:val="24"/>
                <w:szCs w:val="24"/>
                <w:lang w:val="en-US" w:eastAsia="zh-CN" w:bidi="ar-SA"/>
                <w14:textFill>
                  <w14:solidFill>
                    <w14:schemeClr w14:val="tx1"/>
                  </w14:solidFill>
                </w14:textFill>
              </w:rPr>
              <w:t xml:space="preserve"> 生态环境分区管控要求符合性分析</w:t>
            </w:r>
          </w:p>
          <w:p>
            <w:pPr>
              <w:pStyle w:val="27"/>
              <w:numPr>
                <w:ilvl w:val="0"/>
                <w:numId w:val="0"/>
              </w:numPr>
              <w:spacing w:line="360" w:lineRule="auto"/>
              <w:ind w:firstLine="480" w:firstLineChars="200"/>
              <w:jc w:val="both"/>
              <w:rPr>
                <w:rFonts w:hint="default"/>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本项目与《新疆维吾尔自治区生态环境分区管控动态更新成果》符合性分析</w:t>
            </w:r>
          </w:p>
          <w:p>
            <w:pPr>
              <w:pStyle w:val="27"/>
              <w:numPr>
                <w:ilvl w:val="0"/>
                <w:numId w:val="0"/>
              </w:numPr>
              <w:spacing w:line="360" w:lineRule="auto"/>
              <w:ind w:firstLine="480" w:firstLineChars="200"/>
              <w:jc w:val="both"/>
              <w:rPr>
                <w:rFonts w:hint="eastAsia" w:eastAsia="宋体"/>
                <w:color w:val="000000" w:themeColor="text1"/>
                <w:lang w:eastAsia="zh-CN"/>
                <w14:textFill>
                  <w14:solidFill>
                    <w14:schemeClr w14:val="tx1"/>
                  </w14:solidFill>
                </w14:textFill>
              </w:rPr>
            </w:pPr>
            <w:r>
              <w:rPr>
                <w:color w:val="000000" w:themeColor="text1"/>
                <w14:textFill>
                  <w14:solidFill>
                    <w14:schemeClr w14:val="tx1"/>
                  </w14:solidFill>
                </w14:textFill>
              </w:rPr>
              <w:t>2024年</w:t>
            </w:r>
            <w:r>
              <w:rPr>
                <w:rFonts w:hint="default"/>
                <w:color w:val="000000" w:themeColor="text1"/>
                <w14:textFill>
                  <w14:solidFill>
                    <w14:schemeClr w14:val="tx1"/>
                  </w14:solidFill>
                </w14:textFill>
              </w:rPr>
              <w:t>11月15日</w:t>
            </w:r>
            <w:r>
              <w:rPr>
                <w:rFonts w:hint="eastAsia"/>
                <w:color w:val="000000" w:themeColor="text1"/>
                <w:lang w:eastAsia="zh-CN"/>
                <w14:textFill>
                  <w14:solidFill>
                    <w14:schemeClr w14:val="tx1"/>
                  </w14:solidFill>
                </w14:textFill>
              </w:rPr>
              <w:t>，新疆维吾尔自治区</w:t>
            </w:r>
            <w:r>
              <w:rPr>
                <w:rFonts w:hint="default"/>
                <w:color w:val="000000" w:themeColor="text1"/>
                <w14:textFill>
                  <w14:solidFill>
                    <w14:schemeClr w14:val="tx1"/>
                  </w14:solidFill>
                </w14:textFill>
              </w:rPr>
              <w:t>生态环境厅发布了</w:t>
            </w:r>
            <w:r>
              <w:rPr>
                <w:rFonts w:hint="eastAsia"/>
                <w:color w:val="000000" w:themeColor="text1"/>
                <w:lang w:eastAsia="zh-CN"/>
                <w14:textFill>
                  <w14:solidFill>
                    <w14:schemeClr w14:val="tx1"/>
                  </w14:solidFill>
                </w14:textFill>
              </w:rPr>
              <w:t>“</w:t>
            </w:r>
            <w:r>
              <w:rPr>
                <w:rFonts w:hint="default"/>
                <w:color w:val="000000" w:themeColor="text1"/>
                <w14:textFill>
                  <w14:solidFill>
                    <w14:schemeClr w14:val="tx1"/>
                  </w14:solidFill>
                </w14:textFill>
              </w:rPr>
              <w:t>关于印发《新疆维吾尔自治区生态环境分区管控动态更新成果》的通知”（新环环评发〔2024〕157号），自治区共划定1777个环境管控单元，分为优先保护单元、重点管控单元和一般管控单元三类，实施分类管控</w:t>
            </w:r>
            <w:r>
              <w:rPr>
                <w:rFonts w:hint="eastAsia"/>
                <w:color w:val="000000" w:themeColor="text1"/>
                <w:lang w:eastAsia="zh-CN"/>
                <w14:textFill>
                  <w14:solidFill>
                    <w14:schemeClr w14:val="tx1"/>
                  </w14:solidFill>
                </w14:textFill>
              </w:rPr>
              <w:t>。</w:t>
            </w:r>
          </w:p>
          <w:p>
            <w:pPr>
              <w:pStyle w:val="27"/>
              <w:numPr>
                <w:ilvl w:val="0"/>
                <w:numId w:val="0"/>
              </w:numPr>
              <w:spacing w:line="360" w:lineRule="auto"/>
              <w:ind w:firstLine="480" w:firstLineChars="200"/>
              <w:jc w:val="both"/>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本项目位于</w:t>
            </w:r>
            <w:r>
              <w:rPr>
                <w:rFonts w:hint="eastAsia" w:cs="Times New Roman"/>
                <w:color w:val="000000" w:themeColor="text1"/>
                <w:lang w:val="en-US" w:eastAsia="zh-CN"/>
                <w14:textFill>
                  <w14:solidFill>
                    <w14:schemeClr w14:val="tx1"/>
                  </w14:solidFill>
                </w14:textFill>
              </w:rPr>
              <w:t>新疆维吾尔自治区昌吉回族自治州昌吉国家高新技术产业开发区经一路和创业大道交汇处特变电工智能电缆产业园内</w:t>
            </w:r>
            <w:r>
              <w:rPr>
                <w:rFonts w:hint="default"/>
                <w:color w:val="000000" w:themeColor="text1"/>
                <w14:textFill>
                  <w14:solidFill>
                    <w14:schemeClr w14:val="tx1"/>
                  </w14:solidFill>
                </w14:textFill>
              </w:rPr>
              <w:t>，属于《新疆维吾尔自治区生态环境分区管控动态更新成果》环境管控单元中的重点管控单元。重点管控单元要着力优化空间布局，不断提升资源利用效率，有针对性地加强污染物排放管控和环境风险防控，解决生态环境质量不达标、生态环境风险高等问题。</w:t>
            </w:r>
          </w:p>
          <w:p>
            <w:pPr>
              <w:pStyle w:val="27"/>
              <w:spacing w:line="360" w:lineRule="auto"/>
              <w:ind w:firstLine="480"/>
              <w:jc w:val="both"/>
              <w:rPr>
                <w:rFonts w:hint="eastAsia" w:eastAsia="宋体" w:cs="Times New Roman"/>
                <w:color w:val="000000" w:themeColor="text1"/>
                <w:lang w:eastAsia="zh-CN"/>
                <w14:textFill>
                  <w14:solidFill>
                    <w14:schemeClr w14:val="tx1"/>
                  </w14:solidFill>
                </w14:textFill>
              </w:rPr>
            </w:pPr>
            <w:r>
              <w:rPr>
                <w:rFonts w:hint="default"/>
                <w:color w:val="000000" w:themeColor="text1"/>
                <w14:textFill>
                  <w14:solidFill>
                    <w14:schemeClr w14:val="tx1"/>
                  </w14:solidFill>
                </w14:textFill>
              </w:rPr>
              <w:t>本项目根据工艺流程，合理优化空间布局，针对本项目产生的污染物采取相应的治理措施，对生态环境影响较小，因此本项目符合《新疆维吾尔自治区生态环境分区管控动态更新成果》相关要求</w:t>
            </w:r>
            <w:r>
              <w:rPr>
                <w:rFonts w:hint="eastAsia"/>
                <w:color w:val="000000" w:themeColor="text1"/>
                <w:lang w:eastAsia="zh-CN"/>
                <w14:textFill>
                  <w14:solidFill>
                    <w14:schemeClr w14:val="tx1"/>
                  </w14:solidFill>
                </w14:textFill>
              </w:rPr>
              <w:t>。</w:t>
            </w:r>
          </w:p>
          <w:p>
            <w:pPr>
              <w:pStyle w:val="27"/>
              <w:numPr>
                <w:ilvl w:val="0"/>
                <w:numId w:val="0"/>
              </w:numPr>
              <w:spacing w:line="360" w:lineRule="auto"/>
              <w:ind w:firstLine="480" w:firstLineChars="200"/>
              <w:jc w:val="both"/>
              <w:rPr>
                <w:color w:val="000000" w:themeColor="text1"/>
                <w14:textFill>
                  <w14:solidFill>
                    <w14:schemeClr w14:val="tx1"/>
                  </w14:solidFill>
                </w14:textFill>
              </w:rPr>
            </w:pPr>
            <w:r>
              <w:rPr>
                <w:rFonts w:ascii="Times New Roman" w:hAnsi="Times New Roman" w:eastAsia="宋体" w:cstheme="minorBidi"/>
                <w:b w:val="0"/>
                <w:color w:val="000000" w:themeColor="text1"/>
                <w:kern w:val="2"/>
                <w:sz w:val="24"/>
                <w:szCs w:val="24"/>
                <w:lang w:val="en-US" w:eastAsia="zh-CN" w:bidi="ar-SA"/>
                <w14:textFill>
                  <w14:solidFill>
                    <w14:schemeClr w14:val="tx1"/>
                  </w14:solidFill>
                </w14:textFill>
              </w:rPr>
              <w:t>（2）</w:t>
            </w:r>
            <w:r>
              <w:rPr>
                <w:color w:val="000000" w:themeColor="text1"/>
                <w14:textFill>
                  <w14:solidFill>
                    <w14:schemeClr w14:val="tx1"/>
                  </w14:solidFill>
                </w14:textFill>
              </w:rPr>
              <w:t>本项目与</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昌吉回族自治州生态环境分区管控动态更新成果</w:t>
            </w:r>
            <w:r>
              <w:rPr>
                <w:rFonts w:hint="eastAsia"/>
                <w:color w:val="000000" w:themeColor="text1"/>
                <w14:textFill>
                  <w14:solidFill>
                    <w14:schemeClr w14:val="tx1"/>
                  </w14:solidFill>
                </w14:textFill>
              </w:rPr>
              <w:t>》符合性分析</w:t>
            </w:r>
          </w:p>
          <w:p>
            <w:pPr>
              <w:pStyle w:val="27"/>
              <w:spacing w:line="360" w:lineRule="auto"/>
              <w:ind w:firstLine="480"/>
              <w:jc w:val="both"/>
              <w:rPr>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本项目位于</w:t>
            </w:r>
            <w:r>
              <w:rPr>
                <w:rFonts w:hint="eastAsia" w:cs="Times New Roman"/>
                <w:color w:val="000000" w:themeColor="text1"/>
                <w:lang w:val="en-US" w:eastAsia="zh-CN"/>
                <w14:textFill>
                  <w14:solidFill>
                    <w14:schemeClr w14:val="tx1"/>
                  </w14:solidFill>
                </w14:textFill>
              </w:rPr>
              <w:t>新疆维吾尔自治区昌吉回族自治州昌吉国家高新技术产业开发区经一路和创业大道交汇处特变电工智能电缆产业园内</w:t>
            </w:r>
            <w:r>
              <w:rPr>
                <w:rFonts w:hint="eastAsia" w:cs="Times New Roman"/>
                <w:color w:val="000000" w:themeColor="text1"/>
                <w14:textFill>
                  <w14:solidFill>
                    <w14:schemeClr w14:val="tx1"/>
                  </w14:solidFill>
                </w14:textFill>
              </w:rPr>
              <w:t>，根据《</w:t>
            </w:r>
            <w:r>
              <w:rPr>
                <w:rFonts w:hint="eastAsia"/>
                <w:color w:val="000000" w:themeColor="text1"/>
                <w:lang w:val="en-US" w:eastAsia="zh-CN"/>
                <w14:textFill>
                  <w14:solidFill>
                    <w14:schemeClr w14:val="tx1"/>
                  </w14:solidFill>
                </w14:textFill>
              </w:rPr>
              <w:t>昌吉回族自治州生态环境分区管控动态更新成果</w:t>
            </w:r>
            <w:r>
              <w:rPr>
                <w:rFonts w:hint="eastAsia" w:cs="Times New Roman"/>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本项目</w:t>
            </w:r>
            <w:r>
              <w:rPr>
                <w:rFonts w:hint="eastAsia" w:cs="Times New Roman"/>
                <w:color w:val="000000" w:themeColor="text1"/>
                <w:lang w:eastAsia="zh-CN"/>
                <w14:textFill>
                  <w14:solidFill>
                    <w14:schemeClr w14:val="tx1"/>
                  </w14:solidFill>
                </w14:textFill>
              </w:rPr>
              <w:t>属于</w:t>
            </w:r>
            <w:r>
              <w:rPr>
                <w:rFonts w:hint="eastAsia" w:ascii="Times New Roman" w:hAnsi="Times New Roman" w:eastAsia="宋体" w:cs="Times New Roman"/>
                <w:color w:val="000000" w:themeColor="text1"/>
                <w:lang w:val="en-US" w:eastAsia="zh-CN"/>
                <w14:textFill>
                  <w14:solidFill>
                    <w14:schemeClr w14:val="tx1"/>
                  </w14:solidFill>
                </w14:textFill>
              </w:rPr>
              <w:t>昌吉高新技术产业开发区</w:t>
            </w:r>
            <w:r>
              <w:rPr>
                <w:rFonts w:hint="eastAsia" w:ascii="Times New Roman" w:hAnsi="Times New Roman" w:eastAsia="宋体" w:cs="Times New Roman"/>
                <w:color w:val="000000" w:themeColor="text1"/>
                <w14:textFill>
                  <w14:solidFill>
                    <w14:schemeClr w14:val="tx1"/>
                  </w14:solidFill>
                </w14:textFill>
              </w:rPr>
              <w:t>（昌吉回族自治州</w:t>
            </w:r>
            <w:r>
              <w:rPr>
                <w:rFonts w:hint="eastAsia" w:cs="Times New Roman"/>
                <w:color w:val="000000" w:themeColor="text1"/>
                <w:lang w:val="en-US" w:eastAsia="zh-CN"/>
                <w14:textFill>
                  <w14:solidFill>
                    <w14:schemeClr w14:val="tx1"/>
                  </w14:solidFill>
                </w14:textFill>
              </w:rPr>
              <w:t>昌吉</w:t>
            </w:r>
            <w:r>
              <w:rPr>
                <w:rFonts w:hint="eastAsia" w:ascii="Times New Roman" w:hAnsi="Times New Roman" w:eastAsia="宋体" w:cs="Times New Roman"/>
                <w:color w:val="000000" w:themeColor="text1"/>
                <w14:textFill>
                  <w14:solidFill>
                    <w14:schemeClr w14:val="tx1"/>
                  </w14:solidFill>
                </w14:textFill>
              </w:rPr>
              <w:t>市重点管控单元）</w:t>
            </w:r>
            <w:r>
              <w:rPr>
                <w:rFonts w:hint="eastAsia" w:ascii="Times New Roman" w:hAnsi="Times New Roman" w:eastAsia="宋体" w:cs="Times New Roman"/>
                <w:color w:val="000000" w:themeColor="text1"/>
                <w:lang w:val="en-US" w:eastAsia="zh-CN"/>
                <w14:textFill>
                  <w14:solidFill>
                    <w14:schemeClr w14:val="tx1"/>
                  </w14:solidFill>
                </w14:textFill>
              </w:rPr>
              <w:t>，环境管</w:t>
            </w:r>
            <w:r>
              <w:rPr>
                <w:rFonts w:hint="eastAsia" w:cs="Times New Roman"/>
                <w:color w:val="000000" w:themeColor="text1"/>
                <w:lang w:val="en-US" w:eastAsia="zh-CN"/>
                <w14:textFill>
                  <w14:solidFill>
                    <w14:schemeClr w14:val="tx1"/>
                  </w14:solidFill>
                </w14:textFill>
              </w:rPr>
              <w:t>控单元编码为：ZH65230120002，昌吉回族自治州环境管控单元分类图详见</w:t>
            </w:r>
            <w:r>
              <w:rPr>
                <w:rFonts w:hint="eastAsia" w:cs="Times New Roman"/>
                <w:b/>
                <w:bCs/>
                <w:color w:val="000000" w:themeColor="text1"/>
                <w:lang w:val="en-US" w:eastAsia="zh-CN"/>
                <w14:textFill>
                  <w14:solidFill>
                    <w14:schemeClr w14:val="tx1"/>
                  </w14:solidFill>
                </w14:textFill>
              </w:rPr>
              <w:t>附图3</w:t>
            </w:r>
            <w:r>
              <w:rPr>
                <w:rFonts w:hint="eastAsia" w:cs="Times New Roman"/>
                <w:color w:val="000000" w:themeColor="text1"/>
                <w:lang w:val="en-US" w:eastAsia="zh-CN"/>
                <w14:textFill>
                  <w14:solidFill>
                    <w14:schemeClr w14:val="tx1"/>
                  </w14:solidFill>
                </w14:textFill>
              </w:rPr>
              <w:t>，</w:t>
            </w:r>
            <w:r>
              <w:rPr>
                <w:rFonts w:hint="eastAsia" w:cs="Times New Roman"/>
                <w:color w:val="000000" w:themeColor="text1"/>
                <w14:textFill>
                  <w14:solidFill>
                    <w14:schemeClr w14:val="tx1"/>
                  </w14:solidFill>
                </w14:textFill>
              </w:rPr>
              <w:t>本项目与其符合情况见下表1-</w:t>
            </w:r>
            <w:r>
              <w:rPr>
                <w:rFonts w:hint="eastAsia" w:cs="Times New Roman"/>
                <w:color w:val="000000" w:themeColor="text1"/>
                <w:lang w:val="en-US" w:eastAsia="zh-CN"/>
                <w14:textFill>
                  <w14:solidFill>
                    <w14:schemeClr w14:val="tx1"/>
                  </w14:solidFill>
                </w14:textFill>
              </w:rPr>
              <w:t>2</w:t>
            </w:r>
            <w:r>
              <w:rPr>
                <w:rFonts w:hint="eastAsia" w:cs="Times New Roman"/>
                <w:color w:val="000000" w:themeColor="text1"/>
                <w14:textFill>
                  <w14:solidFill>
                    <w14:schemeClr w14:val="tx1"/>
                  </w14:solidFill>
                </w14:textFill>
              </w:rPr>
              <w:t>。</w:t>
            </w:r>
          </w:p>
          <w:p>
            <w:pPr>
              <w:pStyle w:val="44"/>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表</w:t>
            </w:r>
            <w:r>
              <w:rPr>
                <w:rFonts w:hint="eastAsia"/>
                <w:color w:val="000000" w:themeColor="text1"/>
                <w:sz w:val="21"/>
                <w:szCs w:val="21"/>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2</w:t>
            </w:r>
            <w:r>
              <w:rPr>
                <w:color w:val="000000" w:themeColor="text1"/>
                <w:sz w:val="21"/>
                <w:szCs w:val="21"/>
                <w14:textFill>
                  <w14:solidFill>
                    <w14:schemeClr w14:val="tx1"/>
                  </w14:solidFill>
                </w14:textFill>
              </w:rPr>
              <w:t xml:space="preserve">   与</w:t>
            </w:r>
            <w:r>
              <w:rPr>
                <w:rFonts w:hint="eastAsia"/>
                <w:color w:val="000000" w:themeColor="text1"/>
                <w:sz w:val="21"/>
                <w:szCs w:val="21"/>
                <w:lang w:val="en-US" w:eastAsia="zh-CN"/>
                <w14:textFill>
                  <w14:solidFill>
                    <w14:schemeClr w14:val="tx1"/>
                  </w14:solidFill>
                </w14:textFill>
              </w:rPr>
              <w:t>《昌吉回族自治州生态环境分区管控动态更新成果》</w:t>
            </w:r>
            <w:r>
              <w:rPr>
                <w:color w:val="000000" w:themeColor="text1"/>
                <w:sz w:val="21"/>
                <w:szCs w:val="21"/>
                <w14:textFill>
                  <w14:solidFill>
                    <w14:schemeClr w14:val="tx1"/>
                  </w14:solidFill>
                </w14:textFill>
              </w:rPr>
              <w:t>符合性分析一览表</w:t>
            </w:r>
          </w:p>
          <w:tbl>
            <w:tblPr>
              <w:tblStyle w:val="32"/>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3128"/>
              <w:gridCol w:w="1971"/>
              <w:gridCol w:w="7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19" w:type="pct"/>
                  <w:gridSpan w:val="2"/>
                  <w:tcBorders>
                    <w:bottom w:val="single" w:color="auto" w:sz="12" w:space="0"/>
                  </w:tcBorders>
                  <w:vAlign w:val="center"/>
                </w:tcPr>
                <w:p>
                  <w:pPr>
                    <w:pStyle w:val="45"/>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管控要求</w:t>
                  </w:r>
                </w:p>
              </w:tc>
              <w:tc>
                <w:tcPr>
                  <w:tcW w:w="1496" w:type="pct"/>
                  <w:tcBorders>
                    <w:bottom w:val="single" w:color="auto" w:sz="12" w:space="0"/>
                  </w:tcBorders>
                  <w:vAlign w:val="center"/>
                </w:tcPr>
                <w:p>
                  <w:pPr>
                    <w:pStyle w:val="45"/>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本项目工程概况</w:t>
                  </w:r>
                </w:p>
              </w:tc>
              <w:tc>
                <w:tcPr>
                  <w:tcW w:w="584" w:type="pct"/>
                  <w:tcBorders>
                    <w:bottom w:val="single" w:color="auto" w:sz="12" w:space="0"/>
                  </w:tcBorders>
                  <w:vAlign w:val="center"/>
                </w:tcPr>
                <w:p>
                  <w:pPr>
                    <w:pStyle w:val="45"/>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5" w:type="pct"/>
                  <w:tcBorders>
                    <w:top w:val="single" w:color="auto" w:sz="12" w:space="0"/>
                  </w:tcBorders>
                  <w:vAlign w:val="center"/>
                </w:tcPr>
                <w:p>
                  <w:pPr>
                    <w:pStyle w:val="45"/>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空间布局约束</w:t>
                  </w:r>
                </w:p>
              </w:tc>
              <w:tc>
                <w:tcPr>
                  <w:tcW w:w="2373" w:type="pct"/>
                  <w:tcBorders>
                    <w:top w:val="single" w:color="auto" w:sz="12" w:space="0"/>
                  </w:tcBorders>
                  <w:vAlign w:val="center"/>
                </w:tcPr>
                <w:p>
                  <w:pPr>
                    <w:pStyle w:val="45"/>
                    <w:numPr>
                      <w:ilvl w:val="0"/>
                      <w:numId w:val="0"/>
                    </w:numPr>
                    <w:jc w:val="both"/>
                    <w:rPr>
                      <w:rFonts w:hint="eastAsia"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w:t>
                  </w:r>
                  <w:r>
                    <w:rPr>
                      <w:rFonts w:hint="eastAsia" w:eastAsia="宋体"/>
                      <w:color w:val="000000" w:themeColor="text1"/>
                      <w:sz w:val="21"/>
                      <w:szCs w:val="21"/>
                      <w:lang w:val="en-US" w:eastAsia="zh-CN"/>
                      <w14:textFill>
                        <w14:solidFill>
                          <w14:schemeClr w14:val="tx1"/>
                        </w14:solidFill>
                      </w14:textFill>
                    </w:rPr>
                    <w:t>入园企业须符合园区产业发展定位、布局规划等要求。</w:t>
                  </w:r>
                </w:p>
                <w:p>
                  <w:pPr>
                    <w:pStyle w:val="45"/>
                    <w:numPr>
                      <w:ilvl w:val="0"/>
                      <w:numId w:val="0"/>
                    </w:numPr>
                    <w:jc w:val="both"/>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2、入园企业须符合国土空间规划的布局及土地利用等相关要求。</w:t>
                  </w:r>
                </w:p>
                <w:p>
                  <w:pPr>
                    <w:pStyle w:val="45"/>
                    <w:numPr>
                      <w:ilvl w:val="0"/>
                      <w:numId w:val="0"/>
                    </w:numPr>
                    <w:jc w:val="both"/>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3、园区入驻项目须满足《新疆维吾尔自治区重点行业生态环境准入条件（2024年）》相关要求。</w:t>
                  </w:r>
                </w:p>
                <w:p>
                  <w:pPr>
                    <w:pStyle w:val="45"/>
                    <w:numPr>
                      <w:ilvl w:val="0"/>
                      <w:numId w:val="0"/>
                    </w:numPr>
                    <w:jc w:val="both"/>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4、园区入驻项目须严格执行园区规划及规划环评相关要求。</w:t>
                  </w:r>
                </w:p>
                <w:p>
                  <w:pPr>
                    <w:pStyle w:val="45"/>
                    <w:numPr>
                      <w:ilvl w:val="0"/>
                      <w:numId w:val="0"/>
                    </w:numPr>
                    <w:jc w:val="both"/>
                    <w:rPr>
                      <w:rFonts w:hint="eastAsia"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5、除国家规定新增原料用能不纳入能源消费总量控制的项目和列入国家规划的项目外，“乌-昌-石”等重点区域原则不再新建、扩建使用燃料用煤项目。</w:t>
                  </w:r>
                </w:p>
              </w:tc>
              <w:tc>
                <w:tcPr>
                  <w:tcW w:w="1496" w:type="pct"/>
                  <w:tcBorders>
                    <w:top w:val="single" w:color="auto" w:sz="12" w:space="0"/>
                  </w:tcBorders>
                  <w:vAlign w:val="center"/>
                </w:tcPr>
                <w:p>
                  <w:pPr>
                    <w:pStyle w:val="45"/>
                    <w:jc w:val="both"/>
                    <w:rPr>
                      <w:rFonts w:hint="default"/>
                      <w:b w:val="0"/>
                      <w:bCs w:val="0"/>
                      <w:color w:val="000000" w:themeColor="text1"/>
                      <w:sz w:val="21"/>
                      <w:szCs w:val="21"/>
                      <w:lang w:val="en-US" w:eastAsia="zh-CN"/>
                      <w14:textFill>
                        <w14:solidFill>
                          <w14:schemeClr w14:val="tx1"/>
                        </w14:solidFill>
                      </w14:textFill>
                    </w:rPr>
                  </w:pPr>
                  <w:r>
                    <w:rPr>
                      <w:rFonts w:hint="default"/>
                      <w:b w:val="0"/>
                      <w:bCs w:val="0"/>
                      <w:color w:val="000000" w:themeColor="text1"/>
                      <w:sz w:val="21"/>
                      <w:szCs w:val="21"/>
                      <w:lang w:val="en-US" w:eastAsia="zh-CN"/>
                      <w14:textFill>
                        <w14:solidFill>
                          <w14:schemeClr w14:val="tx1"/>
                        </w14:solidFill>
                      </w14:textFill>
                    </w:rPr>
                    <w:t>1、符合园区产业发展定位、布局规划等要求。</w:t>
                  </w:r>
                </w:p>
                <w:p>
                  <w:pPr>
                    <w:pStyle w:val="45"/>
                    <w:jc w:val="both"/>
                    <w:rPr>
                      <w:rFonts w:hint="default"/>
                      <w:b w:val="0"/>
                      <w:bCs w:val="0"/>
                      <w:color w:val="000000" w:themeColor="text1"/>
                      <w:sz w:val="21"/>
                      <w:szCs w:val="21"/>
                      <w:lang w:val="en-US" w:eastAsia="zh-CN"/>
                      <w14:textFill>
                        <w14:solidFill>
                          <w14:schemeClr w14:val="tx1"/>
                        </w14:solidFill>
                      </w14:textFill>
                    </w:rPr>
                  </w:pPr>
                  <w:r>
                    <w:rPr>
                      <w:rFonts w:hint="default"/>
                      <w:b w:val="0"/>
                      <w:bCs w:val="0"/>
                      <w:color w:val="000000" w:themeColor="text1"/>
                      <w:sz w:val="21"/>
                      <w:szCs w:val="21"/>
                      <w:lang w:val="en-US" w:eastAsia="zh-CN"/>
                      <w14:textFill>
                        <w14:solidFill>
                          <w14:schemeClr w14:val="tx1"/>
                        </w14:solidFill>
                      </w14:textFill>
                    </w:rPr>
                    <w:t>2、符合国土空间规划的布局及土地利用等相关要求。</w:t>
                  </w:r>
                </w:p>
                <w:p>
                  <w:pPr>
                    <w:pStyle w:val="45"/>
                    <w:jc w:val="both"/>
                    <w:rPr>
                      <w:rFonts w:hint="default"/>
                      <w:b w:val="0"/>
                      <w:bCs w:val="0"/>
                      <w:color w:val="000000" w:themeColor="text1"/>
                      <w:sz w:val="21"/>
                      <w:szCs w:val="21"/>
                      <w:lang w:val="en-US" w:eastAsia="zh-CN"/>
                      <w14:textFill>
                        <w14:solidFill>
                          <w14:schemeClr w14:val="tx1"/>
                        </w14:solidFill>
                      </w14:textFill>
                    </w:rPr>
                  </w:pPr>
                  <w:r>
                    <w:rPr>
                      <w:rFonts w:hint="default"/>
                      <w:b w:val="0"/>
                      <w:bCs w:val="0"/>
                      <w:color w:val="000000" w:themeColor="text1"/>
                      <w:sz w:val="21"/>
                      <w:szCs w:val="21"/>
                      <w:lang w:val="en-US" w:eastAsia="zh-CN"/>
                      <w14:textFill>
                        <w14:solidFill>
                          <w14:schemeClr w14:val="tx1"/>
                        </w14:solidFill>
                      </w14:textFill>
                    </w:rPr>
                    <w:t>3、本项目不属于《新疆维吾尔自治区重点行业生态环境准入条件（2024年）》中的重点行业。</w:t>
                  </w:r>
                </w:p>
                <w:p>
                  <w:pPr>
                    <w:pStyle w:val="45"/>
                    <w:jc w:val="both"/>
                    <w:rPr>
                      <w:rFonts w:hint="default"/>
                      <w:b w:val="0"/>
                      <w:bCs w:val="0"/>
                      <w:color w:val="000000" w:themeColor="text1"/>
                      <w:sz w:val="21"/>
                      <w:szCs w:val="21"/>
                      <w:lang w:val="en-US" w:eastAsia="zh-CN"/>
                      <w14:textFill>
                        <w14:solidFill>
                          <w14:schemeClr w14:val="tx1"/>
                        </w14:solidFill>
                      </w14:textFill>
                    </w:rPr>
                  </w:pPr>
                  <w:r>
                    <w:rPr>
                      <w:rFonts w:hint="default"/>
                      <w:b w:val="0"/>
                      <w:bCs w:val="0"/>
                      <w:color w:val="000000" w:themeColor="text1"/>
                      <w:sz w:val="21"/>
                      <w:szCs w:val="21"/>
                      <w:lang w:val="en-US" w:eastAsia="zh-CN"/>
                      <w14:textFill>
                        <w14:solidFill>
                          <w14:schemeClr w14:val="tx1"/>
                        </w14:solidFill>
                      </w14:textFill>
                    </w:rPr>
                    <w:t>4、</w:t>
                  </w:r>
                  <w:r>
                    <w:rPr>
                      <w:rFonts w:hint="eastAsia"/>
                      <w:b w:val="0"/>
                      <w:bCs w:val="0"/>
                      <w:color w:val="000000" w:themeColor="text1"/>
                      <w:sz w:val="21"/>
                      <w:szCs w:val="21"/>
                      <w:lang w:val="en-US" w:eastAsia="zh-CN"/>
                      <w14:textFill>
                        <w14:solidFill>
                          <w14:schemeClr w14:val="tx1"/>
                        </w14:solidFill>
                      </w14:textFill>
                    </w:rPr>
                    <w:t>本项目</w:t>
                  </w:r>
                  <w:r>
                    <w:rPr>
                      <w:rFonts w:hint="default"/>
                      <w:b w:val="0"/>
                      <w:bCs w:val="0"/>
                      <w:color w:val="000000" w:themeColor="text1"/>
                      <w:sz w:val="21"/>
                      <w:szCs w:val="21"/>
                      <w:lang w:val="en-US" w:eastAsia="zh-CN"/>
                      <w14:textFill>
                        <w14:solidFill>
                          <w14:schemeClr w14:val="tx1"/>
                        </w14:solidFill>
                      </w14:textFill>
                    </w:rPr>
                    <w:t>位于昌吉高新技术产业开发区装备制造产业区，符合园区规划。5、燃料为天然气，不涉及燃料用煤项目</w:t>
                  </w:r>
                  <w:r>
                    <w:rPr>
                      <w:rFonts w:hint="eastAsia"/>
                      <w:b w:val="0"/>
                      <w:bCs w:val="0"/>
                      <w:color w:val="000000" w:themeColor="text1"/>
                      <w:sz w:val="21"/>
                      <w:szCs w:val="21"/>
                      <w:lang w:val="en-US" w:eastAsia="zh-CN"/>
                      <w14:textFill>
                        <w14:solidFill>
                          <w14:schemeClr w14:val="tx1"/>
                        </w14:solidFill>
                      </w14:textFill>
                    </w:rPr>
                    <w:t>。</w:t>
                  </w:r>
                </w:p>
              </w:tc>
              <w:tc>
                <w:tcPr>
                  <w:tcW w:w="584" w:type="pct"/>
                  <w:tcBorders>
                    <w:top w:val="single" w:color="auto" w:sz="12" w:space="0"/>
                  </w:tcBorders>
                  <w:vAlign w:val="center"/>
                </w:tcPr>
                <w:p>
                  <w:pPr>
                    <w:jc w:val="center"/>
                    <w:rPr>
                      <w:rFonts w:hint="eastAsia" w:eastAsia="宋体"/>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5" w:type="pct"/>
                  <w:tcBorders>
                    <w:tl2br w:val="nil"/>
                    <w:tr2bl w:val="nil"/>
                  </w:tcBorders>
                  <w:vAlign w:val="center"/>
                </w:tcPr>
                <w:p>
                  <w:pPr>
                    <w:pStyle w:val="45"/>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污染物排放管控</w:t>
                  </w:r>
                </w:p>
              </w:tc>
              <w:tc>
                <w:tcPr>
                  <w:tcW w:w="2373" w:type="pct"/>
                  <w:tcBorders>
                    <w:tl2br w:val="nil"/>
                    <w:tr2bl w:val="nil"/>
                  </w:tcBorders>
                  <w:vAlign w:val="center"/>
                </w:tcPr>
                <w:p>
                  <w:pPr>
                    <w:pStyle w:val="45"/>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1、聚焦采暖期重污染天气治理，加大重点区域、重点行业结构调整和污染治理力度。</w:t>
                  </w:r>
                </w:p>
                <w:p>
                  <w:pPr>
                    <w:pStyle w:val="45"/>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2、新（改、扩）建项目应执行最严格的大气污染物排放标准。</w:t>
                  </w:r>
                </w:p>
                <w:p>
                  <w:pPr>
                    <w:pStyle w:val="45"/>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3、“乌-昌-石”区域内，已实施超低排放的涉气排污单位，其实施超低排放改造的污染因子执行超低排放限值，其他污染因子执行特别排放限值和特别控制要求。</w:t>
                  </w:r>
                </w:p>
                <w:p>
                  <w:pPr>
                    <w:pStyle w:val="45"/>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4、推动园区企业绿色发展，严格落实水污染物排放标准。</w:t>
                  </w:r>
                </w:p>
                <w:p>
                  <w:pPr>
                    <w:pStyle w:val="45"/>
                    <w:jc w:val="both"/>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5、严格实施污染物排放总量控制要求；全面深化面源污染治理，积极推进绿色施工。</w:t>
                  </w:r>
                </w:p>
              </w:tc>
              <w:tc>
                <w:tcPr>
                  <w:tcW w:w="1496" w:type="pct"/>
                  <w:tcBorders>
                    <w:tl2br w:val="nil"/>
                    <w:tr2bl w:val="nil"/>
                  </w:tcBorders>
                  <w:vAlign w:val="center"/>
                </w:tcPr>
                <w:p>
                  <w:pPr>
                    <w:pStyle w:val="46"/>
                    <w:ind w:left="0" w:leftChars="0" w:firstLine="0" w:firstLineChars="0"/>
                    <w:jc w:val="both"/>
                    <w:rPr>
                      <w:rFonts w:hint="eastAsia"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1、本项目采暖由园区供给。</w:t>
                  </w:r>
                </w:p>
                <w:p>
                  <w:pPr>
                    <w:pStyle w:val="46"/>
                    <w:ind w:left="0" w:leftChars="0" w:firstLine="0" w:firstLineChars="0"/>
                    <w:jc w:val="both"/>
                    <w:rPr>
                      <w:rFonts w:hint="eastAsia"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2、废气执行最严格大气污染物排放标准。</w:t>
                  </w:r>
                </w:p>
                <w:p>
                  <w:pPr>
                    <w:pStyle w:val="46"/>
                    <w:ind w:left="0" w:leftChars="0" w:firstLine="0" w:firstLineChars="0"/>
                    <w:jc w:val="both"/>
                    <w:rPr>
                      <w:rFonts w:hint="eastAsia"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3、废气执行特别排放限值。</w:t>
                  </w:r>
                </w:p>
                <w:p>
                  <w:pPr>
                    <w:pStyle w:val="46"/>
                    <w:ind w:left="0" w:leftChars="0" w:firstLine="0" w:firstLineChars="0"/>
                    <w:jc w:val="both"/>
                    <w:rPr>
                      <w:rFonts w:hint="eastAsia"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4、本项目严格落实水污染物排放标准。</w:t>
                  </w:r>
                </w:p>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5、严格落实污染物总量控制要求；全面深化面源污染治理，积极推进绿色施工。</w:t>
                  </w:r>
                </w:p>
              </w:tc>
              <w:tc>
                <w:tcPr>
                  <w:tcW w:w="584" w:type="pct"/>
                  <w:tcBorders>
                    <w:tl2br w:val="nil"/>
                    <w:tr2bl w:val="nil"/>
                  </w:tcBorders>
                  <w:vAlign w:val="center"/>
                </w:tcPr>
                <w:p>
                  <w:pPr>
                    <w:jc w:val="center"/>
                    <w:rPr>
                      <w:color w:val="000000" w:themeColor="text1"/>
                      <w:sz w:val="21"/>
                      <w:szCs w:val="21"/>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5" w:type="pct"/>
                  <w:tcBorders>
                    <w:tl2br w:val="nil"/>
                    <w:tr2bl w:val="nil"/>
                  </w:tcBorders>
                  <w:vAlign w:val="center"/>
                </w:tcPr>
                <w:p>
                  <w:pPr>
                    <w:pStyle w:val="45"/>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环境风险防控</w:t>
                  </w:r>
                </w:p>
              </w:tc>
              <w:tc>
                <w:tcPr>
                  <w:tcW w:w="2373" w:type="pct"/>
                  <w:tcBorders>
                    <w:tl2br w:val="nil"/>
                    <w:tr2bl w:val="nil"/>
                  </w:tcBorders>
                  <w:vAlign w:val="center"/>
                </w:tcPr>
                <w:p>
                  <w:pPr>
                    <w:pStyle w:val="45"/>
                    <w:jc w:val="both"/>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1、园区应设立环境应急管理机构，建立环境风险监管制度、环境风险预警制度、突发环境事件应急预案、环境风险应急保障制度等环境风险防控体系，并具备环境风险应急救援能力。</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本项目取得环评批复后企业应立即进行突发环境事件应急预案的修编。</w:t>
                  </w:r>
                </w:p>
              </w:tc>
              <w:tc>
                <w:tcPr>
                  <w:tcW w:w="584" w:type="pct"/>
                  <w:tcBorders>
                    <w:tl2br w:val="nil"/>
                    <w:tr2bl w:val="nil"/>
                  </w:tcBorders>
                  <w:vAlign w:val="center"/>
                </w:tcPr>
                <w:p>
                  <w:pPr>
                    <w:jc w:val="center"/>
                    <w:rPr>
                      <w:color w:val="000000" w:themeColor="text1"/>
                      <w:sz w:val="21"/>
                      <w:szCs w:val="21"/>
                      <w14:textFill>
                        <w14:solidFill>
                          <w14:schemeClr w14:val="tx1"/>
                        </w14:solidFill>
                      </w14:textFill>
                    </w:rPr>
                  </w:pPr>
                  <w:r>
                    <w:rPr>
                      <w:b w:val="0"/>
                      <w:bCs/>
                      <w:color w:val="000000" w:themeColor="text1"/>
                      <w:sz w:val="21"/>
                      <w:szCs w:val="21"/>
                      <w14:textFill>
                        <w14:solidFill>
                          <w14:schemeClr w14:val="tx1"/>
                        </w14:solidFill>
                      </w14:textFill>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5" w:type="pct"/>
                  <w:tcBorders>
                    <w:tl2br w:val="nil"/>
                    <w:tr2bl w:val="nil"/>
                  </w:tcBorders>
                  <w:vAlign w:val="center"/>
                </w:tcPr>
                <w:p>
                  <w:pPr>
                    <w:pStyle w:val="45"/>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资源利用效率要求</w:t>
                  </w:r>
                </w:p>
              </w:tc>
              <w:tc>
                <w:tcPr>
                  <w:tcW w:w="2373" w:type="pct"/>
                  <w:tcBorders>
                    <w:tl2br w:val="nil"/>
                    <w:tr2bl w:val="nil"/>
                  </w:tcBorders>
                  <w:vAlign w:val="center"/>
                </w:tcPr>
                <w:p>
                  <w:pPr>
                    <w:pStyle w:val="46"/>
                    <w:numPr>
                      <w:ilvl w:val="0"/>
                      <w:numId w:val="0"/>
                    </w:numPr>
                    <w:jc w:val="both"/>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1、严守水资源开发利用控制、用水效率控制和水功能区限制纳污“三条红线”，严格实行区域用水总量和强度控制，强化用水定额管理。</w:t>
                  </w:r>
                </w:p>
                <w:p>
                  <w:pPr>
                    <w:pStyle w:val="46"/>
                    <w:numPr>
                      <w:ilvl w:val="0"/>
                      <w:numId w:val="0"/>
                    </w:numPr>
                    <w:jc w:val="both"/>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2、推行清洁生产、降低生产水耗、从源头上控制污染物的产生。</w:t>
                  </w:r>
                </w:p>
                <w:p>
                  <w:pPr>
                    <w:pStyle w:val="46"/>
                    <w:numPr>
                      <w:ilvl w:val="0"/>
                      <w:numId w:val="0"/>
                    </w:numPr>
                    <w:jc w:val="both"/>
                    <w:rPr>
                      <w:rFonts w:hint="eastAsia"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3、加强能耗“双控”管理，优化能源消费结构。严格合理控制煤炭消费增长，精准测算原料煤、动力煤，新增原料用能不纳入能源消费总量控制。</w:t>
                  </w:r>
                </w:p>
              </w:tc>
              <w:tc>
                <w:tcPr>
                  <w:tcW w:w="1496" w:type="pct"/>
                  <w:tcBorders>
                    <w:tl2br w:val="nil"/>
                    <w:tr2bl w:val="nil"/>
                  </w:tcBorders>
                  <w:vAlign w:val="center"/>
                </w:tcPr>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1、本项目不属于高能耗、高污染项目，项目生活生产用水由园区管网提供。</w:t>
                  </w:r>
                </w:p>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2、本项目的生产过程中未采用煤炭等高污染类燃料，所有生产用水均转化为产品组成部分，废水无外排。</w:t>
                  </w:r>
                </w:p>
                <w:p>
                  <w:pPr>
                    <w:pStyle w:val="46"/>
                    <w:ind w:left="0" w:leftChars="0" w:firstLine="0" w:firstLineChars="0"/>
                    <w:jc w:val="both"/>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3、项目用电依托园区，不使用燃料</w:t>
                  </w:r>
                  <w:r>
                    <w:rPr>
                      <w:rFonts w:hint="eastAsia" w:cs="Times New Roman"/>
                      <w:b w:val="0"/>
                      <w:bCs w:val="0"/>
                      <w:color w:val="000000" w:themeColor="text1"/>
                      <w:kern w:val="2"/>
                      <w:sz w:val="21"/>
                      <w:szCs w:val="21"/>
                      <w:lang w:val="en-US" w:eastAsia="zh-CN" w:bidi="ar-SA"/>
                      <w14:textFill>
                        <w14:solidFill>
                          <w14:schemeClr w14:val="tx1"/>
                        </w14:solidFill>
                      </w14:textFill>
                    </w:rPr>
                    <w:t>。</w:t>
                  </w:r>
                </w:p>
              </w:tc>
              <w:tc>
                <w:tcPr>
                  <w:tcW w:w="584" w:type="pct"/>
                  <w:tcBorders>
                    <w:tl2br w:val="nil"/>
                    <w:tr2bl w:val="nil"/>
                  </w:tcBorders>
                  <w:vAlign w:val="center"/>
                </w:tcPr>
                <w:p>
                  <w:pPr>
                    <w:pStyle w:val="45"/>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符合</w:t>
                  </w:r>
                </w:p>
              </w:tc>
            </w:tr>
          </w:tbl>
          <w:p>
            <w:pPr>
              <w:pStyle w:val="7"/>
              <w:numPr>
                <w:ilvl w:val="0"/>
                <w:numId w:val="0"/>
              </w:numPr>
              <w:spacing w:line="360" w:lineRule="auto"/>
              <w:jc w:val="both"/>
              <w:outlineLvl w:val="1"/>
              <w:rPr>
                <w:rFonts w:hint="default"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 xml:space="preserve">3 </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与《新疆生态环境保护“十四五”规划》</w:t>
            </w:r>
            <w:r>
              <w:rPr>
                <w:rFonts w:hint="eastAsia" w:cs="Times New Roman"/>
                <w:b/>
                <w:bCs/>
                <w:color w:val="000000" w:themeColor="text1"/>
                <w:kern w:val="2"/>
                <w:sz w:val="24"/>
                <w:szCs w:val="24"/>
                <w:lang w:val="en-US" w:eastAsia="zh-CN" w:bidi="ar-SA"/>
                <w14:textFill>
                  <w14:solidFill>
                    <w14:schemeClr w14:val="tx1"/>
                  </w14:solidFill>
                </w14:textFill>
              </w:rPr>
              <w:t>符合性分析</w:t>
            </w:r>
          </w:p>
          <w:p>
            <w:pPr>
              <w:pStyle w:val="27"/>
              <w:bidi w:val="0"/>
              <w:jc w:val="both"/>
              <w:rPr>
                <w:rFonts w:hint="eastAsia" w:cs="Times New Roman"/>
                <w:b w:val="0"/>
                <w:bCs w:val="0"/>
                <w:color w:val="000000" w:themeColor="text1"/>
                <w:kern w:val="0"/>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14:textFill>
                  <w14:solidFill>
                    <w14:schemeClr w14:val="tx1"/>
                  </w14:solidFill>
                </w14:textFill>
              </w:rPr>
              <w:t>《新疆生态环境保护“十四五”规划》中要求“实施最严格的生态保护制度。坚决遏制“两高”项目盲目发展，严格执行能源、矿产资源开发自治区人民政府“一支笔”审批制度、环境保护“一票否决”制度，落实“三线一单”生态环境分区管控要求；按照宜电则电、宜气则气的原则，继续推进“电气化新疆”建设，实施清洁能源行动计划；加快非化石能源发展，推进风电和太阳能发电基地建设，积极开发分布式太阳能发电和分散式风电”。</w:t>
            </w:r>
          </w:p>
          <w:p>
            <w:pPr>
              <w:pStyle w:val="27"/>
              <w:bidi w:val="0"/>
              <w:jc w:val="both"/>
              <w:rPr>
                <w:rFonts w:hint="eastAsia" w:cs="Times New Roman"/>
                <w:b w:val="0"/>
                <w:bCs w:val="0"/>
                <w:color w:val="000000" w:themeColor="text1"/>
                <w:kern w:val="0"/>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14:textFill>
                  <w14:solidFill>
                    <w14:schemeClr w14:val="tx1"/>
                  </w14:solidFill>
                </w14:textFill>
              </w:rPr>
              <w:t>本项目位于新疆维吾尔自治区昌吉回族自治州昌吉国家高新技术产业开发区经一路和创业大道交汇处特变电工智能电缆产业园内，项目生产过程主要采用天然气和电等清洁能源，各生产环节废气均采取了严格的污染控制措施，可保证达标排放，不会对环境造成巨大影响，满足《新疆生态环境保护“十四五”规划》要求。</w:t>
            </w:r>
          </w:p>
          <w:p>
            <w:pPr>
              <w:pStyle w:val="7"/>
              <w:numPr>
                <w:ilvl w:val="0"/>
                <w:numId w:val="0"/>
              </w:numPr>
              <w:spacing w:line="360" w:lineRule="auto"/>
              <w:jc w:val="both"/>
              <w:outlineLvl w:val="1"/>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4 与《昌吉回族自治州生态环境保护“十四五”规划》符合性分析</w:t>
            </w:r>
          </w:p>
          <w:p>
            <w:pPr>
              <w:pStyle w:val="27"/>
              <w:bidi w:val="0"/>
              <w:jc w:val="both"/>
              <w:rPr>
                <w:rFonts w:hint="eastAsia" w:cs="Times New Roman"/>
                <w:b w:val="0"/>
                <w:bCs w:val="0"/>
                <w:color w:val="000000" w:themeColor="text1"/>
                <w:kern w:val="0"/>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14:textFill>
                  <w14:solidFill>
                    <w14:schemeClr w14:val="tx1"/>
                  </w14:solidFill>
                </w14:textFill>
              </w:rPr>
              <w:t>文件重点任务指出：“推进石化、化工、工业涂装、家具制造、塑料、橡胶、包装印刷、汽修等重点 行业领域VOCs整治，加强VOCs源头、过程、末端全流程控制，重点 加强对光化学反应活性强的VOCs物质控制，开展企业深度治理和精细 化管控。</w:t>
            </w:r>
          </w:p>
          <w:p>
            <w:pPr>
              <w:pStyle w:val="27"/>
              <w:bidi w:val="0"/>
              <w:jc w:val="both"/>
              <w:rPr>
                <w:rFonts w:hint="eastAsia" w:cs="Times New Roman"/>
                <w:b w:val="0"/>
                <w:bCs w:val="0"/>
                <w:color w:val="000000" w:themeColor="text1"/>
                <w:kern w:val="0"/>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14:textFill>
                  <w14:solidFill>
                    <w14:schemeClr w14:val="tx1"/>
                  </w14:solidFill>
                </w14:textFill>
              </w:rPr>
              <w:t>本项目为有色金属压延、电线电缆制造项目，不属于重点行业，且废气经处理后可达标排放，满足《昌吉回族自治州生态环境保护“十四五”规划》要求。</w:t>
            </w:r>
          </w:p>
          <w:p>
            <w:pPr>
              <w:pStyle w:val="7"/>
              <w:numPr>
                <w:ilvl w:val="0"/>
                <w:numId w:val="0"/>
              </w:numPr>
              <w:spacing w:line="360" w:lineRule="auto"/>
              <w:jc w:val="both"/>
              <w:outlineLvl w:val="1"/>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5</w:t>
            </w: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 xml:space="preserve"> 与《新疆维吾尔自治区环境保护条例》符合性分析</w:t>
            </w:r>
          </w:p>
          <w:p>
            <w:pPr>
              <w:pStyle w:val="27"/>
              <w:bidi w:val="0"/>
              <w:jc w:val="both"/>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企业事业单位应当履行下列环境保护工作责任：（一）建立并落实环境保护责任制，明确单位负责人和相关人员的 环境保护责任；（二）建立内部环境保护工作机构或者确定环境保护工作人员；（三）制定完善内部环境保护管理制度、污染防治设施操作规程；（四）保证生产环节符合环境保护法律法规和技术规范的要求，保障污染防治设施正常运行；（五）建立环境保护工作档案；（六）建立健全环境应急和环境风险防范机制，及时消除环境安全隐患；（七）其 他应当履行的环境保护工作责任。</w:t>
            </w:r>
          </w:p>
          <w:p>
            <w:pPr>
              <w:pStyle w:val="27"/>
              <w:bidi w:val="0"/>
              <w:jc w:val="both"/>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本项目环评要求：建设单位建立专职的安全与环境管理部门并配备专职人员，建立对环境保护专业人员负责管理，建设完善的环境保护管理制度，确保环境保护制度的落实，符合相关条例的要求。</w:t>
            </w:r>
          </w:p>
          <w:p>
            <w:pPr>
              <w:pStyle w:val="27"/>
              <w:bidi w:val="0"/>
              <w:ind w:left="0" w:leftChars="0" w:firstLine="0" w:firstLineChars="0"/>
              <w:jc w:val="both"/>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6</w:t>
            </w: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 xml:space="preserve"> 与《新疆维吾尔自治区大气污染防治条例》符合性分析</w:t>
            </w:r>
          </w:p>
          <w:p>
            <w:pPr>
              <w:pStyle w:val="27"/>
              <w:bidi w:val="0"/>
              <w:jc w:val="both"/>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根据《新疆维吾尔自治区大气污染防治条例》中的相关内容：“禁止在自治区行政区域内引进能（水）耗不符合相关国家标准中准入值要求且污染物排放和环境风险防控不符合国家（地方）标准及有关产业准入条件的高污染（排放）、高能（水）耗、高环境风险的工业项目。禁止新建、改建、扩建列入淘汰类目录的高污染工业项目。禁止使用列入淘汰类目录的工艺、设备、产品”。“各级人民政府应当实行煤炭消费总量控制制度，采取有利于煤炭消费总量削减的经济、技术政策和措施，鼓励和支持清洁能源的开发利用，引导企业开展清洁能源替代，减少煤炭生产、使用、转化过程中的大气污染物排放”。</w:t>
            </w:r>
          </w:p>
          <w:p>
            <w:pPr>
              <w:pStyle w:val="27"/>
              <w:bidi w:val="0"/>
              <w:jc w:val="both"/>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本项目不属于高污染（排放）、高能（水）耗、高环境风险的工业项目，不属于淘汰类目录的高污染工业项目，因此，本项目满足《新疆维吾尔自治区大气污染防治条例》的相关要求。</w:t>
            </w:r>
          </w:p>
          <w:p>
            <w:pPr>
              <w:pStyle w:val="27"/>
              <w:bidi w:val="0"/>
              <w:ind w:left="0" w:leftChars="0" w:firstLine="0" w:firstLineChars="0"/>
              <w:jc w:val="both"/>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7</w:t>
            </w: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 xml:space="preserve"> 与《重点行业挥发性有机物综合治理方案》相符性分析</w:t>
            </w:r>
          </w:p>
          <w:p>
            <w:pPr>
              <w:pStyle w:val="27"/>
              <w:bidi w:val="0"/>
              <w:jc w:val="both"/>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根据《重点行业挥发性有机物综合治理方案》中内容要求：“对产生VOCs气体的企业，应推荐使用先进生产工艺，通过采用全 密闭、连续化、自动化等生产技术，以及高效工艺与设备等，减少工艺过程废气的无组织排放。”</w:t>
            </w:r>
          </w:p>
          <w:p>
            <w:pPr>
              <w:pStyle w:val="27"/>
              <w:bidi w:val="0"/>
              <w:jc w:val="both"/>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本项目产生有机废气的环节为挤塑</w:t>
            </w:r>
            <w:r>
              <w:rPr>
                <w:rFonts w:hint="eastAsia" w:cs="Times New Roman"/>
                <w:color w:val="000000" w:themeColor="text1"/>
                <w:lang w:val="en-US" w:eastAsia="zh-CN"/>
                <w14:textFill>
                  <w14:solidFill>
                    <w14:schemeClr w14:val="tx1"/>
                  </w14:solidFill>
                </w14:textFill>
              </w:rPr>
              <w:t>工序和连铸连轧工序</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分别</w:t>
            </w:r>
            <w:r>
              <w:rPr>
                <w:rFonts w:hint="eastAsia" w:ascii="Times New Roman" w:hAnsi="Times New Roman" w:eastAsia="宋体" w:cs="Times New Roman"/>
                <w:color w:val="000000" w:themeColor="text1"/>
                <w:lang w:val="en-US" w:eastAsia="zh-CN"/>
                <w14:textFill>
                  <w14:solidFill>
                    <w14:schemeClr w14:val="tx1"/>
                  </w14:solidFill>
                </w14:textFill>
              </w:rPr>
              <w:t>采取负压收集和活性炭吸附+催化燃烧装置，尾气通过不低于15 米高排气筒排放</w:t>
            </w:r>
            <w:r>
              <w:rPr>
                <w:rFonts w:hint="eastAsia" w:cs="Times New Roman"/>
                <w:color w:val="000000" w:themeColor="text1"/>
                <w:lang w:val="en-US" w:eastAsia="zh-CN"/>
                <w14:textFill>
                  <w14:solidFill>
                    <w14:schemeClr w14:val="tx1"/>
                  </w14:solidFill>
                </w14:textFill>
              </w:rPr>
              <w:t>和</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丝网过滤+动态拦截+活性炭吸附装置处理，处理后的废气通过</w:t>
            </w:r>
            <w:r>
              <w:rPr>
                <w:rFonts w:hint="eastAsia" w:cs="Times New Roman"/>
                <w:b w:val="0"/>
                <w:bCs w:val="0"/>
                <w:color w:val="000000" w:themeColor="text1"/>
                <w:sz w:val="24"/>
                <w:szCs w:val="24"/>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根18m 的</w:t>
            </w:r>
            <w:r>
              <w:rPr>
                <w:rFonts w:hint="eastAsia" w:cs="Times New Roman"/>
                <w:b w:val="0"/>
                <w:bCs w:val="0"/>
                <w:color w:val="000000" w:themeColor="text1"/>
                <w:sz w:val="24"/>
                <w:szCs w:val="24"/>
                <w:lang w:val="en-US" w:eastAsia="zh-CN"/>
                <w14:textFill>
                  <w14:solidFill>
                    <w14:schemeClr w14:val="tx1"/>
                  </w14:solidFill>
                </w14:textFill>
              </w:rPr>
              <w:t>排气筒</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排放</w:t>
            </w:r>
            <w:r>
              <w:rPr>
                <w:rFonts w:hint="eastAsia" w:ascii="Times New Roman" w:hAnsi="Times New Roman" w:eastAsia="宋体" w:cs="Times New Roman"/>
                <w:color w:val="000000" w:themeColor="text1"/>
                <w:lang w:val="en-US" w:eastAsia="zh-CN"/>
                <w14:textFill>
                  <w14:solidFill>
                    <w14:schemeClr w14:val="tx1"/>
                  </w14:solidFill>
                </w14:textFill>
              </w:rPr>
              <w:t>，且生产活动均在密闭的厂房中进行，因此项目满足《重点行业挥发性有机物综合治理方案》的要求。</w:t>
            </w:r>
          </w:p>
          <w:p>
            <w:pPr>
              <w:pStyle w:val="27"/>
              <w:bidi w:val="0"/>
              <w:ind w:left="0" w:leftChars="0" w:firstLine="0" w:firstLineChars="0"/>
              <w:jc w:val="both"/>
              <w:rPr>
                <w:rFonts w:hint="default"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8</w:t>
            </w: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 xml:space="preserve"> 与《挥发性有机物（VOCs）污染防治技术政策》符合性分析</w:t>
            </w:r>
          </w:p>
          <w:p>
            <w:pPr>
              <w:pStyle w:val="27"/>
              <w:bidi w:val="0"/>
              <w:jc w:val="both"/>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根据《挥发性有机物（VOCs）污染防治技术政策》环境保护部公告（2013年第31号）要求，含VOCs产品的使用过程中，应采取废气收集 措施，提高废气收集效率，减少废气的无组织排放与逸散，并对收集后的废气进行回收或处理后达标排放。</w:t>
            </w:r>
          </w:p>
          <w:p>
            <w:pPr>
              <w:pStyle w:val="27"/>
              <w:bidi w:val="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本项目产生有机废气的环节为挤塑</w:t>
            </w:r>
            <w:r>
              <w:rPr>
                <w:rFonts w:hint="eastAsia" w:cs="Times New Roman"/>
                <w:color w:val="000000" w:themeColor="text1"/>
                <w:lang w:val="en-US" w:eastAsia="zh-CN"/>
                <w14:textFill>
                  <w14:solidFill>
                    <w14:schemeClr w14:val="tx1"/>
                  </w14:solidFill>
                </w14:textFill>
              </w:rPr>
              <w:t>工序和连铸连轧工序</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分别</w:t>
            </w:r>
            <w:r>
              <w:rPr>
                <w:rFonts w:hint="eastAsia" w:ascii="Times New Roman" w:hAnsi="Times New Roman" w:eastAsia="宋体" w:cs="Times New Roman"/>
                <w:color w:val="000000" w:themeColor="text1"/>
                <w:lang w:val="en-US" w:eastAsia="zh-CN"/>
                <w14:textFill>
                  <w14:solidFill>
                    <w14:schemeClr w14:val="tx1"/>
                  </w14:solidFill>
                </w14:textFill>
              </w:rPr>
              <w:t>采取负压收集和活性炭吸附+催化燃烧装置，尾气通过不低于15 米高排气筒排放</w:t>
            </w:r>
            <w:r>
              <w:rPr>
                <w:rFonts w:hint="eastAsia" w:cs="Times New Roman"/>
                <w:color w:val="000000" w:themeColor="text1"/>
                <w:lang w:val="en-US" w:eastAsia="zh-CN"/>
                <w14:textFill>
                  <w14:solidFill>
                    <w14:schemeClr w14:val="tx1"/>
                  </w14:solidFill>
                </w14:textFill>
              </w:rPr>
              <w:t>和</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丝网过滤+动态拦截+活性炭吸附装置处理，处理后的废气通过</w:t>
            </w:r>
            <w:r>
              <w:rPr>
                <w:rFonts w:hint="eastAsia" w:cs="Times New Roman"/>
                <w:b w:val="0"/>
                <w:bCs w:val="0"/>
                <w:color w:val="000000" w:themeColor="text1"/>
                <w:sz w:val="24"/>
                <w:szCs w:val="24"/>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根18m 的</w:t>
            </w:r>
            <w:r>
              <w:rPr>
                <w:rFonts w:hint="eastAsia" w:cs="Times New Roman"/>
                <w:b w:val="0"/>
                <w:bCs w:val="0"/>
                <w:color w:val="000000" w:themeColor="text1"/>
                <w:sz w:val="24"/>
                <w:szCs w:val="24"/>
                <w:lang w:val="en-US" w:eastAsia="zh-CN"/>
                <w14:textFill>
                  <w14:solidFill>
                    <w14:schemeClr w14:val="tx1"/>
                  </w14:solidFill>
                </w14:textFill>
              </w:rPr>
              <w:t>排气筒</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排放</w:t>
            </w:r>
            <w:r>
              <w:rPr>
                <w:rFonts w:hint="eastAsia" w:ascii="Times New Roman" w:hAnsi="Times New Roman" w:eastAsia="宋体" w:cs="Times New Roman"/>
                <w:color w:val="000000" w:themeColor="text1"/>
                <w:lang w:val="en-US" w:eastAsia="zh-CN"/>
                <w14:textFill>
                  <w14:solidFill>
                    <w14:schemeClr w14:val="tx1"/>
                  </w14:solidFill>
                </w14:textFill>
              </w:rPr>
              <w:t>，且生产活动均在密闭的厂房中进行，符合《挥发性有机物（VOCs）污染防治技术政策》环境保护部公告（2013年第31号）中相关要求。</w:t>
            </w:r>
          </w:p>
          <w:p>
            <w:pPr>
              <w:pStyle w:val="27"/>
              <w:bidi w:val="0"/>
              <w:ind w:left="0" w:leftChars="0" w:firstLine="0" w:firstLineChars="0"/>
              <w:jc w:val="both"/>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9</w:t>
            </w: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 xml:space="preserve"> 与《关于加快解决当前挥发性有机物治理突出问题的通知》（环大气〔2021〕65号）及《挥发性有机物治理突出问题排查整治工作要求》相符性分析</w:t>
            </w:r>
          </w:p>
          <w:p>
            <w:pPr>
              <w:pStyle w:val="27"/>
              <w:bidi w:val="0"/>
              <w:jc w:val="both"/>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文件要求：新建治理设施或对现有治理设施实施改造，应依据排放 废气特征、VOCs组分及浓度、生产工况等，合理选择治理技术；对治理难度大、单一治理工艺难以稳定达标的，宜采用多种技术的组合工艺；除恶臭异味治理外，一般不使用低温等离子、光催化、光氧化等技术对于VOCs治理设施产生的废过滤棉、废催化剂、废吸附剂、废吸收剂、废有机溶剂等，应及时清运，属于危险废物的应交有资质的单位处理处置。</w:t>
            </w:r>
          </w:p>
          <w:p>
            <w:pPr>
              <w:pStyle w:val="27"/>
              <w:bidi w:val="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本项目产生有机废气的环节为挤塑</w:t>
            </w:r>
            <w:r>
              <w:rPr>
                <w:rFonts w:hint="eastAsia" w:cs="Times New Roman"/>
                <w:color w:val="000000" w:themeColor="text1"/>
                <w:lang w:val="en-US" w:eastAsia="zh-CN"/>
                <w14:textFill>
                  <w14:solidFill>
                    <w14:schemeClr w14:val="tx1"/>
                  </w14:solidFill>
                </w14:textFill>
              </w:rPr>
              <w:t>工序和连铸连轧工序</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分别</w:t>
            </w:r>
            <w:r>
              <w:rPr>
                <w:rFonts w:hint="eastAsia" w:ascii="Times New Roman" w:hAnsi="Times New Roman" w:eastAsia="宋体" w:cs="Times New Roman"/>
                <w:color w:val="000000" w:themeColor="text1"/>
                <w:lang w:val="en-US" w:eastAsia="zh-CN"/>
                <w14:textFill>
                  <w14:solidFill>
                    <w14:schemeClr w14:val="tx1"/>
                  </w14:solidFill>
                </w14:textFill>
              </w:rPr>
              <w:t>采取负压收集和活性炭吸附+催化燃烧装置，尾气通过不低于15 米高排气筒排放</w:t>
            </w:r>
            <w:r>
              <w:rPr>
                <w:rFonts w:hint="eastAsia" w:cs="Times New Roman"/>
                <w:color w:val="000000" w:themeColor="text1"/>
                <w:lang w:val="en-US" w:eastAsia="zh-CN"/>
                <w14:textFill>
                  <w14:solidFill>
                    <w14:schemeClr w14:val="tx1"/>
                  </w14:solidFill>
                </w14:textFill>
              </w:rPr>
              <w:t>和</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丝网过滤+动态拦截+活性炭吸附装置处理，处理后的废气通过</w:t>
            </w:r>
            <w:r>
              <w:rPr>
                <w:rFonts w:hint="eastAsia" w:cs="Times New Roman"/>
                <w:b w:val="0"/>
                <w:bCs w:val="0"/>
                <w:color w:val="000000" w:themeColor="text1"/>
                <w:sz w:val="24"/>
                <w:szCs w:val="24"/>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根18m 的</w:t>
            </w:r>
            <w:r>
              <w:rPr>
                <w:rFonts w:hint="eastAsia" w:cs="Times New Roman"/>
                <w:b w:val="0"/>
                <w:bCs w:val="0"/>
                <w:color w:val="000000" w:themeColor="text1"/>
                <w:sz w:val="24"/>
                <w:szCs w:val="24"/>
                <w:lang w:val="en-US" w:eastAsia="zh-CN"/>
                <w14:textFill>
                  <w14:solidFill>
                    <w14:schemeClr w14:val="tx1"/>
                  </w14:solidFill>
                </w14:textFill>
              </w:rPr>
              <w:t>排气筒</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排放</w:t>
            </w:r>
            <w:r>
              <w:rPr>
                <w:rFonts w:hint="eastAsia" w:ascii="Times New Roman" w:hAnsi="Times New Roman" w:eastAsia="宋体" w:cs="Times New Roman"/>
                <w:color w:val="000000" w:themeColor="text1"/>
                <w:lang w:val="en-US" w:eastAsia="zh-CN"/>
                <w14:textFill>
                  <w14:solidFill>
                    <w14:schemeClr w14:val="tx1"/>
                  </w14:solidFill>
                </w14:textFill>
              </w:rPr>
              <w:t>，且生产活动均在密闭的厂房中进行。项目不使用低温等离子、光催化、光氧化等技术。活性炭吸附过程中产生的废活性炭、废催化剂暂存于危险废物贮存点定期委托有资质的单位清运处置。</w:t>
            </w:r>
          </w:p>
          <w:p>
            <w:pPr>
              <w:pStyle w:val="7"/>
              <w:numPr>
                <w:ilvl w:val="0"/>
                <w:numId w:val="0"/>
              </w:numPr>
              <w:spacing w:line="360" w:lineRule="auto"/>
              <w:jc w:val="both"/>
              <w:outlineLvl w:val="1"/>
              <w:rPr>
                <w:rFonts w:hint="default"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10</w:t>
            </w: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 xml:space="preserve"> 与《新疆维吾尔自治区2025年空气质量持续改善行动实施方案》的符合性分析</w:t>
            </w:r>
          </w:p>
          <w:p>
            <w:pPr>
              <w:pStyle w:val="27"/>
              <w:bidi w:val="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根据《新疆维吾尔自治区2025年空气质量持续改善行动实施方案》（新政办发〔2024〕58号）指出：</w:t>
            </w:r>
            <w:r>
              <w:rPr>
                <w:rFonts w:hint="default" w:cs="Times New Roman"/>
                <w:color w:val="000000" w:themeColor="text1"/>
                <w:lang w:val="en-US" w:eastAsia="zh-CN"/>
                <w14:textFill>
                  <w14:solidFill>
                    <w14:schemeClr w14:val="tx1"/>
                  </w14:solidFill>
                </w14:textFill>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r>
              <w:rPr>
                <w:rFonts w:hint="eastAsia" w:cs="Times New Roman"/>
                <w:color w:val="000000" w:themeColor="text1"/>
                <w:lang w:val="en-US" w:eastAsia="zh-CN"/>
                <w14:textFill>
                  <w14:solidFill>
                    <w14:schemeClr w14:val="tx1"/>
                  </w14:solidFill>
                </w14:textFill>
              </w:rPr>
              <w:t>。</w:t>
            </w:r>
          </w:p>
          <w:p>
            <w:pPr>
              <w:pStyle w:val="27"/>
              <w:bidi w:val="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本项目符合</w:t>
            </w:r>
            <w:r>
              <w:rPr>
                <w:rFonts w:hint="eastAsia" w:cs="Times New Roman"/>
                <w:b w:val="0"/>
                <w:bCs w:val="0"/>
                <w:color w:val="000000" w:themeColor="text1"/>
                <w:kern w:val="0"/>
                <w:sz w:val="24"/>
                <w:szCs w:val="24"/>
                <w:highlight w:val="none"/>
                <w:lang w:val="en-US" w:eastAsia="zh-CN"/>
                <w14:textFill>
                  <w14:solidFill>
                    <w14:schemeClr w14:val="tx1"/>
                  </w14:solidFill>
                </w14:textFill>
              </w:rPr>
              <w:t>昌吉国家高新技术产业开发区</w:t>
            </w:r>
            <w:r>
              <w:rPr>
                <w:rFonts w:hint="eastAsia" w:cs="Times New Roman"/>
                <w:color w:val="000000" w:themeColor="text1"/>
                <w:lang w:val="en-US" w:eastAsia="zh-CN"/>
                <w14:textFill>
                  <w14:solidFill>
                    <w14:schemeClr w14:val="tx1"/>
                  </w14:solidFill>
                </w14:textFill>
              </w:rPr>
              <w:t>要求，不属于“两高”项目，采用先进的生产工艺及设备，符合《新疆维吾尔自治区2025年空气质量持续改善行动实施方案》的要求。</w:t>
            </w:r>
          </w:p>
          <w:p>
            <w:pPr>
              <w:pStyle w:val="7"/>
              <w:numPr>
                <w:ilvl w:val="0"/>
                <w:numId w:val="0"/>
              </w:numPr>
              <w:spacing w:line="360" w:lineRule="auto"/>
              <w:jc w:val="both"/>
              <w:outlineLvl w:val="1"/>
              <w:rPr>
                <w:rFonts w:hint="default"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11</w:t>
            </w: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 xml:space="preserve"> 与《国务院关于印发〈空气质量持续改善行动计划〉的通知》的符合性分析</w:t>
            </w:r>
          </w:p>
          <w:p>
            <w:pPr>
              <w:pStyle w:val="27"/>
              <w:bidi w:val="0"/>
              <w:jc w:val="both"/>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依据《国务院关于印发〈空气质量持续改善行动计划〉的通知》（国发〔2023〕24号）文件指出：中小型传统制造企业集中的城市要制定涉气产业集群发展规划，严格项目审批，严防污染下乡。针对现有产业集群制定专项整治方案，依法淘汰关停一批、搬迁入园一批、就地改造一批、做优做强一批。各地要结合产业集群特点，因地制宜建设集中供热中心、集中喷涂中心、有机溶剂集中回收处置中心、活性炭集中再生中心。</w:t>
            </w:r>
          </w:p>
          <w:p>
            <w:pPr>
              <w:pStyle w:val="27"/>
              <w:bidi w:val="0"/>
              <w:jc w:val="both"/>
              <w:rPr>
                <w:rFonts w:hint="eastAsia" w:cs="Times New Roman"/>
                <w:b w:val="0"/>
                <w:bCs w:val="0"/>
                <w:color w:val="000000" w:themeColor="text1"/>
                <w:kern w:val="0"/>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14:textFill>
                  <w14:solidFill>
                    <w14:schemeClr w14:val="tx1"/>
                  </w14:solidFill>
                </w14:textFill>
              </w:rPr>
              <w:t>本项目位于昌吉国家高新技术产业开发区，产生的废气、废水、固体废物均能得到合理处置，不会对环境造成巨大影响，满足《国务院关于印发〈空气质量持续改善行动计划〉的通知》的相关要求。</w:t>
            </w:r>
          </w:p>
          <w:p>
            <w:pPr>
              <w:pStyle w:val="7"/>
              <w:numPr>
                <w:ilvl w:val="0"/>
                <w:numId w:val="0"/>
              </w:numPr>
              <w:spacing w:line="360" w:lineRule="auto"/>
              <w:jc w:val="both"/>
              <w:outlineLvl w:val="1"/>
              <w:rPr>
                <w:rFonts w:hint="default"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stheme="minorBidi"/>
                <w:b/>
                <w:color w:val="000000" w:themeColor="text1"/>
                <w:kern w:val="2"/>
                <w:sz w:val="24"/>
                <w:szCs w:val="24"/>
                <w:lang w:val="en-US" w:eastAsia="zh-CN" w:bidi="ar-SA"/>
                <w14:textFill>
                  <w14:solidFill>
                    <w14:schemeClr w14:val="tx1"/>
                  </w14:solidFill>
                </w14:textFill>
              </w:rPr>
              <w:t>12</w:t>
            </w:r>
            <w:r>
              <w:rPr>
                <w:rFonts w:hint="eastAsia" w:ascii="Times New Roman" w:hAnsi="Times New Roman" w:eastAsia="宋体" w:cstheme="minorBidi"/>
                <w:b/>
                <w:color w:val="000000" w:themeColor="text1"/>
                <w:kern w:val="2"/>
                <w:sz w:val="24"/>
                <w:szCs w:val="24"/>
                <w:lang w:val="en-US" w:eastAsia="zh-CN" w:bidi="ar-SA"/>
                <w14:textFill>
                  <w14:solidFill>
                    <w14:schemeClr w14:val="tx1"/>
                  </w14:solidFill>
                </w14:textFill>
              </w:rPr>
              <w:t xml:space="preserve"> 与《关于进一步加强乌鲁木齐、昌吉、石河子、五家渠区域大气环境同防同治的意见》的符合性分析</w:t>
            </w:r>
          </w:p>
          <w:p>
            <w:pPr>
              <w:pStyle w:val="27"/>
              <w:bidi w:val="0"/>
              <w:jc w:val="both"/>
              <w:rPr>
                <w:rFonts w:hint="eastAsia"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《关于进一步加强乌鲁木齐、昌吉、石河子、五家渠区域大气环境同防同治的意见》（新政办发〔2023〕29 号）</w:t>
            </w:r>
            <w:r>
              <w:rPr>
                <w:rFonts w:hint="eastAsia" w:cs="Times New Roman"/>
                <w:color w:val="000000" w:themeColor="text1"/>
                <w:lang w:val="en-US" w:eastAsia="zh-CN"/>
                <w14:textFill>
                  <w14:solidFill>
                    <w14:schemeClr w14:val="tx1"/>
                  </w14:solidFill>
                </w14:textFill>
              </w:rPr>
              <w:t>指出：“乌昌石区域包括乌鲁木齐市七区一县、昌吉市、阜康市、石河子市、五家渠市、玛纳斯县、呼图壁县、沙湾县、生产建设兵团第六师、第八师、第十二师，总面积6 9万km</w:t>
            </w:r>
            <w:r>
              <w:rPr>
                <w:rFonts w:hint="eastAsia" w:cs="Times New Roman"/>
                <w:color w:val="000000" w:themeColor="text1"/>
                <w:vertAlign w:val="superscript"/>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左右。区域内建成区及周边敏感区域为重点区域，总面积1.7万km</w:t>
            </w:r>
            <w:r>
              <w:rPr>
                <w:rFonts w:hint="eastAsia" w:cs="Times New Roman"/>
                <w:color w:val="000000" w:themeColor="text1"/>
                <w:vertAlign w:val="superscript"/>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左右。意见要求严格污染物排放浓度，认真落实《重点区域大气污染物排放特别限值的公告》（环保厅2016 第45号），钢铁、石化、火电、水泥等行业和燃煤锅炉严格执行重点行业污染物排放特别限值要求。其他工业企业一律执行国家最新污染物排放标准，减少污染物排放总量。”</w:t>
            </w:r>
          </w:p>
          <w:p>
            <w:pPr>
              <w:pStyle w:val="27"/>
              <w:bidi w:val="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本项目位于</w:t>
            </w:r>
            <w:r>
              <w:rPr>
                <w:rFonts w:hint="eastAsia" w:cs="Times New Roman"/>
                <w:b w:val="0"/>
                <w:bCs w:val="0"/>
                <w:color w:val="000000" w:themeColor="text1"/>
                <w:kern w:val="0"/>
                <w:sz w:val="24"/>
                <w:szCs w:val="24"/>
                <w:highlight w:val="none"/>
                <w:lang w:val="en-US" w:eastAsia="zh-CN"/>
                <w14:textFill>
                  <w14:solidFill>
                    <w14:schemeClr w14:val="tx1"/>
                  </w14:solidFill>
                </w14:textFill>
              </w:rPr>
              <w:t>昌吉国家高新技术产业开发区</w:t>
            </w:r>
            <w:r>
              <w:rPr>
                <w:rFonts w:hint="eastAsia" w:cs="Times New Roman"/>
                <w:color w:val="000000" w:themeColor="text1"/>
                <w:lang w:val="en-US" w:eastAsia="zh-CN"/>
                <w14:textFill>
                  <w14:solidFill>
                    <w14:schemeClr w14:val="tx1"/>
                  </w14:solidFill>
                </w14:textFill>
              </w:rPr>
              <w:t>，处于乌鲁木齐、昌吉、石河子、五家渠区域环境同防同治的重点区域。</w:t>
            </w:r>
            <w:r>
              <w:rPr>
                <w:rFonts w:hint="eastAsia" w:cs="Times New Roman"/>
                <w:b w:val="0"/>
                <w:bCs w:val="0"/>
                <w:color w:val="000000" w:themeColor="text1"/>
                <w:kern w:val="0"/>
                <w:sz w:val="24"/>
                <w:szCs w:val="24"/>
                <w:highlight w:val="none"/>
                <w:lang w:val="en-US" w:eastAsia="zh-CN"/>
                <w14:textFill>
                  <w14:solidFill>
                    <w14:schemeClr w14:val="tx1"/>
                  </w14:solidFill>
                </w14:textFill>
              </w:rPr>
              <w:t>本项目为有色金属压延、电线电缆制造项目</w:t>
            </w:r>
            <w:r>
              <w:rPr>
                <w:rFonts w:hint="eastAsia" w:cs="Times New Roman"/>
                <w:color w:val="000000" w:themeColor="text1"/>
                <w:lang w:val="en-US" w:eastAsia="zh-CN"/>
                <w14:textFill>
                  <w14:solidFill>
                    <w14:schemeClr w14:val="tx1"/>
                  </w14:solidFill>
                </w14:textFill>
              </w:rPr>
              <w:t>，不属于钢铁、石化、火电等重点行业。项目排放的污染物均达到国家最新污染物排放标准，污染物排放量较少，符合《关于加强乌鲁木齐、昌吉、石河子、五家渠区域环境同防同治的意见》相关要求。</w:t>
            </w:r>
          </w:p>
          <w:p>
            <w:pPr>
              <w:pStyle w:val="8"/>
              <w:numPr>
                <w:ilvl w:val="0"/>
                <w:numId w:val="0"/>
              </w:numPr>
              <w:ind w:leftChars="0"/>
              <w:jc w:val="both"/>
              <w:outlineLvl w:val="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13</w:t>
            </w:r>
            <w:r>
              <w:rPr>
                <w:rFonts w:hint="eastAsia" w:ascii="Times New Roman" w:hAnsi="Times New Roman" w:eastAsia="宋体" w:cs="Times New Roman"/>
                <w:color w:val="000000" w:themeColor="text1"/>
                <w:lang w:val="en-US" w:eastAsia="zh-CN"/>
                <w14:textFill>
                  <w14:solidFill>
                    <w14:schemeClr w14:val="tx1"/>
                  </w14:solidFill>
                </w14:textFill>
              </w:rPr>
              <w:t xml:space="preserve"> 选址合理性分析</w:t>
            </w:r>
          </w:p>
          <w:p>
            <w:pPr>
              <w:pStyle w:val="27"/>
              <w:numPr>
                <w:ilvl w:val="0"/>
                <w:numId w:val="0"/>
              </w:numPr>
              <w:ind w:firstLine="480" w:firstLineChars="200"/>
              <w:jc w:val="both"/>
              <w:rPr>
                <w:rFonts w:hint="eastAsia"/>
                <w:color w:val="000000" w:themeColor="text1"/>
                <w:lang w:eastAsia="zh-CN"/>
                <w14:textFill>
                  <w14:solidFill>
                    <w14:schemeClr w14:val="tx1"/>
                  </w14:solidFill>
                </w14:textFill>
              </w:rPr>
            </w:pP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（1）</w:t>
            </w:r>
            <w:r>
              <w:rPr>
                <w:rFonts w:hint="eastAsia"/>
                <w:color w:val="000000" w:themeColor="text1"/>
                <w:lang w:eastAsia="zh-CN"/>
                <w14:textFill>
                  <w14:solidFill>
                    <w14:schemeClr w14:val="tx1"/>
                  </w14:solidFill>
                </w14:textFill>
              </w:rPr>
              <w:t>用地合理性分析</w:t>
            </w:r>
          </w:p>
          <w:p>
            <w:pPr>
              <w:pStyle w:val="27"/>
              <w:numPr>
                <w:ilvl w:val="0"/>
                <w:numId w:val="0"/>
              </w:numPr>
              <w:ind w:firstLine="480" w:firstLineChars="200"/>
              <w:jc w:val="both"/>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本项目位于</w:t>
            </w:r>
            <w:r>
              <w:rPr>
                <w:rFonts w:hint="eastAsia" w:cs="Times New Roman"/>
                <w:b w:val="0"/>
                <w:bCs w:val="0"/>
                <w:color w:val="000000" w:themeColor="text1"/>
                <w:kern w:val="0"/>
                <w:sz w:val="24"/>
                <w:szCs w:val="24"/>
                <w:highlight w:val="none"/>
                <w:lang w:val="en-US" w:eastAsia="zh-CN"/>
                <w14:textFill>
                  <w14:solidFill>
                    <w14:schemeClr w14:val="tx1"/>
                  </w14:solidFill>
                </w14:textFill>
              </w:rPr>
              <w:t>昌吉国家高新技术产业开发区</w:t>
            </w:r>
            <w:r>
              <w:rPr>
                <w:rFonts w:hint="eastAsia"/>
                <w:color w:val="000000" w:themeColor="text1"/>
                <w:lang w:eastAsia="zh-CN"/>
                <w14:textFill>
                  <w14:solidFill>
                    <w14:schemeClr w14:val="tx1"/>
                  </w14:solidFill>
                </w14:textFill>
              </w:rPr>
              <w:t>，四周无特殊环境敏感点，占地属于工业用地，</w:t>
            </w:r>
            <w:r>
              <w:rPr>
                <w:rFonts w:hint="eastAsia"/>
                <w:color w:val="000000" w:themeColor="text1"/>
                <w:lang w:val="en-US" w:eastAsia="zh-CN"/>
                <w14:textFill>
                  <w14:solidFill>
                    <w14:schemeClr w14:val="tx1"/>
                  </w14:solidFill>
                </w14:textFill>
              </w:rPr>
              <w:t>符合</w:t>
            </w:r>
            <w:r>
              <w:rPr>
                <w:rFonts w:hint="eastAsia"/>
                <w:color w:val="000000" w:themeColor="text1"/>
                <w:lang w:eastAsia="zh-CN"/>
                <w14:textFill>
                  <w14:solidFill>
                    <w14:schemeClr w14:val="tx1"/>
                  </w14:solidFill>
                </w14:textFill>
              </w:rPr>
              <w:t>园区功能定位</w:t>
            </w:r>
            <w:r>
              <w:rPr>
                <w:rFonts w:hint="eastAsia"/>
                <w:color w:val="000000" w:themeColor="text1"/>
                <w:lang w:val="en-US" w:eastAsia="zh-CN"/>
                <w14:textFill>
                  <w14:solidFill>
                    <w14:schemeClr w14:val="tx1"/>
                  </w14:solidFill>
                </w14:textFill>
              </w:rPr>
              <w:t>及</w:t>
            </w:r>
            <w:r>
              <w:rPr>
                <w:rFonts w:hint="eastAsia"/>
                <w:color w:val="000000" w:themeColor="text1"/>
                <w:lang w:eastAsia="zh-CN"/>
                <w14:textFill>
                  <w14:solidFill>
                    <w14:schemeClr w14:val="tx1"/>
                  </w14:solidFill>
                </w14:textFill>
              </w:rPr>
              <w:t>园区产业空间布局。</w:t>
            </w:r>
          </w:p>
          <w:p>
            <w:pPr>
              <w:pStyle w:val="27"/>
              <w:numPr>
                <w:ilvl w:val="0"/>
                <w:numId w:val="0"/>
              </w:numPr>
              <w:ind w:firstLine="480" w:firstLineChars="200"/>
              <w:jc w:val="both"/>
              <w:rPr>
                <w:rFonts w:hint="eastAsia"/>
                <w:color w:val="000000" w:themeColor="text1"/>
                <w:lang w:eastAsia="zh-CN"/>
                <w14:textFill>
                  <w14:solidFill>
                    <w14:schemeClr w14:val="tx1"/>
                  </w14:solidFill>
                </w14:textFill>
              </w:rPr>
            </w:pP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（2）</w:t>
            </w:r>
            <w:r>
              <w:rPr>
                <w:rFonts w:hint="eastAsia"/>
                <w:color w:val="000000" w:themeColor="text1"/>
                <w:lang w:eastAsia="zh-CN"/>
                <w14:textFill>
                  <w14:solidFill>
                    <w14:schemeClr w14:val="tx1"/>
                  </w14:solidFill>
                </w14:textFill>
              </w:rPr>
              <w:t>环境敏感性分析</w:t>
            </w:r>
          </w:p>
          <w:p>
            <w:pPr>
              <w:pStyle w:val="27"/>
              <w:numPr>
                <w:ilvl w:val="0"/>
                <w:numId w:val="0"/>
              </w:numPr>
              <w:ind w:firstLine="480" w:firstLineChars="200"/>
              <w:jc w:val="both"/>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厂区地势平坦，周围无风景名胜区、自然保护区等环境敏感区，项目占地为工业用地，未占用耕地、林地等经济利用价值较高的土地厂区内无特殊自然观赏价值较高的景观；因此，项目区环境敏感程度较低。</w:t>
            </w:r>
          </w:p>
          <w:p>
            <w:pPr>
              <w:pStyle w:val="27"/>
              <w:numPr>
                <w:ilvl w:val="0"/>
                <w:numId w:val="0"/>
              </w:numPr>
              <w:ind w:firstLine="480" w:firstLineChars="200"/>
              <w:jc w:val="both"/>
              <w:rPr>
                <w:rFonts w:hint="eastAsia"/>
                <w:color w:val="000000" w:themeColor="text1"/>
                <w:lang w:eastAsia="zh-CN"/>
                <w14:textFill>
                  <w14:solidFill>
                    <w14:schemeClr w14:val="tx1"/>
                  </w14:solidFill>
                </w14:textFill>
              </w:rPr>
            </w:pP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（3）</w:t>
            </w:r>
            <w:r>
              <w:rPr>
                <w:rFonts w:hint="eastAsia"/>
                <w:color w:val="000000" w:themeColor="text1"/>
                <w:lang w:eastAsia="zh-CN"/>
                <w14:textFill>
                  <w14:solidFill>
                    <w14:schemeClr w14:val="tx1"/>
                  </w14:solidFill>
                </w14:textFill>
              </w:rPr>
              <w:t>环境承载能力及影响可接受的分析</w:t>
            </w:r>
          </w:p>
          <w:p>
            <w:pPr>
              <w:pStyle w:val="27"/>
              <w:numPr>
                <w:ilvl w:val="0"/>
                <w:numId w:val="0"/>
              </w:numPr>
              <w:ind w:firstLine="480" w:firstLineChars="200"/>
              <w:jc w:val="both"/>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项目</w:t>
            </w:r>
            <w:r>
              <w:rPr>
                <w:rFonts w:hint="eastAsia"/>
                <w:color w:val="000000" w:themeColor="text1"/>
                <w:lang w:val="en-US" w:eastAsia="zh-CN"/>
                <w14:textFill>
                  <w14:solidFill>
                    <w14:schemeClr w14:val="tx1"/>
                  </w14:solidFill>
                </w14:textFill>
              </w:rPr>
              <w:t>所在地区的</w:t>
            </w:r>
            <w:r>
              <w:rPr>
                <w:rFonts w:hint="eastAsia"/>
                <w:color w:val="000000" w:themeColor="text1"/>
                <w:lang w:eastAsia="zh-CN"/>
                <w14:textFill>
                  <w14:solidFill>
                    <w14:schemeClr w14:val="tx1"/>
                  </w14:solidFill>
                </w14:textFill>
              </w:rPr>
              <w:t>环境空气质量属于不达标区，超标因子为PM</w:t>
            </w:r>
            <w:r>
              <w:rPr>
                <w:rFonts w:hint="eastAsia"/>
                <w:color w:val="000000" w:themeColor="text1"/>
                <w:vertAlign w:val="subscript"/>
                <w:lang w:eastAsia="zh-CN"/>
                <w14:textFill>
                  <w14:solidFill>
                    <w14:schemeClr w14:val="tx1"/>
                  </w14:solidFill>
                </w14:textFill>
              </w:rPr>
              <w:t>10</w:t>
            </w:r>
            <w:r>
              <w:rPr>
                <w:rFonts w:hint="eastAsia"/>
                <w:color w:val="000000" w:themeColor="text1"/>
                <w:lang w:eastAsia="zh-CN"/>
                <w14:textFill>
                  <w14:solidFill>
                    <w14:schemeClr w14:val="tx1"/>
                  </w14:solidFill>
                </w14:textFill>
              </w:rPr>
              <w:t>及PM</w:t>
            </w:r>
            <w:r>
              <w:rPr>
                <w:rFonts w:hint="eastAsia"/>
                <w:color w:val="000000" w:themeColor="text1"/>
                <w:vertAlign w:val="subscript"/>
                <w:lang w:eastAsia="zh-CN"/>
                <w14:textFill>
                  <w14:solidFill>
                    <w14:schemeClr w14:val="tx1"/>
                  </w14:solidFill>
                </w14:textFill>
              </w:rPr>
              <w:t>2.5</w:t>
            </w:r>
            <w:r>
              <w:rPr>
                <w:rFonts w:hint="eastAsia"/>
                <w:color w:val="000000" w:themeColor="text1"/>
                <w:lang w:eastAsia="zh-CN"/>
                <w14:textFill>
                  <w14:solidFill>
                    <w14:schemeClr w14:val="tx1"/>
                  </w14:solidFill>
                </w14:textFill>
              </w:rPr>
              <w:t>。</w:t>
            </w:r>
          </w:p>
          <w:p>
            <w:pPr>
              <w:pStyle w:val="27"/>
              <w:numPr>
                <w:ilvl w:val="0"/>
                <w:numId w:val="0"/>
              </w:numPr>
              <w:ind w:firstLine="480" w:firstLineChars="200"/>
              <w:jc w:val="both"/>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本项目生产过程中产生的废气</w:t>
            </w:r>
            <w:r>
              <w:rPr>
                <w:rFonts w:hint="eastAsia"/>
                <w:color w:val="000000" w:themeColor="text1"/>
                <w:lang w:val="en-US" w:eastAsia="zh-CN"/>
                <w14:textFill>
                  <w14:solidFill>
                    <w14:schemeClr w14:val="tx1"/>
                  </w14:solidFill>
                </w14:textFill>
              </w:rPr>
              <w:t>处理后达标</w:t>
            </w:r>
            <w:r>
              <w:rPr>
                <w:rFonts w:hint="eastAsia"/>
                <w:color w:val="000000" w:themeColor="text1"/>
                <w:lang w:eastAsia="zh-CN"/>
                <w14:textFill>
                  <w14:solidFill>
                    <w14:schemeClr w14:val="tx1"/>
                  </w14:solidFill>
                </w14:textFill>
              </w:rPr>
              <w:t>排放；生活污水排入园区污水管网；机械噪声经隔声减振措施后能够达标排放；固体废物按本环评提出的措施可得到妥善处理，不产生二次污染；本项目产生的污染物采取相应措施后均满足相关标准，项目区域环境质量可以保持现有水平，不会突破环境质量底线，符合环境质量底线要求。</w:t>
            </w:r>
          </w:p>
          <w:p>
            <w:pPr>
              <w:pStyle w:val="27"/>
              <w:numPr>
                <w:ilvl w:val="0"/>
                <w:numId w:val="0"/>
              </w:numPr>
              <w:ind w:firstLine="480" w:firstLineChars="200"/>
              <w:jc w:val="both"/>
              <w:rPr>
                <w:rFonts w:hint="eastAsia"/>
                <w:color w:val="000000" w:themeColor="text1"/>
                <w:lang w:eastAsia="zh-CN"/>
                <w14:textFill>
                  <w14:solidFill>
                    <w14:schemeClr w14:val="tx1"/>
                  </w14:solidFill>
                </w14:textFill>
              </w:rPr>
            </w:pP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（4）</w:t>
            </w:r>
            <w:r>
              <w:rPr>
                <w:rFonts w:hint="eastAsia"/>
                <w:color w:val="000000" w:themeColor="text1"/>
                <w:lang w:eastAsia="zh-CN"/>
                <w14:textFill>
                  <w14:solidFill>
                    <w14:schemeClr w14:val="tx1"/>
                  </w14:solidFill>
                </w14:textFill>
              </w:rPr>
              <w:t>行业符合性</w:t>
            </w:r>
          </w:p>
          <w:p>
            <w:pPr>
              <w:pStyle w:val="27"/>
              <w:numPr>
                <w:ilvl w:val="0"/>
                <w:numId w:val="0"/>
              </w:numPr>
              <w:ind w:firstLine="480" w:firstLineChars="200"/>
              <w:jc w:val="both"/>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本项目为</w:t>
            </w:r>
            <w:r>
              <w:rPr>
                <w:rFonts w:hint="eastAsia"/>
                <w:color w:val="000000" w:themeColor="text1"/>
                <w:lang w:val="en-US" w:eastAsia="zh-CN"/>
                <w14:textFill>
                  <w14:solidFill>
                    <w14:schemeClr w14:val="tx1"/>
                  </w14:solidFill>
                </w14:textFill>
              </w:rPr>
              <w:t>有色金属压延、电线电缆制造项目</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位于特变电工智能电缆产业园内</w:t>
            </w:r>
            <w:r>
              <w:rPr>
                <w:rFonts w:hint="eastAsia"/>
                <w:color w:val="000000" w:themeColor="text1"/>
                <w:lang w:eastAsia="zh-CN"/>
                <w14:textFill>
                  <w14:solidFill>
                    <w14:schemeClr w14:val="tx1"/>
                  </w14:solidFill>
                </w14:textFill>
              </w:rPr>
              <w:t>。根据现场勘查可知，本项目周边现状无与本项目冲突的企业存在，无对本项目敏感的企业存在。评价建议项目周边后期企业设置时考虑与本项目的相容性。</w:t>
            </w:r>
          </w:p>
          <w:p>
            <w:pPr>
              <w:pStyle w:val="27"/>
              <w:numPr>
                <w:ilvl w:val="0"/>
                <w:numId w:val="0"/>
              </w:numPr>
              <w:ind w:firstLine="480" w:firstLineChars="200"/>
              <w:jc w:val="both"/>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因此，项目选址合理，与周边环境相容。项目建成后，“三废”污染可以控制在较小的程度，对周边环境影响较小，不会改变区域现有环境功能，从环保角度考虑，本项目选址是可行的。</w:t>
            </w:r>
          </w:p>
          <w:p>
            <w:pPr>
              <w:pStyle w:val="27"/>
              <w:ind w:firstLine="480"/>
              <w:jc w:val="both"/>
              <w:rPr>
                <w:color w:val="000000" w:themeColor="text1"/>
                <w14:textFill>
                  <w14:solidFill>
                    <w14:schemeClr w14:val="tx1"/>
                  </w14:solidFill>
                </w14:textFill>
              </w:rPr>
            </w:pPr>
          </w:p>
        </w:tc>
      </w:tr>
    </w:tbl>
    <w:p>
      <w:pPr>
        <w:rPr>
          <w:color w:val="000000" w:themeColor="text1"/>
          <w14:textFill>
            <w14:solidFill>
              <w14:schemeClr w14:val="tx1"/>
            </w14:solidFill>
          </w14:textFill>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6"/>
        <w:numPr>
          <w:ilvl w:val="0"/>
          <w:numId w:val="0"/>
        </w:numPr>
        <w:jc w:val="center"/>
        <w:rPr>
          <w:rFonts w:hint="eastAsia" w:ascii="黑体" w:hAnsi="黑体" w:eastAsia="黑体" w:cs="黑体"/>
          <w:b w:val="0"/>
          <w:bCs/>
          <w:color w:val="000000" w:themeColor="text1"/>
          <w14:textFill>
            <w14:solidFill>
              <w14:schemeClr w14:val="tx1"/>
            </w14:solidFill>
          </w14:textFill>
        </w:rPr>
      </w:pPr>
      <w:r>
        <w:rPr>
          <w:rFonts w:hint="eastAsia" w:ascii="黑体" w:hAnsi="黑体" w:eastAsia="黑体" w:cs="黑体"/>
          <w:b w:val="0"/>
          <w:bCs/>
          <w:color w:val="000000" w:themeColor="text1"/>
          <w:kern w:val="44"/>
          <w:sz w:val="30"/>
          <w:szCs w:val="24"/>
          <w:lang w:val="en-US" w:eastAsia="zh-CN" w:bidi="ar-SA"/>
          <w14:textFill>
            <w14:solidFill>
              <w14:schemeClr w14:val="tx1"/>
            </w14:solidFill>
          </w14:textFill>
        </w:rPr>
        <w:t>二、</w:t>
      </w:r>
      <w:r>
        <w:rPr>
          <w:rFonts w:hint="eastAsia" w:ascii="黑体" w:hAnsi="黑体" w:eastAsia="黑体" w:cs="黑体"/>
          <w:b w:val="0"/>
          <w:bCs/>
          <w:color w:val="000000" w:themeColor="text1"/>
          <w14:textFill>
            <w14:solidFill>
              <w14:schemeClr w14:val="tx1"/>
            </w14:solidFill>
          </w14:textFill>
        </w:rPr>
        <w:t>建设项目工程分析</w:t>
      </w:r>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437"/>
        <w:gridCol w:w="808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54" w:type="dxa"/>
            <w:tcBorders>
              <w:tl2br w:val="nil"/>
              <w:tr2bl w:val="nil"/>
            </w:tcBorders>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建设内容</w:t>
            </w:r>
          </w:p>
        </w:tc>
        <w:tc>
          <w:tcPr>
            <w:tcW w:w="8068" w:type="dxa"/>
            <w:tcBorders>
              <w:tl2br w:val="nil"/>
              <w:tr2bl w:val="nil"/>
            </w:tcBorders>
          </w:tcPr>
          <w:p>
            <w:pPr>
              <w:pStyle w:val="7"/>
              <w:numPr>
                <w:ilvl w:val="0"/>
                <w:numId w:val="0"/>
              </w:numPr>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1 项目背景</w:t>
            </w:r>
            <w:r>
              <w:rPr>
                <w:rFonts w:hint="eastAsia" w:cs="Times New Roman"/>
                <w:b/>
                <w:color w:val="000000" w:themeColor="text1"/>
                <w:kern w:val="2"/>
                <w:sz w:val="24"/>
                <w:szCs w:val="24"/>
                <w:lang w:val="en-US" w:eastAsia="zh-CN" w:bidi="ar-SA"/>
                <w14:textFill>
                  <w14:solidFill>
                    <w14:schemeClr w14:val="tx1"/>
                  </w14:solidFill>
                </w14:textFill>
              </w:rPr>
              <w:t>介绍</w:t>
            </w: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及建设的必要性</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特变电工新疆电缆有限公司是特变电工新疆线缆厂下属全资子公司，成立于2021 年，生产经营场所位于昌吉国家高新技术产业开发区经一路和创业大道交汇处，主要从事电线电缆制造及其周边产品服务。</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特变电工新疆电缆有限公司2024年7月委托新疆祥达亿源环保科技有限公司编制完成《特变电工智能电缆产业园建设项目（三期）环境影响报告表》，2024年8月17日昌吉高新技术产业开发区生态环境局出具《关于特变电工智能电缆产业园建设项目（三期）环境影响报告表的批复》（昌高环发〔2024〕34号），该项目于2025年5月开工建设，2025年8月建设完成，实际建设内容：铝基新材料车间电工铝杆两条生产线及其配套生产环保设施，成品堆场，新能源车间及扩建危险废物贮存库还未开工建设。</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建设单位在试运行期间</w:t>
            </w:r>
            <w:r>
              <w:rPr>
                <w:rFonts w:hint="default"/>
                <w:color w:val="000000" w:themeColor="text1"/>
                <w:lang w:val="en-US" w:eastAsia="zh-CN"/>
                <w14:textFill>
                  <w14:solidFill>
                    <w14:schemeClr w14:val="tx1"/>
                  </w14:solidFill>
                </w14:textFill>
              </w:rPr>
              <w:t>发现本项目铝灰渣</w:t>
            </w:r>
            <w:r>
              <w:rPr>
                <w:rFonts w:hint="eastAsia"/>
                <w:color w:val="000000" w:themeColor="text1"/>
                <w:lang w:val="en-US" w:eastAsia="zh-CN"/>
                <w14:textFill>
                  <w14:solidFill>
                    <w14:schemeClr w14:val="tx1"/>
                  </w14:solidFill>
                </w14:textFill>
              </w:rPr>
              <w:t>产生量</w:t>
            </w:r>
            <w:r>
              <w:rPr>
                <w:rFonts w:hint="default"/>
                <w:color w:val="000000" w:themeColor="text1"/>
                <w:lang w:val="en-US" w:eastAsia="zh-CN"/>
                <w14:textFill>
                  <w14:solidFill>
                    <w14:schemeClr w14:val="tx1"/>
                  </w14:solidFill>
                </w14:textFill>
              </w:rPr>
              <w:t>与原环评批复不符，</w:t>
            </w:r>
            <w:r>
              <w:rPr>
                <w:rFonts w:hint="eastAsia"/>
                <w:color w:val="000000" w:themeColor="text1"/>
                <w:lang w:val="en-US" w:eastAsia="zh-CN"/>
                <w14:textFill>
                  <w14:solidFill>
                    <w14:schemeClr w14:val="tx1"/>
                  </w14:solidFill>
                </w14:textFill>
              </w:rPr>
              <w:t>查找相关前后生产工艺，对照《关于印发 &lt;污染影响类建设项目重大变动清单（试行）&gt; 的通知》（环办环评函〔2020〕688号），本项目</w:t>
            </w:r>
            <w:r>
              <w:rPr>
                <w:rFonts w:hint="default"/>
                <w:color w:val="000000" w:themeColor="text1"/>
                <w:lang w:val="en-US" w:eastAsia="zh-CN"/>
                <w14:textFill>
                  <w14:solidFill>
                    <w14:schemeClr w14:val="tx1"/>
                  </w14:solidFill>
                </w14:textFill>
              </w:rPr>
              <w:t>涉及重大变动，企业委托我</w:t>
            </w:r>
            <w:r>
              <w:rPr>
                <w:rFonts w:hint="eastAsia"/>
                <w:color w:val="000000" w:themeColor="text1"/>
                <w:lang w:val="en-US" w:eastAsia="zh-CN"/>
                <w14:textFill>
                  <w14:solidFill>
                    <w14:schemeClr w14:val="tx1"/>
                  </w14:solidFill>
                </w14:textFill>
              </w:rPr>
              <w:t>单位</w:t>
            </w:r>
            <w:r>
              <w:rPr>
                <w:rFonts w:hint="default"/>
                <w:color w:val="000000" w:themeColor="text1"/>
                <w:lang w:val="en-US" w:eastAsia="zh-CN"/>
                <w14:textFill>
                  <w14:solidFill>
                    <w14:schemeClr w14:val="tx1"/>
                  </w14:solidFill>
                </w14:textFill>
              </w:rPr>
              <w:t>编制变更环境影响评价报告表，对本项目进行重新报批</w:t>
            </w:r>
            <w:r>
              <w:rPr>
                <w:rFonts w:hint="eastAsia"/>
                <w:color w:val="000000" w:themeColor="text1"/>
                <w:lang w:val="en-US" w:eastAsia="zh-CN"/>
                <w14:textFill>
                  <w14:solidFill>
                    <w14:schemeClr w14:val="tx1"/>
                  </w14:solidFill>
                </w14:textFill>
              </w:rPr>
              <w:t>。</w:t>
            </w:r>
          </w:p>
          <w:p>
            <w:pPr>
              <w:pStyle w:val="7"/>
              <w:numPr>
                <w:ilvl w:val="0"/>
                <w:numId w:val="0"/>
              </w:numPr>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b/>
                <w:color w:val="000000" w:themeColor="text1"/>
                <w:kern w:val="2"/>
                <w:sz w:val="24"/>
                <w:szCs w:val="24"/>
                <w:lang w:val="en-US" w:eastAsia="zh-CN" w:bidi="ar-SA"/>
                <w14:textFill>
                  <w14:solidFill>
                    <w14:schemeClr w14:val="tx1"/>
                  </w14:solidFill>
                </w14:textFill>
              </w:rPr>
              <w:t>2 项目重大变动情况及判定</w:t>
            </w:r>
          </w:p>
          <w:p>
            <w:pPr>
              <w:pStyle w:val="27"/>
              <w:bidi w:val="0"/>
              <w:jc w:val="both"/>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项目产品方案、主体生产工艺、生产设备均与原环评保持一致。受市场供货条件制约，外购铝锭来源不稳定，进厂铝锭灰分杂质含量高于原环评设计取值。为维持既定产品产量不变，项目铝锭原辅材料年消耗总量较原环评批复值有所增加</w:t>
            </w:r>
            <w:r>
              <w:rPr>
                <w:rFonts w:hint="eastAsia"/>
                <w:color w:val="000000" w:themeColor="text1"/>
                <w:lang w:val="en-US" w:eastAsia="zh-CN"/>
                <w14:textFill>
                  <w14:solidFill>
                    <w14:schemeClr w14:val="tx1"/>
                  </w14:solidFill>
                </w14:textFill>
              </w:rPr>
              <w:t>。</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根据实际物料平衡核算，进厂铝锭中增加的灰分杂质进入熔炼工序，绝大部分转化为危险废物铝灰渣，造成铝灰渣实际产生量显著高于原环评物料平衡预测结果，原环评设计50m</w:t>
            </w:r>
            <w:r>
              <w:rPr>
                <w:rFonts w:hint="eastAsia"/>
                <w:color w:val="000000" w:themeColor="text1"/>
                <w:vertAlign w:val="superscript"/>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危险废物贮存库暂存能力已无法满足实际生产暂存需求，需对危险废物贮存库实施扩建，扩建后建筑面积为100m</w:t>
            </w:r>
            <w:r>
              <w:rPr>
                <w:rFonts w:hint="eastAsia"/>
                <w:color w:val="000000" w:themeColor="text1"/>
                <w:vertAlign w:val="superscript"/>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；在堆存高度、库内分隔、通道布局维持不变条件下，危废贮存设施有效储存能力较原环评增大100%。</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对照《关于印发 &lt;污染影响类建设项目重大变动清单（试行）&gt; 的通知》（环办环评函〔2020〕688号）开展变动判定：</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危废贮存设施储存能力增大100%，大于30%，满足规模类重大变动判定条件；项目主要原辅材料年消耗总量发生增加，属于主要原辅材料用量变化，导致污染物排放量增加。</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综上，应当依法重新报批环境影响评价文件。</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本项目变更情况如下表所示：</w:t>
            </w:r>
          </w:p>
          <w:p>
            <w:pPr>
              <w:pStyle w:val="44"/>
              <w:spacing w:line="240" w:lineRule="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表2-1   项目变动情况对照分析表</w:t>
            </w:r>
          </w:p>
          <w:tbl>
            <w:tblPr>
              <w:tblStyle w:val="32"/>
              <w:tblW w:w="0" w:type="auto"/>
              <w:jc w:val="center"/>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594"/>
              <w:gridCol w:w="3994"/>
              <w:gridCol w:w="2100"/>
              <w:gridCol w:w="1162"/>
            </w:tblGrid>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trHeight w:val="243" w:hRule="atLeast"/>
                <w:jc w:val="center"/>
              </w:trPr>
              <w:tc>
                <w:tcPr>
                  <w:tcW w:w="4588" w:type="dxa"/>
                  <w:gridSpan w:val="2"/>
                  <w:tcBorders>
                    <w:bottom w:val="single" w:color="auto" w:sz="12" w:space="0"/>
                  </w:tcBorders>
                  <w:noWrap w:val="0"/>
                  <w:vAlign w:val="center"/>
                </w:tcPr>
                <w:p>
                  <w:pPr>
                    <w:pStyle w:val="104"/>
                    <w:bidi w:val="0"/>
                    <w:rPr>
                      <w:rFonts w:hint="default"/>
                      <w:b/>
                      <w:bCs/>
                      <w:color w:val="000000"/>
                      <w:sz w:val="21"/>
                      <w:szCs w:val="21"/>
                      <w:lang w:eastAsia="zh-CN"/>
                    </w:rPr>
                  </w:pPr>
                  <w:r>
                    <w:rPr>
                      <w:rFonts w:hint="default"/>
                      <w:b/>
                      <w:bCs/>
                      <w:color w:val="000000"/>
                      <w:sz w:val="21"/>
                      <w:szCs w:val="21"/>
                    </w:rPr>
                    <w:t>项目</w:t>
                  </w:r>
                </w:p>
              </w:tc>
              <w:tc>
                <w:tcPr>
                  <w:tcW w:w="2100" w:type="dxa"/>
                  <w:tcBorders>
                    <w:bottom w:val="single" w:color="auto" w:sz="12" w:space="0"/>
                  </w:tcBorders>
                  <w:noWrap w:val="0"/>
                  <w:vAlign w:val="center"/>
                </w:tcPr>
                <w:p>
                  <w:pPr>
                    <w:pStyle w:val="104"/>
                    <w:bidi w:val="0"/>
                    <w:rPr>
                      <w:rFonts w:hint="default"/>
                      <w:b/>
                      <w:bCs/>
                      <w:color w:val="000000"/>
                      <w:sz w:val="21"/>
                      <w:szCs w:val="21"/>
                    </w:rPr>
                  </w:pPr>
                  <w:r>
                    <w:rPr>
                      <w:rFonts w:hint="default"/>
                      <w:b/>
                      <w:bCs/>
                      <w:color w:val="000000"/>
                      <w:sz w:val="21"/>
                      <w:szCs w:val="21"/>
                      <w:lang w:val="en-US" w:eastAsia="zh-CN"/>
                    </w:rPr>
                    <w:t>本项目变化情况</w:t>
                  </w:r>
                </w:p>
              </w:tc>
              <w:tc>
                <w:tcPr>
                  <w:tcW w:w="1162" w:type="dxa"/>
                  <w:tcBorders>
                    <w:bottom w:val="single" w:color="auto" w:sz="12" w:space="0"/>
                  </w:tcBorders>
                  <w:noWrap w:val="0"/>
                  <w:vAlign w:val="center"/>
                </w:tcPr>
                <w:p>
                  <w:pPr>
                    <w:pStyle w:val="104"/>
                    <w:bidi w:val="0"/>
                    <w:rPr>
                      <w:rFonts w:hint="default"/>
                      <w:b/>
                      <w:bCs/>
                      <w:color w:val="000000"/>
                      <w:sz w:val="21"/>
                      <w:szCs w:val="21"/>
                      <w:lang w:eastAsia="zh-CN"/>
                    </w:rPr>
                  </w:pPr>
                  <w:r>
                    <w:rPr>
                      <w:rFonts w:hint="default"/>
                      <w:b/>
                      <w:bCs/>
                      <w:color w:val="000000"/>
                      <w:sz w:val="21"/>
                      <w:szCs w:val="21"/>
                      <w:lang w:eastAsia="zh-CN"/>
                    </w:rPr>
                    <w:t>重大变</w:t>
                  </w:r>
                </w:p>
                <w:p>
                  <w:pPr>
                    <w:pStyle w:val="104"/>
                    <w:bidi w:val="0"/>
                    <w:rPr>
                      <w:rFonts w:hint="default"/>
                      <w:b/>
                      <w:bCs/>
                      <w:color w:val="000000"/>
                      <w:sz w:val="21"/>
                      <w:szCs w:val="21"/>
                      <w:lang w:eastAsia="zh-CN"/>
                    </w:rPr>
                  </w:pPr>
                  <w:r>
                    <w:rPr>
                      <w:rFonts w:hint="default"/>
                      <w:b/>
                      <w:bCs/>
                      <w:color w:val="000000"/>
                      <w:sz w:val="21"/>
                      <w:szCs w:val="21"/>
                      <w:lang w:val="en-US" w:eastAsia="zh-CN"/>
                    </w:rPr>
                    <w:t xml:space="preserve">动判定 </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94" w:type="dxa"/>
                  <w:noWrap w:val="0"/>
                  <w:vAlign w:val="center"/>
                </w:tcPr>
                <w:p>
                  <w:pPr>
                    <w:pStyle w:val="104"/>
                    <w:bidi w:val="0"/>
                    <w:ind w:firstLine="0" w:firstLineChars="0"/>
                    <w:rPr>
                      <w:rFonts w:hint="default" w:ascii="Times New Roman" w:hAnsi="Times New Roman" w:eastAsia="宋体" w:cs="Times New Roman"/>
                      <w:b w:val="0"/>
                      <w:bCs/>
                      <w:color w:val="000000"/>
                      <w:kern w:val="2"/>
                      <w:sz w:val="21"/>
                      <w:szCs w:val="21"/>
                      <w:lang w:val="en-US" w:eastAsia="zh-CN" w:bidi="ar-SA"/>
                    </w:rPr>
                  </w:pPr>
                  <w:r>
                    <w:rPr>
                      <w:rFonts w:hint="default" w:ascii="Times New Roman" w:hAnsi="Times New Roman" w:eastAsia="宋体" w:cs="Times New Roman"/>
                      <w:b w:val="0"/>
                      <w:bCs/>
                      <w:color w:val="000000"/>
                      <w:kern w:val="2"/>
                      <w:sz w:val="21"/>
                      <w:szCs w:val="21"/>
                      <w:lang w:val="en-US" w:eastAsia="zh-CN" w:bidi="ar-SA"/>
                    </w:rPr>
                    <w:t>性质</w:t>
                  </w:r>
                </w:p>
              </w:tc>
              <w:tc>
                <w:tcPr>
                  <w:tcW w:w="3994" w:type="dxa"/>
                  <w:noWrap w:val="0"/>
                  <w:vAlign w:val="center"/>
                </w:tcPr>
                <w:p>
                  <w:pPr>
                    <w:pStyle w:val="104"/>
                    <w:bidi w:val="0"/>
                    <w:ind w:firstLine="0" w:firstLineChars="0"/>
                    <w:rPr>
                      <w:rFonts w:hint="default" w:ascii="Times New Roman" w:hAnsi="Times New Roman" w:eastAsia="宋体" w:cs="Times New Roman"/>
                      <w:b w:val="0"/>
                      <w:bCs/>
                      <w:color w:val="000000"/>
                      <w:kern w:val="2"/>
                      <w:sz w:val="21"/>
                      <w:szCs w:val="21"/>
                      <w:lang w:val="en-US" w:eastAsia="zh-CN" w:bidi="ar-SA"/>
                    </w:rPr>
                  </w:pPr>
                  <w:r>
                    <w:rPr>
                      <w:rFonts w:hint="default" w:ascii="Times New Roman" w:hAnsi="Times New Roman" w:eastAsia="宋体" w:cs="Times New Roman"/>
                      <w:b w:val="0"/>
                      <w:bCs/>
                      <w:color w:val="000000"/>
                      <w:kern w:val="2"/>
                      <w:sz w:val="21"/>
                      <w:szCs w:val="21"/>
                      <w:lang w:val="en-US" w:eastAsia="zh-CN" w:bidi="ar-SA"/>
                    </w:rPr>
                    <w:t>1.建设项目开发、使用功能发生变化的</w:t>
                  </w:r>
                </w:p>
              </w:tc>
              <w:tc>
                <w:tcPr>
                  <w:tcW w:w="2100" w:type="dxa"/>
                  <w:noWrap w:val="0"/>
                  <w:vAlign w:val="center"/>
                </w:tcPr>
                <w:p>
                  <w:pPr>
                    <w:pStyle w:val="104"/>
                    <w:bidi w:val="0"/>
                    <w:ind w:firstLine="0" w:firstLineChars="0"/>
                    <w:rPr>
                      <w:rFonts w:hint="default" w:ascii="Times New Roman" w:hAnsi="Times New Roman" w:eastAsia="宋体" w:cs="Times New Roman"/>
                      <w:b w:val="0"/>
                      <w:bCs/>
                      <w:color w:val="000000"/>
                      <w:kern w:val="2"/>
                      <w:sz w:val="21"/>
                      <w:szCs w:val="21"/>
                      <w:lang w:val="en-US" w:eastAsia="zh-CN" w:bidi="ar-SA"/>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noWrap w:val="0"/>
                  <w:vAlign w:val="center"/>
                </w:tcPr>
                <w:p>
                  <w:pPr>
                    <w:pStyle w:val="104"/>
                    <w:bidi w:val="0"/>
                    <w:ind w:firstLine="0" w:firstLineChars="0"/>
                    <w:rPr>
                      <w:rFonts w:hint="default" w:ascii="Times New Roman" w:hAnsi="Times New Roman" w:eastAsia="宋体" w:cs="Times New Roman"/>
                      <w:b w:val="0"/>
                      <w:bCs/>
                      <w:color w:val="000000"/>
                      <w:kern w:val="2"/>
                      <w:sz w:val="21"/>
                      <w:szCs w:val="21"/>
                      <w:lang w:val="en-US" w:eastAsia="zh-CN" w:bidi="ar-SA"/>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trHeight w:val="1285" w:hRule="atLeast"/>
                <w:jc w:val="center"/>
              </w:trPr>
              <w:tc>
                <w:tcPr>
                  <w:tcW w:w="594" w:type="dxa"/>
                  <w:vMerge w:val="restart"/>
                  <w:noWrap w:val="0"/>
                  <w:vAlign w:val="center"/>
                </w:tcPr>
                <w:p>
                  <w:pPr>
                    <w:pStyle w:val="104"/>
                    <w:bidi w:val="0"/>
                    <w:ind w:firstLine="0" w:firstLineChars="0"/>
                    <w:rPr>
                      <w:rFonts w:hint="default"/>
                      <w:b w:val="0"/>
                      <w:bCs/>
                      <w:color w:val="000000"/>
                      <w:sz w:val="21"/>
                      <w:szCs w:val="21"/>
                      <w:lang w:val="en-US" w:eastAsia="zh-CN"/>
                    </w:rPr>
                  </w:pPr>
                  <w:r>
                    <w:rPr>
                      <w:rFonts w:hint="default"/>
                      <w:b w:val="0"/>
                      <w:bCs/>
                      <w:color w:val="000000"/>
                      <w:sz w:val="21"/>
                      <w:szCs w:val="21"/>
                      <w:lang w:val="en-US" w:eastAsia="zh-CN"/>
                    </w:rPr>
                    <w:t>规模</w:t>
                  </w: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2.生产、处置或储存能力增大30%及以上的。</w:t>
                  </w:r>
                </w:p>
              </w:tc>
              <w:tc>
                <w:tcPr>
                  <w:tcW w:w="2100" w:type="dxa"/>
                  <w:noWrap w:val="0"/>
                  <w:vAlign w:val="center"/>
                </w:tcPr>
                <w:p>
                  <w:pPr>
                    <w:pStyle w:val="104"/>
                    <w:bidi w:val="0"/>
                    <w:ind w:firstLine="0" w:firstLineChars="0"/>
                    <w:rPr>
                      <w:rFonts w:hint="eastAsia"/>
                      <w:b w:val="0"/>
                      <w:bCs/>
                      <w:color w:val="000000"/>
                      <w:sz w:val="21"/>
                      <w:szCs w:val="21"/>
                      <w:lang w:val="en-US" w:eastAsia="zh-CN"/>
                    </w:rPr>
                  </w:pPr>
                  <w:r>
                    <w:rPr>
                      <w:rFonts w:hint="eastAsia"/>
                      <w:b w:val="0"/>
                      <w:bCs/>
                      <w:color w:val="000000"/>
                      <w:sz w:val="21"/>
                      <w:szCs w:val="21"/>
                      <w:lang w:val="en-US" w:eastAsia="zh-CN"/>
                    </w:rPr>
                    <w:t>由于铝锭原料来源不稳定，进厂铝锭灰分上升，造成危险废物铝灰渣产生量增加，原环评批复50m</w:t>
                  </w:r>
                  <w:r>
                    <w:rPr>
                      <w:rFonts w:hint="eastAsia"/>
                      <w:b w:val="0"/>
                      <w:bCs/>
                      <w:color w:val="000000"/>
                      <w:sz w:val="21"/>
                      <w:szCs w:val="21"/>
                      <w:vertAlign w:val="superscript"/>
                      <w:lang w:val="en-US" w:eastAsia="zh-CN"/>
                    </w:rPr>
                    <w:t>2</w:t>
                  </w:r>
                  <w:r>
                    <w:rPr>
                      <w:rFonts w:hint="eastAsia"/>
                      <w:b w:val="0"/>
                      <w:bCs/>
                      <w:color w:val="000000"/>
                      <w:sz w:val="21"/>
                      <w:szCs w:val="21"/>
                      <w:lang w:val="en-US" w:eastAsia="zh-CN"/>
                    </w:rPr>
                    <w:t>危险废物贮存库暂存能力不足，需扩建危废贮存库，储存能力增大30%以上</w:t>
                  </w:r>
                </w:p>
              </w:tc>
              <w:tc>
                <w:tcPr>
                  <w:tcW w:w="1162" w:type="dxa"/>
                  <w:noWrap w:val="0"/>
                  <w:vAlign w:val="center"/>
                </w:tcPr>
                <w:p>
                  <w:pPr>
                    <w:pStyle w:val="104"/>
                    <w:bidi w:val="0"/>
                    <w:ind w:firstLine="0" w:firstLineChars="0"/>
                    <w:rPr>
                      <w:rFonts w:hint="default"/>
                      <w:b w:val="0"/>
                      <w:bCs/>
                      <w:color w:val="000000"/>
                      <w:sz w:val="21"/>
                      <w:szCs w:val="21"/>
                      <w:lang w:val="en-US" w:eastAsia="zh-CN"/>
                    </w:rPr>
                  </w:pPr>
                  <w:r>
                    <w:rPr>
                      <w:rFonts w:hint="eastAsia"/>
                      <w:b/>
                      <w:bCs w:val="0"/>
                      <w:color w:val="000000"/>
                      <w:sz w:val="21"/>
                      <w:szCs w:val="21"/>
                      <w:lang w:val="en-US" w:eastAsia="zh-CN"/>
                    </w:rPr>
                    <w:t>是</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594" w:type="dxa"/>
                  <w:vMerge w:val="continue"/>
                  <w:noWrap w:val="0"/>
                  <w:vAlign w:val="center"/>
                </w:tcPr>
                <w:p>
                  <w:pPr>
                    <w:pStyle w:val="104"/>
                    <w:bidi w:val="0"/>
                    <w:ind w:firstLine="0" w:firstLineChars="0"/>
                    <w:rPr>
                      <w:rFonts w:hint="default"/>
                      <w:b w:val="0"/>
                      <w:bCs/>
                      <w:color w:val="000000"/>
                      <w:sz w:val="21"/>
                      <w:szCs w:val="21"/>
                      <w:lang w:val="en-US" w:eastAsia="zh-CN"/>
                    </w:rPr>
                  </w:pP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3.生产、处置或储存能力增大，导致废水第一类污染物排放量增加的。</w:t>
                  </w:r>
                </w:p>
              </w:tc>
              <w:tc>
                <w:tcPr>
                  <w:tcW w:w="2100"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trHeight w:val="1285" w:hRule="atLeast"/>
                <w:jc w:val="center"/>
              </w:trPr>
              <w:tc>
                <w:tcPr>
                  <w:tcW w:w="594" w:type="dxa"/>
                  <w:vMerge w:val="continue"/>
                  <w:noWrap w:val="0"/>
                  <w:vAlign w:val="center"/>
                </w:tcPr>
                <w:p>
                  <w:pPr>
                    <w:pStyle w:val="104"/>
                    <w:bidi w:val="0"/>
                    <w:ind w:firstLine="0" w:firstLineChars="0"/>
                    <w:rPr>
                      <w:rFonts w:hint="eastAsia"/>
                      <w:b w:val="0"/>
                      <w:bCs/>
                      <w:color w:val="000000"/>
                      <w:sz w:val="21"/>
                      <w:szCs w:val="21"/>
                      <w:lang w:val="en-US" w:eastAsia="zh-CN"/>
                    </w:rPr>
                  </w:pP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100" w:type="dxa"/>
                  <w:shd w:val="clear" w:color="auto" w:fill="auto"/>
                  <w:noWrap w:val="0"/>
                  <w:vAlign w:val="center"/>
                </w:tcPr>
                <w:p>
                  <w:pPr>
                    <w:pStyle w:val="104"/>
                    <w:bidi w:val="0"/>
                    <w:ind w:firstLine="0" w:firstLineChars="0"/>
                    <w:rPr>
                      <w:rFonts w:hint="eastAsia" w:ascii="Times New Roman" w:hAnsi="Times New Roman" w:eastAsia="宋体" w:cstheme="minorBidi"/>
                      <w:b w:val="0"/>
                      <w:bCs/>
                      <w:color w:val="000000"/>
                      <w:kern w:val="2"/>
                      <w:sz w:val="21"/>
                      <w:szCs w:val="21"/>
                      <w:lang w:val="en-US" w:eastAsia="zh-CN" w:bidi="ar-SA"/>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shd w:val="clear" w:color="auto" w:fill="auto"/>
                  <w:noWrap w:val="0"/>
                  <w:vAlign w:val="center"/>
                </w:tcPr>
                <w:p>
                  <w:pPr>
                    <w:pStyle w:val="104"/>
                    <w:bidi w:val="0"/>
                    <w:ind w:firstLine="0" w:firstLineChars="0"/>
                    <w:rPr>
                      <w:rFonts w:hint="eastAsia" w:ascii="Times New Roman" w:hAnsi="Times New Roman" w:eastAsia="宋体" w:cstheme="minorBidi"/>
                      <w:b w:val="0"/>
                      <w:bCs/>
                      <w:color w:val="000000"/>
                      <w:kern w:val="2"/>
                      <w:sz w:val="21"/>
                      <w:szCs w:val="21"/>
                      <w:lang w:val="en-US" w:eastAsia="zh-CN" w:bidi="ar-SA"/>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trHeight w:val="721" w:hRule="atLeast"/>
                <w:jc w:val="center"/>
              </w:trPr>
              <w:tc>
                <w:tcPr>
                  <w:tcW w:w="594" w:type="dxa"/>
                  <w:noWrap w:val="0"/>
                  <w:vAlign w:val="center"/>
                </w:tcPr>
                <w:p>
                  <w:pPr>
                    <w:pStyle w:val="104"/>
                    <w:bidi w:val="0"/>
                    <w:ind w:firstLine="0" w:firstLineChars="0"/>
                    <w:rPr>
                      <w:rFonts w:hint="default"/>
                      <w:b w:val="0"/>
                      <w:bCs/>
                      <w:color w:val="000000"/>
                      <w:sz w:val="21"/>
                      <w:szCs w:val="21"/>
                      <w:lang w:val="en-US" w:eastAsia="zh-CN"/>
                    </w:rPr>
                  </w:pPr>
                  <w:r>
                    <w:rPr>
                      <w:rFonts w:hint="eastAsia"/>
                      <w:b w:val="0"/>
                      <w:bCs/>
                      <w:color w:val="000000"/>
                      <w:sz w:val="21"/>
                      <w:szCs w:val="21"/>
                      <w:lang w:val="en-US" w:eastAsia="zh-CN"/>
                    </w:rPr>
                    <w:t>地点</w:t>
                  </w: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5.重新选址；在原厂址附近调整（包括总平面布置变化）导致环境防护距离范围变化且新增敏感点的。</w:t>
                  </w:r>
                </w:p>
              </w:tc>
              <w:tc>
                <w:tcPr>
                  <w:tcW w:w="2100"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85" w:hRule="atLeast"/>
                <w:jc w:val="center"/>
              </w:trPr>
              <w:tc>
                <w:tcPr>
                  <w:tcW w:w="594" w:type="dxa"/>
                  <w:vMerge w:val="restart"/>
                  <w:noWrap w:val="0"/>
                  <w:vAlign w:val="center"/>
                </w:tcPr>
                <w:p>
                  <w:pPr>
                    <w:pStyle w:val="104"/>
                    <w:bidi w:val="0"/>
                    <w:ind w:firstLine="0" w:firstLineChars="0"/>
                    <w:rPr>
                      <w:rFonts w:hint="default"/>
                      <w:b w:val="0"/>
                      <w:bCs/>
                      <w:color w:val="000000"/>
                      <w:sz w:val="21"/>
                      <w:szCs w:val="21"/>
                      <w:lang w:val="en-US" w:eastAsia="zh-CN"/>
                    </w:rPr>
                  </w:pPr>
                  <w:r>
                    <w:rPr>
                      <w:rFonts w:hint="eastAsia"/>
                      <w:b w:val="0"/>
                      <w:bCs/>
                      <w:color w:val="000000"/>
                      <w:sz w:val="21"/>
                      <w:szCs w:val="21"/>
                      <w:lang w:val="en-US" w:eastAsia="zh-CN"/>
                    </w:rPr>
                    <w:t>生产工艺</w:t>
                  </w: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6.新增产品品种或生产工艺（含主要生产装置、设备及配套设施）、主要原辅材料、燃料变化，导致以下情形之一：</w:t>
                  </w:r>
                </w:p>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（1）新增排放污染物种类的（毒性、挥发性降低的除外）；</w:t>
                  </w:r>
                </w:p>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（2）位于环境质量不达标区的建设项目相应污染物排放量增加的；</w:t>
                  </w:r>
                </w:p>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（3）废水第一类污染物排放量增加的；</w:t>
                  </w:r>
                </w:p>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（4）其他污染物排放量增加10%及以上的。</w:t>
                  </w:r>
                </w:p>
              </w:tc>
              <w:tc>
                <w:tcPr>
                  <w:tcW w:w="2100" w:type="dxa"/>
                  <w:shd w:val="clear" w:color="auto" w:fill="auto"/>
                  <w:noWrap w:val="0"/>
                  <w:vAlign w:val="center"/>
                </w:tcPr>
                <w:p>
                  <w:pPr>
                    <w:pStyle w:val="104"/>
                    <w:bidi w:val="0"/>
                    <w:ind w:firstLine="0" w:firstLineChars="0"/>
                    <w:rPr>
                      <w:rFonts w:hint="default" w:ascii="Times New Roman" w:hAnsi="Times New Roman" w:eastAsia="宋体" w:cstheme="minorBidi"/>
                      <w:b w:val="0"/>
                      <w:bCs/>
                      <w:color w:val="000000"/>
                      <w:kern w:val="2"/>
                      <w:sz w:val="21"/>
                      <w:szCs w:val="21"/>
                      <w:lang w:val="en-US" w:eastAsia="zh-CN" w:bidi="ar-SA"/>
                    </w:rPr>
                  </w:pPr>
                  <w:r>
                    <w:rPr>
                      <w:rFonts w:hint="default" w:ascii="Times New Roman" w:hAnsi="Times New Roman" w:eastAsia="宋体" w:cstheme="minorBidi"/>
                      <w:b w:val="0"/>
                      <w:bCs/>
                      <w:color w:val="000000"/>
                      <w:kern w:val="2"/>
                      <w:sz w:val="21"/>
                      <w:szCs w:val="21"/>
                      <w:lang w:val="en-US" w:eastAsia="zh-CN" w:bidi="ar-SA"/>
                    </w:rPr>
                    <w:t>本项目产品产量维持不变，铝锭年使用量增加，致使生产天然气消耗量增大，进而造成废气污染物排放量有所增加</w:t>
                  </w:r>
                </w:p>
              </w:tc>
              <w:tc>
                <w:tcPr>
                  <w:tcW w:w="1162" w:type="dxa"/>
                  <w:shd w:val="clear" w:color="auto" w:fill="auto"/>
                  <w:noWrap w:val="0"/>
                  <w:vAlign w:val="center"/>
                </w:tcPr>
                <w:p>
                  <w:pPr>
                    <w:pStyle w:val="104"/>
                    <w:bidi w:val="0"/>
                    <w:ind w:firstLine="0" w:firstLineChars="0"/>
                    <w:rPr>
                      <w:rFonts w:hint="eastAsia" w:ascii="Times New Roman" w:hAnsi="Times New Roman" w:eastAsia="宋体" w:cstheme="minorBidi"/>
                      <w:b w:val="0"/>
                      <w:bCs/>
                      <w:color w:val="000000"/>
                      <w:kern w:val="2"/>
                      <w:sz w:val="21"/>
                      <w:szCs w:val="21"/>
                      <w:lang w:val="en-US" w:eastAsia="zh-CN" w:bidi="ar-SA"/>
                    </w:rPr>
                  </w:pPr>
                  <w:r>
                    <w:rPr>
                      <w:rFonts w:hint="eastAsia" w:cs="Times New Roman"/>
                      <w:b/>
                      <w:bCs w:val="0"/>
                      <w:color w:val="000000"/>
                      <w:kern w:val="2"/>
                      <w:sz w:val="21"/>
                      <w:szCs w:val="21"/>
                      <w:lang w:val="en-US" w:eastAsia="zh-CN" w:bidi="ar-SA"/>
                    </w:rPr>
                    <w:t>是</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trHeight w:val="1285" w:hRule="atLeast"/>
                <w:jc w:val="center"/>
              </w:trPr>
              <w:tc>
                <w:tcPr>
                  <w:tcW w:w="594" w:type="dxa"/>
                  <w:vMerge w:val="continue"/>
                  <w:noWrap w:val="0"/>
                  <w:vAlign w:val="center"/>
                </w:tcPr>
                <w:p>
                  <w:pPr>
                    <w:pStyle w:val="104"/>
                    <w:bidi w:val="0"/>
                    <w:ind w:firstLine="0" w:firstLineChars="0"/>
                    <w:rPr>
                      <w:rFonts w:hint="eastAsia"/>
                      <w:b w:val="0"/>
                      <w:bCs/>
                      <w:color w:val="000000"/>
                      <w:sz w:val="21"/>
                      <w:szCs w:val="21"/>
                      <w:lang w:val="en-US" w:eastAsia="zh-CN"/>
                    </w:rPr>
                  </w:pP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7.物料运输、装卸、贮存方式变化，导致大气污染物无组织排放量增加10%及以上的</w:t>
                  </w:r>
                </w:p>
              </w:tc>
              <w:tc>
                <w:tcPr>
                  <w:tcW w:w="2100" w:type="dxa"/>
                  <w:noWrap w:val="0"/>
                  <w:vAlign w:val="center"/>
                </w:tcPr>
                <w:p>
                  <w:pPr>
                    <w:bidi w:val="0"/>
                    <w:ind w:firstLine="0" w:firstLineChars="0"/>
                    <w:jc w:val="center"/>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trHeight w:val="1285" w:hRule="atLeast"/>
                <w:jc w:val="center"/>
              </w:trPr>
              <w:tc>
                <w:tcPr>
                  <w:tcW w:w="594" w:type="dxa"/>
                  <w:vMerge w:val="restart"/>
                  <w:noWrap w:val="0"/>
                  <w:vAlign w:val="center"/>
                </w:tcPr>
                <w:p>
                  <w:pPr>
                    <w:pStyle w:val="104"/>
                    <w:bidi w:val="0"/>
                    <w:ind w:firstLine="0" w:firstLineChars="0"/>
                    <w:rPr>
                      <w:rFonts w:hint="eastAsia"/>
                      <w:b w:val="0"/>
                      <w:bCs/>
                      <w:color w:val="000000"/>
                      <w:sz w:val="21"/>
                      <w:szCs w:val="21"/>
                      <w:lang w:val="en-US" w:eastAsia="zh-CN"/>
                    </w:rPr>
                  </w:pPr>
                  <w:r>
                    <w:rPr>
                      <w:rFonts w:hint="eastAsia"/>
                      <w:b w:val="0"/>
                      <w:bCs/>
                      <w:color w:val="000000"/>
                      <w:sz w:val="21"/>
                      <w:szCs w:val="21"/>
                      <w:lang w:val="en-US" w:eastAsia="zh-CN"/>
                    </w:rPr>
                    <w:t>环境保护措施</w:t>
                  </w: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8.废气、废水污染防治措施变化，导致第6条中所列情形之一（废气无组织排放改为有组织排放、污染防治措施强化或改进的除外）或大气污染物无组织排放量增加10%及以上的。</w:t>
                  </w:r>
                </w:p>
              </w:tc>
              <w:tc>
                <w:tcPr>
                  <w:tcW w:w="2100" w:type="dxa"/>
                  <w:noWrap w:val="0"/>
                  <w:vAlign w:val="center"/>
                </w:tcPr>
                <w:p>
                  <w:pPr>
                    <w:bidi w:val="0"/>
                    <w:ind w:firstLine="0" w:firstLineChars="0"/>
                    <w:jc w:val="center"/>
                    <w:rPr>
                      <w:rFonts w:hint="default"/>
                      <w:b w:val="0"/>
                      <w:bCs/>
                      <w:color w:val="000000"/>
                      <w:sz w:val="21"/>
                      <w:szCs w:val="21"/>
                      <w:lang w:val="en-US" w:eastAsia="zh-CN"/>
                    </w:rPr>
                  </w:pPr>
                  <w:r>
                    <w:rPr>
                      <w:rFonts w:hint="eastAsia"/>
                      <w:b w:val="0"/>
                      <w:bCs/>
                      <w:color w:val="000000"/>
                      <w:sz w:val="21"/>
                      <w:szCs w:val="21"/>
                      <w:lang w:val="en-US" w:eastAsia="zh-CN"/>
                    </w:rPr>
                    <w:t>本项目连铸连轧工序废气由无组织排放变为有组织排放</w:t>
                  </w:r>
                </w:p>
              </w:tc>
              <w:tc>
                <w:tcPr>
                  <w:tcW w:w="1162"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69" w:hRule="atLeast"/>
                <w:jc w:val="center"/>
              </w:trPr>
              <w:tc>
                <w:tcPr>
                  <w:tcW w:w="594" w:type="dxa"/>
                  <w:vMerge w:val="continue"/>
                  <w:noWrap w:val="0"/>
                  <w:vAlign w:val="center"/>
                </w:tcPr>
                <w:p>
                  <w:pPr>
                    <w:pStyle w:val="104"/>
                    <w:bidi w:val="0"/>
                    <w:ind w:firstLine="0" w:firstLineChars="0"/>
                    <w:rPr>
                      <w:rFonts w:hint="eastAsia"/>
                      <w:b w:val="0"/>
                      <w:bCs/>
                      <w:color w:val="000000"/>
                      <w:sz w:val="21"/>
                      <w:szCs w:val="21"/>
                      <w:lang w:val="en-US" w:eastAsia="zh-CN"/>
                    </w:rPr>
                  </w:pP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9.新增废水直接排放口；废水由间接排放改为直接排放；废水直接排放口位置变化，导致不利环境影响加重的。</w:t>
                  </w:r>
                </w:p>
              </w:tc>
              <w:tc>
                <w:tcPr>
                  <w:tcW w:w="2100" w:type="dxa"/>
                  <w:noWrap w:val="0"/>
                  <w:vAlign w:val="center"/>
                </w:tcPr>
                <w:p>
                  <w:pPr>
                    <w:bidi w:val="0"/>
                    <w:ind w:firstLine="0" w:firstLineChars="0"/>
                    <w:jc w:val="center"/>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trHeight w:val="993" w:hRule="atLeast"/>
                <w:jc w:val="center"/>
              </w:trPr>
              <w:tc>
                <w:tcPr>
                  <w:tcW w:w="594" w:type="dxa"/>
                  <w:vMerge w:val="continue"/>
                  <w:noWrap w:val="0"/>
                  <w:vAlign w:val="center"/>
                </w:tcPr>
                <w:p>
                  <w:pPr>
                    <w:pStyle w:val="104"/>
                    <w:bidi w:val="0"/>
                    <w:ind w:firstLine="0" w:firstLineChars="0"/>
                    <w:rPr>
                      <w:rFonts w:hint="eastAsia"/>
                      <w:b w:val="0"/>
                      <w:bCs/>
                      <w:color w:val="000000"/>
                      <w:sz w:val="21"/>
                      <w:szCs w:val="21"/>
                      <w:lang w:val="en-US" w:eastAsia="zh-CN"/>
                    </w:rPr>
                  </w:pP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10.新增废气主要排放口（废气无组织排放改为有组织排放的除外）；主要排放口排气筒高度降低10%及以上的。</w:t>
                  </w:r>
                </w:p>
              </w:tc>
              <w:tc>
                <w:tcPr>
                  <w:tcW w:w="2100" w:type="dxa"/>
                  <w:noWrap w:val="0"/>
                  <w:vAlign w:val="center"/>
                </w:tcPr>
                <w:p>
                  <w:pPr>
                    <w:bidi w:val="0"/>
                    <w:ind w:firstLine="0" w:firstLineChars="0"/>
                    <w:jc w:val="center"/>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trHeight w:val="806" w:hRule="atLeast"/>
                <w:jc w:val="center"/>
              </w:trPr>
              <w:tc>
                <w:tcPr>
                  <w:tcW w:w="594" w:type="dxa"/>
                  <w:vMerge w:val="continue"/>
                  <w:noWrap w:val="0"/>
                  <w:vAlign w:val="center"/>
                </w:tcPr>
                <w:p>
                  <w:pPr>
                    <w:pStyle w:val="104"/>
                    <w:bidi w:val="0"/>
                    <w:ind w:firstLine="0" w:firstLineChars="0"/>
                    <w:rPr>
                      <w:rFonts w:hint="eastAsia"/>
                      <w:b w:val="0"/>
                      <w:bCs/>
                      <w:color w:val="000000"/>
                      <w:sz w:val="21"/>
                      <w:szCs w:val="21"/>
                      <w:lang w:val="en-US" w:eastAsia="zh-CN"/>
                    </w:rPr>
                  </w:pP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11.噪声、土壤或地下水污染防治措施变化，导致不利环境影响加重的。</w:t>
                  </w:r>
                </w:p>
              </w:tc>
              <w:tc>
                <w:tcPr>
                  <w:tcW w:w="2100" w:type="dxa"/>
                  <w:noWrap w:val="0"/>
                  <w:vAlign w:val="center"/>
                </w:tcPr>
                <w:p>
                  <w:pPr>
                    <w:bidi w:val="0"/>
                    <w:ind w:firstLine="0" w:firstLineChars="0"/>
                    <w:jc w:val="center"/>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85" w:hRule="atLeast"/>
                <w:jc w:val="center"/>
              </w:trPr>
              <w:tc>
                <w:tcPr>
                  <w:tcW w:w="594" w:type="dxa"/>
                  <w:vMerge w:val="continue"/>
                  <w:noWrap w:val="0"/>
                  <w:vAlign w:val="center"/>
                </w:tcPr>
                <w:p>
                  <w:pPr>
                    <w:pStyle w:val="104"/>
                    <w:bidi w:val="0"/>
                    <w:ind w:firstLine="0" w:firstLineChars="0"/>
                    <w:rPr>
                      <w:rFonts w:hint="eastAsia"/>
                      <w:b w:val="0"/>
                      <w:bCs/>
                      <w:color w:val="000000"/>
                      <w:sz w:val="21"/>
                      <w:szCs w:val="21"/>
                      <w:lang w:val="en-US" w:eastAsia="zh-CN"/>
                    </w:rPr>
                  </w:pP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12.固体废物利用处置方式由委托外单位利用处置改为自行利用处置的（自行利用处置设施单独开展环境影响评价的除外）；固体废物自行处置方式变化，导致不利环境影响加重的。</w:t>
                  </w:r>
                </w:p>
              </w:tc>
              <w:tc>
                <w:tcPr>
                  <w:tcW w:w="2100" w:type="dxa"/>
                  <w:noWrap w:val="0"/>
                  <w:vAlign w:val="center"/>
                </w:tcPr>
                <w:p>
                  <w:pPr>
                    <w:bidi w:val="0"/>
                    <w:ind w:firstLine="0" w:firstLineChars="0"/>
                    <w:jc w:val="center"/>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否</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trHeight w:val="816" w:hRule="atLeast"/>
                <w:jc w:val="center"/>
              </w:trPr>
              <w:tc>
                <w:tcPr>
                  <w:tcW w:w="594" w:type="dxa"/>
                  <w:vMerge w:val="continue"/>
                  <w:noWrap w:val="0"/>
                  <w:vAlign w:val="center"/>
                </w:tcPr>
                <w:p>
                  <w:pPr>
                    <w:pStyle w:val="104"/>
                    <w:bidi w:val="0"/>
                    <w:ind w:firstLine="0" w:firstLineChars="0"/>
                    <w:rPr>
                      <w:rFonts w:hint="eastAsia"/>
                      <w:b w:val="0"/>
                      <w:bCs/>
                      <w:color w:val="000000"/>
                      <w:sz w:val="21"/>
                      <w:szCs w:val="21"/>
                      <w:lang w:val="en-US" w:eastAsia="zh-CN"/>
                    </w:rPr>
                  </w:pPr>
                </w:p>
              </w:tc>
              <w:tc>
                <w:tcPr>
                  <w:tcW w:w="3994" w:type="dxa"/>
                  <w:noWrap w:val="0"/>
                  <w:vAlign w:val="center"/>
                </w:tcPr>
                <w:p>
                  <w:pPr>
                    <w:pStyle w:val="104"/>
                    <w:bidi w:val="0"/>
                    <w:ind w:firstLine="0" w:firstLineChars="0"/>
                    <w:rPr>
                      <w:rFonts w:hint="eastAsia" w:ascii="Times New Roman" w:hAnsi="Times New Roman" w:eastAsia="宋体" w:cs="Times New Roman"/>
                      <w:b w:val="0"/>
                      <w:bCs/>
                      <w:color w:val="000000"/>
                      <w:kern w:val="2"/>
                      <w:sz w:val="21"/>
                      <w:szCs w:val="21"/>
                      <w:lang w:val="en-US" w:eastAsia="zh-CN"/>
                    </w:rPr>
                  </w:pPr>
                  <w:r>
                    <w:rPr>
                      <w:rFonts w:hint="eastAsia" w:ascii="Times New Roman" w:hAnsi="Times New Roman" w:eastAsia="宋体" w:cs="Times New Roman"/>
                      <w:b w:val="0"/>
                      <w:bCs/>
                      <w:color w:val="000000"/>
                      <w:kern w:val="2"/>
                      <w:sz w:val="21"/>
                      <w:szCs w:val="21"/>
                      <w:lang w:val="en-US" w:eastAsia="zh-CN"/>
                    </w:rPr>
                    <w:t>13.事故废水暂存能力或拦截设施变化，导致环境风险防范能力弱化或降低的</w:t>
                  </w:r>
                </w:p>
              </w:tc>
              <w:tc>
                <w:tcPr>
                  <w:tcW w:w="2100" w:type="dxa"/>
                  <w:noWrap w:val="0"/>
                  <w:vAlign w:val="center"/>
                </w:tcPr>
                <w:p>
                  <w:pPr>
                    <w:bidi w:val="0"/>
                    <w:ind w:firstLine="0" w:firstLineChars="0"/>
                    <w:jc w:val="center"/>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无变动</w:t>
                  </w:r>
                </w:p>
              </w:tc>
              <w:tc>
                <w:tcPr>
                  <w:tcW w:w="1162" w:type="dxa"/>
                  <w:noWrap w:val="0"/>
                  <w:vAlign w:val="center"/>
                </w:tcPr>
                <w:p>
                  <w:pPr>
                    <w:pStyle w:val="104"/>
                    <w:bidi w:val="0"/>
                    <w:ind w:firstLine="0" w:firstLineChars="0"/>
                    <w:rPr>
                      <w:rFonts w:hint="eastAsia"/>
                      <w:b w:val="0"/>
                      <w:bCs/>
                      <w:color w:val="000000"/>
                      <w:sz w:val="21"/>
                      <w:szCs w:val="21"/>
                      <w:lang w:val="en-US" w:eastAsia="zh-CN"/>
                    </w:rPr>
                  </w:pPr>
                  <w:r>
                    <w:rPr>
                      <w:rFonts w:hint="eastAsia" w:ascii="Times New Roman" w:hAnsi="Times New Roman" w:eastAsia="宋体" w:cs="Times New Roman"/>
                      <w:b w:val="0"/>
                      <w:bCs/>
                      <w:color w:val="000000"/>
                      <w:kern w:val="2"/>
                      <w:sz w:val="21"/>
                      <w:szCs w:val="21"/>
                      <w:lang w:val="en-US" w:eastAsia="zh-CN" w:bidi="ar-SA"/>
                    </w:rPr>
                    <w:t>否</w:t>
                  </w:r>
                </w:p>
              </w:tc>
            </w:tr>
          </w:tbl>
          <w:p>
            <w:pPr>
              <w:pStyle w:val="8"/>
              <w:numPr>
                <w:ilvl w:val="0"/>
                <w:numId w:val="0"/>
              </w:numPr>
              <w:ind w:leftChars="0"/>
              <w:jc w:val="both"/>
              <w:outlineLvl w:val="2"/>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 xml:space="preserve"> 项目基本情况</w:t>
            </w:r>
          </w:p>
          <w:p>
            <w:pPr>
              <w:pStyle w:val="8"/>
              <w:numPr>
                <w:ilvl w:val="0"/>
                <w:numId w:val="0"/>
              </w:numPr>
              <w:ind w:leftChars="0"/>
              <w:jc w:val="both"/>
              <w:outlineLvl w:val="2"/>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项目</w:t>
            </w:r>
            <w:r>
              <w:rPr>
                <w:rFonts w:hint="default" w:ascii="Times New Roman" w:hAnsi="Times New Roman" w:cs="Times New Roman"/>
                <w:color w:val="000000" w:themeColor="text1"/>
                <w:lang w:val="en-US" w:eastAsia="zh-CN"/>
                <w14:textFill>
                  <w14:solidFill>
                    <w14:schemeClr w14:val="tx1"/>
                  </w14:solidFill>
                </w14:textFill>
              </w:rPr>
              <w:t>建设地点</w:t>
            </w:r>
          </w:p>
          <w:p>
            <w:pPr>
              <w:pStyle w:val="27"/>
              <w:tabs>
                <w:tab w:val="left" w:pos="6720"/>
                <w:tab w:val="left" w:pos="7200"/>
              </w:tabs>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本项目建设地点位于</w:t>
            </w:r>
            <w:r>
              <w:rPr>
                <w:rFonts w:hint="eastAsia" w:cs="Times New Roman"/>
                <w:color w:val="000000" w:themeColor="text1"/>
                <w:sz w:val="24"/>
                <w:szCs w:val="24"/>
                <w:lang w:val="en-US" w:eastAsia="zh-CN"/>
                <w14:textFill>
                  <w14:solidFill>
                    <w14:schemeClr w14:val="tx1"/>
                  </w14:solidFill>
                </w14:textFill>
              </w:rPr>
              <w:t>新疆</w:t>
            </w:r>
            <w:r>
              <w:rPr>
                <w:rFonts w:hint="default" w:ascii="Times New Roman" w:hAnsi="Times New Roman" w:cs="Times New Roman"/>
                <w:color w:val="000000" w:themeColor="text1"/>
                <w:sz w:val="24"/>
                <w:szCs w:val="24"/>
                <w:lang w:val="en-US" w:eastAsia="zh-CN"/>
                <w14:textFill>
                  <w14:solidFill>
                    <w14:schemeClr w14:val="tx1"/>
                  </w14:solidFill>
                </w14:textFill>
              </w:rPr>
              <w:t>昌吉国家高新技术产业开发区经一路和创业大道交汇处特变电工智能电缆产业园内，地理坐</w:t>
            </w:r>
            <w:r>
              <w:rPr>
                <w:rFonts w:hint="eastAsia" w:cs="Times New Roman"/>
                <w:color w:val="000000" w:themeColor="text1"/>
                <w:sz w:val="24"/>
                <w:szCs w:val="24"/>
                <w:lang w:val="en-US" w:eastAsia="zh-CN"/>
                <w14:textFill>
                  <w14:solidFill>
                    <w14:schemeClr w14:val="tx1"/>
                  </w14:solidFill>
                </w14:textFill>
              </w:rPr>
              <w:t>标E87°04'24.484"，N 44°05'24.505"</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本项目北侧为</w:t>
            </w:r>
            <w:r>
              <w:rPr>
                <w:rFonts w:hint="eastAsia" w:cs="Times New Roman"/>
                <w:color w:val="000000" w:themeColor="text1"/>
                <w:sz w:val="24"/>
                <w:szCs w:val="24"/>
                <w:lang w:val="en-US" w:eastAsia="zh-CN"/>
                <w14:textFill>
                  <w14:solidFill>
                    <w14:schemeClr w14:val="tx1"/>
                  </w14:solidFill>
                </w14:textFill>
              </w:rPr>
              <w:t>空地</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西侧为空地，</w:t>
            </w:r>
            <w:r>
              <w:rPr>
                <w:rFonts w:hint="eastAsia" w:ascii="Times New Roman" w:hAnsi="Times New Roman" w:cs="Times New Roman"/>
                <w:color w:val="000000" w:themeColor="text1"/>
                <w:sz w:val="24"/>
                <w:szCs w:val="24"/>
                <w:lang w:val="en-US" w:eastAsia="zh-CN"/>
                <w14:textFill>
                  <w14:solidFill>
                    <w14:schemeClr w14:val="tx1"/>
                  </w14:solidFill>
                </w14:textFill>
              </w:rPr>
              <w:t>南侧为</w:t>
            </w:r>
            <w:r>
              <w:rPr>
                <w:rFonts w:hint="eastAsia" w:cs="Times New Roman"/>
                <w:color w:val="000000" w:themeColor="text1"/>
                <w:sz w:val="24"/>
                <w:szCs w:val="24"/>
                <w:lang w:val="en-US" w:eastAsia="zh-CN"/>
                <w14:textFill>
                  <w14:solidFill>
                    <w14:schemeClr w14:val="tx1"/>
                  </w14:solidFill>
                </w14:textFill>
              </w:rPr>
              <w:t>园区道路，东侧为特变电工智能电缆产业园办公楼</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地理位置图见</w:t>
            </w:r>
            <w:r>
              <w:rPr>
                <w:rFonts w:hint="default" w:ascii="Times New Roman" w:hAnsi="Times New Roman" w:cs="Times New Roman"/>
                <w:b/>
                <w:bCs/>
                <w:color w:val="000000" w:themeColor="text1"/>
                <w:sz w:val="24"/>
                <w:szCs w:val="24"/>
                <w:lang w:val="en-US" w:eastAsia="zh-CN"/>
                <w14:textFill>
                  <w14:solidFill>
                    <w14:schemeClr w14:val="tx1"/>
                  </w14:solidFill>
                </w14:textFill>
              </w:rPr>
              <w:t>附图</w:t>
            </w:r>
            <w:r>
              <w:rPr>
                <w:rFonts w:hint="eastAsia" w:cs="Times New Roman"/>
                <w:b/>
                <w:bCs/>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lang w:val="en-US" w:eastAsia="zh-CN"/>
                <w14:textFill>
                  <w14:solidFill>
                    <w14:schemeClr w14:val="tx1"/>
                  </w14:solidFill>
                </w14:textFill>
              </w:rPr>
              <w:t>，周边关系图见</w:t>
            </w:r>
            <w:r>
              <w:rPr>
                <w:rFonts w:hint="default" w:ascii="Times New Roman" w:hAnsi="Times New Roman" w:cs="Times New Roman"/>
                <w:b/>
                <w:bCs/>
                <w:color w:val="000000" w:themeColor="text1"/>
                <w:sz w:val="24"/>
                <w:szCs w:val="24"/>
                <w:lang w:val="en-US" w:eastAsia="zh-CN"/>
                <w14:textFill>
                  <w14:solidFill>
                    <w14:schemeClr w14:val="tx1"/>
                  </w14:solidFill>
                </w14:textFill>
              </w:rPr>
              <w:t>附图</w:t>
            </w:r>
            <w:r>
              <w:rPr>
                <w:rFonts w:hint="eastAsia" w:cs="Times New Roman"/>
                <w:b/>
                <w:bCs/>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lang w:val="en-US" w:eastAsia="zh-CN"/>
                <w14:textFill>
                  <w14:solidFill>
                    <w14:schemeClr w14:val="tx1"/>
                  </w14:solidFill>
                </w14:textFill>
              </w:rPr>
              <w:t>。</w:t>
            </w:r>
          </w:p>
          <w:p>
            <w:pPr>
              <w:pStyle w:val="8"/>
              <w:jc w:val="both"/>
              <w:outlineLvl w:val="2"/>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 xml:space="preserve"> 项目建设内容</w:t>
            </w:r>
          </w:p>
          <w:p>
            <w:pPr>
              <w:pStyle w:val="27"/>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本项目主要建设内容及变动情况</w:t>
            </w:r>
            <w:r>
              <w:rPr>
                <w:rFonts w:hint="default" w:ascii="Times New Roman" w:hAnsi="Times New Roman" w:cs="Times New Roman"/>
                <w:color w:val="000000" w:themeColor="text1"/>
                <w:lang w:val="en-US" w:eastAsia="zh-CN"/>
                <w14:textFill>
                  <w14:solidFill>
                    <w14:schemeClr w14:val="tx1"/>
                  </w14:solidFill>
                </w14:textFill>
              </w:rPr>
              <w:t>见表2-</w:t>
            </w:r>
            <w:r>
              <w:rPr>
                <w:rFonts w:hint="eastAsia"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w:t>
            </w:r>
          </w:p>
          <w:p>
            <w:pPr>
              <w:pStyle w:val="44"/>
              <w:spacing w:line="240"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表2-</w:t>
            </w:r>
            <w:r>
              <w:rPr>
                <w:rFonts w:hint="eastAsia" w:cs="Times New Roman"/>
                <w:color w:val="000000" w:themeColor="text1"/>
                <w:sz w:val="21"/>
                <w:szCs w:val="21"/>
                <w:lang w:val="en-US" w:eastAsia="zh-CN"/>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default" w:ascii="Times New Roman" w:hAnsi="Times New Roman" w:cs="Times New Roman"/>
                <w:color w:val="000000" w:themeColor="text1"/>
                <w:sz w:val="21"/>
                <w:szCs w:val="21"/>
                <w:lang w:val="en-US" w:eastAsia="zh-CN"/>
                <w14:textFill>
                  <w14:solidFill>
                    <w14:schemeClr w14:val="tx1"/>
                  </w14:solidFill>
                </w14:textFill>
              </w:rPr>
              <w:t>项目建设内容及主要变动情况表</w:t>
            </w:r>
          </w:p>
          <w:tbl>
            <w:tblPr>
              <w:tblStyle w:val="32"/>
              <w:tblW w:w="497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023"/>
              <w:gridCol w:w="2627"/>
              <w:gridCol w:w="2623"/>
              <w:gridCol w:w="80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483" w:type="pct"/>
                  <w:tcBorders>
                    <w:bottom w:val="single" w:color="auto" w:sz="12" w:space="0"/>
                  </w:tcBorders>
                  <w:noWrap w:val="0"/>
                  <w:vAlign w:val="center"/>
                </w:tcPr>
                <w:p>
                  <w:pPr>
                    <w:jc w:val="center"/>
                    <w:rPr>
                      <w:rFonts w:hint="default" w:ascii="Times New Roman" w:hAnsi="Times New Roman" w:eastAsia="宋体" w:cs="Times New Roman"/>
                      <w:b/>
                      <w:bCs w:val="0"/>
                      <w:color w:val="000000" w:themeColor="text1"/>
                      <w:sz w:val="21"/>
                      <w:szCs w:val="21"/>
                      <w:lang w:eastAsia="zh-CN"/>
                      <w14:textFill>
                        <w14:solidFill>
                          <w14:schemeClr w14:val="tx1"/>
                        </w14:solidFill>
                      </w14:textFill>
                    </w:rPr>
                  </w:pPr>
                  <w:r>
                    <w:rPr>
                      <w:rFonts w:hint="default" w:ascii="Times New Roman" w:hAnsi="Times New Roman" w:cs="Times New Roman"/>
                      <w:b/>
                      <w:bCs w:val="0"/>
                      <w:color w:val="000000" w:themeColor="text1"/>
                      <w:sz w:val="21"/>
                      <w:szCs w:val="21"/>
                      <w:lang w:eastAsia="zh-CN"/>
                      <w14:textFill>
                        <w14:solidFill>
                          <w14:schemeClr w14:val="tx1"/>
                        </w14:solidFill>
                      </w14:textFill>
                    </w:rPr>
                    <w:t>工程类型</w:t>
                  </w:r>
                </w:p>
              </w:tc>
              <w:tc>
                <w:tcPr>
                  <w:tcW w:w="653" w:type="pct"/>
                  <w:tcBorders>
                    <w:bottom w:val="single" w:color="auto" w:sz="12" w:space="0"/>
                  </w:tcBorders>
                  <w:noWrap w:val="0"/>
                  <w:vAlign w:val="center"/>
                </w:tcPr>
                <w:p>
                  <w:pPr>
                    <w:jc w:val="cente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pPr>
                  <w:r>
                    <w:rPr>
                      <w:rFonts w:hint="eastAsia" w:cs="Times New Roman"/>
                      <w:b/>
                      <w:bCs w:val="0"/>
                      <w:color w:val="000000" w:themeColor="text1"/>
                      <w:sz w:val="21"/>
                      <w:szCs w:val="21"/>
                      <w:lang w:val="en-US" w:eastAsia="zh-CN"/>
                      <w14:textFill>
                        <w14:solidFill>
                          <w14:schemeClr w14:val="tx1"/>
                        </w14:solidFill>
                      </w14:textFill>
                    </w:rPr>
                    <w:t>项目名称</w:t>
                  </w:r>
                </w:p>
              </w:tc>
              <w:tc>
                <w:tcPr>
                  <w:tcW w:w="1676" w:type="pct"/>
                  <w:tcBorders>
                    <w:bottom w:val="single" w:color="auto" w:sz="12" w:space="0"/>
                  </w:tcBorders>
                  <w:noWrap w:val="0"/>
                  <w:vAlign w:val="center"/>
                </w:tcPr>
                <w:p>
                  <w:pPr>
                    <w:jc w:val="cente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pPr>
                  <w:r>
                    <w:rPr>
                      <w:rFonts w:hint="eastAsia" w:cs="Times New Roman"/>
                      <w:b/>
                      <w:bCs w:val="0"/>
                      <w:color w:val="000000" w:themeColor="text1"/>
                      <w:sz w:val="21"/>
                      <w:szCs w:val="21"/>
                      <w:lang w:val="en-US" w:eastAsia="zh-CN"/>
                      <w14:textFill>
                        <w14:solidFill>
                          <w14:schemeClr w14:val="tx1"/>
                        </w14:solidFill>
                      </w14:textFill>
                    </w:rPr>
                    <w:t>原环评建设内容</w:t>
                  </w:r>
                </w:p>
              </w:tc>
              <w:tc>
                <w:tcPr>
                  <w:tcW w:w="1674" w:type="pct"/>
                  <w:tcBorders>
                    <w:bottom w:val="single" w:color="auto" w:sz="12" w:space="0"/>
                  </w:tcBorders>
                  <w:shd w:val="clear" w:color="auto" w:fill="auto"/>
                  <w:noWrap w:val="0"/>
                  <w:vAlign w:val="center"/>
                </w:tcPr>
                <w:p>
                  <w:pPr>
                    <w:jc w:val="center"/>
                    <w:rPr>
                      <w:rFonts w:hint="default" w:ascii="Times New Roman" w:hAnsi="Times New Roman" w:eastAsia="宋体" w:cs="Times New Roman"/>
                      <w:b/>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1"/>
                      <w:szCs w:val="21"/>
                      <w:lang w:val="en-US" w:eastAsia="zh-CN" w:bidi="ar-SA"/>
                      <w14:textFill>
                        <w14:solidFill>
                          <w14:schemeClr w14:val="tx1"/>
                        </w14:solidFill>
                      </w14:textFill>
                    </w:rPr>
                    <w:t>变动后建设内容</w:t>
                  </w:r>
                </w:p>
              </w:tc>
              <w:tc>
                <w:tcPr>
                  <w:tcW w:w="512" w:type="pct"/>
                  <w:tcBorders>
                    <w:bottom w:val="single" w:color="auto" w:sz="12" w:space="0"/>
                  </w:tcBorders>
                  <w:noWrap w:val="0"/>
                  <w:vAlign w:val="center"/>
                </w:tcPr>
                <w:p>
                  <w:pPr>
                    <w:jc w:val="center"/>
                    <w:rPr>
                      <w:rFonts w:hint="eastAsia" w:cs="Times New Roman"/>
                      <w:b/>
                      <w:bCs w:val="0"/>
                      <w:color w:val="000000" w:themeColor="text1"/>
                      <w:sz w:val="21"/>
                      <w:szCs w:val="21"/>
                      <w:lang w:val="en-US" w:eastAsia="zh-CN"/>
                      <w14:textFill>
                        <w14:solidFill>
                          <w14:schemeClr w14:val="tx1"/>
                        </w14:solidFill>
                      </w14:textFill>
                    </w:rPr>
                  </w:pPr>
                  <w:r>
                    <w:rPr>
                      <w:rFonts w:hint="eastAsia" w:cs="Times New Roman"/>
                      <w:b/>
                      <w:bCs w:val="0"/>
                      <w:color w:val="000000" w:themeColor="text1"/>
                      <w:sz w:val="21"/>
                      <w:szCs w:val="21"/>
                      <w:lang w:val="en-US" w:eastAsia="zh-CN"/>
                      <w14:textFill>
                        <w14:solidFill>
                          <w14:schemeClr w14:val="tx1"/>
                        </w14:solidFill>
                      </w14:textFill>
                    </w:rPr>
                    <w:t>变化</w:t>
                  </w:r>
                </w:p>
                <w:p>
                  <w:pPr>
                    <w:jc w:val="center"/>
                    <w:rPr>
                      <w:rFonts w:hint="default" w:ascii="Times New Roman" w:hAnsi="Times New Roman" w:eastAsia="宋体" w:cs="Times New Roman"/>
                      <w:b/>
                      <w:bCs w:val="0"/>
                      <w:color w:val="000000" w:themeColor="text1"/>
                      <w:sz w:val="21"/>
                      <w:szCs w:val="21"/>
                      <w:lang w:val="en-US" w:eastAsia="zh-CN"/>
                      <w14:textFill>
                        <w14:solidFill>
                          <w14:schemeClr w14:val="tx1"/>
                        </w14:solidFill>
                      </w14:textFill>
                    </w:rPr>
                  </w:pPr>
                  <w:r>
                    <w:rPr>
                      <w:rFonts w:hint="eastAsia" w:cs="Times New Roman"/>
                      <w:b/>
                      <w:bCs w:val="0"/>
                      <w:color w:val="000000" w:themeColor="text1"/>
                      <w:sz w:val="21"/>
                      <w:szCs w:val="21"/>
                      <w:lang w:val="en-US" w:eastAsia="zh-CN"/>
                      <w14:textFill>
                        <w14:solidFill>
                          <w14:schemeClr w14:val="tx1"/>
                        </w14:solidFill>
                      </w14:textFill>
                    </w:rPr>
                    <w:t>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83" w:type="pct"/>
                  <w:vMerge w:val="restart"/>
                  <w:tcBorders>
                    <w:top w:val="single" w:color="auto" w:sz="12" w:space="0"/>
                    <w:tl2br w:val="nil"/>
                    <w:tr2bl w:val="nil"/>
                  </w:tcBorders>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主体工程</w:t>
                  </w:r>
                </w:p>
              </w:tc>
              <w:tc>
                <w:tcPr>
                  <w:tcW w:w="653" w:type="pct"/>
                  <w:tcBorders>
                    <w:top w:val="single" w:color="auto" w:sz="12" w:space="0"/>
                    <w:tl2br w:val="nil"/>
                    <w:tr2bl w:val="nil"/>
                  </w:tcBorders>
                  <w:shd w:val="clear" w:color="auto" w:fill="auto"/>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新能源车间</w:t>
                  </w:r>
                </w:p>
              </w:tc>
              <w:tc>
                <w:tcPr>
                  <w:tcW w:w="1676" w:type="pct"/>
                  <w:tcBorders>
                    <w:top w:val="single" w:color="auto" w:sz="12" w:space="0"/>
                    <w:tl2br w:val="nil"/>
                    <w:tr2bl w:val="nil"/>
                  </w:tcBorders>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建筑面积为39810.66m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，建设低压交联电缆、特高压导线生产线</w:t>
                  </w:r>
                  <w:r>
                    <w:rPr>
                      <w:rFonts w:hint="eastAsia" w:cs="Times New Roman"/>
                      <w:b w:val="0"/>
                      <w:bCs/>
                      <w:color w:val="000000" w:themeColor="text1"/>
                      <w:kern w:val="2"/>
                      <w:sz w:val="21"/>
                      <w:szCs w:val="21"/>
                      <w:lang w:val="en-US" w:eastAsia="zh-CN" w:bidi="ar-SA"/>
                      <w14:textFill>
                        <w14:solidFill>
                          <w14:schemeClr w14:val="tx1"/>
                        </w14:solidFill>
                      </w14:textFill>
                    </w:rPr>
                    <w:t>。</w:t>
                  </w:r>
                </w:p>
              </w:tc>
              <w:tc>
                <w:tcPr>
                  <w:tcW w:w="1674" w:type="pct"/>
                  <w:tcBorders>
                    <w:top w:val="single" w:color="auto" w:sz="12" w:space="0"/>
                    <w:tl2br w:val="nil"/>
                    <w:tr2bl w:val="nil"/>
                  </w:tcBorders>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建筑面积为39810.66m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，建设低压交联电缆、特高压导线生产线</w:t>
                  </w:r>
                  <w:r>
                    <w:rPr>
                      <w:rFonts w:hint="eastAsia" w:cs="Times New Roman"/>
                      <w:b w:val="0"/>
                      <w:bCs/>
                      <w:color w:val="000000" w:themeColor="text1"/>
                      <w:kern w:val="2"/>
                      <w:sz w:val="21"/>
                      <w:szCs w:val="21"/>
                      <w:lang w:val="en-US" w:eastAsia="zh-CN" w:bidi="ar-SA"/>
                      <w14:textFill>
                        <w14:solidFill>
                          <w14:schemeClr w14:val="tx1"/>
                        </w14:solidFill>
                      </w14:textFill>
                    </w:rPr>
                    <w:t>。</w:t>
                  </w:r>
                </w:p>
              </w:tc>
              <w:tc>
                <w:tcPr>
                  <w:tcW w:w="512" w:type="pct"/>
                  <w:tcBorders>
                    <w:top w:val="single" w:color="auto" w:sz="12" w:space="0"/>
                    <w:tl2br w:val="nil"/>
                    <w:tr2bl w:val="nil"/>
                  </w:tcBorders>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00" w:hRule="atLeast"/>
                <w:jc w:val="center"/>
              </w:trPr>
              <w:tc>
                <w:tcPr>
                  <w:tcW w:w="483" w:type="pct"/>
                  <w:vMerge w:val="continue"/>
                  <w:tcBorders>
                    <w:tl2br w:val="nil"/>
                    <w:tr2bl w:val="nil"/>
                  </w:tcBorders>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op w:val="single" w:color="auto" w:sz="12" w:space="0"/>
                    <w:tl2br w:val="nil"/>
                    <w:tr2bl w:val="nil"/>
                  </w:tcBorders>
                  <w:shd w:val="clear" w:color="auto" w:fill="auto"/>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铝基新材料车间</w:t>
                  </w:r>
                </w:p>
              </w:tc>
              <w:tc>
                <w:tcPr>
                  <w:tcW w:w="1676" w:type="pct"/>
                  <w:tcBorders>
                    <w:top w:val="single" w:color="auto" w:sz="12" w:space="0"/>
                    <w:tl2br w:val="nil"/>
                    <w:tr2bl w:val="nil"/>
                  </w:tcBorders>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建筑面积为6391.39m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，建设2台熔铝炉、4台保温炉，2条连铸连轧生产线</w:t>
                  </w:r>
                  <w:r>
                    <w:rPr>
                      <w:rFonts w:hint="eastAsia" w:cs="Times New Roman"/>
                      <w:b w:val="0"/>
                      <w:bCs/>
                      <w:color w:val="000000" w:themeColor="text1"/>
                      <w:kern w:val="2"/>
                      <w:sz w:val="21"/>
                      <w:szCs w:val="21"/>
                      <w:lang w:val="en-US" w:eastAsia="zh-CN" w:bidi="ar-SA"/>
                      <w14:textFill>
                        <w14:solidFill>
                          <w14:schemeClr w14:val="tx1"/>
                        </w14:solidFill>
                      </w14:textFill>
                    </w:rPr>
                    <w:t>。</w:t>
                  </w:r>
                </w:p>
              </w:tc>
              <w:tc>
                <w:tcPr>
                  <w:tcW w:w="1674" w:type="pct"/>
                  <w:tcBorders>
                    <w:top w:val="single" w:color="auto" w:sz="12" w:space="0"/>
                    <w:tl2br w:val="nil"/>
                    <w:tr2bl w:val="nil"/>
                  </w:tcBorders>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建筑面积为6391.39m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，建设2台熔铝炉、4台保温炉，2条连铸连轧生产线</w:t>
                  </w:r>
                  <w:r>
                    <w:rPr>
                      <w:rFonts w:hint="eastAsia" w:cs="Times New Roman"/>
                      <w:b w:val="0"/>
                      <w:bCs/>
                      <w:color w:val="000000" w:themeColor="text1"/>
                      <w:kern w:val="2"/>
                      <w:sz w:val="21"/>
                      <w:szCs w:val="21"/>
                      <w:lang w:val="en-US" w:eastAsia="zh-CN" w:bidi="ar-SA"/>
                      <w14:textFill>
                        <w14:solidFill>
                          <w14:schemeClr w14:val="tx1"/>
                        </w14:solidFill>
                      </w14:textFill>
                    </w:rPr>
                    <w:t>。</w:t>
                  </w:r>
                </w:p>
              </w:tc>
              <w:tc>
                <w:tcPr>
                  <w:tcW w:w="512" w:type="pct"/>
                  <w:tcBorders>
                    <w:top w:val="single" w:color="auto" w:sz="12" w:space="0"/>
                    <w:tl2br w:val="nil"/>
                    <w:tr2bl w:val="nil"/>
                  </w:tcBorders>
                  <w:noWrap w:val="0"/>
                  <w:vAlign w:val="center"/>
                </w:tcPr>
                <w:p>
                  <w:pPr>
                    <w:pStyle w:val="71"/>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00" w:hRule="atLeast"/>
                <w:jc w:val="center"/>
              </w:trPr>
              <w:tc>
                <w:tcPr>
                  <w:tcW w:w="483" w:type="pct"/>
                  <w:tcBorders>
                    <w:tl2br w:val="nil"/>
                    <w:tr2bl w:val="nil"/>
                  </w:tcBorders>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辅助工程</w:t>
                  </w:r>
                </w:p>
              </w:tc>
              <w:tc>
                <w:tcPr>
                  <w:tcW w:w="653" w:type="pct"/>
                  <w:tcBorders>
                    <w:top w:val="single" w:color="auto" w:sz="12" w:space="0"/>
                    <w:tl2br w:val="nil"/>
                    <w:tr2bl w:val="nil"/>
                  </w:tcBorders>
                  <w:noWrap w:val="0"/>
                  <w:vAlign w:val="center"/>
                </w:tcPr>
                <w:p>
                  <w:pPr>
                    <w:pStyle w:val="71"/>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宿舍及食堂</w:t>
                  </w:r>
                </w:p>
              </w:tc>
              <w:tc>
                <w:tcPr>
                  <w:tcW w:w="1676" w:type="pct"/>
                  <w:tcBorders>
                    <w:top w:val="single" w:color="auto" w:sz="12" w:space="0"/>
                    <w:tl2br w:val="nil"/>
                    <w:tr2bl w:val="nil"/>
                  </w:tcBorders>
                  <w:noWrap w:val="0"/>
                  <w:vAlign w:val="center"/>
                </w:tcPr>
                <w:p>
                  <w:pPr>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员工均不在厂区住宿，食堂依托一期项目。</w:t>
                  </w:r>
                </w:p>
              </w:tc>
              <w:tc>
                <w:tcPr>
                  <w:tcW w:w="1674" w:type="pct"/>
                  <w:tcBorders>
                    <w:top w:val="single" w:color="auto" w:sz="12" w:space="0"/>
                    <w:tl2br w:val="nil"/>
                    <w:tr2bl w:val="nil"/>
                  </w:tcBorders>
                  <w:shd w:val="clear" w:color="auto" w:fill="auto"/>
                  <w:noWrap w:val="0"/>
                  <w:vAlign w:val="center"/>
                </w:tcPr>
                <w:p>
                  <w:pPr>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员工均不在厂区住宿，食堂依托一期项目。</w:t>
                  </w:r>
                </w:p>
              </w:tc>
              <w:tc>
                <w:tcPr>
                  <w:tcW w:w="512" w:type="pct"/>
                  <w:tcBorders>
                    <w:top w:val="single" w:color="auto" w:sz="12" w:space="0"/>
                    <w:tl2br w:val="nil"/>
                    <w:tr2bl w:val="nil"/>
                  </w:tcBorders>
                  <w:noWrap w:val="0"/>
                  <w:vAlign w:val="center"/>
                </w:tcPr>
                <w:p>
                  <w:pPr>
                    <w:pStyle w:val="71"/>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00" w:hRule="atLeast"/>
                <w:jc w:val="center"/>
              </w:trPr>
              <w:tc>
                <w:tcPr>
                  <w:tcW w:w="483" w:type="pct"/>
                  <w:tcBorders>
                    <w:top w:val="single" w:color="auto" w:sz="12" w:space="0"/>
                    <w:tl2br w:val="nil"/>
                    <w:tr2bl w:val="nil"/>
                  </w:tcBorders>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储运工程</w:t>
                  </w:r>
                </w:p>
              </w:tc>
              <w:tc>
                <w:tcPr>
                  <w:tcW w:w="653" w:type="pct"/>
                  <w:tcBorders>
                    <w:top w:val="single" w:color="auto" w:sz="12" w:space="0"/>
                    <w:tl2br w:val="nil"/>
                    <w:tr2bl w:val="nil"/>
                  </w:tcBorders>
                  <w:shd w:val="clear" w:color="auto" w:fill="auto"/>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成品堆场</w:t>
                  </w:r>
                </w:p>
              </w:tc>
              <w:tc>
                <w:tcPr>
                  <w:tcW w:w="1676" w:type="pct"/>
                  <w:tcBorders>
                    <w:top w:val="single" w:color="auto" w:sz="12" w:space="0"/>
                    <w:tl2br w:val="nil"/>
                    <w:tr2bl w:val="nil"/>
                  </w:tcBorders>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三期堆场面积为17361m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w:t>
                  </w:r>
                </w:p>
              </w:tc>
              <w:tc>
                <w:tcPr>
                  <w:tcW w:w="1674" w:type="pct"/>
                  <w:tcBorders>
                    <w:top w:val="single" w:color="auto" w:sz="12" w:space="0"/>
                    <w:tl2br w:val="nil"/>
                    <w:tr2bl w:val="nil"/>
                  </w:tcBorders>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三期堆场面积为17361m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w:t>
                  </w:r>
                </w:p>
              </w:tc>
              <w:tc>
                <w:tcPr>
                  <w:tcW w:w="512" w:type="pct"/>
                  <w:tcBorders>
                    <w:top w:val="single" w:color="auto" w:sz="12" w:space="0"/>
                    <w:tl2br w:val="nil"/>
                    <w:tr2bl w:val="nil"/>
                  </w:tcBorders>
                  <w:noWrap w:val="0"/>
                  <w:vAlign w:val="center"/>
                </w:tcPr>
                <w:p>
                  <w:pPr>
                    <w:pStyle w:val="71"/>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83" w:type="pct"/>
                  <w:vMerge w:val="restart"/>
                  <w:tcBorders>
                    <w:tl2br w:val="nil"/>
                    <w:tr2bl w:val="nil"/>
                  </w:tcBorders>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公用工程</w:t>
                  </w:r>
                </w:p>
              </w:tc>
              <w:tc>
                <w:tcPr>
                  <w:tcW w:w="653" w:type="pct"/>
                  <w:tcBorders>
                    <w:tl2br w:val="nil"/>
                    <w:tr2bl w:val="nil"/>
                  </w:tcBorders>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供水工程</w:t>
                  </w:r>
                </w:p>
              </w:tc>
              <w:tc>
                <w:tcPr>
                  <w:tcW w:w="1676" w:type="pct"/>
                  <w:tcBorders>
                    <w:tl2br w:val="nil"/>
                    <w:tr2bl w:val="nil"/>
                  </w:tcBorders>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由园区供水管网集中供水。</w:t>
                  </w:r>
                </w:p>
              </w:tc>
              <w:tc>
                <w:tcPr>
                  <w:tcW w:w="1674" w:type="pct"/>
                  <w:tcBorders>
                    <w:tl2br w:val="nil"/>
                    <w:tr2bl w:val="nil"/>
                  </w:tcBorders>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由园区供水管网集中供水。</w:t>
                  </w:r>
                </w:p>
              </w:tc>
              <w:tc>
                <w:tcPr>
                  <w:tcW w:w="512" w:type="pct"/>
                  <w:tcBorders>
                    <w:tl2br w:val="nil"/>
                    <w:tr2bl w:val="nil"/>
                  </w:tcBorders>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71" w:hRule="atLeast"/>
                <w:jc w:val="center"/>
              </w:trPr>
              <w:tc>
                <w:tcPr>
                  <w:tcW w:w="483" w:type="pct"/>
                  <w:vMerge w:val="continue"/>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排水工程</w:t>
                  </w:r>
                </w:p>
              </w:tc>
              <w:tc>
                <w:tcPr>
                  <w:tcW w:w="1676" w:type="pct"/>
                  <w:tcBorders>
                    <w:tl2br w:val="nil"/>
                    <w:tr2bl w:val="nil"/>
                  </w:tcBorders>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生产废水循环使用，不外排，生活用水排入市政管网</w:t>
                  </w:r>
                  <w:r>
                    <w:rPr>
                      <w:rFonts w:hint="eastAsia" w:cs="Times New Roman"/>
                      <w:b w:val="0"/>
                      <w:bCs/>
                      <w:color w:val="000000" w:themeColor="text1"/>
                      <w:sz w:val="21"/>
                      <w:szCs w:val="21"/>
                      <w:lang w:val="en-US" w:eastAsia="zh-CN"/>
                      <w14:textFill>
                        <w14:solidFill>
                          <w14:schemeClr w14:val="tx1"/>
                        </w14:solidFill>
                      </w14:textFill>
                    </w:rPr>
                    <w:t>。</w:t>
                  </w:r>
                </w:p>
              </w:tc>
              <w:tc>
                <w:tcPr>
                  <w:tcW w:w="1674" w:type="pct"/>
                  <w:tcBorders>
                    <w:tl2br w:val="nil"/>
                    <w:tr2bl w:val="nil"/>
                  </w:tcBorders>
                  <w:shd w:val="clear" w:color="auto" w:fill="auto"/>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生产废水循环使用，不外排，生活用水排入市政管网</w:t>
                  </w:r>
                  <w:r>
                    <w:rPr>
                      <w:rFonts w:hint="eastAsia" w:cs="Times New Roman"/>
                      <w:b w:val="0"/>
                      <w:bCs/>
                      <w:color w:val="000000" w:themeColor="text1"/>
                      <w:sz w:val="21"/>
                      <w:szCs w:val="21"/>
                      <w:lang w:val="en-US" w:eastAsia="zh-CN"/>
                      <w14:textFill>
                        <w14:solidFill>
                          <w14:schemeClr w14:val="tx1"/>
                        </w14:solidFill>
                      </w14:textFill>
                    </w:rPr>
                    <w:t>。</w:t>
                  </w:r>
                </w:p>
              </w:tc>
              <w:tc>
                <w:tcPr>
                  <w:tcW w:w="512"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83" w:type="pct"/>
                  <w:vMerge w:val="continue"/>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供电工程</w:t>
                  </w:r>
                </w:p>
              </w:tc>
              <w:tc>
                <w:tcPr>
                  <w:tcW w:w="1676" w:type="pct"/>
                  <w:tcBorders>
                    <w:tl2br w:val="nil"/>
                    <w:tr2bl w:val="nil"/>
                  </w:tcBorders>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由市供电局区域变电所供电</w:t>
                  </w:r>
                  <w:r>
                    <w:rPr>
                      <w:rFonts w:hint="eastAsia" w:cs="Times New Roman"/>
                      <w:b w:val="0"/>
                      <w:bCs/>
                      <w:color w:val="000000" w:themeColor="text1"/>
                      <w:sz w:val="21"/>
                      <w:szCs w:val="21"/>
                      <w:lang w:val="en-US" w:eastAsia="zh-CN"/>
                      <w14:textFill>
                        <w14:solidFill>
                          <w14:schemeClr w14:val="tx1"/>
                        </w14:solidFill>
                      </w14:textFill>
                    </w:rPr>
                    <w:t>。</w:t>
                  </w:r>
                </w:p>
              </w:tc>
              <w:tc>
                <w:tcPr>
                  <w:tcW w:w="1674" w:type="pct"/>
                  <w:tcBorders>
                    <w:tl2br w:val="nil"/>
                    <w:tr2bl w:val="nil"/>
                  </w:tcBorders>
                  <w:shd w:val="clear" w:color="auto" w:fill="auto"/>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由市供电局区域变电所供电</w:t>
                  </w:r>
                  <w:r>
                    <w:rPr>
                      <w:rFonts w:hint="eastAsia" w:cs="Times New Roman"/>
                      <w:b w:val="0"/>
                      <w:bCs/>
                      <w:color w:val="000000" w:themeColor="text1"/>
                      <w:sz w:val="21"/>
                      <w:szCs w:val="21"/>
                      <w:lang w:val="en-US" w:eastAsia="zh-CN"/>
                      <w14:textFill>
                        <w14:solidFill>
                          <w14:schemeClr w14:val="tx1"/>
                        </w14:solidFill>
                      </w14:textFill>
                    </w:rPr>
                    <w:t>。</w:t>
                  </w:r>
                </w:p>
              </w:tc>
              <w:tc>
                <w:tcPr>
                  <w:tcW w:w="512"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483" w:type="pct"/>
                  <w:vMerge w:val="continue"/>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供</w:t>
                  </w:r>
                  <w:r>
                    <w:rPr>
                      <w:rFonts w:hint="eastAsia" w:cs="Times New Roman"/>
                      <w:b w:val="0"/>
                      <w:bCs/>
                      <w:color w:val="000000" w:themeColor="text1"/>
                      <w:sz w:val="21"/>
                      <w:szCs w:val="21"/>
                      <w:lang w:val="en-US" w:eastAsia="zh-CN"/>
                      <w14:textFill>
                        <w14:solidFill>
                          <w14:schemeClr w14:val="tx1"/>
                        </w14:solidFill>
                      </w14:textFill>
                    </w:rPr>
                    <w:t>气</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工程</w:t>
                  </w:r>
                </w:p>
              </w:tc>
              <w:tc>
                <w:tcPr>
                  <w:tcW w:w="1676" w:type="pct"/>
                  <w:tcBorders>
                    <w:tl2br w:val="nil"/>
                    <w:tr2bl w:val="nil"/>
                  </w:tcBorders>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由市政管网供应。</w:t>
                  </w:r>
                </w:p>
              </w:tc>
              <w:tc>
                <w:tcPr>
                  <w:tcW w:w="1674" w:type="pct"/>
                  <w:tcBorders>
                    <w:tl2br w:val="nil"/>
                    <w:tr2bl w:val="nil"/>
                  </w:tcBorders>
                  <w:shd w:val="clear" w:color="auto" w:fill="auto"/>
                  <w:noWrap w:val="0"/>
                  <w:vAlign w:val="center"/>
                </w:tcPr>
                <w:p>
                  <w:pPr>
                    <w:pStyle w:val="71"/>
                    <w:spacing w:line="240" w:lineRule="auto"/>
                    <w:ind w:firstLine="0"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由市政管网供应。</w:t>
                  </w:r>
                </w:p>
              </w:tc>
              <w:tc>
                <w:tcPr>
                  <w:tcW w:w="512" w:type="pct"/>
                  <w:tcBorders>
                    <w:tl2br w:val="nil"/>
                    <w:tr2bl w:val="nil"/>
                  </w:tcBorders>
                  <w:noWrap w:val="0"/>
                  <w:vAlign w:val="center"/>
                </w:tcPr>
                <w:p>
                  <w:pPr>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9" w:hRule="atLeast"/>
                <w:jc w:val="center"/>
              </w:trPr>
              <w:tc>
                <w:tcPr>
                  <w:tcW w:w="483" w:type="pct"/>
                  <w:vMerge w:val="continue"/>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供暖工程</w:t>
                  </w:r>
                </w:p>
              </w:tc>
              <w:tc>
                <w:tcPr>
                  <w:tcW w:w="1676" w:type="pct"/>
                  <w:tcBorders>
                    <w:tl2br w:val="nil"/>
                    <w:tr2bl w:val="nil"/>
                  </w:tcBorders>
                  <w:noWrap w:val="0"/>
                  <w:vAlign w:val="center"/>
                </w:tcPr>
                <w:p>
                  <w:pPr>
                    <w:pStyle w:val="71"/>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由园区供给。</w:t>
                  </w:r>
                </w:p>
              </w:tc>
              <w:tc>
                <w:tcPr>
                  <w:tcW w:w="1674" w:type="pct"/>
                  <w:tcBorders>
                    <w:tl2br w:val="nil"/>
                    <w:tr2bl w:val="nil"/>
                  </w:tcBorders>
                  <w:shd w:val="clear" w:color="auto" w:fill="auto"/>
                  <w:noWrap w:val="0"/>
                  <w:vAlign w:val="center"/>
                </w:tcPr>
                <w:p>
                  <w:pPr>
                    <w:pStyle w:val="71"/>
                    <w:spacing w:line="240" w:lineRule="auto"/>
                    <w:ind w:firstLine="0"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由园区供给。</w:t>
                  </w:r>
                </w:p>
              </w:tc>
              <w:tc>
                <w:tcPr>
                  <w:tcW w:w="512" w:type="pct"/>
                  <w:tcBorders>
                    <w:tl2br w:val="nil"/>
                    <w:tr2bl w:val="nil"/>
                  </w:tcBorders>
                  <w:noWrap w:val="0"/>
                  <w:vAlign w:val="center"/>
                </w:tcPr>
                <w:p>
                  <w:pPr>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3" w:type="pct"/>
                  <w:vMerge w:val="restart"/>
                  <w:tcBorders>
                    <w:tl2br w:val="nil"/>
                    <w:tr2bl w:val="nil"/>
                  </w:tcBorders>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环保工程</w:t>
                  </w:r>
                </w:p>
              </w:tc>
              <w:tc>
                <w:tcPr>
                  <w:tcW w:w="653" w:type="pct"/>
                  <w:vMerge w:val="restart"/>
                  <w:tcBorders>
                    <w:tl2br w:val="nil"/>
                    <w:tr2bl w:val="nil"/>
                  </w:tcBorders>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废气</w:t>
                  </w:r>
                </w:p>
              </w:tc>
              <w:tc>
                <w:tcPr>
                  <w:tcW w:w="1676" w:type="pct"/>
                  <w:tcBorders>
                    <w:tl2br w:val="nil"/>
                    <w:tr2bl w:val="nil"/>
                  </w:tcBorders>
                  <w:noWrap w:val="0"/>
                  <w:vAlign w:val="center"/>
                </w:tcPr>
                <w:p>
                  <w:pPr>
                    <w:snapToGrid w:val="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铝基新材料车间：氮氧化物使用低氮燃烧器+烟气再循环装置处理，颗粒物使用布袋除尘器处理，处理后的废气通过2根15m 的烟囱排放。</w:t>
                  </w:r>
                </w:p>
              </w:tc>
              <w:tc>
                <w:tcPr>
                  <w:tcW w:w="1674" w:type="pct"/>
                  <w:tcBorders>
                    <w:tl2br w:val="nil"/>
                    <w:tr2bl w:val="nil"/>
                  </w:tcBorders>
                  <w:shd w:val="clear" w:color="auto" w:fill="auto"/>
                  <w:noWrap w:val="0"/>
                  <w:vAlign w:val="center"/>
                </w:tcPr>
                <w:p>
                  <w:pPr>
                    <w:snapToGrid w:val="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铝基新材料车间：熔铝炉、保温炉炉膛废气及熔铝炉、保温炉天然气燃烧废气</w:t>
                  </w:r>
                  <w:r>
                    <w:rPr>
                      <w:rFonts w:hint="eastAsia" w:cs="Times New Roman"/>
                      <w:b w:val="0"/>
                      <w:bCs/>
                      <w:color w:val="000000" w:themeColor="text1"/>
                      <w:sz w:val="21"/>
                      <w:szCs w:val="21"/>
                      <w:lang w:val="en-US" w:eastAsia="zh-CN"/>
                      <w14:textFill>
                        <w14:solidFill>
                          <w14:schemeClr w14:val="tx1"/>
                        </w14:solidFill>
                      </w14:textFill>
                    </w:rPr>
                    <w:t>氮氧化物采用</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低氮燃烧器+烟气再循环装置处理，颗粒物使用布袋除尘器处理，处理后的废气通过</w:t>
                  </w:r>
                  <w:r>
                    <w:rPr>
                      <w:rFonts w:hint="eastAsia" w:cs="Times New Roman"/>
                      <w:b w:val="0"/>
                      <w:bCs/>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根</w:t>
                  </w:r>
                  <w:r>
                    <w:rPr>
                      <w:rFonts w:hint="eastAsia" w:cs="Times New Roman"/>
                      <w:b w:val="0"/>
                      <w:bCs/>
                      <w:color w:val="000000" w:themeColor="text1"/>
                      <w:sz w:val="21"/>
                      <w:szCs w:val="21"/>
                      <w:lang w:val="en-US" w:eastAsia="zh-CN"/>
                      <w14:textFill>
                        <w14:solidFill>
                          <w14:schemeClr w14:val="tx1"/>
                        </w14:solidFill>
                      </w14:textFill>
                    </w:rPr>
                    <w:t>20</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m 的烟囱排放。</w:t>
                  </w:r>
                  <w:r>
                    <w:rPr>
                      <w:rFonts w:hint="eastAsia" w:cs="Times New Roman"/>
                      <w:b w:val="0"/>
                      <w:bCs/>
                      <w:color w:val="000000" w:themeColor="text1"/>
                      <w:sz w:val="21"/>
                      <w:szCs w:val="21"/>
                      <w:lang w:val="en-US" w:eastAsia="zh-CN"/>
                      <w14:textFill>
                        <w14:solidFill>
                          <w14:schemeClr w14:val="tx1"/>
                        </w14:solidFill>
                      </w14:textFill>
                    </w:rPr>
                    <w:t>轧机</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废气经丝网过滤+动态拦截+活性炭吸附装置</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处理，处理后的废气通过</w:t>
                  </w:r>
                  <w:r>
                    <w:rPr>
                      <w:rFonts w:hint="eastAsia" w:cs="Times New Roman"/>
                      <w:b w:val="0"/>
                      <w:bCs/>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根1</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m的</w:t>
                  </w:r>
                  <w:r>
                    <w:rPr>
                      <w:rFonts w:hint="eastAsia" w:cs="Times New Roman"/>
                      <w:b w:val="0"/>
                      <w:bCs/>
                      <w:color w:val="000000" w:themeColor="text1"/>
                      <w:sz w:val="21"/>
                      <w:szCs w:val="21"/>
                      <w:lang w:val="en-US" w:eastAsia="zh-CN"/>
                      <w14:textFill>
                        <w14:solidFill>
                          <w14:schemeClr w14:val="tx1"/>
                        </w14:solidFill>
                      </w14:textFill>
                    </w:rPr>
                    <w:t>排气筒</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排放。</w:t>
                  </w:r>
                </w:p>
              </w:tc>
              <w:tc>
                <w:tcPr>
                  <w:tcW w:w="512" w:type="pct"/>
                  <w:tcBorders>
                    <w:tl2br w:val="nil"/>
                    <w:tr2bl w:val="nil"/>
                  </w:tcBorders>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变化</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3" w:type="pct"/>
                  <w:vMerge w:val="continue"/>
                  <w:tcBorders>
                    <w:tl2br w:val="nil"/>
                    <w:tr2bl w:val="nil"/>
                  </w:tcBorders>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vMerge w:val="continue"/>
                  <w:tcBorders>
                    <w:tl2br w:val="nil"/>
                    <w:tr2bl w:val="nil"/>
                  </w:tcBorders>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676" w:type="pct"/>
                  <w:tcBorders>
                    <w:tl2br w:val="nil"/>
                    <w:tr2bl w:val="nil"/>
                  </w:tcBorders>
                  <w:noWrap w:val="0"/>
                  <w:vAlign w:val="center"/>
                </w:tcPr>
                <w:p>
                  <w:pPr>
                    <w:snapToGrid w:val="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新能源车间：挤出工序废气经集气罩收集后经活性炭吸附+催化燃烧处理后由15m 高的烟囱排放。</w:t>
                  </w:r>
                </w:p>
              </w:tc>
              <w:tc>
                <w:tcPr>
                  <w:tcW w:w="1674" w:type="pct"/>
                  <w:tcBorders>
                    <w:tl2br w:val="nil"/>
                    <w:tr2bl w:val="nil"/>
                  </w:tcBorders>
                  <w:shd w:val="clear" w:color="auto" w:fill="auto"/>
                  <w:noWrap w:val="0"/>
                  <w:vAlign w:val="center"/>
                </w:tcPr>
                <w:p>
                  <w:pPr>
                    <w:snapToGrid w:val="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新能源车间：挤出工序废气经集气罩收集后经活性炭吸附+催化燃烧处理后由15m高的烟囱排放。</w:t>
                  </w:r>
                </w:p>
              </w:tc>
              <w:tc>
                <w:tcPr>
                  <w:tcW w:w="512" w:type="pct"/>
                  <w:tcBorders>
                    <w:tl2br w:val="nil"/>
                    <w:tr2bl w:val="nil"/>
                  </w:tcBorders>
                  <w:noWrap w:val="0"/>
                  <w:vAlign w:val="center"/>
                </w:tcPr>
                <w:p>
                  <w:pPr>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83" w:type="pct"/>
                  <w:vMerge w:val="continue"/>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废水</w:t>
                  </w:r>
                </w:p>
              </w:tc>
              <w:tc>
                <w:tcPr>
                  <w:tcW w:w="1676" w:type="pct"/>
                  <w:tcBorders>
                    <w:tl2br w:val="nil"/>
                    <w:tr2bl w:val="nil"/>
                  </w:tcBorders>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生产冷却用水全部循环，生活污水排入园区管网进入园区污水处理厂。</w:t>
                  </w:r>
                </w:p>
              </w:tc>
              <w:tc>
                <w:tcPr>
                  <w:tcW w:w="1674" w:type="pct"/>
                  <w:tcBorders>
                    <w:tl2br w:val="nil"/>
                    <w:tr2bl w:val="nil"/>
                  </w:tcBorders>
                  <w:shd w:val="clear" w:color="auto" w:fill="auto"/>
                  <w:noWrap w:val="0"/>
                  <w:vAlign w:val="center"/>
                </w:tcPr>
                <w:p>
                  <w:pPr>
                    <w:pStyle w:val="71"/>
                    <w:spacing w:line="240" w:lineRule="auto"/>
                    <w:ind w:firstLine="0"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生产冷却用水全部循环，生活污水排入园区管网进入园区污水处理厂。</w:t>
                  </w:r>
                </w:p>
              </w:tc>
              <w:tc>
                <w:tcPr>
                  <w:tcW w:w="512"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483" w:type="pct"/>
                  <w:vMerge w:val="continue"/>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噪声</w:t>
                  </w:r>
                </w:p>
              </w:tc>
              <w:tc>
                <w:tcPr>
                  <w:tcW w:w="1676" w:type="pct"/>
                  <w:tcBorders>
                    <w:tl2br w:val="nil"/>
                    <w:tr2bl w:val="nil"/>
                  </w:tcBorders>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选用低噪声设备、基础减振、厂房隔声等措施。</w:t>
                  </w:r>
                </w:p>
              </w:tc>
              <w:tc>
                <w:tcPr>
                  <w:tcW w:w="1674" w:type="pct"/>
                  <w:tcBorders>
                    <w:tl2br w:val="nil"/>
                    <w:tr2bl w:val="nil"/>
                  </w:tcBorders>
                  <w:shd w:val="clear" w:color="auto" w:fill="auto"/>
                  <w:noWrap w:val="0"/>
                  <w:vAlign w:val="center"/>
                </w:tcPr>
                <w:p>
                  <w:pPr>
                    <w:pStyle w:val="71"/>
                    <w:spacing w:line="240" w:lineRule="auto"/>
                    <w:ind w:firstLine="0"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选用低噪声设备、基础减振、厂房隔声等措施。</w:t>
                  </w:r>
                </w:p>
              </w:tc>
              <w:tc>
                <w:tcPr>
                  <w:tcW w:w="512" w:type="pct"/>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83" w:type="pct"/>
                  <w:vMerge w:val="continue"/>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l2br w:val="nil"/>
                    <w:tr2bl w:val="nil"/>
                  </w:tcBorders>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固废</w:t>
                  </w:r>
                </w:p>
              </w:tc>
              <w:tc>
                <w:tcPr>
                  <w:tcW w:w="1676" w:type="pct"/>
                  <w:tcBorders>
                    <w:tl2br w:val="nil"/>
                    <w:tr2bl w:val="nil"/>
                  </w:tcBorders>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废金属线（头）、废包装材料、挤塑废料收集后外售处置；废润滑油、铝渣、废活性炭、除尘器收集粉尘暂存于原有的危废暂存间，交由有资质的单位进行处理。危险废物贮存库面积为50m</w:t>
                  </w:r>
                  <w:r>
                    <w:rPr>
                      <w:rFonts w:hint="eastAsia" w:cs="Times New Roman"/>
                      <w:b w:val="0"/>
                      <w:bCs/>
                      <w:color w:val="000000" w:themeColor="text1"/>
                      <w:sz w:val="21"/>
                      <w:szCs w:val="21"/>
                      <w:vertAlign w:val="superscript"/>
                      <w:lang w:val="en-US" w:eastAsia="zh-CN"/>
                      <w14:textFill>
                        <w14:solidFill>
                          <w14:schemeClr w14:val="tx1"/>
                        </w14:solidFill>
                      </w14:textFill>
                    </w:rPr>
                    <w:t>2</w:t>
                  </w:r>
                  <w:r>
                    <w:rPr>
                      <w:rFonts w:hint="eastAsia" w:cs="Times New Roman"/>
                      <w:b w:val="0"/>
                      <w:bCs/>
                      <w:color w:val="000000" w:themeColor="text1"/>
                      <w:sz w:val="21"/>
                      <w:szCs w:val="21"/>
                      <w:lang w:val="en-US" w:eastAsia="zh-CN"/>
                      <w14:textFill>
                        <w14:solidFill>
                          <w14:schemeClr w14:val="tx1"/>
                        </w14:solidFill>
                      </w14:textFill>
                    </w:rPr>
                    <w:t>。</w:t>
                  </w:r>
                </w:p>
              </w:tc>
              <w:tc>
                <w:tcPr>
                  <w:tcW w:w="1674" w:type="pct"/>
                  <w:tcBorders>
                    <w:tl2br w:val="nil"/>
                    <w:tr2bl w:val="nil"/>
                  </w:tcBorders>
                  <w:shd w:val="clear" w:color="auto" w:fill="auto"/>
                  <w:noWrap w:val="0"/>
                  <w:vAlign w:val="center"/>
                </w:tcPr>
                <w:p>
                  <w:pPr>
                    <w:pStyle w:val="71"/>
                    <w:spacing w:line="240" w:lineRule="auto"/>
                    <w:ind w:firstLine="0"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生活垃圾集中收集后由环卫部门定期清运。废铝杆、边角料、挤塑废料、不合格产品回用于生产；废金属线（头）、废包装材料收集后集中外售。铝灰渣、除尘器收尘灰、废除尘袋、废乳化液、废活性炭、废催化剂、废过滤网、废润滑油、废润滑油桶、废洗涤液、废洗涤液桶收集后暂存于危险废物贮存库，委托有资质单位处置；废弃的含油抹布、劳保用品集中收集后由环卫部门定期清运。危险废物贮存库面积为100m</w:t>
                  </w:r>
                  <w:r>
                    <w:rPr>
                      <w:rFonts w:hint="eastAsia" w:cs="Times New Roman"/>
                      <w:b w:val="0"/>
                      <w:bCs/>
                      <w:color w:val="000000" w:themeColor="text1"/>
                      <w:sz w:val="21"/>
                      <w:szCs w:val="21"/>
                      <w:vertAlign w:val="superscript"/>
                      <w:lang w:val="en-US" w:eastAsia="zh-CN"/>
                      <w14:textFill>
                        <w14:solidFill>
                          <w14:schemeClr w14:val="tx1"/>
                        </w14:solidFill>
                      </w14:textFill>
                    </w:rPr>
                    <w:t>2</w:t>
                  </w:r>
                  <w:r>
                    <w:rPr>
                      <w:rFonts w:hint="eastAsia" w:cs="Times New Roman"/>
                      <w:b w:val="0"/>
                      <w:bCs/>
                      <w:color w:val="000000" w:themeColor="text1"/>
                      <w:sz w:val="21"/>
                      <w:szCs w:val="21"/>
                      <w:lang w:val="en-US" w:eastAsia="zh-CN"/>
                      <w14:textFill>
                        <w14:solidFill>
                          <w14:schemeClr w14:val="tx1"/>
                        </w14:solidFill>
                      </w14:textFill>
                    </w:rPr>
                    <w:t>。</w:t>
                  </w:r>
                </w:p>
              </w:tc>
              <w:tc>
                <w:tcPr>
                  <w:tcW w:w="512" w:type="pct"/>
                  <w:tcBorders>
                    <w:tl2br w:val="nil"/>
                    <w:tr2bl w:val="nil"/>
                  </w:tcBorders>
                  <w:noWrap w:val="0"/>
                  <w:vAlign w:val="center"/>
                </w:tcPr>
                <w:p>
                  <w:pPr>
                    <w:pStyle w:val="71"/>
                    <w:spacing w:line="240" w:lineRule="auto"/>
                    <w:ind w:firstLine="0" w:firstLineChars="0"/>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变化</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83" w:type="pct"/>
                  <w:vMerge w:val="continue"/>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l2br w:val="nil"/>
                    <w:tr2bl w:val="nil"/>
                  </w:tcBorders>
                  <w:shd w:val="clear" w:color="auto" w:fill="auto"/>
                  <w:noWrap w:val="0"/>
                  <w:vAlign w:val="top"/>
                </w:tcPr>
                <w:p>
                  <w:pPr>
                    <w:pStyle w:val="91"/>
                    <w:spacing w:before="65" w:line="228" w:lineRule="auto"/>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循环水池、</w:t>
                  </w:r>
                </w:p>
              </w:tc>
              <w:tc>
                <w:tcPr>
                  <w:tcW w:w="1676" w:type="pct"/>
                  <w:tcBorders>
                    <w:tl2br w:val="nil"/>
                    <w:tr2bl w:val="nil"/>
                  </w:tcBorders>
                  <w:shd w:val="clear" w:color="auto" w:fill="auto"/>
                  <w:noWrap w:val="0"/>
                  <w:vAlign w:val="top"/>
                </w:tcPr>
                <w:p>
                  <w:pPr>
                    <w:pStyle w:val="91"/>
                    <w:spacing w:before="52"/>
                    <w:ind w:left="22" w:leftChars="0" w:hanging="13" w:firstLineChars="0"/>
                    <w:jc w:val="both"/>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新能源车间：低压循环水池容积为234.36m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 xml:space="preserve"> ，导线循环水池容积为50m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；铝基新材料车间：循环水池容积为350m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，属于一般防渗区，防渗系数应≤1×10</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cm/s ，放置于钢筋混凝土池中均采用不锈钢板组焊。</w:t>
                  </w:r>
                </w:p>
              </w:tc>
              <w:tc>
                <w:tcPr>
                  <w:tcW w:w="1674" w:type="pct"/>
                  <w:tcBorders>
                    <w:tl2br w:val="nil"/>
                    <w:tr2bl w:val="nil"/>
                  </w:tcBorders>
                  <w:shd w:val="clear" w:color="auto" w:fill="auto"/>
                  <w:noWrap w:val="0"/>
                  <w:vAlign w:val="top"/>
                </w:tcPr>
                <w:p>
                  <w:pPr>
                    <w:pStyle w:val="91"/>
                    <w:spacing w:before="52"/>
                    <w:ind w:left="22" w:leftChars="0" w:hanging="13" w:firstLineChars="0"/>
                    <w:jc w:val="both"/>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新能源车间：低压循环水池容积为234.36m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 xml:space="preserve"> ，导线循环水池容积为50m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；铝基新材料车间：循环水池容积为350m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，属于一般防渗区，防渗系数应≤1×10</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cm/s ，放置于钢筋混凝土池中均采用不锈钢板组焊。</w:t>
                  </w:r>
                </w:p>
              </w:tc>
              <w:tc>
                <w:tcPr>
                  <w:tcW w:w="512" w:type="pct"/>
                  <w:tcBorders>
                    <w:tl2br w:val="nil"/>
                    <w:tr2bl w:val="nil"/>
                  </w:tcBorders>
                  <w:noWrap w:val="0"/>
                  <w:vAlign w:val="center"/>
                </w:tcPr>
                <w:p>
                  <w:pPr>
                    <w:pStyle w:val="71"/>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83" w:type="pct"/>
                  <w:vMerge w:val="continue"/>
                  <w:tcBorders>
                    <w:tl2br w:val="nil"/>
                    <w:tr2bl w:val="nil"/>
                  </w:tcBorders>
                  <w:noWrap w:val="0"/>
                  <w:vAlign w:val="center"/>
                </w:tcPr>
                <w:p>
                  <w:pPr>
                    <w:pStyle w:val="71"/>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53" w:type="pct"/>
                  <w:tcBorders>
                    <w:tl2br w:val="nil"/>
                    <w:tr2bl w:val="nil"/>
                  </w:tcBorders>
                  <w:shd w:val="clear" w:color="auto" w:fill="auto"/>
                  <w:noWrap w:val="0"/>
                  <w:vAlign w:val="top"/>
                </w:tcPr>
                <w:p>
                  <w:pPr>
                    <w:pStyle w:val="91"/>
                    <w:spacing w:before="65" w:line="255" w:lineRule="auto"/>
                    <w:ind w:right="78" w:right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皂化液循环池</w:t>
                  </w:r>
                </w:p>
              </w:tc>
              <w:tc>
                <w:tcPr>
                  <w:tcW w:w="1676" w:type="pct"/>
                  <w:tcBorders>
                    <w:tl2br w:val="nil"/>
                    <w:tr2bl w:val="nil"/>
                  </w:tcBorders>
                  <w:shd w:val="clear" w:color="auto" w:fill="auto"/>
                  <w:noWrap w:val="0"/>
                  <w:vAlign w:val="top"/>
                </w:tcPr>
                <w:p>
                  <w:pPr>
                    <w:pStyle w:val="91"/>
                    <w:spacing w:before="58" w:line="251" w:lineRule="auto"/>
                    <w:ind w:left="23" w:right="13" w:hanging="14"/>
                    <w:jc w:val="both"/>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铝基新材料车间皂化液循环池容积为 150m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，属于重点防渗区，等效黏土防渗层Mb≥6.0m，K≤1×10</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cm/s；新能源车间皂化液循环池容积为9m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 xml:space="preserve"> ，属于重点防渗区，等效黏土防渗层Mb≥6.0m ，K≤1×10</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cm/s；放置于钢筋混凝土池中均采用不锈钢板组焊。</w:t>
                  </w:r>
                </w:p>
              </w:tc>
              <w:tc>
                <w:tcPr>
                  <w:tcW w:w="1674" w:type="pct"/>
                  <w:tcBorders>
                    <w:tl2br w:val="nil"/>
                    <w:tr2bl w:val="nil"/>
                  </w:tcBorders>
                  <w:shd w:val="clear" w:color="auto" w:fill="auto"/>
                  <w:noWrap w:val="0"/>
                  <w:vAlign w:val="top"/>
                </w:tcPr>
                <w:p>
                  <w:pPr>
                    <w:pStyle w:val="91"/>
                    <w:spacing w:before="58" w:line="251" w:lineRule="auto"/>
                    <w:ind w:left="23" w:leftChars="0" w:right="13" w:rightChars="0" w:hanging="14" w:firstLineChars="0"/>
                    <w:jc w:val="both"/>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铝基新材料车间</w:t>
                  </w:r>
                  <w:r>
                    <w:rPr>
                      <w:rFonts w:hint="eastAsia" w:ascii="Times New Roman" w:hAnsi="Times New Roman" w:cs="Times New Roman"/>
                      <w:b w:val="0"/>
                      <w:bCs/>
                      <w:color w:val="000000" w:themeColor="text1"/>
                      <w:kern w:val="2"/>
                      <w:sz w:val="21"/>
                      <w:szCs w:val="21"/>
                      <w:lang w:val="en-US" w:eastAsia="zh-CN" w:bidi="ar-SA"/>
                      <w14:textFill>
                        <w14:solidFill>
                          <w14:schemeClr w14:val="tx1"/>
                        </w14:solidFill>
                      </w14:textFill>
                    </w:rPr>
                    <w:t>乳化</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液循环池容积为 150m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，属于重点防渗区，等效黏土防渗层Mb≥6.0m，K≤1×10</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cm/s；新能源车间</w:t>
                  </w:r>
                  <w:r>
                    <w:rPr>
                      <w:rFonts w:hint="eastAsia" w:ascii="Times New Roman" w:hAnsi="Times New Roman" w:cs="Times New Roman"/>
                      <w:b w:val="0"/>
                      <w:bCs/>
                      <w:color w:val="000000" w:themeColor="text1"/>
                      <w:kern w:val="2"/>
                      <w:sz w:val="21"/>
                      <w:szCs w:val="21"/>
                      <w:lang w:val="en-US" w:eastAsia="zh-CN" w:bidi="ar-SA"/>
                      <w14:textFill>
                        <w14:solidFill>
                          <w14:schemeClr w14:val="tx1"/>
                        </w14:solidFill>
                      </w14:textFill>
                    </w:rPr>
                    <w:t>乳化</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液循环池容积为9m</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 xml:space="preserve"> ，属于重点防渗区，等效黏土防渗层Mb≥6.0m ，K≤1×10</w:t>
                  </w:r>
                  <w:r>
                    <w:rPr>
                      <w:rFonts w:hint="default" w:ascii="Times New Roman" w:hAnsi="Times New Roman" w:eastAsia="宋体" w:cs="Times New Roman"/>
                      <w:b w:val="0"/>
                      <w:bCs/>
                      <w:color w:val="000000" w:themeColor="text1"/>
                      <w:kern w:val="2"/>
                      <w:sz w:val="21"/>
                      <w:szCs w:val="21"/>
                      <w:vertAlign w:val="superscript"/>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cm/s；放置于钢筋混凝土池中均采用不锈钢板组焊。</w:t>
                  </w:r>
                </w:p>
              </w:tc>
              <w:tc>
                <w:tcPr>
                  <w:tcW w:w="512" w:type="pct"/>
                  <w:tcBorders>
                    <w:tl2br w:val="nil"/>
                    <w:tr2bl w:val="nil"/>
                  </w:tcBorders>
                  <w:noWrap w:val="0"/>
                  <w:vAlign w:val="center"/>
                </w:tcPr>
                <w:p>
                  <w:pPr>
                    <w:pStyle w:val="71"/>
                    <w:spacing w:line="240" w:lineRule="auto"/>
                    <w:ind w:firstLine="0" w:firstLineChars="0"/>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bl>
          <w:p>
            <w:pPr>
              <w:pStyle w:val="7"/>
              <w:numPr>
                <w:ilvl w:val="0"/>
                <w:numId w:val="0"/>
              </w:numPr>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eastAsia" w:cs="Times New Roman"/>
                <w:b/>
                <w:color w:val="000000" w:themeColor="text1"/>
                <w:kern w:val="2"/>
                <w:sz w:val="24"/>
                <w:szCs w:val="24"/>
                <w:lang w:val="en-US" w:eastAsia="zh-CN" w:bidi="ar-SA"/>
                <w14:textFill>
                  <w14:solidFill>
                    <w14:schemeClr w14:val="tx1"/>
                  </w14:solidFill>
                </w14:textFill>
              </w:rPr>
              <w:t>4</w:t>
            </w: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 xml:space="preserve"> 生产设备</w:t>
            </w:r>
          </w:p>
          <w:p>
            <w:pPr>
              <w:pStyle w:val="27"/>
              <w:ind w:firstLine="48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本项目主要</w:t>
            </w:r>
            <w:r>
              <w:rPr>
                <w:rFonts w:hint="eastAsia" w:cs="Times New Roman"/>
                <w:color w:val="000000" w:themeColor="text1"/>
                <w:lang w:val="en-US" w:eastAsia="zh-CN"/>
                <w14:textFill>
                  <w14:solidFill>
                    <w14:schemeClr w14:val="tx1"/>
                  </w14:solidFill>
                </w14:textFill>
              </w:rPr>
              <w:t>生产</w:t>
            </w:r>
            <w:r>
              <w:rPr>
                <w:rFonts w:hint="default" w:ascii="Times New Roman" w:hAnsi="Times New Roman" w:cs="Times New Roman"/>
                <w:color w:val="000000" w:themeColor="text1"/>
                <w14:textFill>
                  <w14:solidFill>
                    <w14:schemeClr w14:val="tx1"/>
                  </w14:solidFill>
                </w14:textFill>
              </w:rPr>
              <w:t>设备</w:t>
            </w:r>
            <w:r>
              <w:rPr>
                <w:rFonts w:hint="eastAsia" w:cs="Times New Roman"/>
                <w:color w:val="000000" w:themeColor="text1"/>
                <w:lang w:val="en-US" w:eastAsia="zh-CN"/>
                <w14:textFill>
                  <w14:solidFill>
                    <w14:schemeClr w14:val="tx1"/>
                  </w14:solidFill>
                </w14:textFill>
              </w:rPr>
              <w:t>变动情况</w:t>
            </w:r>
            <w:r>
              <w:rPr>
                <w:rFonts w:hint="default" w:ascii="Times New Roman" w:hAnsi="Times New Roman" w:cs="Times New Roman"/>
                <w:color w:val="000000" w:themeColor="text1"/>
                <w14:textFill>
                  <w14:solidFill>
                    <w14:schemeClr w14:val="tx1"/>
                  </w14:solidFill>
                </w14:textFill>
              </w:rPr>
              <w:t>见表2-</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p>
            <w:pPr>
              <w:pStyle w:val="44"/>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表2-</w:t>
            </w:r>
            <w:r>
              <w:rPr>
                <w:rFonts w:hint="eastAsia"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 xml:space="preserve">  </w:t>
            </w:r>
            <w:r>
              <w:rPr>
                <w:rFonts w:hint="default" w:ascii="Times New Roman" w:hAnsi="Times New Roman" w:cs="Times New Roman"/>
                <w:color w:val="000000" w:themeColor="text1"/>
                <w:sz w:val="21"/>
                <w:szCs w:val="21"/>
                <w:lang w:val="en-US" w:eastAsia="zh-CN"/>
                <w14:textFill>
                  <w14:solidFill>
                    <w14:schemeClr w14:val="tx1"/>
                  </w14:solidFill>
                </w14:textFill>
              </w:rPr>
              <w:t xml:space="preserve"> 主要</w:t>
            </w:r>
            <w:r>
              <w:rPr>
                <w:rFonts w:hint="eastAsia" w:cs="Times New Roman"/>
                <w:color w:val="000000" w:themeColor="text1"/>
                <w:sz w:val="21"/>
                <w:szCs w:val="21"/>
                <w:lang w:val="en-US" w:eastAsia="zh-CN"/>
                <w14:textFill>
                  <w14:solidFill>
                    <w14:schemeClr w14:val="tx1"/>
                  </w14:solidFill>
                </w14:textFill>
              </w:rPr>
              <w:t>生产</w:t>
            </w:r>
            <w:r>
              <w:rPr>
                <w:rFonts w:hint="default" w:ascii="Times New Roman" w:hAnsi="Times New Roman" w:cs="Times New Roman"/>
                <w:color w:val="000000" w:themeColor="text1"/>
                <w:sz w:val="21"/>
                <w:szCs w:val="21"/>
                <w:lang w:val="en-US" w:eastAsia="zh-CN"/>
                <w14:textFill>
                  <w14:solidFill>
                    <w14:schemeClr w14:val="tx1"/>
                  </w14:solidFill>
                </w14:textFill>
              </w:rPr>
              <w:t>设备</w:t>
            </w:r>
            <w:r>
              <w:rPr>
                <w:rFonts w:hint="eastAsia" w:cs="Times New Roman"/>
                <w:color w:val="000000" w:themeColor="text1"/>
                <w:sz w:val="21"/>
                <w:szCs w:val="21"/>
                <w:lang w:val="en-US" w:eastAsia="zh-CN"/>
                <w14:textFill>
                  <w14:solidFill>
                    <w14:schemeClr w14:val="tx1"/>
                  </w14:solidFill>
                </w14:textFill>
              </w:rPr>
              <w:t>变动</w:t>
            </w:r>
            <w:r>
              <w:rPr>
                <w:rFonts w:hint="default" w:ascii="Times New Roman" w:hAnsi="Times New Roman" w:eastAsia="宋体" w:cs="Times New Roman"/>
                <w:color w:val="000000" w:themeColor="text1"/>
                <w:sz w:val="21"/>
                <w:szCs w:val="21"/>
                <w14:textFill>
                  <w14:solidFill>
                    <w14:schemeClr w14:val="tx1"/>
                  </w14:solidFill>
                </w14:textFill>
              </w:rPr>
              <w:t>一览表</w:t>
            </w:r>
          </w:p>
          <w:tbl>
            <w:tblPr>
              <w:tblStyle w:val="32"/>
              <w:tblW w:w="4975"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Layout w:type="autofit"/>
              <w:tblCellMar>
                <w:top w:w="0" w:type="dxa"/>
                <w:left w:w="108" w:type="dxa"/>
                <w:bottom w:w="0" w:type="dxa"/>
                <w:right w:w="108" w:type="dxa"/>
              </w:tblCellMar>
            </w:tblPr>
            <w:tblGrid>
              <w:gridCol w:w="448"/>
              <w:gridCol w:w="1979"/>
              <w:gridCol w:w="3166"/>
              <w:gridCol w:w="1113"/>
              <w:gridCol w:w="1124"/>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286" w:type="pct"/>
                  <w:tcBorders>
                    <w:bottom w:val="single" w:color="auto" w:sz="12" w:space="0"/>
                  </w:tcBorders>
                  <w:shd w:val="clear" w:color="auto" w:fill="auto"/>
                  <w:vAlign w:val="center"/>
                </w:tcPr>
                <w:p>
                  <w:pPr>
                    <w:jc w:val="center"/>
                    <w:textAlignment w:val="top"/>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序号</w:t>
                  </w:r>
                </w:p>
              </w:tc>
              <w:tc>
                <w:tcPr>
                  <w:tcW w:w="1264" w:type="pct"/>
                  <w:tcBorders>
                    <w:bottom w:val="single" w:color="auto" w:sz="12" w:space="0"/>
                  </w:tcBorders>
                  <w:shd w:val="clear" w:color="auto" w:fill="auto"/>
                  <w:vAlign w:val="center"/>
                </w:tcPr>
                <w:p>
                  <w:pPr>
                    <w:jc w:val="center"/>
                    <w:textAlignment w:val="top"/>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设备名称</w:t>
                  </w:r>
                </w:p>
              </w:tc>
              <w:tc>
                <w:tcPr>
                  <w:tcW w:w="2022" w:type="pct"/>
                  <w:tcBorders>
                    <w:bottom w:val="single" w:color="auto" w:sz="12" w:space="0"/>
                  </w:tcBorders>
                  <w:shd w:val="clear" w:color="auto" w:fill="auto"/>
                  <w:vAlign w:val="center"/>
                </w:tcPr>
                <w:p>
                  <w:pPr>
                    <w:jc w:val="center"/>
                    <w:textAlignment w:val="top"/>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规格</w:t>
                  </w:r>
                </w:p>
              </w:tc>
              <w:tc>
                <w:tcPr>
                  <w:tcW w:w="711" w:type="pct"/>
                  <w:tcBorders>
                    <w:bottom w:val="single" w:color="auto" w:sz="12" w:space="0"/>
                  </w:tcBorders>
                  <w:shd w:val="clear" w:color="auto" w:fill="auto"/>
                  <w:vAlign w:val="center"/>
                </w:tcPr>
                <w:p>
                  <w:pPr>
                    <w:jc w:val="center"/>
                    <w:textAlignment w:val="top"/>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数量</w:t>
                  </w:r>
                </w:p>
              </w:tc>
              <w:tc>
                <w:tcPr>
                  <w:tcW w:w="715" w:type="pct"/>
                  <w:tcBorders>
                    <w:bottom w:val="single" w:color="auto" w:sz="12" w:space="0"/>
                  </w:tcBorders>
                  <w:shd w:val="clear" w:color="auto" w:fill="auto"/>
                  <w:vAlign w:val="center"/>
                </w:tcPr>
                <w:p>
                  <w:pPr>
                    <w:jc w:val="center"/>
                    <w:textAlignment w:val="top"/>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变化情况</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5000" w:type="pct"/>
                  <w:gridSpan w:val="5"/>
                  <w:tcBorders>
                    <w:top w:val="single" w:color="auto" w:sz="12" w:space="0"/>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lang w:val="en-US" w:eastAsia="zh-CN" w:bidi="ar-SA"/>
                      <w14:textFill>
                        <w14:solidFill>
                          <w14:schemeClr w14:val="tx1"/>
                        </w14:solidFill>
                      </w14:textFill>
                    </w:rPr>
                    <w:t>新能源车间</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1</w:t>
                  </w:r>
                </w:p>
              </w:tc>
              <w:tc>
                <w:tcPr>
                  <w:tcW w:w="1264"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挤塑机</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120 挤塑机</w:t>
                  </w:r>
                </w:p>
              </w:tc>
              <w:tc>
                <w:tcPr>
                  <w:tcW w:w="711"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3 台</w:t>
                  </w:r>
                </w:p>
              </w:tc>
              <w:tc>
                <w:tcPr>
                  <w:tcW w:w="715" w:type="pct"/>
                  <w:tcBorders>
                    <w:tl2br w:val="nil"/>
                    <w:tr2bl w:val="nil"/>
                  </w:tcBorders>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90"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2</w:t>
                  </w:r>
                </w:p>
              </w:tc>
              <w:tc>
                <w:tcPr>
                  <w:tcW w:w="1264"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挤塑机</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120+75挤塑机</w:t>
                  </w:r>
                </w:p>
              </w:tc>
              <w:tc>
                <w:tcPr>
                  <w:tcW w:w="711"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715" w:type="pct"/>
                  <w:tcBorders>
                    <w:tl2br w:val="nil"/>
                    <w:tr2bl w:val="nil"/>
                  </w:tcBorders>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3</w:t>
                  </w:r>
                </w:p>
              </w:tc>
              <w:tc>
                <w:tcPr>
                  <w:tcW w:w="1264"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挤塑机</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120+70挤塑机</w:t>
                  </w:r>
                </w:p>
              </w:tc>
              <w:tc>
                <w:tcPr>
                  <w:tcW w:w="711" w:type="pct"/>
                  <w:tcBorders>
                    <w:tl2br w:val="nil"/>
                    <w:tr2bl w:val="nil"/>
                  </w:tcBorders>
                  <w:shd w:val="clear" w:color="auto" w:fill="auto"/>
                  <w:noWrap/>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715" w:type="pct"/>
                  <w:tcBorders>
                    <w:tl2br w:val="nil"/>
                    <w:tr2bl w:val="nil"/>
                  </w:tcBorders>
                  <w:shd w:val="clear" w:color="auto" w:fill="auto"/>
                  <w:noWrap/>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b w:val="0"/>
                      <w:bCs/>
                      <w:i w:val="0"/>
                      <w:iCs w:val="0"/>
                      <w:color w:val="000000" w:themeColor="text1"/>
                      <w:kern w:val="0"/>
                      <w:sz w:val="21"/>
                      <w:szCs w:val="21"/>
                      <w:u w:val="none"/>
                      <w:lang w:val="en-US" w:eastAsia="zh-CN" w:bidi="ar"/>
                      <w14:textFill>
                        <w14:solidFill>
                          <w14:schemeClr w14:val="tx1"/>
                        </w14:solidFill>
                      </w14:textFill>
                    </w:rPr>
                    <w:t>4</w:t>
                  </w:r>
                </w:p>
              </w:tc>
              <w:tc>
                <w:tcPr>
                  <w:tcW w:w="1264"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成缆机</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2.5 米成缆机（不带钢丝）</w:t>
                  </w:r>
                </w:p>
              </w:tc>
              <w:tc>
                <w:tcPr>
                  <w:tcW w:w="711"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715" w:type="pct"/>
                  <w:tcBorders>
                    <w:tl2br w:val="nil"/>
                    <w:tr2bl w:val="nil"/>
                  </w:tcBorders>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t>5</w:t>
                  </w:r>
                </w:p>
              </w:tc>
              <w:tc>
                <w:tcPr>
                  <w:tcW w:w="1264"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成缆机</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2.5 米成缆机（带钢丝）</w:t>
                  </w:r>
                </w:p>
              </w:tc>
              <w:tc>
                <w:tcPr>
                  <w:tcW w:w="711"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715" w:type="pct"/>
                  <w:tcBorders>
                    <w:tl2br w:val="nil"/>
                    <w:tr2bl w:val="nil"/>
                  </w:tcBorders>
                  <w:shd w:val="clear" w:color="auto" w:fill="auto"/>
                  <w:vAlign w:val="center"/>
                </w:tcPr>
                <w:p>
                  <w:pPr>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t>6</w:t>
                  </w:r>
                </w:p>
              </w:tc>
              <w:tc>
                <w:tcPr>
                  <w:tcW w:w="1264"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挤塑机</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150 挤塑机</w:t>
                  </w:r>
                </w:p>
              </w:tc>
              <w:tc>
                <w:tcPr>
                  <w:tcW w:w="711"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715" w:type="pct"/>
                  <w:tcBorders>
                    <w:tl2br w:val="nil"/>
                    <w:tr2bl w:val="nil"/>
                  </w:tcBorders>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t>7</w:t>
                  </w:r>
                </w:p>
              </w:tc>
              <w:tc>
                <w:tcPr>
                  <w:tcW w:w="1264"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装铠机</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800 铠装机</w:t>
                  </w:r>
                </w:p>
              </w:tc>
              <w:tc>
                <w:tcPr>
                  <w:tcW w:w="711"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715" w:type="pct"/>
                  <w:tcBorders>
                    <w:tl2br w:val="nil"/>
                    <w:tr2bl w:val="nil"/>
                  </w:tcBorders>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t>8</w:t>
                  </w:r>
                </w:p>
              </w:tc>
              <w:tc>
                <w:tcPr>
                  <w:tcW w:w="1264"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蒸汽室</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蒸汽室</w:t>
                  </w:r>
                </w:p>
              </w:tc>
              <w:tc>
                <w:tcPr>
                  <w:tcW w:w="711"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7 台</w:t>
                  </w:r>
                </w:p>
              </w:tc>
              <w:tc>
                <w:tcPr>
                  <w:tcW w:w="715" w:type="pct"/>
                  <w:tcBorders>
                    <w:tl2br w:val="nil"/>
                    <w:tr2bl w:val="nil"/>
                  </w:tcBorders>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t>9</w:t>
                  </w:r>
                </w:p>
              </w:tc>
              <w:tc>
                <w:tcPr>
                  <w:tcW w:w="1264" w:type="pct"/>
                  <w:tcBorders>
                    <w:tl2br w:val="nil"/>
                    <w:tr2bl w:val="nil"/>
                  </w:tcBorders>
                  <w:shd w:val="clear" w:color="auto" w:fill="auto"/>
                  <w:noWrap/>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屏蔽机</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铜丝屏蔽机</w:t>
                  </w:r>
                </w:p>
              </w:tc>
              <w:tc>
                <w:tcPr>
                  <w:tcW w:w="711" w:type="pct"/>
                  <w:tcBorders>
                    <w:tl2br w:val="nil"/>
                    <w:tr2bl w:val="nil"/>
                  </w:tcBorders>
                  <w:shd w:val="clear" w:color="auto" w:fill="auto"/>
                  <w:noWrap/>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715" w:type="pct"/>
                  <w:tcBorders>
                    <w:tl2br w:val="nil"/>
                    <w:tr2bl w:val="nil"/>
                  </w:tcBorders>
                  <w:shd w:val="clear" w:color="auto" w:fill="auto"/>
                  <w:noWrap/>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t>10</w:t>
                  </w:r>
                </w:p>
              </w:tc>
              <w:tc>
                <w:tcPr>
                  <w:tcW w:w="1264" w:type="pct"/>
                  <w:tcBorders>
                    <w:tl2br w:val="nil"/>
                    <w:tr2bl w:val="nil"/>
                  </w:tcBorders>
                  <w:shd w:val="clear" w:color="auto" w:fill="auto"/>
                  <w:noWrap/>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放线架</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填充放线架</w:t>
                  </w:r>
                </w:p>
              </w:tc>
              <w:tc>
                <w:tcPr>
                  <w:tcW w:w="711" w:type="pct"/>
                  <w:tcBorders>
                    <w:tl2br w:val="nil"/>
                    <w:tr2bl w:val="nil"/>
                  </w:tcBorders>
                  <w:shd w:val="clear" w:color="auto" w:fill="auto"/>
                  <w:noWrap/>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4 台</w:t>
                  </w:r>
                </w:p>
              </w:tc>
              <w:tc>
                <w:tcPr>
                  <w:tcW w:w="715" w:type="pct"/>
                  <w:tcBorders>
                    <w:tl2br w:val="nil"/>
                    <w:tr2bl w:val="nil"/>
                  </w:tcBorders>
                  <w:shd w:val="clear" w:color="auto" w:fill="auto"/>
                  <w:noWrap/>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28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t>11</w:t>
                  </w:r>
                </w:p>
              </w:tc>
              <w:tc>
                <w:tcPr>
                  <w:tcW w:w="1264" w:type="pct"/>
                  <w:tcBorders>
                    <w:tl2br w:val="nil"/>
                    <w:tr2bl w:val="nil"/>
                  </w:tcBorders>
                  <w:shd w:val="clear" w:color="auto" w:fill="auto"/>
                  <w:noWrap/>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接头机</w:t>
                  </w:r>
                </w:p>
              </w:tc>
              <w:tc>
                <w:tcPr>
                  <w:tcW w:w="2022" w:type="pct"/>
                  <w:tcBorders>
                    <w:tl2br w:val="nil"/>
                    <w:tr2bl w:val="nil"/>
                  </w:tcBorders>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钢带接头机</w:t>
                  </w:r>
                </w:p>
              </w:tc>
              <w:tc>
                <w:tcPr>
                  <w:tcW w:w="711" w:type="pct"/>
                  <w:tcBorders>
                    <w:tl2br w:val="nil"/>
                    <w:tr2bl w:val="nil"/>
                  </w:tcBorders>
                  <w:shd w:val="clear" w:color="auto" w:fill="auto"/>
                  <w:noWrap/>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3 台</w:t>
                  </w:r>
                </w:p>
              </w:tc>
              <w:tc>
                <w:tcPr>
                  <w:tcW w:w="715" w:type="pct"/>
                  <w:tcBorders>
                    <w:tl2br w:val="nil"/>
                    <w:tr2bl w:val="nil"/>
                  </w:tcBorders>
                  <w:shd w:val="clear" w:color="auto" w:fill="auto"/>
                  <w:noWrap/>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t>12</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耐压实验设备</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耐压实验设备</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13</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尺寸、制样及电阻检测设备</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尺寸、制样及电阻检测设备</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14</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拉丝机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双头9 模铝大拉</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15</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拉丝机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双头 11模铝大拉</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16</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拉丝机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双头 11模框收铝大拉</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17</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绞线机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84 盘710框绞</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18</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绞线机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54 盘710框绞</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19</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同心绞</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61 盘同心绞</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20</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同心绞</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36 盘同心绞</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21</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时效炉</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时效炉</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5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22</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拉丝机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双头9 模铝大拉（改造）</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23</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拉丝机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双头 11模铝大拉（改造）</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24</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拉丝机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单头 11模铝大拉（改造）</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25</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绞线机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84 盘710框绞（改造）</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26</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绞线机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54 盘710框绞（改造）</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27</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绞线机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54 盘630框绞（改造）</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28</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绞线机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36 盘630框绞（改造）</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5000" w:type="pct"/>
                  <w:gridSpan w:val="5"/>
                  <w:shd w:val="clear" w:color="auto" w:fill="auto"/>
                  <w:vAlign w:val="center"/>
                </w:tcPr>
                <w:p>
                  <w:pPr>
                    <w:pStyle w:val="91"/>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1"/>
                      <w:szCs w:val="21"/>
                      <w:lang w:val="en-US" w:eastAsia="zh-CN" w:bidi="ar-SA"/>
                      <w14:textFill>
                        <w14:solidFill>
                          <w14:schemeClr w14:val="tx1"/>
                        </w14:solidFill>
                      </w14:textFill>
                    </w:rPr>
                    <w:t>铝基新材料车间</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1</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熔铝炉</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val="0"/>
                      <w:bCs/>
                      <w:color w:val="000000" w:themeColor="text1"/>
                      <w:kern w:val="2"/>
                      <w:sz w:val="21"/>
                      <w:szCs w:val="21"/>
                      <w:lang w:val="en-US" w:eastAsia="zh-CN" w:bidi="ar-SA"/>
                      <w14:textFill>
                        <w14:solidFill>
                          <w14:schemeClr w14:val="tx1"/>
                        </w14:solidFill>
                      </w14:textFill>
                    </w:rPr>
                    <w:t>容量为45T</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2</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保温炉</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 w:val="0"/>
                      <w:bCs/>
                      <w:color w:val="000000" w:themeColor="text1"/>
                      <w:kern w:val="2"/>
                      <w:sz w:val="21"/>
                      <w:szCs w:val="21"/>
                      <w:lang w:val="en-US" w:eastAsia="zh-CN" w:bidi="ar-SA"/>
                      <w14:textFill>
                        <w14:solidFill>
                          <w14:schemeClr w14:val="tx1"/>
                        </w14:solidFill>
                      </w14:textFill>
                    </w:rPr>
                    <w:t>容量为25T</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4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3</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连铸连轧</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套</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4</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同心绞</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37 芯同心绞</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shd w:val="clear" w:color="auto" w:fill="auto"/>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5</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制氮机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1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7" w:hRule="atLeast"/>
                <w:jc w:val="center"/>
              </w:trPr>
              <w:tc>
                <w:tcPr>
                  <w:tcW w:w="446"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i w:val="0"/>
                      <w:iCs w:val="0"/>
                      <w:color w:val="000000" w:themeColor="text1"/>
                      <w:kern w:val="2"/>
                      <w:sz w:val="21"/>
                      <w:szCs w:val="21"/>
                      <w:u w:val="none"/>
                      <w:lang w:val="en-US" w:eastAsia="zh-CN" w:bidi="ar-SA"/>
                      <w14:textFill>
                        <w14:solidFill>
                          <w14:schemeClr w14:val="tx1"/>
                        </w14:solidFill>
                      </w14:textFill>
                    </w:rPr>
                  </w:pPr>
                  <w:r>
                    <w:rPr>
                      <w:rFonts w:hint="eastAsia" w:cs="Times New Roman"/>
                      <w:b w:val="0"/>
                      <w:bCs/>
                      <w:i w:val="0"/>
                      <w:iCs w:val="0"/>
                      <w:color w:val="000000" w:themeColor="text1"/>
                      <w:kern w:val="2"/>
                      <w:sz w:val="21"/>
                      <w:szCs w:val="21"/>
                      <w:u w:val="none"/>
                      <w:lang w:val="en-US" w:eastAsia="zh-CN" w:bidi="ar-SA"/>
                      <w14:textFill>
                        <w14:solidFill>
                          <w14:schemeClr w14:val="tx1"/>
                        </w14:solidFill>
                      </w14:textFill>
                    </w:rPr>
                    <w:t>6</w:t>
                  </w:r>
                </w:p>
              </w:tc>
              <w:tc>
                <w:tcPr>
                  <w:tcW w:w="1264"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拉丝机</w:t>
                  </w:r>
                </w:p>
              </w:tc>
              <w:tc>
                <w:tcPr>
                  <w:tcW w:w="2022" w:type="pct"/>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单头9 模铝大拉</w:t>
                  </w:r>
                </w:p>
              </w:tc>
              <w:tc>
                <w:tcPr>
                  <w:tcW w:w="1111" w:type="dxa"/>
                  <w:shd w:val="clear" w:color="auto" w:fill="auto"/>
                  <w:vAlign w:val="center"/>
                </w:tcPr>
                <w:p>
                  <w:pPr>
                    <w:pStyle w:val="91"/>
                    <w:spacing w:before="47" w:line="234" w:lineRule="auto"/>
                    <w:ind w:left="404" w:leftChars="0" w:right="105" w:rightChars="0" w:hanging="273" w:firstLineChars="0"/>
                    <w:jc w:val="center"/>
                    <w:rPr>
                      <w:rFonts w:hint="default" w:ascii="Times New Roman" w:hAnsi="Times New Roman" w:eastAsia="宋体" w:cs="Times New Roman"/>
                      <w:b w:val="0"/>
                      <w:bCs/>
                      <w:color w:val="000000" w:themeColor="text1"/>
                      <w:kern w:val="2"/>
                      <w:sz w:val="21"/>
                      <w:szCs w:val="21"/>
                      <w:lang w:val="en-US" w:eastAsia="en-US"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2 台</w:t>
                  </w:r>
                </w:p>
              </w:tc>
              <w:tc>
                <w:tcPr>
                  <w:tcW w:w="1120" w:type="dxa"/>
                  <w:shd w:val="clear" w:color="auto" w:fill="auto"/>
                  <w:vAlign w:val="center"/>
                </w:tcPr>
                <w:p>
                  <w:pPr>
                    <w:spacing w:before="47" w:line="234" w:lineRule="auto"/>
                    <w:ind w:left="404" w:leftChars="0" w:right="105" w:rightChars="0" w:hanging="273" w:firstLineChars="0"/>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不变</w:t>
                  </w:r>
                </w:p>
              </w:tc>
            </w:tr>
          </w:tbl>
          <w:p>
            <w:pPr>
              <w:pStyle w:val="7"/>
              <w:numPr>
                <w:ilvl w:val="0"/>
                <w:numId w:val="0"/>
              </w:numPr>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eastAsia" w:cs="Times New Roman"/>
                <w:b/>
                <w:color w:val="000000" w:themeColor="text1"/>
                <w:kern w:val="2"/>
                <w:sz w:val="24"/>
                <w:szCs w:val="24"/>
                <w:lang w:val="en-US" w:eastAsia="zh-CN" w:bidi="ar-SA"/>
                <w14:textFill>
                  <w14:solidFill>
                    <w14:schemeClr w14:val="tx1"/>
                  </w14:solidFill>
                </w14:textFill>
              </w:rPr>
              <w:t>5</w:t>
            </w: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 xml:space="preserve"> </w:t>
            </w:r>
            <w:r>
              <w:rPr>
                <w:rFonts w:hint="eastAsia" w:cs="Times New Roman"/>
                <w:b/>
                <w:color w:val="000000" w:themeColor="text1"/>
                <w:kern w:val="2"/>
                <w:sz w:val="24"/>
                <w:szCs w:val="24"/>
                <w:lang w:val="en-US" w:eastAsia="zh-CN" w:bidi="ar-SA"/>
                <w14:textFill>
                  <w14:solidFill>
                    <w14:schemeClr w14:val="tx1"/>
                  </w14:solidFill>
                </w14:textFill>
              </w:rPr>
              <w:t>主要原辅材料</w:t>
            </w:r>
          </w:p>
          <w:p>
            <w:pPr>
              <w:pStyle w:val="27"/>
              <w:spacing w:line="360" w:lineRule="auto"/>
              <w:ind w:left="0" w:leftChars="0" w:firstLine="0" w:firstLineChars="0"/>
              <w:jc w:val="both"/>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color w:val="000000" w:themeColor="text1"/>
                <w:kern w:val="2"/>
                <w:sz w:val="24"/>
                <w:szCs w:val="24"/>
                <w:lang w:val="en-US" w:eastAsia="zh-CN" w:bidi="ar-SA"/>
                <w14:textFill>
                  <w14:solidFill>
                    <w14:schemeClr w14:val="tx1"/>
                  </w14:solidFill>
                </w14:textFill>
              </w:rPr>
              <w:t>5</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.1 主要原辅料及能源消耗</w:t>
            </w:r>
          </w:p>
          <w:p>
            <w:pPr>
              <w:pStyle w:val="27"/>
              <w:ind w:firstLine="480"/>
              <w:jc w:val="both"/>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本项目原辅料及能源消耗</w:t>
            </w:r>
            <w:r>
              <w:rPr>
                <w:rFonts w:hint="eastAsia" w:cs="Times New Roman"/>
                <w:bCs/>
                <w:color w:val="000000" w:themeColor="text1"/>
                <w:szCs w:val="21"/>
                <w:lang w:val="en-US" w:eastAsia="zh-CN"/>
                <w14:textFill>
                  <w14:solidFill>
                    <w14:schemeClr w14:val="tx1"/>
                  </w14:solidFill>
                </w14:textFill>
              </w:rPr>
              <w:t>变动情况</w:t>
            </w:r>
            <w:r>
              <w:rPr>
                <w:rFonts w:hint="eastAsia" w:ascii="Times New Roman" w:hAnsi="Times New Roman" w:eastAsia="宋体" w:cs="Times New Roman"/>
                <w:bCs/>
                <w:color w:val="000000" w:themeColor="text1"/>
                <w:szCs w:val="21"/>
                <w:lang w:val="en-US" w:eastAsia="zh-CN"/>
                <w14:textFill>
                  <w14:solidFill>
                    <w14:schemeClr w14:val="tx1"/>
                  </w14:solidFill>
                </w14:textFill>
              </w:rPr>
              <w:t>详见下表。</w:t>
            </w:r>
          </w:p>
          <w:p>
            <w:pPr>
              <w:pStyle w:val="44"/>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表2-</w:t>
            </w:r>
            <w:r>
              <w:rPr>
                <w:rFonts w:hint="eastAsia"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14:textFill>
                  <w14:solidFill>
                    <w14:schemeClr w14:val="tx1"/>
                  </w14:solidFill>
                </w14:textFill>
              </w:rPr>
              <w:t xml:space="preserve">  </w:t>
            </w:r>
            <w:r>
              <w:rPr>
                <w:rFonts w:hint="eastAsia" w:ascii="Times New Roman" w:hAnsi="Times New Roman"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14:textFill>
                  <w14:solidFill>
                    <w14:schemeClr w14:val="tx1"/>
                  </w14:solidFill>
                </w14:textFill>
              </w:rPr>
              <w:t>主要</w:t>
            </w:r>
            <w:r>
              <w:rPr>
                <w:rFonts w:hint="eastAsia" w:cs="Times New Roman"/>
                <w:color w:val="000000" w:themeColor="text1"/>
                <w:sz w:val="21"/>
                <w:szCs w:val="21"/>
                <w:lang w:val="en-US" w:eastAsia="zh-CN"/>
                <w14:textFill>
                  <w14:solidFill>
                    <w14:schemeClr w14:val="tx1"/>
                  </w14:solidFill>
                </w14:textFill>
              </w:rPr>
              <w:t>原辅材料及能源变动情况</w:t>
            </w:r>
            <w:r>
              <w:rPr>
                <w:rFonts w:hint="default" w:ascii="Times New Roman" w:hAnsi="Times New Roman" w:eastAsia="宋体" w:cs="Times New Roman"/>
                <w:color w:val="000000" w:themeColor="text1"/>
                <w:sz w:val="21"/>
                <w:szCs w:val="21"/>
                <w14:textFill>
                  <w14:solidFill>
                    <w14:schemeClr w14:val="tx1"/>
                  </w14:solidFill>
                </w14:textFill>
              </w:rPr>
              <w:t>一览表</w:t>
            </w:r>
          </w:p>
          <w:tbl>
            <w:tblPr>
              <w:tblStyle w:val="32"/>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03"/>
              <w:gridCol w:w="883"/>
              <w:gridCol w:w="578"/>
              <w:gridCol w:w="681"/>
              <w:gridCol w:w="681"/>
              <w:gridCol w:w="588"/>
              <w:gridCol w:w="681"/>
              <w:gridCol w:w="588"/>
              <w:gridCol w:w="939"/>
              <w:gridCol w:w="1041"/>
              <w:gridCol w:w="403"/>
              <w:gridCol w:w="40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271" w:type="pct"/>
                  <w:tcBorders>
                    <w:bottom w:val="single" w:color="auto" w:sz="12" w:space="0"/>
                  </w:tcBorders>
                  <w:noWrap w:val="0"/>
                  <w:vAlign w:val="center"/>
                </w:tcPr>
                <w:p>
                  <w:pPr>
                    <w:adjustRightInd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序号</w:t>
                  </w:r>
                </w:p>
              </w:tc>
              <w:tc>
                <w:tcPr>
                  <w:tcW w:w="616" w:type="pct"/>
                  <w:tcBorders>
                    <w:bottom w:val="single" w:color="auto" w:sz="12" w:space="0"/>
                  </w:tcBorders>
                  <w:noWrap w:val="0"/>
                  <w:vAlign w:val="center"/>
                </w:tcPr>
                <w:p>
                  <w:pPr>
                    <w:adjustRightInd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主要原料名称</w:t>
                  </w:r>
                </w:p>
              </w:tc>
              <w:tc>
                <w:tcPr>
                  <w:tcW w:w="398" w:type="pct"/>
                  <w:tcBorders>
                    <w:bottom w:val="single" w:color="auto" w:sz="12" w:space="0"/>
                  </w:tcBorders>
                  <w:noWrap w:val="0"/>
                  <w:vAlign w:val="center"/>
                </w:tcPr>
                <w:p>
                  <w:pPr>
                    <w:adjustRightInd w:val="0"/>
                    <w:snapToGrid w:val="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单位</w:t>
                  </w:r>
                </w:p>
              </w:tc>
              <w:tc>
                <w:tcPr>
                  <w:tcW w:w="472" w:type="pct"/>
                  <w:tcBorders>
                    <w:bottom w:val="single" w:color="auto" w:sz="12" w:space="0"/>
                  </w:tcBorders>
                  <w:noWrap w:val="0"/>
                  <w:vAlign w:val="center"/>
                </w:tcPr>
                <w:p>
                  <w:pPr>
                    <w:adjustRightInd w:val="0"/>
                    <w:snapToGrid w:val="0"/>
                    <w:jc w:val="center"/>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现有工程年消耗量</w:t>
                  </w:r>
                </w:p>
              </w:tc>
              <w:tc>
                <w:tcPr>
                  <w:tcW w:w="877" w:type="pct"/>
                  <w:gridSpan w:val="2"/>
                  <w:tcBorders>
                    <w:bottom w:val="single" w:color="auto" w:sz="12" w:space="0"/>
                  </w:tcBorders>
                  <w:noWrap w:val="0"/>
                  <w:vAlign w:val="center"/>
                </w:tcPr>
                <w:p>
                  <w:pPr>
                    <w:adjustRightInd w:val="0"/>
                    <w:snapToGrid w:val="0"/>
                    <w:jc w:val="center"/>
                    <w:rPr>
                      <w:rFonts w:hint="default" w:ascii="Times New Roman" w:hAnsi="Times New Roman" w:cs="Times New Roman"/>
                      <w:b/>
                      <w:bCs/>
                      <w:color w:val="000000" w:themeColor="text1"/>
                      <w:sz w:val="21"/>
                      <w:szCs w:val="21"/>
                      <w:lang w:val="en-US"/>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变动前年用量</w:t>
                  </w:r>
                </w:p>
              </w:tc>
              <w:tc>
                <w:tcPr>
                  <w:tcW w:w="764" w:type="pct"/>
                  <w:gridSpan w:val="2"/>
                  <w:tcBorders>
                    <w:bottom w:val="single" w:color="auto" w:sz="12" w:space="0"/>
                  </w:tcBorders>
                  <w:noWrap w:val="0"/>
                  <w:vAlign w:val="center"/>
                </w:tcPr>
                <w:p>
                  <w:pPr>
                    <w:adjustRightInd w:val="0"/>
                    <w:snapToGrid w:val="0"/>
                    <w:jc w:val="center"/>
                    <w:rPr>
                      <w:rFonts w:hint="default"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变动后年用量</w:t>
                  </w:r>
                </w:p>
              </w:tc>
              <w:tc>
                <w:tcPr>
                  <w:tcW w:w="537" w:type="pct"/>
                  <w:tcBorders>
                    <w:bottom w:val="single" w:color="auto" w:sz="12" w:space="0"/>
                  </w:tcBorders>
                  <w:noWrap w:val="0"/>
                  <w:vAlign w:val="center"/>
                </w:tcPr>
                <w:p>
                  <w:pPr>
                    <w:adjustRightInd w:val="0"/>
                    <w:snapToGrid w:val="0"/>
                    <w:jc w:val="center"/>
                    <w:rPr>
                      <w:rFonts w:hint="eastAsia"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项目完成后全厂用量</w:t>
                  </w:r>
                </w:p>
              </w:tc>
              <w:tc>
                <w:tcPr>
                  <w:tcW w:w="491" w:type="pct"/>
                  <w:tcBorders>
                    <w:bottom w:val="single" w:color="auto" w:sz="12" w:space="0"/>
                  </w:tcBorders>
                  <w:noWrap w:val="0"/>
                  <w:vAlign w:val="center"/>
                </w:tcPr>
                <w:p>
                  <w:pPr>
                    <w:adjustRightInd w:val="0"/>
                    <w:snapToGrid w:val="0"/>
                    <w:jc w:val="center"/>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增减量</w:t>
                  </w:r>
                </w:p>
              </w:tc>
              <w:tc>
                <w:tcPr>
                  <w:tcW w:w="284" w:type="pct"/>
                  <w:tcBorders>
                    <w:bottom w:val="single" w:color="auto" w:sz="12" w:space="0"/>
                  </w:tcBorders>
                  <w:noWrap w:val="0"/>
                  <w:vAlign w:val="center"/>
                </w:tcPr>
                <w:p>
                  <w:pPr>
                    <w:adjustRightInd w:val="0"/>
                    <w:snapToGrid w:val="0"/>
                    <w:jc w:val="center"/>
                    <w:rPr>
                      <w:rFonts w:hint="default"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kern w:val="2"/>
                      <w:sz w:val="21"/>
                      <w:szCs w:val="21"/>
                      <w:lang w:val="en-US" w:eastAsia="zh-CN" w:bidi="ar-SA"/>
                      <w14:textFill>
                        <w14:solidFill>
                          <w14:schemeClr w14:val="tx1"/>
                        </w14:solidFill>
                      </w14:textFill>
                    </w:rPr>
                    <w:t>变化情况</w:t>
                  </w:r>
                </w:p>
              </w:tc>
              <w:tc>
                <w:tcPr>
                  <w:tcW w:w="286" w:type="pct"/>
                  <w:tcBorders>
                    <w:bottom w:val="single" w:color="auto" w:sz="12" w:space="0"/>
                  </w:tcBorders>
                  <w:shd w:val="clear" w:color="auto" w:fill="auto"/>
                  <w:noWrap w:val="0"/>
                  <w:vAlign w:val="center"/>
                </w:tcPr>
                <w:p>
                  <w:pPr>
                    <w:adjustRightInd w:val="0"/>
                    <w:snapToGrid w:val="0"/>
                    <w:jc w:val="cente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eastAsia" w:cs="Times New Roman"/>
                      <w:b/>
                      <w:bCs/>
                      <w:color w:val="000000" w:themeColor="text1"/>
                      <w:kern w:val="2"/>
                      <w:sz w:val="21"/>
                      <w:szCs w:val="21"/>
                      <w:lang w:val="en-US" w:eastAsia="zh-CN" w:bidi="ar-SA"/>
                      <w14:textFill>
                        <w14:solidFill>
                          <w14:schemeClr w14:val="tx1"/>
                        </w14:solidFill>
                      </w14:textFill>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12"/>
                  <w:tcBorders>
                    <w:top w:val="single" w:color="auto" w:sz="12" w:space="0"/>
                    <w:tl2br w:val="nil"/>
                    <w:tr2bl w:val="nil"/>
                  </w:tcBorders>
                  <w:noWrap w:val="0"/>
                  <w:vAlign w:val="center"/>
                </w:tcPr>
                <w:p>
                  <w:pPr>
                    <w:widowControl/>
                    <w:jc w:val="center"/>
                    <w:rPr>
                      <w:rFonts w:hint="eastAsia" w:ascii="Times New Roman" w:hAnsi="Times New Roman" w:eastAsia="宋体" w:cs="Times New Roman"/>
                      <w:b w:val="0"/>
                      <w:bCs w:val="0"/>
                      <w:color w:val="000000" w:themeColor="text1"/>
                      <w:kern w:val="0"/>
                      <w:sz w:val="21"/>
                      <w:szCs w:val="21"/>
                      <w:lang w:val="en-US" w:eastAsia="zh-CN"/>
                      <w14:textFill>
                        <w14:solidFill>
                          <w14:schemeClr w14:val="tx1"/>
                        </w14:solidFill>
                      </w14:textFill>
                    </w:rPr>
                  </w:pPr>
                  <w:r>
                    <w:rPr>
                      <w:spacing w:val="8"/>
                      <w:sz w:val="20"/>
                      <w:szCs w:val="20"/>
                    </w:rPr>
                    <w:t>低压交联电缆</w:t>
                  </w:r>
                  <w:r>
                    <w:rPr>
                      <w:rFonts w:hint="eastAsia"/>
                      <w:spacing w:val="8"/>
                      <w:sz w:val="20"/>
                      <w:szCs w:val="20"/>
                      <w:lang w:val="en-US" w:eastAsia="zh-CN"/>
                    </w:rPr>
                    <w:t>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1" w:type="pct"/>
                  <w:tcBorders>
                    <w:top w:val="single" w:color="auto" w:sz="12" w:space="0"/>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1</w:t>
                  </w:r>
                </w:p>
              </w:tc>
              <w:tc>
                <w:tcPr>
                  <w:tcW w:w="616" w:type="pct"/>
                  <w:tcBorders>
                    <w:top w:val="single" w:color="auto" w:sz="12" w:space="0"/>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铜导体</w:t>
                  </w:r>
                </w:p>
              </w:tc>
              <w:tc>
                <w:tcPr>
                  <w:tcW w:w="398" w:type="pct"/>
                  <w:tcBorders>
                    <w:top w:val="single" w:color="auto" w:sz="12" w:space="0"/>
                    <w:tl2br w:val="nil"/>
                    <w:tr2bl w:val="nil"/>
                  </w:tcBorders>
                  <w:shd w:val="clear" w:color="auto" w:fill="auto"/>
                  <w:noWrap w:val="0"/>
                  <w:vAlign w:val="center"/>
                </w:tcPr>
                <w:p>
                  <w:pPr>
                    <w:widowControl/>
                    <w:jc w:val="center"/>
                    <w:textAlignment w:val="bottom"/>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op w:val="single" w:color="auto" w:sz="12" w:space="0"/>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42420</w:t>
                  </w:r>
                </w:p>
              </w:tc>
              <w:tc>
                <w:tcPr>
                  <w:tcW w:w="877" w:type="pct"/>
                  <w:gridSpan w:val="2"/>
                  <w:tcBorders>
                    <w:top w:val="single" w:color="auto" w:sz="12" w:space="0"/>
                    <w:tl2br w:val="nil"/>
                    <w:tr2bl w:val="nil"/>
                  </w:tcBorders>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7393</w:t>
                  </w:r>
                </w:p>
              </w:tc>
              <w:tc>
                <w:tcPr>
                  <w:tcW w:w="764" w:type="pct"/>
                  <w:gridSpan w:val="2"/>
                  <w:tcBorders>
                    <w:top w:val="single" w:color="auto" w:sz="12" w:space="0"/>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7393</w:t>
                  </w:r>
                </w:p>
              </w:tc>
              <w:tc>
                <w:tcPr>
                  <w:tcW w:w="537" w:type="pct"/>
                  <w:tcBorders>
                    <w:top w:val="single" w:color="auto" w:sz="12" w:space="0"/>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49813</w:t>
                  </w:r>
                </w:p>
              </w:tc>
              <w:tc>
                <w:tcPr>
                  <w:tcW w:w="491" w:type="pct"/>
                  <w:tcBorders>
                    <w:top w:val="single" w:color="auto" w:sz="12" w:space="0"/>
                    <w:tl2br w:val="nil"/>
                    <w:tr2bl w:val="nil"/>
                  </w:tcBorders>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+7393</w:t>
                  </w:r>
                </w:p>
              </w:tc>
              <w:tc>
                <w:tcPr>
                  <w:tcW w:w="284" w:type="pct"/>
                  <w:tcBorders>
                    <w:top w:val="single" w:color="auto" w:sz="12" w:space="0"/>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op w:val="single" w:color="auto" w:sz="12" w:space="0"/>
                    <w:tl2br w:val="nil"/>
                    <w:tr2bl w:val="nil"/>
                  </w:tcBorders>
                  <w:shd w:val="clear" w:color="auto" w:fill="auto"/>
                  <w:noWrap w:val="0"/>
                  <w:vAlign w:val="center"/>
                </w:tcPr>
                <w:p>
                  <w:pPr>
                    <w:widowControl/>
                    <w:jc w:val="center"/>
                    <w:rPr>
                      <w:rFonts w:hint="eastAsia"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71" w:type="pct"/>
                  <w:tcBorders>
                    <w:tl2br w:val="nil"/>
                    <w:tr2bl w:val="nil"/>
                  </w:tcBorders>
                  <w:noWrap w:val="0"/>
                  <w:vAlign w:val="center"/>
                </w:tcPr>
                <w:p>
                  <w:pPr>
                    <w:adjustRightInd w:val="0"/>
                    <w:snapToGrid w:val="0"/>
                    <w:jc w:val="center"/>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2</w:t>
                  </w:r>
                </w:p>
              </w:tc>
              <w:tc>
                <w:tcPr>
                  <w:tcW w:w="616" w:type="pct"/>
                  <w:tcBorders>
                    <w:tl2br w:val="nil"/>
                    <w:tr2bl w:val="nil"/>
                  </w:tcBorders>
                  <w:shd w:val="clear" w:color="auto" w:fill="auto"/>
                  <w:noWrap w:val="0"/>
                  <w:vAlign w:val="center"/>
                </w:tcPr>
                <w:p>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PVC</w:t>
                  </w:r>
                </w:p>
              </w:tc>
              <w:tc>
                <w:tcPr>
                  <w:tcW w:w="398" w:type="pct"/>
                  <w:tcBorders>
                    <w:tl2br w:val="nil"/>
                    <w:tr2bl w:val="nil"/>
                  </w:tcBorders>
                  <w:noWrap w:val="0"/>
                  <w:vAlign w:val="center"/>
                </w:tcPr>
                <w:p>
                  <w:pPr>
                    <w:widowControl/>
                    <w:jc w:val="center"/>
                    <w:textAlignment w:val="bottom"/>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6793</w:t>
                  </w:r>
                </w:p>
              </w:tc>
              <w:tc>
                <w:tcPr>
                  <w:tcW w:w="877" w:type="pct"/>
                  <w:gridSpan w:val="2"/>
                  <w:tcBorders>
                    <w:tl2br w:val="nil"/>
                    <w:tr2bl w:val="nil"/>
                  </w:tcBorders>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3856</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3856</w:t>
                  </w:r>
                </w:p>
              </w:tc>
              <w:tc>
                <w:tcPr>
                  <w:tcW w:w="537" w:type="pct"/>
                  <w:tcBorders>
                    <w:tl2br w:val="nil"/>
                    <w:tr2bl w:val="nil"/>
                  </w:tcBorders>
                  <w:noWrap w:val="0"/>
                  <w:vAlign w:val="center"/>
                </w:tcPr>
                <w:p>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10649</w:t>
                  </w:r>
                </w:p>
              </w:tc>
              <w:tc>
                <w:tcPr>
                  <w:tcW w:w="491" w:type="pct"/>
                  <w:tcBorders>
                    <w:tl2br w:val="nil"/>
                    <w:tr2bl w:val="nil"/>
                  </w:tcBorders>
                  <w:noWrap w:val="0"/>
                  <w:vAlign w:val="center"/>
                </w:tcPr>
                <w:p>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+3856</w:t>
                  </w:r>
                </w:p>
              </w:tc>
              <w:tc>
                <w:tcPr>
                  <w:tcW w:w="284" w:type="pct"/>
                  <w:tcBorders>
                    <w:tl2br w:val="nil"/>
                    <w:tr2bl w:val="nil"/>
                  </w:tcBorders>
                  <w:noWrap w:val="0"/>
                  <w:vAlign w:val="center"/>
                </w:tcPr>
                <w:p>
                  <w:pPr>
                    <w:adjustRightInd w:val="0"/>
                    <w:snapToGrid w:val="0"/>
                    <w:jc w:val="center"/>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71" w:type="pct"/>
                  <w:vMerge w:val="restar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w:t>
                  </w:r>
                </w:p>
              </w:tc>
              <w:tc>
                <w:tcPr>
                  <w:tcW w:w="616" w:type="pct"/>
                  <w:vMerge w:val="restart"/>
                  <w:tcBorders>
                    <w:tl2br w:val="nil"/>
                    <w:tr2bl w:val="nil"/>
                  </w:tcBorders>
                  <w:shd w:val="clear" w:color="auto" w:fill="auto"/>
                  <w:noWrap w:val="0"/>
                  <w:vAlign w:val="center"/>
                </w:tcPr>
                <w:p>
                  <w:pPr>
                    <w:adjustRightInd w:val="0"/>
                    <w:snapToGrid w:val="0"/>
                    <w:jc w:val="center"/>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PE</w:t>
                  </w:r>
                </w:p>
              </w:tc>
              <w:tc>
                <w:tcPr>
                  <w:tcW w:w="398" w:type="pct"/>
                  <w:vMerge w:val="restar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vMerge w:val="restar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3397</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XLPE绝缘料</w:t>
                  </w:r>
                </w:p>
              </w:tc>
              <w:tc>
                <w:tcPr>
                  <w:tcW w:w="405"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7864</w:t>
                  </w:r>
                </w:p>
              </w:tc>
              <w:tc>
                <w:tcPr>
                  <w:tcW w:w="417" w:type="pct"/>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XLPE绝缘料</w:t>
                  </w:r>
                </w:p>
              </w:tc>
              <w:tc>
                <w:tcPr>
                  <w:tcW w:w="346" w:type="pct"/>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7864</w:t>
                  </w:r>
                </w:p>
              </w:tc>
              <w:tc>
                <w:tcPr>
                  <w:tcW w:w="537" w:type="pct"/>
                  <w:vMerge w:val="restar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13509</w:t>
                  </w:r>
                </w:p>
              </w:tc>
              <w:tc>
                <w:tcPr>
                  <w:tcW w:w="491" w:type="pct"/>
                  <w:vMerge w:val="restar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+10112</w:t>
                  </w:r>
                </w:p>
              </w:tc>
              <w:tc>
                <w:tcPr>
                  <w:tcW w:w="284" w:type="pct"/>
                  <w:vMerge w:val="restart"/>
                  <w:tcBorders>
                    <w:tl2br w:val="nil"/>
                    <w:tr2bl w:val="nil"/>
                  </w:tcBorders>
                  <w:shd w:val="clear" w:color="auto" w:fill="auto"/>
                  <w:noWrap w:val="0"/>
                  <w:vAlign w:val="center"/>
                </w:tcPr>
                <w:p>
                  <w:pPr>
                    <w:adjustRightInd w:val="0"/>
                    <w:snapToGrid w:val="0"/>
                    <w:jc w:val="center"/>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vMerge w:val="restart"/>
                  <w:tcBorders>
                    <w:tl2br w:val="nil"/>
                    <w:tr2bl w:val="nil"/>
                  </w:tcBorders>
                  <w:shd w:val="clear" w:color="auto" w:fill="auto"/>
                  <w:noWrap w:val="0"/>
                  <w:vAlign w:val="center"/>
                </w:tcPr>
                <w:p>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271" w:type="pct"/>
                  <w:vMerge w:val="continue"/>
                  <w:tcBorders>
                    <w:tl2br w:val="nil"/>
                    <w:tr2bl w:val="nil"/>
                  </w:tcBorders>
                  <w:noWrap w:val="0"/>
                  <w:vAlign w:val="center"/>
                </w:tcPr>
                <w:p>
                  <w:pPr>
                    <w:adjustRightInd w:val="0"/>
                    <w:snapToGrid w:val="0"/>
                    <w:jc w:val="center"/>
                  </w:pPr>
                </w:p>
              </w:tc>
              <w:tc>
                <w:tcPr>
                  <w:tcW w:w="616" w:type="pct"/>
                  <w:vMerge w:val="continue"/>
                  <w:tcBorders>
                    <w:tl2br w:val="nil"/>
                    <w:tr2bl w:val="nil"/>
                  </w:tcBorders>
                  <w:shd w:val="clear" w:color="auto" w:fill="auto"/>
                  <w:noWrap w:val="0"/>
                  <w:vAlign w:val="center"/>
                </w:tcPr>
                <w:p>
                  <w:pPr>
                    <w:adjustRightInd w:val="0"/>
                    <w:snapToGrid w:val="0"/>
                    <w:jc w:val="center"/>
                  </w:pPr>
                </w:p>
              </w:tc>
              <w:tc>
                <w:tcPr>
                  <w:tcW w:w="398" w:type="pct"/>
                  <w:vMerge w:val="continue"/>
                  <w:tcBorders>
                    <w:tl2br w:val="nil"/>
                    <w:tr2bl w:val="nil"/>
                  </w:tcBorders>
                  <w:shd w:val="clear" w:color="auto" w:fill="auto"/>
                  <w:noWrap w:val="0"/>
                  <w:vAlign w:val="center"/>
                </w:tcPr>
                <w:p>
                  <w:pPr>
                    <w:adjustRightInd w:val="0"/>
                    <w:snapToGrid w:val="0"/>
                    <w:jc w:val="center"/>
                  </w:pPr>
                </w:p>
              </w:tc>
              <w:tc>
                <w:tcPr>
                  <w:tcW w:w="472" w:type="pct"/>
                  <w:vMerge w:val="continue"/>
                  <w:tcBorders>
                    <w:tl2br w:val="nil"/>
                    <w:tr2bl w:val="nil"/>
                  </w:tcBorders>
                  <w:shd w:val="clear" w:color="auto" w:fill="auto"/>
                  <w:noWrap w:val="0"/>
                  <w:vAlign w:val="center"/>
                </w:tcPr>
                <w:p>
                  <w:pPr>
                    <w:adjustRightInd w:val="0"/>
                    <w:snapToGrid w:val="0"/>
                    <w:jc w:val="center"/>
                    <w:rPr>
                      <w:rFonts w:hint="eastAsia" w:cs="Times New Roman"/>
                      <w:b w:val="0"/>
                      <w:bCs w:val="0"/>
                      <w:color w:val="000000" w:themeColor="text1"/>
                      <w:sz w:val="21"/>
                      <w:szCs w:val="21"/>
                      <w:lang w:val="en-US" w:eastAsia="zh-CN"/>
                      <w14:textFill>
                        <w14:solidFill>
                          <w14:schemeClr w14:val="tx1"/>
                        </w14:solidFill>
                      </w14:textFill>
                    </w:rPr>
                  </w:pP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PE护套料</w:t>
                  </w:r>
                </w:p>
              </w:tc>
              <w:tc>
                <w:tcPr>
                  <w:tcW w:w="405"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2248</w:t>
                  </w:r>
                </w:p>
              </w:tc>
              <w:tc>
                <w:tcPr>
                  <w:tcW w:w="417" w:type="pct"/>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PE护套料</w:t>
                  </w:r>
                </w:p>
              </w:tc>
              <w:tc>
                <w:tcPr>
                  <w:tcW w:w="346" w:type="pct"/>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2248</w:t>
                  </w:r>
                </w:p>
              </w:tc>
              <w:tc>
                <w:tcPr>
                  <w:tcW w:w="537" w:type="pct"/>
                  <w:vMerge w:val="continue"/>
                  <w:tcBorders>
                    <w:tl2br w:val="nil"/>
                    <w:tr2bl w:val="nil"/>
                  </w:tcBorders>
                  <w:shd w:val="clear" w:color="auto" w:fill="auto"/>
                  <w:noWrap w:val="0"/>
                  <w:vAlign w:val="center"/>
                </w:tcPr>
                <w:p>
                  <w:pPr>
                    <w:adjustRightInd w:val="0"/>
                    <w:snapToGrid w:val="0"/>
                    <w:jc w:val="center"/>
                    <w:rPr>
                      <w:rFonts w:hint="eastAsia" w:cs="Times New Roman"/>
                      <w:b w:val="0"/>
                      <w:bCs w:val="0"/>
                      <w:color w:val="000000" w:themeColor="text1"/>
                      <w:sz w:val="21"/>
                      <w:szCs w:val="21"/>
                      <w:lang w:val="en-US" w:eastAsia="zh-CN"/>
                      <w14:textFill>
                        <w14:solidFill>
                          <w14:schemeClr w14:val="tx1"/>
                        </w14:solidFill>
                      </w14:textFill>
                    </w:rPr>
                  </w:pPr>
                </w:p>
              </w:tc>
              <w:tc>
                <w:tcPr>
                  <w:tcW w:w="491" w:type="pct"/>
                  <w:vMerge w:val="continue"/>
                  <w:tcBorders>
                    <w:tl2br w:val="nil"/>
                    <w:tr2bl w:val="nil"/>
                  </w:tcBorders>
                  <w:shd w:val="clear" w:color="auto" w:fill="auto"/>
                  <w:noWrap w:val="0"/>
                  <w:vAlign w:val="center"/>
                </w:tcPr>
                <w:p>
                  <w:pPr>
                    <w:adjustRightInd w:val="0"/>
                    <w:snapToGrid w:val="0"/>
                    <w:jc w:val="center"/>
                    <w:rPr>
                      <w:rFonts w:hint="eastAsia" w:cs="Times New Roman"/>
                      <w:b w:val="0"/>
                      <w:bCs w:val="0"/>
                      <w:color w:val="000000" w:themeColor="text1"/>
                      <w:sz w:val="21"/>
                      <w:szCs w:val="21"/>
                      <w:lang w:val="en-US" w:eastAsia="zh-CN"/>
                      <w14:textFill>
                        <w14:solidFill>
                          <w14:schemeClr w14:val="tx1"/>
                        </w14:solidFill>
                      </w14:textFill>
                    </w:rPr>
                  </w:pPr>
                </w:p>
              </w:tc>
              <w:tc>
                <w:tcPr>
                  <w:tcW w:w="284" w:type="pct"/>
                  <w:vMerge w:val="continue"/>
                  <w:tcBorders>
                    <w:tl2br w:val="nil"/>
                    <w:tr2bl w:val="nil"/>
                  </w:tcBorders>
                  <w:shd w:val="clear" w:color="auto" w:fill="auto"/>
                  <w:noWrap w:val="0"/>
                  <w:vAlign w:val="center"/>
                </w:tcPr>
                <w:p>
                  <w:pPr>
                    <w:adjustRightInd w:val="0"/>
                    <w:snapToGrid w:val="0"/>
                    <w:jc w:val="center"/>
                    <w:rPr>
                      <w:rFonts w:hint="eastAsia" w:cs="Times New Roman"/>
                      <w:b w:val="0"/>
                      <w:bCs w:val="0"/>
                      <w:color w:val="000000" w:themeColor="text1"/>
                      <w:sz w:val="21"/>
                      <w:szCs w:val="21"/>
                      <w:lang w:val="en-US" w:eastAsia="zh-CN"/>
                      <w14:textFill>
                        <w14:solidFill>
                          <w14:schemeClr w14:val="tx1"/>
                        </w14:solidFill>
                      </w14:textFill>
                    </w:rPr>
                  </w:pPr>
                </w:p>
              </w:tc>
              <w:tc>
                <w:tcPr>
                  <w:tcW w:w="286" w:type="pct"/>
                  <w:vMerge w:val="continue"/>
                  <w:tcBorders>
                    <w:tl2br w:val="nil"/>
                    <w:tr2bl w:val="nil"/>
                  </w:tcBorders>
                  <w:shd w:val="clear" w:color="auto" w:fill="auto"/>
                  <w:noWrap w:val="0"/>
                  <w:vAlign w:val="center"/>
                </w:tcPr>
                <w:p>
                  <w:pPr>
                    <w:adjustRightInd w:val="0"/>
                    <w:snapToGrid w:val="0"/>
                    <w:jc w:val="center"/>
                    <w:rPr>
                      <w:rFonts w:hint="eastAsia" w:cs="Times New Roman"/>
                      <w:b w:val="0"/>
                      <w:bCs w:val="0"/>
                      <w:color w:val="000000" w:themeColor="text1"/>
                      <w:sz w:val="21"/>
                      <w:szCs w:val="21"/>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w:t>
                  </w:r>
                </w:p>
              </w:tc>
              <w:tc>
                <w:tcPr>
                  <w:tcW w:w="616" w:type="pct"/>
                  <w:tcBorders>
                    <w:tl2br w:val="nil"/>
                    <w:tr2bl w:val="nil"/>
                  </w:tcBorders>
                  <w:shd w:val="clear" w:color="auto" w:fill="auto"/>
                  <w:noWrap w:val="0"/>
                  <w:vAlign w:val="center"/>
                </w:tcPr>
                <w:p>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低烟无卤料</w:t>
                  </w:r>
                </w:p>
              </w:tc>
              <w:tc>
                <w:tcPr>
                  <w:tcW w:w="398" w:type="pct"/>
                  <w:tcBorders>
                    <w:tl2br w:val="nil"/>
                    <w:tr2bl w:val="nil"/>
                  </w:tcBorders>
                  <w:shd w:val="clear" w:color="auto" w:fill="auto"/>
                  <w:noWrap w:val="0"/>
                  <w:vAlign w:val="center"/>
                </w:tcPr>
                <w:p>
                  <w:pPr>
                    <w:adjustRightInd w:val="0"/>
                    <w:snapToGrid w:val="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6793</w:t>
                  </w:r>
                </w:p>
              </w:tc>
              <w:tc>
                <w:tcPr>
                  <w:tcW w:w="877" w:type="pct"/>
                  <w:gridSpan w:val="2"/>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425</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425</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7218</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+425</w:t>
                  </w:r>
                </w:p>
              </w:tc>
              <w:tc>
                <w:tcPr>
                  <w:tcW w:w="284" w:type="pct"/>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5</w:t>
                  </w:r>
                </w:p>
              </w:tc>
              <w:tc>
                <w:tcPr>
                  <w:tcW w:w="616" w:type="pct"/>
                  <w:tcBorders>
                    <w:tl2br w:val="nil"/>
                    <w:tr2bl w:val="nil"/>
                  </w:tcBorders>
                  <w:shd w:val="clear" w:color="auto" w:fill="auto"/>
                  <w:noWrap w:val="0"/>
                  <w:vAlign w:val="center"/>
                </w:tcPr>
                <w:p>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填充、包带</w:t>
                  </w:r>
                </w:p>
              </w:tc>
              <w:tc>
                <w:tcPr>
                  <w:tcW w:w="398"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775</w:t>
                  </w:r>
                </w:p>
              </w:tc>
              <w:tc>
                <w:tcPr>
                  <w:tcW w:w="877" w:type="pct"/>
                  <w:gridSpan w:val="2"/>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5506</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5506</w:t>
                  </w:r>
                </w:p>
              </w:tc>
              <w:tc>
                <w:tcPr>
                  <w:tcW w:w="537"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6281</w:t>
                  </w:r>
                </w:p>
              </w:tc>
              <w:tc>
                <w:tcPr>
                  <w:tcW w:w="491"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+5506</w:t>
                  </w:r>
                </w:p>
              </w:tc>
              <w:tc>
                <w:tcPr>
                  <w:tcW w:w="284" w:type="pct"/>
                  <w:tcBorders>
                    <w:tl2br w:val="nil"/>
                    <w:tr2bl w:val="nil"/>
                  </w:tcBorders>
                  <w:shd w:val="clear" w:color="auto" w:fill="auto"/>
                  <w:noWrap w:val="0"/>
                  <w:vAlign w:val="center"/>
                </w:tcPr>
                <w:p>
                  <w:pPr>
                    <w:adjustRightInd w:val="0"/>
                    <w:snapToGrid w:val="0"/>
                    <w:jc w:val="center"/>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widowControl/>
                    <w:jc w:val="center"/>
                    <w:rPr>
                      <w:rFonts w:hint="eastAsia"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6</w:t>
                  </w:r>
                </w:p>
              </w:tc>
              <w:tc>
                <w:tcPr>
                  <w:tcW w:w="616" w:type="pct"/>
                  <w:tcBorders>
                    <w:tl2br w:val="nil"/>
                    <w:tr2bl w:val="nil"/>
                  </w:tcBorders>
                  <w:shd w:val="clear" w:color="auto" w:fill="auto"/>
                  <w:noWrap w:val="0"/>
                  <w:vAlign w:val="center"/>
                </w:tcPr>
                <w:p>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t>乳化液</w:t>
                  </w:r>
                </w:p>
              </w:tc>
              <w:tc>
                <w:tcPr>
                  <w:tcW w:w="398" w:type="pct"/>
                  <w:tcBorders>
                    <w:tl2br w:val="nil"/>
                    <w:tr2bl w:val="nil"/>
                  </w:tcBorders>
                  <w:shd w:val="clear" w:color="auto" w:fill="auto"/>
                  <w:noWrap w:val="0"/>
                  <w:vAlign w:val="center"/>
                </w:tcPr>
                <w:p>
                  <w:pPr>
                    <w:adjustRightInd w:val="0"/>
                    <w:snapToGrid w:val="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w:t>
                  </w:r>
                </w:p>
              </w:tc>
              <w:tc>
                <w:tcPr>
                  <w:tcW w:w="877" w:type="pct"/>
                  <w:gridSpan w:val="2"/>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300</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300</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330</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+330</w:t>
                  </w:r>
                </w:p>
              </w:tc>
              <w:tc>
                <w:tcPr>
                  <w:tcW w:w="284" w:type="pct"/>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widowControl/>
                    <w:jc w:val="center"/>
                    <w:rPr>
                      <w:rFonts w:hint="default" w:ascii="Times New Roman" w:hAnsi="Times New Roman"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tcBorders>
                    <w:tl2br w:val="nil"/>
                    <w:tr2bl w:val="nil"/>
                  </w:tcBorders>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7</w:t>
                  </w:r>
                </w:p>
              </w:tc>
              <w:tc>
                <w:tcPr>
                  <w:tcW w:w="616" w:type="pct"/>
                  <w:tcBorders>
                    <w:tl2br w:val="nil"/>
                    <w:tr2bl w:val="nil"/>
                  </w:tcBorders>
                  <w:shd w:val="clear" w:color="auto" w:fill="auto"/>
                  <w:noWrap w:val="0"/>
                  <w:vAlign w:val="center"/>
                </w:tcPr>
                <w:p>
                  <w:pPr>
                    <w:widowControl/>
                    <w:jc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t>钢带</w:t>
                  </w:r>
                </w:p>
              </w:tc>
              <w:tc>
                <w:tcPr>
                  <w:tcW w:w="398" w:type="pct"/>
                  <w:tcBorders>
                    <w:tl2br w:val="nil"/>
                    <w:tr2bl w:val="nil"/>
                  </w:tcBorders>
                  <w:shd w:val="clear" w:color="auto" w:fill="auto"/>
                  <w:noWrap w:val="0"/>
                  <w:vAlign w:val="center"/>
                </w:tcPr>
                <w:p>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5000</w:t>
                  </w:r>
                </w:p>
              </w:tc>
              <w:tc>
                <w:tcPr>
                  <w:tcW w:w="877" w:type="pct"/>
                  <w:gridSpan w:val="2"/>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8771</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8771</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13771</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+8771</w:t>
                  </w:r>
                </w:p>
              </w:tc>
              <w:tc>
                <w:tcPr>
                  <w:tcW w:w="284"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8</w:t>
                  </w:r>
                </w:p>
              </w:tc>
              <w:tc>
                <w:tcPr>
                  <w:tcW w:w="61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油墨</w:t>
                  </w:r>
                </w:p>
              </w:tc>
              <w:tc>
                <w:tcPr>
                  <w:tcW w:w="398" w:type="pct"/>
                  <w:tcBorders>
                    <w:tl2br w:val="nil"/>
                    <w:tr2bl w:val="nil"/>
                  </w:tcBorders>
                  <w:shd w:val="clear" w:color="auto" w:fill="auto"/>
                  <w:noWrap w:val="0"/>
                  <w:vAlign w:val="center"/>
                </w:tcPr>
                <w:p>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3</w:t>
                  </w:r>
                </w:p>
              </w:tc>
              <w:tc>
                <w:tcPr>
                  <w:tcW w:w="877" w:type="pct"/>
                  <w:gridSpan w:val="2"/>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3</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284"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9</w:t>
                  </w:r>
                </w:p>
              </w:tc>
              <w:tc>
                <w:tcPr>
                  <w:tcW w:w="616" w:type="pct"/>
                  <w:tcBorders>
                    <w:tl2br w:val="nil"/>
                    <w:tr2bl w:val="nil"/>
                  </w:tcBorders>
                  <w:shd w:val="clear" w:color="auto" w:fill="auto"/>
                  <w:noWrap w:val="0"/>
                  <w:vAlign w:val="center"/>
                </w:tcPr>
                <w:p>
                  <w:pPr>
                    <w:widowControl/>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t>铜带</w:t>
                  </w:r>
                </w:p>
              </w:tc>
              <w:tc>
                <w:tcPr>
                  <w:tcW w:w="398" w:type="pct"/>
                  <w:tcBorders>
                    <w:tl2br w:val="nil"/>
                    <w:tr2bl w:val="nil"/>
                  </w:tcBorders>
                  <w:shd w:val="clear" w:color="auto" w:fill="auto"/>
                  <w:noWrap w:val="0"/>
                  <w:vAlign w:val="center"/>
                </w:tcPr>
                <w:p>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877" w:type="pct"/>
                  <w:gridSpan w:val="2"/>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50</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50</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50</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+50</w:t>
                  </w:r>
                </w:p>
              </w:tc>
              <w:tc>
                <w:tcPr>
                  <w:tcW w:w="284"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w:t>
                  </w:r>
                </w:p>
              </w:tc>
              <w:tc>
                <w:tcPr>
                  <w:tcW w:w="61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铝（导体）</w:t>
                  </w:r>
                </w:p>
              </w:tc>
              <w:tc>
                <w:tcPr>
                  <w:tcW w:w="398" w:type="pct"/>
                  <w:tcBorders>
                    <w:tl2br w:val="nil"/>
                    <w:tr2bl w:val="nil"/>
                  </w:tcBorders>
                  <w:shd w:val="clear" w:color="auto" w:fill="auto"/>
                  <w:noWrap w:val="0"/>
                  <w:vAlign w:val="center"/>
                </w:tcPr>
                <w:p>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877" w:type="pct"/>
                  <w:gridSpan w:val="2"/>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25574</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25574</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25574</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+25574</w:t>
                  </w:r>
                </w:p>
              </w:tc>
              <w:tc>
                <w:tcPr>
                  <w:tcW w:w="284"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11</w:t>
                  </w:r>
                </w:p>
              </w:tc>
              <w:tc>
                <w:tcPr>
                  <w:tcW w:w="61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云母带</w:t>
                  </w:r>
                </w:p>
              </w:tc>
              <w:tc>
                <w:tcPr>
                  <w:tcW w:w="398" w:type="pct"/>
                  <w:tcBorders>
                    <w:tl2br w:val="nil"/>
                    <w:tr2bl w:val="nil"/>
                  </w:tcBorders>
                  <w:shd w:val="clear" w:color="auto" w:fill="auto"/>
                  <w:noWrap w:val="0"/>
                  <w:vAlign w:val="center"/>
                </w:tcPr>
                <w:p>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877" w:type="pct"/>
                  <w:gridSpan w:val="2"/>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+5</w:t>
                  </w:r>
                </w:p>
              </w:tc>
              <w:tc>
                <w:tcPr>
                  <w:tcW w:w="284"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12</w:t>
                  </w:r>
                </w:p>
              </w:tc>
              <w:tc>
                <w:tcPr>
                  <w:tcW w:w="61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无纺布/绕包带</w:t>
                  </w:r>
                </w:p>
              </w:tc>
              <w:tc>
                <w:tcPr>
                  <w:tcW w:w="398" w:type="pct"/>
                  <w:tcBorders>
                    <w:tl2br w:val="nil"/>
                    <w:tr2bl w:val="nil"/>
                  </w:tcBorders>
                  <w:shd w:val="clear" w:color="auto" w:fill="auto"/>
                  <w:noWrap w:val="0"/>
                  <w:vAlign w:val="center"/>
                </w:tcPr>
                <w:p>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877" w:type="pct"/>
                  <w:gridSpan w:val="2"/>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2420</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2420</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2420</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+2420</w:t>
                  </w:r>
                </w:p>
              </w:tc>
              <w:tc>
                <w:tcPr>
                  <w:tcW w:w="284"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000" w:type="pct"/>
                  <w:gridSpan w:val="12"/>
                  <w:tcBorders>
                    <w:tl2br w:val="nil"/>
                    <w:tr2bl w:val="nil"/>
                  </w:tcBorders>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电工铝杆</w:t>
                  </w:r>
                  <w:r>
                    <w:rPr>
                      <w:rFonts w:hint="eastAsia" w:cs="Times New Roman"/>
                      <w:b/>
                      <w:bCs/>
                      <w:color w:val="000000" w:themeColor="text1"/>
                      <w:kern w:val="2"/>
                      <w:sz w:val="21"/>
                      <w:szCs w:val="21"/>
                      <w:lang w:val="en-US" w:eastAsia="zh-CN" w:bidi="ar-SA"/>
                      <w14:textFill>
                        <w14:solidFill>
                          <w14:schemeClr w14:val="tx1"/>
                        </w14:solidFill>
                      </w14:textFill>
                    </w:rPr>
                    <w:t>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w:t>
                  </w:r>
                </w:p>
              </w:tc>
              <w:tc>
                <w:tcPr>
                  <w:tcW w:w="61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铝锭（纯度为99.7%）</w:t>
                  </w:r>
                </w:p>
              </w:tc>
              <w:tc>
                <w:tcPr>
                  <w:tcW w:w="398"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0</w:t>
                  </w:r>
                </w:p>
              </w:tc>
              <w:tc>
                <w:tcPr>
                  <w:tcW w:w="877" w:type="pct"/>
                  <w:gridSpan w:val="2"/>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65000</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65500</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65500</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+65500</w:t>
                  </w:r>
                </w:p>
              </w:tc>
              <w:tc>
                <w:tcPr>
                  <w:tcW w:w="284"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变化</w:t>
                  </w:r>
                </w:p>
              </w:tc>
              <w:tc>
                <w:tcPr>
                  <w:tcW w:w="28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tcBorders>
                    <w:tl2br w:val="nil"/>
                    <w:tr2bl w:val="nil"/>
                  </w:tcBorders>
                  <w:noWrap w:val="0"/>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w:t>
                  </w:r>
                </w:p>
              </w:tc>
              <w:tc>
                <w:tcPr>
                  <w:tcW w:w="61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硼铝合金</w:t>
                  </w:r>
                </w:p>
              </w:tc>
              <w:tc>
                <w:tcPr>
                  <w:tcW w:w="398"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472"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0</w:t>
                  </w:r>
                </w:p>
              </w:tc>
              <w:tc>
                <w:tcPr>
                  <w:tcW w:w="877" w:type="pct"/>
                  <w:gridSpan w:val="2"/>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160</w:t>
                  </w:r>
                </w:p>
              </w:tc>
              <w:tc>
                <w:tcPr>
                  <w:tcW w:w="764" w:type="pct"/>
                  <w:gridSpan w:val="2"/>
                  <w:tcBorders>
                    <w:tl2br w:val="nil"/>
                    <w:tr2bl w:val="nil"/>
                  </w:tcBorders>
                  <w:shd w:val="clear" w:color="auto" w:fill="auto"/>
                  <w:noWrap w:val="0"/>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300</w:t>
                  </w:r>
                </w:p>
              </w:tc>
              <w:tc>
                <w:tcPr>
                  <w:tcW w:w="537"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300</w:t>
                  </w:r>
                </w:p>
              </w:tc>
              <w:tc>
                <w:tcPr>
                  <w:tcW w:w="491"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+300</w:t>
                  </w:r>
                </w:p>
              </w:tc>
              <w:tc>
                <w:tcPr>
                  <w:tcW w:w="284"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变化</w:t>
                  </w:r>
                </w:p>
              </w:tc>
              <w:tc>
                <w:tcPr>
                  <w:tcW w:w="286" w:type="pct"/>
                  <w:tcBorders>
                    <w:tl2br w:val="nil"/>
                    <w:tr2bl w:val="nil"/>
                  </w:tcBorders>
                  <w:shd w:val="clear" w:color="auto" w:fill="auto"/>
                  <w:noWrap w:val="0"/>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w:t>
                  </w:r>
                </w:p>
              </w:tc>
              <w:tc>
                <w:tcPr>
                  <w:tcW w:w="616"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铝铁合金</w:t>
                  </w:r>
                </w:p>
              </w:tc>
              <w:tc>
                <w:tcPr>
                  <w:tcW w:w="398" w:type="pct"/>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472" w:type="pct"/>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0</w:t>
                  </w:r>
                </w:p>
              </w:tc>
              <w:tc>
                <w:tcPr>
                  <w:tcW w:w="877" w:type="pct"/>
                  <w:gridSpan w:val="2"/>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w:t>
                  </w:r>
                </w:p>
              </w:tc>
              <w:tc>
                <w:tcPr>
                  <w:tcW w:w="764" w:type="pct"/>
                  <w:gridSpan w:val="2"/>
                  <w:shd w:val="clear" w:color="auto" w:fill="auto"/>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220</w:t>
                  </w:r>
                </w:p>
              </w:tc>
              <w:tc>
                <w:tcPr>
                  <w:tcW w:w="537"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220</w:t>
                  </w:r>
                </w:p>
              </w:tc>
              <w:tc>
                <w:tcPr>
                  <w:tcW w:w="491"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+220</w:t>
                  </w:r>
                </w:p>
              </w:tc>
              <w:tc>
                <w:tcPr>
                  <w:tcW w:w="284"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变化</w:t>
                  </w:r>
                </w:p>
              </w:tc>
              <w:tc>
                <w:tcPr>
                  <w:tcW w:w="286"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w:t>
                  </w:r>
                </w:p>
              </w:tc>
              <w:tc>
                <w:tcPr>
                  <w:tcW w:w="616"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铝稀土</w:t>
                  </w:r>
                </w:p>
              </w:tc>
              <w:tc>
                <w:tcPr>
                  <w:tcW w:w="398" w:type="pct"/>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472" w:type="pct"/>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0</w:t>
                  </w:r>
                </w:p>
              </w:tc>
              <w:tc>
                <w:tcPr>
                  <w:tcW w:w="877" w:type="pct"/>
                  <w:gridSpan w:val="2"/>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160</w:t>
                  </w:r>
                </w:p>
              </w:tc>
              <w:tc>
                <w:tcPr>
                  <w:tcW w:w="764" w:type="pct"/>
                  <w:gridSpan w:val="2"/>
                  <w:shd w:val="clear" w:color="auto" w:fill="auto"/>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270.3</w:t>
                  </w:r>
                </w:p>
              </w:tc>
              <w:tc>
                <w:tcPr>
                  <w:tcW w:w="537"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270.3</w:t>
                  </w:r>
                </w:p>
              </w:tc>
              <w:tc>
                <w:tcPr>
                  <w:tcW w:w="491"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+270.3</w:t>
                  </w:r>
                </w:p>
              </w:tc>
              <w:tc>
                <w:tcPr>
                  <w:tcW w:w="284"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变化</w:t>
                  </w:r>
                </w:p>
              </w:tc>
              <w:tc>
                <w:tcPr>
                  <w:tcW w:w="286"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5</w:t>
                  </w:r>
                </w:p>
              </w:tc>
              <w:tc>
                <w:tcPr>
                  <w:tcW w:w="616"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除渣剂</w:t>
                  </w:r>
                </w:p>
              </w:tc>
              <w:tc>
                <w:tcPr>
                  <w:tcW w:w="398" w:type="pct"/>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472" w:type="pct"/>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0</w:t>
                  </w:r>
                </w:p>
              </w:tc>
              <w:tc>
                <w:tcPr>
                  <w:tcW w:w="877" w:type="pct"/>
                  <w:gridSpan w:val="2"/>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160</w:t>
                  </w:r>
                </w:p>
              </w:tc>
              <w:tc>
                <w:tcPr>
                  <w:tcW w:w="764" w:type="pct"/>
                  <w:gridSpan w:val="2"/>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250.</w:t>
                  </w:r>
                  <w:r>
                    <w:rPr>
                      <w:rFonts w:hint="eastAsia" w:cs="Times New Roman"/>
                      <w:b w:val="0"/>
                      <w:bCs w:val="0"/>
                      <w:color w:val="000000" w:themeColor="text1"/>
                      <w:sz w:val="21"/>
                      <w:szCs w:val="21"/>
                      <w:lang w:val="en-US" w:eastAsia="zh-CN"/>
                      <w14:textFill>
                        <w14:solidFill>
                          <w14:schemeClr w14:val="tx1"/>
                        </w14:solidFill>
                      </w14:textFill>
                    </w:rPr>
                    <w:t>68</w:t>
                  </w:r>
                </w:p>
              </w:tc>
              <w:tc>
                <w:tcPr>
                  <w:tcW w:w="537"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250.</w:t>
                  </w:r>
                  <w:r>
                    <w:rPr>
                      <w:rFonts w:hint="eastAsia" w:cs="Times New Roman"/>
                      <w:b w:val="0"/>
                      <w:bCs w:val="0"/>
                      <w:color w:val="000000" w:themeColor="text1"/>
                      <w:sz w:val="21"/>
                      <w:szCs w:val="21"/>
                      <w:lang w:val="en-US" w:eastAsia="zh-CN"/>
                      <w14:textFill>
                        <w14:solidFill>
                          <w14:schemeClr w14:val="tx1"/>
                        </w14:solidFill>
                      </w14:textFill>
                    </w:rPr>
                    <w:t>68</w:t>
                  </w:r>
                </w:p>
              </w:tc>
              <w:tc>
                <w:tcPr>
                  <w:tcW w:w="491"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250.</w:t>
                  </w:r>
                  <w:r>
                    <w:rPr>
                      <w:rFonts w:hint="eastAsia" w:cs="Times New Roman"/>
                      <w:b w:val="0"/>
                      <w:bCs w:val="0"/>
                      <w:color w:val="000000" w:themeColor="text1"/>
                      <w:sz w:val="21"/>
                      <w:szCs w:val="21"/>
                      <w:lang w:val="en-US" w:eastAsia="zh-CN"/>
                      <w14:textFill>
                        <w14:solidFill>
                          <w14:schemeClr w14:val="tx1"/>
                        </w14:solidFill>
                      </w14:textFill>
                    </w:rPr>
                    <w:t>68</w:t>
                  </w:r>
                </w:p>
              </w:tc>
              <w:tc>
                <w:tcPr>
                  <w:tcW w:w="284"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变化</w:t>
                  </w:r>
                </w:p>
              </w:tc>
              <w:tc>
                <w:tcPr>
                  <w:tcW w:w="286"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000" w:type="pct"/>
                  <w:gridSpan w:val="12"/>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特高压导线</w:t>
                  </w:r>
                  <w:r>
                    <w:rPr>
                      <w:rFonts w:hint="eastAsia" w:cs="Times New Roman"/>
                      <w:b/>
                      <w:bCs/>
                      <w:color w:val="000000" w:themeColor="text1"/>
                      <w:kern w:val="2"/>
                      <w:sz w:val="21"/>
                      <w:szCs w:val="21"/>
                      <w:lang w:val="en-US" w:eastAsia="zh-CN" w:bidi="ar-SA"/>
                      <w14:textFill>
                        <w14:solidFill>
                          <w14:schemeClr w14:val="tx1"/>
                        </w14:solidFill>
                      </w14:textFill>
                    </w:rPr>
                    <w:t>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w:t>
                  </w:r>
                </w:p>
              </w:tc>
              <w:tc>
                <w:tcPr>
                  <w:tcW w:w="616"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钢芯铝绞线</w:t>
                  </w:r>
                </w:p>
              </w:tc>
              <w:tc>
                <w:tcPr>
                  <w:tcW w:w="398" w:type="pct"/>
                  <w:vAlign w:val="center"/>
                </w:tcPr>
                <w:p>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472"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877" w:type="pct"/>
                  <w:gridSpan w:val="2"/>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16000</w:t>
                  </w:r>
                </w:p>
              </w:tc>
              <w:tc>
                <w:tcPr>
                  <w:tcW w:w="764" w:type="pct"/>
                  <w:gridSpan w:val="2"/>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16000</w:t>
                  </w:r>
                </w:p>
              </w:tc>
              <w:tc>
                <w:tcPr>
                  <w:tcW w:w="537"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16000</w:t>
                  </w:r>
                </w:p>
              </w:tc>
              <w:tc>
                <w:tcPr>
                  <w:tcW w:w="491"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16000</w:t>
                  </w:r>
                </w:p>
              </w:tc>
              <w:tc>
                <w:tcPr>
                  <w:tcW w:w="284"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w:t>
                  </w:r>
                </w:p>
              </w:tc>
              <w:tc>
                <w:tcPr>
                  <w:tcW w:w="616"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铝杆</w:t>
                  </w:r>
                </w:p>
              </w:tc>
              <w:tc>
                <w:tcPr>
                  <w:tcW w:w="398" w:type="pct"/>
                  <w:vAlign w:val="center"/>
                </w:tcPr>
                <w:p>
                  <w:pPr>
                    <w:widowControl/>
                    <w:jc w:val="center"/>
                    <w:textAlignment w:val="bottom"/>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472"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877" w:type="pct"/>
                  <w:gridSpan w:val="2"/>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30000</w:t>
                  </w:r>
                </w:p>
              </w:tc>
              <w:tc>
                <w:tcPr>
                  <w:tcW w:w="764" w:type="pct"/>
                  <w:gridSpan w:val="2"/>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30000</w:t>
                  </w:r>
                </w:p>
              </w:tc>
              <w:tc>
                <w:tcPr>
                  <w:tcW w:w="537"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30000</w:t>
                  </w:r>
                </w:p>
              </w:tc>
              <w:tc>
                <w:tcPr>
                  <w:tcW w:w="491"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30000</w:t>
                  </w:r>
                </w:p>
              </w:tc>
              <w:tc>
                <w:tcPr>
                  <w:tcW w:w="284"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000" w:type="pct"/>
                  <w:gridSpan w:val="12"/>
                  <w:vAlign w:val="center"/>
                </w:tcPr>
                <w:p>
                  <w:pPr>
                    <w:adjustRightInd w:val="0"/>
                    <w:snapToGrid w:val="0"/>
                    <w:jc w:val="center"/>
                    <w:rPr>
                      <w:rFonts w:hint="eastAsia"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bCs/>
                      <w:color w:val="000000" w:themeColor="text1"/>
                      <w:kern w:val="2"/>
                      <w:sz w:val="21"/>
                      <w:szCs w:val="21"/>
                      <w:lang w:val="en-US" w:eastAsia="zh-CN" w:bidi="ar-SA"/>
                      <w14:textFill>
                        <w14:solidFill>
                          <w14:schemeClr w14:val="tx1"/>
                        </w14:solidFill>
                      </w14:textFill>
                    </w:rPr>
                    <w:t>能源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w:t>
                  </w:r>
                </w:p>
              </w:tc>
              <w:tc>
                <w:tcPr>
                  <w:tcW w:w="616"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水</w:t>
                  </w:r>
                </w:p>
              </w:tc>
              <w:tc>
                <w:tcPr>
                  <w:tcW w:w="398" w:type="pct"/>
                  <w:vAlign w:val="center"/>
                </w:tcPr>
                <w:p>
                  <w:pPr>
                    <w:widowControl/>
                    <w:jc w:val="center"/>
                    <w:textAlignment w:val="bottom"/>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/a</w:t>
                  </w:r>
                </w:p>
              </w:tc>
              <w:tc>
                <w:tcPr>
                  <w:tcW w:w="472"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900</w:t>
                  </w:r>
                </w:p>
              </w:tc>
              <w:tc>
                <w:tcPr>
                  <w:tcW w:w="877" w:type="pct"/>
                  <w:gridSpan w:val="2"/>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8115</w:t>
                  </w:r>
                </w:p>
              </w:tc>
              <w:tc>
                <w:tcPr>
                  <w:tcW w:w="764" w:type="pct"/>
                  <w:gridSpan w:val="2"/>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3315</w:t>
                  </w:r>
                </w:p>
              </w:tc>
              <w:tc>
                <w:tcPr>
                  <w:tcW w:w="537"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4215</w:t>
                  </w:r>
                </w:p>
              </w:tc>
              <w:tc>
                <w:tcPr>
                  <w:tcW w:w="491"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w:t>
                  </w:r>
                  <w:r>
                    <w:rPr>
                      <w:rFonts w:hint="eastAsia" w:cs="Times New Roman"/>
                      <w:b w:val="0"/>
                      <w:bCs w:val="0"/>
                      <w:color w:val="000000" w:themeColor="text1"/>
                      <w:kern w:val="2"/>
                      <w:sz w:val="21"/>
                      <w:szCs w:val="21"/>
                      <w:lang w:val="en-US" w:eastAsia="zh-CN" w:bidi="ar-SA"/>
                      <w14:textFill>
                        <w14:solidFill>
                          <w14:schemeClr w14:val="tx1"/>
                        </w14:solidFill>
                      </w14:textFill>
                    </w:rPr>
                    <w:t>3315</w:t>
                  </w:r>
                </w:p>
              </w:tc>
              <w:tc>
                <w:tcPr>
                  <w:tcW w:w="284"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变化</w:t>
                  </w:r>
                </w:p>
              </w:tc>
              <w:tc>
                <w:tcPr>
                  <w:tcW w:w="286"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w:t>
                  </w:r>
                </w:p>
              </w:tc>
              <w:tc>
                <w:tcPr>
                  <w:tcW w:w="616"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电</w:t>
                  </w:r>
                </w:p>
              </w:tc>
              <w:tc>
                <w:tcPr>
                  <w:tcW w:w="398" w:type="pct"/>
                  <w:vAlign w:val="center"/>
                </w:tcPr>
                <w:p>
                  <w:pPr>
                    <w:widowControl/>
                    <w:jc w:val="center"/>
                    <w:textAlignment w:val="bottom"/>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kWh</w:t>
                  </w:r>
                </w:p>
              </w:tc>
              <w:tc>
                <w:tcPr>
                  <w:tcW w:w="472"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877" w:type="pct"/>
                  <w:gridSpan w:val="2"/>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19128000</w:t>
                  </w:r>
                </w:p>
              </w:tc>
              <w:tc>
                <w:tcPr>
                  <w:tcW w:w="764" w:type="pct"/>
                  <w:gridSpan w:val="2"/>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19128000</w:t>
                  </w:r>
                </w:p>
              </w:tc>
              <w:tc>
                <w:tcPr>
                  <w:tcW w:w="537"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ascii="Times New Roman" w:hAnsi="Times New Roman" w:eastAsia="Times New Roman" w:cs="Times New Roman"/>
                      <w:b w:val="0"/>
                      <w:bCs w:val="0"/>
                      <w:spacing w:val="2"/>
                      <w:sz w:val="20"/>
                      <w:szCs w:val="20"/>
                    </w:rPr>
                    <w:t>19128000</w:t>
                  </w:r>
                </w:p>
              </w:tc>
              <w:tc>
                <w:tcPr>
                  <w:tcW w:w="491" w:type="pct"/>
                  <w:shd w:val="clear" w:color="auto" w:fill="auto"/>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spacing w:val="2"/>
                      <w:sz w:val="20"/>
                      <w:szCs w:val="20"/>
                      <w:lang w:val="en-US" w:eastAsia="zh-CN"/>
                    </w:rPr>
                    <w:t>+</w:t>
                  </w:r>
                  <w:r>
                    <w:rPr>
                      <w:rFonts w:ascii="Times New Roman" w:hAnsi="Times New Roman" w:eastAsia="Times New Roman" w:cs="Times New Roman"/>
                      <w:b w:val="0"/>
                      <w:bCs w:val="0"/>
                      <w:spacing w:val="2"/>
                      <w:sz w:val="20"/>
                      <w:szCs w:val="20"/>
                    </w:rPr>
                    <w:t>19128000</w:t>
                  </w:r>
                </w:p>
              </w:tc>
              <w:tc>
                <w:tcPr>
                  <w:tcW w:w="284"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w:t>
                  </w:r>
                </w:p>
              </w:tc>
              <w:tc>
                <w:tcPr>
                  <w:tcW w:w="616"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天然气</w:t>
                  </w:r>
                </w:p>
              </w:tc>
              <w:tc>
                <w:tcPr>
                  <w:tcW w:w="398" w:type="pct"/>
                  <w:vAlign w:val="center"/>
                </w:tcPr>
                <w:p>
                  <w:pPr>
                    <w:widowControl/>
                    <w:jc w:val="center"/>
                    <w:textAlignment w:val="bottom"/>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/a</w:t>
                  </w:r>
                </w:p>
              </w:tc>
              <w:tc>
                <w:tcPr>
                  <w:tcW w:w="472"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877" w:type="pct"/>
                  <w:gridSpan w:val="2"/>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375万</w:t>
                  </w:r>
                </w:p>
              </w:tc>
              <w:tc>
                <w:tcPr>
                  <w:tcW w:w="764" w:type="pct"/>
                  <w:gridSpan w:val="2"/>
                  <w:shd w:val="clear" w:color="auto" w:fill="auto"/>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440万</w:t>
                  </w:r>
                </w:p>
              </w:tc>
              <w:tc>
                <w:tcPr>
                  <w:tcW w:w="537"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440</w:t>
                  </w: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万</w:t>
                  </w:r>
                </w:p>
              </w:tc>
              <w:tc>
                <w:tcPr>
                  <w:tcW w:w="491"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w:t>
                  </w:r>
                  <w:r>
                    <w:rPr>
                      <w:rFonts w:hint="eastAsia" w:cs="Times New Roman"/>
                      <w:b w:val="0"/>
                      <w:bCs w:val="0"/>
                      <w:color w:val="000000" w:themeColor="text1"/>
                      <w:kern w:val="2"/>
                      <w:sz w:val="21"/>
                      <w:szCs w:val="21"/>
                      <w:lang w:val="en-US" w:eastAsia="zh-CN" w:bidi="ar-SA"/>
                      <w14:textFill>
                        <w14:solidFill>
                          <w14:schemeClr w14:val="tx1"/>
                        </w14:solidFill>
                      </w14:textFill>
                    </w:rPr>
                    <w:t>440</w:t>
                  </w: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万</w:t>
                  </w:r>
                </w:p>
              </w:tc>
              <w:tc>
                <w:tcPr>
                  <w:tcW w:w="284"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变化</w:t>
                  </w:r>
                </w:p>
              </w:tc>
              <w:tc>
                <w:tcPr>
                  <w:tcW w:w="286"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71" w:type="pct"/>
                  <w:vAlign w:val="center"/>
                </w:tcPr>
                <w:p>
                  <w:pPr>
                    <w:adjustRightInd w:val="0"/>
                    <w:snapToGrid w:val="0"/>
                    <w:jc w:val="center"/>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4</w:t>
                  </w:r>
                </w:p>
              </w:tc>
              <w:tc>
                <w:tcPr>
                  <w:tcW w:w="616"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氮气</w:t>
                  </w:r>
                </w:p>
              </w:tc>
              <w:tc>
                <w:tcPr>
                  <w:tcW w:w="398" w:type="pct"/>
                  <w:vAlign w:val="center"/>
                </w:tcPr>
                <w:p>
                  <w:pPr>
                    <w:widowControl/>
                    <w:jc w:val="center"/>
                    <w:textAlignment w:val="bottom"/>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b w:val="0"/>
                      <w:bCs w:val="0"/>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/a</w:t>
                  </w:r>
                </w:p>
              </w:tc>
              <w:tc>
                <w:tcPr>
                  <w:tcW w:w="472"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0</w:t>
                  </w:r>
                </w:p>
              </w:tc>
              <w:tc>
                <w:tcPr>
                  <w:tcW w:w="877" w:type="pct"/>
                  <w:gridSpan w:val="2"/>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6000</w:t>
                  </w:r>
                </w:p>
              </w:tc>
              <w:tc>
                <w:tcPr>
                  <w:tcW w:w="764" w:type="pct"/>
                  <w:gridSpan w:val="2"/>
                  <w:shd w:val="clear" w:color="auto" w:fill="auto"/>
                  <w:vAlign w:val="center"/>
                </w:tcPr>
                <w:p>
                  <w:pPr>
                    <w:adjustRightInd w:val="0"/>
                    <w:snapToGrid w:val="0"/>
                    <w:jc w:val="cente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6000</w:t>
                  </w:r>
                </w:p>
              </w:tc>
              <w:tc>
                <w:tcPr>
                  <w:tcW w:w="537"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6000</w:t>
                  </w:r>
                </w:p>
              </w:tc>
              <w:tc>
                <w:tcPr>
                  <w:tcW w:w="491" w:type="pct"/>
                  <w:shd w:val="clear" w:color="auto" w:fill="auto"/>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+6000</w:t>
                  </w:r>
                </w:p>
              </w:tc>
              <w:tc>
                <w:tcPr>
                  <w:tcW w:w="284" w:type="pct"/>
                  <w:vAlign w:val="center"/>
                </w:tcPr>
                <w:p>
                  <w:pPr>
                    <w:adjustRightInd w:val="0"/>
                    <w:snapToGrid w:val="0"/>
                    <w:jc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c>
                <w:tcPr>
                  <w:tcW w:w="286" w:type="pct"/>
                  <w:vAlign w:val="center"/>
                </w:tcPr>
                <w:p>
                  <w:pPr>
                    <w:adjustRightInd w:val="0"/>
                    <w:snapToGrid w:val="0"/>
                    <w:jc w:val="center"/>
                    <w:rPr>
                      <w:rFonts w:hint="default" w:cs="Times New Roman"/>
                      <w:b w:val="0"/>
                      <w:bCs w:val="0"/>
                      <w:color w:val="000000" w:themeColor="text1"/>
                      <w:kern w:val="2"/>
                      <w:sz w:val="21"/>
                      <w:szCs w:val="21"/>
                      <w:lang w:val="en-US" w:eastAsia="zh-CN" w:bidi="ar-SA"/>
                      <w14:textFill>
                        <w14:solidFill>
                          <w14:schemeClr w14:val="tx1"/>
                        </w14:solidFill>
                      </w14:textFill>
                    </w:rPr>
                  </w:pPr>
                  <w:r>
                    <w:rPr>
                      <w:rFonts w:hint="eastAsia" w:cs="Times New Roman"/>
                      <w:b w:val="0"/>
                      <w:bCs w:val="0"/>
                      <w:color w:val="000000" w:themeColor="text1"/>
                      <w:kern w:val="2"/>
                      <w:sz w:val="21"/>
                      <w:szCs w:val="21"/>
                      <w:lang w:val="en-US" w:eastAsia="zh-CN" w:bidi="ar-SA"/>
                      <w14:textFill>
                        <w14:solidFill>
                          <w14:schemeClr w14:val="tx1"/>
                        </w14:solidFill>
                      </w14:textFill>
                    </w:rPr>
                    <w:t>/</w:t>
                  </w:r>
                </w:p>
              </w:tc>
            </w:tr>
          </w:tbl>
          <w:p>
            <w:pPr>
              <w:pStyle w:val="27"/>
              <w:spacing w:line="360" w:lineRule="auto"/>
              <w:ind w:left="0" w:leftChars="0" w:firstLine="0" w:firstLineChars="0"/>
              <w:jc w:val="both"/>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cs="Times New Roman"/>
                <w:b/>
                <w:color w:val="000000" w:themeColor="text1"/>
                <w:kern w:val="2"/>
                <w:sz w:val="24"/>
                <w:szCs w:val="24"/>
                <w:lang w:val="en-US" w:eastAsia="zh-CN" w:bidi="ar-SA"/>
                <w14:textFill>
                  <w14:solidFill>
                    <w14:schemeClr w14:val="tx1"/>
                  </w14:solidFill>
                </w14:textFill>
              </w:rPr>
              <w:t>5</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 xml:space="preserve">.2 </w:t>
            </w:r>
            <w:r>
              <w:rPr>
                <w:rFonts w:hint="eastAsia" w:ascii="Times New Roman" w:hAnsi="Times New Roman" w:cs="Times New Roman"/>
                <w:b/>
                <w:color w:val="000000" w:themeColor="text1"/>
                <w:kern w:val="2"/>
                <w:sz w:val="24"/>
                <w:szCs w:val="24"/>
                <w:lang w:val="en-US" w:eastAsia="zh-CN" w:bidi="ar-SA"/>
                <w14:textFill>
                  <w14:solidFill>
                    <w14:schemeClr w14:val="tx1"/>
                  </w14:solidFill>
                </w14:textFill>
              </w:rPr>
              <w:t>主要原辅料理化性质</w:t>
            </w:r>
          </w:p>
          <w:p>
            <w:pPr>
              <w:pStyle w:val="27"/>
              <w:ind w:firstLine="480"/>
              <w:jc w:val="both"/>
              <w:rPr>
                <w:rFonts w:hint="eastAsia" w:ascii="Times New Roman" w:hAnsi="Times New Roman" w:eastAsia="宋体"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（1）硼铝合金：银灰色，无臭，熔点：660℃ , 沸点（1013hPa）：2450℃ , 密度（20℃) 2.5g/cm</w:t>
            </w:r>
            <w:r>
              <w:rPr>
                <w:rFonts w:hint="eastAsia" w:ascii="Times New Roman" w:hAnsi="Times New Roman" w:eastAsia="宋体" w:cs="Times New Roman"/>
                <w:bCs/>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bCs/>
                <w:color w:val="000000" w:themeColor="text1"/>
                <w:szCs w:val="21"/>
                <w:lang w:val="en-US" w:eastAsia="zh-CN"/>
                <w14:textFill>
                  <w14:solidFill>
                    <w14:schemeClr w14:val="tx1"/>
                  </w14:solidFill>
                </w14:textFill>
              </w:rPr>
              <w:t>，难溶于水。</w:t>
            </w:r>
          </w:p>
          <w:p>
            <w:pPr>
              <w:pStyle w:val="27"/>
              <w:ind w:firstLine="480"/>
              <w:jc w:val="both"/>
              <w:rPr>
                <w:rFonts w:hint="eastAsia" w:cs="Times New Roman"/>
                <w:bCs/>
                <w:color w:val="000000" w:themeColor="text1"/>
                <w:szCs w:val="21"/>
                <w:lang w:val="en-US" w:eastAsia="zh-CN"/>
                <w14:textFill>
                  <w14:solidFill>
                    <w14:schemeClr w14:val="tx1"/>
                  </w14:solidFill>
                </w14:textFill>
              </w:rPr>
            </w:pPr>
            <w:r>
              <w:rPr>
                <w:rFonts w:hint="eastAsia" w:ascii="Times New Roman" w:hAnsi="Times New Roman" w:eastAsia="宋体" w:cs="Times New Roman"/>
                <w:bCs/>
                <w:color w:val="000000" w:themeColor="text1"/>
                <w:szCs w:val="21"/>
                <w:lang w:val="en-US" w:eastAsia="zh-CN"/>
                <w14:textFill>
                  <w14:solidFill>
                    <w14:schemeClr w14:val="tx1"/>
                  </w14:solidFill>
                </w14:textFill>
              </w:rPr>
              <w:t>（2）除渣剂：白色粉末，粒度&lt;15目，添加适量活性吸附剂，发热性良好，能从渣中将铝珠分离出来，并能部分分解为氧化铝，形成质轻、疏松的粉状浮渣，减少熔渣黏结炉壁，炉内结渣不严重时，可作为清炉剂使用</w:t>
            </w:r>
            <w:r>
              <w:rPr>
                <w:rFonts w:hint="eastAsia" w:cs="Times New Roman"/>
                <w:bCs/>
                <w:color w:val="000000" w:themeColor="text1"/>
                <w:szCs w:val="21"/>
                <w:lang w:val="en-US" w:eastAsia="zh-CN"/>
                <w14:textFill>
                  <w14:solidFill>
                    <w14:schemeClr w14:val="tx1"/>
                  </w14:solidFill>
                </w14:textFill>
              </w:rPr>
              <w:t>。</w:t>
            </w:r>
          </w:p>
          <w:p>
            <w:pPr>
              <w:pStyle w:val="27"/>
              <w:ind w:firstLine="48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（3）聚氯乙烯（PVC）：聚氯乙烯为无定形结构的白色颗粒，酯化度较小，相对密度 1.4 左右，玻璃化温度 77~90℃ , 170℃左右开始分解。工业生产的聚氯乙烯分子量一般在5 万~ 11 万范围内，具有较大的多分散性，分子量随聚合温度的降低而增加；无固定熔点，80~85℃开始软化，130℃变为粘弹态，160~ 180℃开始转变为粘流态；有较好的机械性能，抗张强度 60MPa 左右，冲击强度5~ 10kJ/m2；有优异的介电性能。</w:t>
            </w:r>
          </w:p>
          <w:p>
            <w:pPr>
              <w:pStyle w:val="27"/>
              <w:ind w:firstLine="48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（4）聚乙烯：简称 PE，是乙烯经聚合制得的一种热塑性树脂。在工业上，也包括乙烯与少量α-烯烃的共聚物。聚乙烯无臭，无毒，手感似蜡，具有优良的耐低温性能（最低使用温度可达-100~-70°C），化学稳定性好，能耐大多数酸碱的侵蚀（不耐具有氧化性质的酸）。常温下不溶于一般溶剂，吸水性小，电绝缘性优良。</w:t>
            </w:r>
          </w:p>
          <w:p>
            <w:pPr>
              <w:pStyle w:val="27"/>
              <w:ind w:firstLine="48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（5）乳化液：采用高性能硫化猪油和硫化脂肪酸酯为主剂调和而成，用于铜、铝、不锈钢等线材的拉拔加工，具有极好的极压抗磨性，不会造成工件拉毛、拉伤，提高光洁度，有效延长模具寿命。</w:t>
            </w:r>
          </w:p>
          <w:p>
            <w:pPr>
              <w:pStyle w:val="27"/>
              <w:ind w:firstLine="480"/>
              <w:jc w:val="both"/>
              <w:rPr>
                <w:rFonts w:hint="default"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6）低烟无卤料：乙烯—醋酸乙烯、高密度聚乙烯、水滑石、高纯消烟剂、红磷、主抗氧剂、辅抗氧剂、硅烷偶联剂、聚乙烯蜡、白油加工配制而成。该产品采用水滑石作电缆的阻燃剂，它兼具氢氧化铝和氢氧化镁阻燃剂的优点，又克服了它们各自的不足，有效地降低了低烟无卤无毒产品的材料成本和制造成本，同时也降低了电缆燃烧时的烟量。</w:t>
            </w:r>
          </w:p>
          <w:p>
            <w:pPr>
              <w:pStyle w:val="7"/>
              <w:numPr>
                <w:ilvl w:val="0"/>
                <w:numId w:val="0"/>
              </w:numPr>
              <w:spacing w:line="360" w:lineRule="auto"/>
              <w:jc w:val="both"/>
              <w:outlineLvl w:val="1"/>
              <w:rPr>
                <w:rFonts w:hint="eastAsia" w:cs="Times New Roman"/>
                <w:b/>
                <w:color w:val="000000" w:themeColor="text1"/>
                <w:kern w:val="2"/>
                <w:sz w:val="24"/>
                <w:szCs w:val="24"/>
                <w:lang w:val="en-US" w:eastAsia="zh-CN" w:bidi="ar-SA"/>
                <w14:textFill>
                  <w14:solidFill>
                    <w14:schemeClr w14:val="tx1"/>
                  </w14:solidFill>
                </w14:textFill>
              </w:rPr>
            </w:pPr>
            <w:r>
              <w:rPr>
                <w:rFonts w:hint="eastAsia" w:cs="Times New Roman"/>
                <w:b/>
                <w:color w:val="000000" w:themeColor="text1"/>
                <w:kern w:val="2"/>
                <w:sz w:val="24"/>
                <w:szCs w:val="24"/>
                <w:lang w:val="en-US" w:eastAsia="zh-CN" w:bidi="ar-SA"/>
                <w14:textFill>
                  <w14:solidFill>
                    <w14:schemeClr w14:val="tx1"/>
                  </w14:solidFill>
                </w14:textFill>
              </w:rPr>
              <w:t>6 产品方案</w:t>
            </w:r>
          </w:p>
          <w:p>
            <w:pPr>
              <w:pStyle w:val="27"/>
              <w:ind w:firstLine="480"/>
              <w:jc w:val="both"/>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default" w:ascii="Times New Roman" w:hAnsi="Times New Roman" w:eastAsia="宋体" w:cs="Times New Roman"/>
                <w:bCs/>
                <w:color w:val="000000" w:themeColor="text1"/>
                <w:szCs w:val="21"/>
                <w:lang w:val="en-US" w:eastAsia="zh-CN"/>
                <w14:textFill>
                  <w14:solidFill>
                    <w14:schemeClr w14:val="tx1"/>
                  </w14:solidFill>
                </w14:textFill>
              </w:rPr>
              <w:t>本项目产品方案见表2-</w:t>
            </w:r>
            <w:r>
              <w:rPr>
                <w:rFonts w:hint="eastAsia" w:cs="Times New Roman"/>
                <w:bCs/>
                <w:color w:val="000000" w:themeColor="text1"/>
                <w:szCs w:val="21"/>
                <w:lang w:val="en-US" w:eastAsia="zh-CN"/>
                <w14:textFill>
                  <w14:solidFill>
                    <w14:schemeClr w14:val="tx1"/>
                  </w14:solidFill>
                </w14:textFill>
              </w:rPr>
              <w:t>5</w:t>
            </w:r>
            <w:r>
              <w:rPr>
                <w:rFonts w:hint="default" w:ascii="Times New Roman" w:hAnsi="Times New Roman" w:eastAsia="宋体" w:cs="Times New Roman"/>
                <w:bCs/>
                <w:color w:val="000000" w:themeColor="text1"/>
                <w:szCs w:val="21"/>
                <w:lang w:val="en-US" w:eastAsia="zh-CN"/>
                <w14:textFill>
                  <w14:solidFill>
                    <w14:schemeClr w14:val="tx1"/>
                  </w14:solidFill>
                </w14:textFill>
              </w:rPr>
              <w:t>。</w:t>
            </w:r>
          </w:p>
          <w:p>
            <w:pPr>
              <w:pStyle w:val="44"/>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表2-</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14:textFill>
                  <w14:solidFill>
                    <w14:schemeClr w14:val="tx1"/>
                  </w14:solidFill>
                </w14:textFill>
              </w:rPr>
              <w:t xml:space="preserve">   产品方案一览表</w:t>
            </w:r>
          </w:p>
          <w:tbl>
            <w:tblPr>
              <w:tblStyle w:val="33"/>
              <w:tblW w:w="4996"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711"/>
              <w:gridCol w:w="1758"/>
              <w:gridCol w:w="766"/>
              <w:gridCol w:w="1387"/>
              <w:gridCol w:w="1667"/>
              <w:gridCol w:w="1574"/>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52" w:type="pct"/>
                  <w:tcBorders>
                    <w:bottom w:val="single" w:color="auto" w:sz="12" w:space="0"/>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序号</w:t>
                  </w:r>
                </w:p>
              </w:tc>
              <w:tc>
                <w:tcPr>
                  <w:tcW w:w="1118" w:type="pct"/>
                  <w:tcBorders>
                    <w:bottom w:val="single" w:color="auto" w:sz="12" w:space="0"/>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产品名称</w:t>
                  </w:r>
                </w:p>
              </w:tc>
              <w:tc>
                <w:tcPr>
                  <w:tcW w:w="487" w:type="pct"/>
                  <w:tcBorders>
                    <w:bottom w:val="single" w:color="auto" w:sz="12" w:space="0"/>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单位</w:t>
                  </w:r>
                </w:p>
              </w:tc>
              <w:tc>
                <w:tcPr>
                  <w:tcW w:w="882" w:type="pct"/>
                  <w:tcBorders>
                    <w:bottom w:val="single" w:color="auto" w:sz="12" w:space="0"/>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年产量</w:t>
                  </w:r>
                </w:p>
              </w:tc>
              <w:tc>
                <w:tcPr>
                  <w:tcW w:w="1060" w:type="pct"/>
                  <w:tcBorders>
                    <w:bottom w:val="single" w:color="auto" w:sz="12" w:space="0"/>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运输形式</w:t>
                  </w:r>
                </w:p>
              </w:tc>
              <w:tc>
                <w:tcPr>
                  <w:tcW w:w="998" w:type="pct"/>
                  <w:tcBorders>
                    <w:bottom w:val="single" w:color="auto" w:sz="12" w:space="0"/>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备注</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5000" w:type="pct"/>
                  <w:gridSpan w:val="6"/>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spacing w:val="8"/>
                      <w:sz w:val="20"/>
                      <w:szCs w:val="20"/>
                    </w:rPr>
                    <w:t>低压交联电缆</w:t>
                  </w:r>
                  <w:r>
                    <w:rPr>
                      <w:rFonts w:hint="eastAsia"/>
                      <w:spacing w:val="8"/>
                      <w:sz w:val="20"/>
                      <w:szCs w:val="20"/>
                      <w:lang w:val="en-US" w:eastAsia="zh-CN"/>
                    </w:rPr>
                    <w:t>生产线</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5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1</w:t>
                  </w:r>
                </w:p>
              </w:tc>
              <w:tc>
                <w:tcPr>
                  <w:tcW w:w="111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电力电缆</w:t>
                  </w:r>
                </w:p>
              </w:tc>
              <w:tc>
                <w:tcPr>
                  <w:tcW w:w="487"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88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9467</w:t>
                  </w:r>
                </w:p>
              </w:tc>
              <w:tc>
                <w:tcPr>
                  <w:tcW w:w="1060"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汽车运输</w:t>
                  </w:r>
                </w:p>
              </w:tc>
              <w:tc>
                <w:tcPr>
                  <w:tcW w:w="99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5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2</w:t>
                  </w:r>
                </w:p>
              </w:tc>
              <w:tc>
                <w:tcPr>
                  <w:tcW w:w="111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绝缘架空电缆</w:t>
                  </w:r>
                </w:p>
              </w:tc>
              <w:tc>
                <w:tcPr>
                  <w:tcW w:w="487"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88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27000</w:t>
                  </w:r>
                </w:p>
              </w:tc>
              <w:tc>
                <w:tcPr>
                  <w:tcW w:w="1060"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汽车运输</w:t>
                  </w:r>
                </w:p>
              </w:tc>
              <w:tc>
                <w:tcPr>
                  <w:tcW w:w="99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5000" w:type="pct"/>
                  <w:gridSpan w:val="6"/>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电工铝杆</w:t>
                  </w:r>
                  <w:r>
                    <w:rPr>
                      <w:rFonts w:hint="eastAsia" w:cs="Times New Roman"/>
                      <w:b/>
                      <w:bCs/>
                      <w:color w:val="000000" w:themeColor="text1"/>
                      <w:kern w:val="2"/>
                      <w:sz w:val="21"/>
                      <w:szCs w:val="21"/>
                      <w:lang w:val="en-US" w:eastAsia="zh-CN" w:bidi="ar-SA"/>
                      <w14:textFill>
                        <w14:solidFill>
                          <w14:schemeClr w14:val="tx1"/>
                        </w14:solidFill>
                      </w14:textFill>
                    </w:rPr>
                    <w:t>生产线</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5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1</w:t>
                  </w:r>
                </w:p>
              </w:tc>
              <w:tc>
                <w:tcPr>
                  <w:tcW w:w="111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电工铝杆</w:t>
                  </w:r>
                </w:p>
              </w:tc>
              <w:tc>
                <w:tcPr>
                  <w:tcW w:w="487"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88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65000</w:t>
                  </w:r>
                </w:p>
              </w:tc>
              <w:tc>
                <w:tcPr>
                  <w:tcW w:w="1060"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汽车运输</w:t>
                  </w:r>
                </w:p>
              </w:tc>
              <w:tc>
                <w:tcPr>
                  <w:tcW w:w="99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5000" w:type="pct"/>
                  <w:gridSpan w:val="6"/>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t>特高压导线</w:t>
                  </w:r>
                  <w:r>
                    <w:rPr>
                      <w:rFonts w:hint="eastAsia" w:cs="Times New Roman"/>
                      <w:b/>
                      <w:bCs/>
                      <w:color w:val="000000" w:themeColor="text1"/>
                      <w:kern w:val="2"/>
                      <w:sz w:val="21"/>
                      <w:szCs w:val="21"/>
                      <w:lang w:val="en-US" w:eastAsia="zh-CN" w:bidi="ar-SA"/>
                      <w14:textFill>
                        <w14:solidFill>
                          <w14:schemeClr w14:val="tx1"/>
                        </w14:solidFill>
                      </w14:textFill>
                    </w:rPr>
                    <w:t>生产线</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5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1</w:t>
                  </w:r>
                </w:p>
              </w:tc>
              <w:tc>
                <w:tcPr>
                  <w:tcW w:w="111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铝和铝合金导体</w:t>
                  </w:r>
                </w:p>
              </w:tc>
              <w:tc>
                <w:tcPr>
                  <w:tcW w:w="487"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88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42000</w:t>
                  </w:r>
                </w:p>
              </w:tc>
              <w:tc>
                <w:tcPr>
                  <w:tcW w:w="1060"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汽车运输</w:t>
                  </w:r>
                </w:p>
              </w:tc>
              <w:tc>
                <w:tcPr>
                  <w:tcW w:w="99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5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2</w:t>
                  </w:r>
                </w:p>
              </w:tc>
              <w:tc>
                <w:tcPr>
                  <w:tcW w:w="111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裸架空导线</w:t>
                  </w:r>
                </w:p>
              </w:tc>
              <w:tc>
                <w:tcPr>
                  <w:tcW w:w="487"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t/a</w:t>
                  </w:r>
                </w:p>
              </w:tc>
              <w:tc>
                <w:tcPr>
                  <w:tcW w:w="882"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81300</w:t>
                  </w:r>
                </w:p>
              </w:tc>
              <w:tc>
                <w:tcPr>
                  <w:tcW w:w="1060"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汽车运输</w:t>
                  </w:r>
                </w:p>
              </w:tc>
              <w:tc>
                <w:tcPr>
                  <w:tcW w:w="998" w:type="pct"/>
                  <w:tcBorders>
                    <w:top w:val="single" w:color="auto" w:sz="12" w:space="0"/>
                    <w:bottom w:val="single" w:color="auto" w:sz="12" w:space="0"/>
                    <w:tl2br w:val="nil"/>
                    <w:tr2bl w:val="nil"/>
                  </w:tcBorders>
                  <w:vAlign w:val="center"/>
                </w:tcPr>
                <w:p>
                  <w:pPr>
                    <w:pStyle w:val="4"/>
                    <w:keepNext w:val="0"/>
                    <w:keepLines w:val="0"/>
                    <w:pageBreakBefore w:val="0"/>
                    <w:widowControl w:val="0"/>
                    <w:kinsoku/>
                    <w:wordWrap/>
                    <w:overflowPunct/>
                    <w:topLinePunct w:val="0"/>
                    <w:autoSpaceDE/>
                    <w:autoSpaceDN/>
                    <w:bidi w:val="0"/>
                    <w:adjustRightInd/>
                    <w:snapToGrid/>
                    <w:spacing w:after="0"/>
                    <w:ind w:left="0" w:leftChars="0" w:firstLine="0"/>
                    <w:jc w:val="center"/>
                    <w:textAlignment w:val="auto"/>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不变</w:t>
                  </w:r>
                </w:p>
              </w:tc>
            </w:tr>
          </w:tbl>
          <w:p>
            <w:pPr>
              <w:pStyle w:val="7"/>
              <w:numPr>
                <w:ilvl w:val="0"/>
                <w:numId w:val="0"/>
              </w:numPr>
              <w:spacing w:line="360" w:lineRule="auto"/>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eastAsia" w:cs="Times New Roman"/>
                <w:b/>
                <w:color w:val="000000" w:themeColor="text1"/>
                <w:kern w:val="2"/>
                <w:sz w:val="24"/>
                <w:szCs w:val="24"/>
                <w:lang w:val="en-US" w:eastAsia="zh-CN" w:bidi="ar-SA"/>
                <w14:textFill>
                  <w14:solidFill>
                    <w14:schemeClr w14:val="tx1"/>
                  </w14:solidFill>
                </w14:textFill>
              </w:rPr>
              <w:t xml:space="preserve">7 </w:t>
            </w: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公用工程</w:t>
            </w:r>
          </w:p>
          <w:p>
            <w:pPr>
              <w:pStyle w:val="7"/>
              <w:numPr>
                <w:ilvl w:val="0"/>
                <w:numId w:val="0"/>
              </w:numPr>
              <w:spacing w:line="360" w:lineRule="auto"/>
              <w:jc w:val="both"/>
              <w:outlineLvl w:val="1"/>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pPr>
            <w:r>
              <w:rPr>
                <w:rFonts w:hint="eastAsia" w:cs="Times New Roman"/>
                <w:b/>
                <w:color w:val="000000" w:themeColor="text1"/>
                <w:kern w:val="2"/>
                <w:sz w:val="24"/>
                <w:szCs w:val="24"/>
                <w:lang w:val="en-US" w:eastAsia="zh-CN" w:bidi="ar-SA"/>
                <w14:textFill>
                  <w14:solidFill>
                    <w14:schemeClr w14:val="tx1"/>
                  </w14:solidFill>
                </w14:textFill>
              </w:rPr>
              <w:t>7</w:t>
            </w:r>
            <w:r>
              <w:rPr>
                <w:rFonts w:hint="default" w:ascii="Times New Roman" w:hAnsi="Times New Roman" w:cs="Times New Roman"/>
                <w:b/>
                <w:color w:val="000000" w:themeColor="text1"/>
                <w:kern w:val="2"/>
                <w:sz w:val="24"/>
                <w:szCs w:val="24"/>
                <w:lang w:val="en-US" w:eastAsia="zh-CN" w:bidi="ar-SA"/>
                <w14:textFill>
                  <w14:solidFill>
                    <w14:schemeClr w14:val="tx1"/>
                  </w14:solidFill>
                </w14:textFill>
              </w:rPr>
              <w:t>.1 供电</w:t>
            </w:r>
          </w:p>
          <w:p>
            <w:pPr>
              <w:pStyle w:val="27"/>
              <w:spacing w:line="360" w:lineRule="auto"/>
              <w:ind w:firstLine="480"/>
              <w:jc w:val="both"/>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w:t>
            </w:r>
            <w:r>
              <w:rPr>
                <w:rFonts w:hint="default" w:ascii="Times New Roman" w:hAnsi="Times New Roman" w:cs="Times New Roman"/>
                <w:color w:val="000000" w:themeColor="text1"/>
                <w:lang w:val="en-US" w:eastAsia="zh-CN"/>
                <w14:textFill>
                  <w14:solidFill>
                    <w14:schemeClr w14:val="tx1"/>
                  </w14:solidFill>
                </w14:textFill>
              </w:rPr>
              <w:t>由市供电局区域变电所供电</w:t>
            </w:r>
            <w:r>
              <w:rPr>
                <w:rFonts w:hint="default" w:ascii="Times New Roman" w:hAnsi="Times New Roman" w:cs="Times New Roman"/>
                <w:color w:val="000000" w:themeColor="text1"/>
                <w14:textFill>
                  <w14:solidFill>
                    <w14:schemeClr w14:val="tx1"/>
                  </w14:solidFill>
                </w14:textFill>
              </w:rPr>
              <w:t>，能满足用电需求</w:t>
            </w:r>
            <w:r>
              <w:rPr>
                <w:rFonts w:hint="default" w:ascii="Times New Roman" w:hAnsi="Times New Roman" w:cs="Times New Roman"/>
                <w:color w:val="000000" w:themeColor="text1"/>
                <w:lang w:eastAsia="zh-CN"/>
                <w14:textFill>
                  <w14:solidFill>
                    <w14:schemeClr w14:val="tx1"/>
                  </w14:solidFill>
                </w14:textFill>
              </w:rPr>
              <w:t>。</w:t>
            </w:r>
          </w:p>
          <w:p>
            <w:pPr>
              <w:pStyle w:val="8"/>
              <w:spacing w:line="360" w:lineRule="auto"/>
              <w:jc w:val="both"/>
              <w:outlineLvl w:val="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7.2 供气</w:t>
            </w:r>
          </w:p>
          <w:p>
            <w:pPr>
              <w:pStyle w:val="27"/>
              <w:ind w:firstLine="480"/>
              <w:jc w:val="both"/>
              <w:rPr>
                <w:rFonts w:hint="default" w:ascii="Times New Roman" w:hAnsi="Times New Roman"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本项目供气</w:t>
            </w:r>
            <w:r>
              <w:rPr>
                <w:rFonts w:hint="eastAsia" w:cs="Times New Roman"/>
                <w:bCs/>
                <w:color w:val="000000" w:themeColor="text1"/>
                <w:szCs w:val="21"/>
                <w:lang w:val="en-US" w:eastAsia="zh-CN"/>
                <w14:textFill>
                  <w14:solidFill>
                    <w14:schemeClr w14:val="tx1"/>
                  </w14:solidFill>
                </w14:textFill>
              </w:rPr>
              <w:t>由</w:t>
            </w:r>
            <w:r>
              <w:rPr>
                <w:rFonts w:hint="eastAsia" w:ascii="Times New Roman" w:hAnsi="Times New Roman" w:cs="Times New Roman"/>
                <w:bCs/>
                <w:color w:val="000000" w:themeColor="text1"/>
                <w:szCs w:val="21"/>
                <w:lang w:val="en-US" w:eastAsia="zh-CN"/>
                <w14:textFill>
                  <w14:solidFill>
                    <w14:schemeClr w14:val="tx1"/>
                  </w14:solidFill>
                </w14:textFill>
              </w:rPr>
              <w:t>园区天然气管网</w:t>
            </w:r>
            <w:r>
              <w:rPr>
                <w:rFonts w:hint="eastAsia" w:cs="Times New Roman"/>
                <w:bCs/>
                <w:color w:val="000000" w:themeColor="text1"/>
                <w:szCs w:val="21"/>
                <w:lang w:val="en-US" w:eastAsia="zh-CN"/>
                <w14:textFill>
                  <w14:solidFill>
                    <w14:schemeClr w14:val="tx1"/>
                  </w14:solidFill>
                </w14:textFill>
              </w:rPr>
              <w:t>供给</w:t>
            </w:r>
            <w:r>
              <w:rPr>
                <w:rFonts w:hint="eastAsia" w:ascii="Times New Roman" w:hAnsi="Times New Roman" w:cs="Times New Roman"/>
                <w:bCs/>
                <w:color w:val="000000" w:themeColor="text1"/>
                <w:szCs w:val="21"/>
                <w:lang w:val="en-US" w:eastAsia="zh-CN"/>
                <w14:textFill>
                  <w14:solidFill>
                    <w14:schemeClr w14:val="tx1"/>
                  </w14:solidFill>
                </w14:textFill>
              </w:rPr>
              <w:t>，可满足用气需求。</w:t>
            </w:r>
          </w:p>
          <w:p>
            <w:pPr>
              <w:pStyle w:val="8"/>
              <w:spacing w:line="360" w:lineRule="auto"/>
              <w:jc w:val="both"/>
              <w:outlineLvl w:val="2"/>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7.3 供暖</w:t>
            </w:r>
          </w:p>
          <w:p>
            <w:pPr>
              <w:pStyle w:val="27"/>
              <w:ind w:firstLine="480"/>
              <w:jc w:val="both"/>
              <w:rPr>
                <w:rFonts w:hint="default" w:ascii="Times New Roman" w:hAnsi="Times New Roman"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本项目</w:t>
            </w:r>
            <w:r>
              <w:rPr>
                <w:rFonts w:hint="default" w:ascii="Times New Roman" w:hAnsi="Times New Roman" w:cs="Times New Roman"/>
                <w:bCs/>
                <w:color w:val="000000" w:themeColor="text1"/>
                <w:szCs w:val="21"/>
                <w:lang w:val="en-US" w:eastAsia="zh-CN"/>
                <w14:textFill>
                  <w14:solidFill>
                    <w14:schemeClr w14:val="tx1"/>
                  </w14:solidFill>
                </w14:textFill>
              </w:rPr>
              <w:t>采暖由</w:t>
            </w:r>
            <w:r>
              <w:rPr>
                <w:rFonts w:hint="eastAsia" w:ascii="Times New Roman" w:hAnsi="Times New Roman" w:cs="Times New Roman"/>
                <w:bCs/>
                <w:color w:val="000000" w:themeColor="text1"/>
                <w:szCs w:val="21"/>
                <w:lang w:val="en-US" w:eastAsia="zh-CN"/>
                <w14:textFill>
                  <w14:solidFill>
                    <w14:schemeClr w14:val="tx1"/>
                  </w14:solidFill>
                </w14:textFill>
              </w:rPr>
              <w:t>园区集中供暖，可满足供暖需求。</w:t>
            </w:r>
          </w:p>
          <w:p>
            <w:pPr>
              <w:pStyle w:val="8"/>
              <w:spacing w:line="360" w:lineRule="auto"/>
              <w:jc w:val="both"/>
              <w:outlineLvl w:val="2"/>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 xml:space="preserve"> 给排水</w:t>
            </w:r>
          </w:p>
          <w:p>
            <w:pPr>
              <w:pStyle w:val="8"/>
              <w:spacing w:line="360" w:lineRule="auto"/>
              <w:jc w:val="both"/>
              <w:outlineLvl w:val="2"/>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r>
              <w:rPr>
                <w:rFonts w:hint="eastAsia" w:ascii="Times New Roman" w:hAnsi="Times New Roman" w:cs="Times New Roman"/>
                <w:color w:val="000000" w:themeColor="text1"/>
                <w:lang w:val="en-US" w:eastAsia="zh-CN"/>
                <w14:textFill>
                  <w14:solidFill>
                    <w14:schemeClr w14:val="tx1"/>
                  </w14:solidFill>
                </w14:textFill>
              </w:rPr>
              <w:t xml:space="preserve">.4.1 </w:t>
            </w:r>
            <w:r>
              <w:rPr>
                <w:rFonts w:hint="default" w:ascii="Times New Roman" w:hAnsi="Times New Roman" w:cs="Times New Roman"/>
                <w:color w:val="000000" w:themeColor="text1"/>
                <w:lang w:val="en-US" w:eastAsia="zh-CN"/>
                <w14:textFill>
                  <w14:solidFill>
                    <w14:schemeClr w14:val="tx1"/>
                  </w14:solidFill>
                </w14:textFill>
              </w:rPr>
              <w:t>给水</w:t>
            </w:r>
          </w:p>
          <w:p>
            <w:pPr>
              <w:pStyle w:val="27"/>
              <w:spacing w:line="360" w:lineRule="auto"/>
              <w:ind w:firstLine="48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项目运营期用水</w:t>
            </w:r>
            <w:r>
              <w:rPr>
                <w:rFonts w:hint="eastAsia" w:cs="Times New Roman"/>
                <w:bCs/>
                <w:color w:val="000000" w:themeColor="text1"/>
                <w:sz w:val="24"/>
                <w:szCs w:val="24"/>
                <w:lang w:val="en-US" w:eastAsia="zh-CN"/>
                <w14:textFill>
                  <w14:solidFill>
                    <w14:schemeClr w14:val="tx1"/>
                  </w14:solidFill>
                </w14:textFill>
              </w:rPr>
              <w:t>由园区</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给水</w:t>
            </w:r>
            <w:r>
              <w:rPr>
                <w:rFonts w:hint="eastAsia" w:cs="Times New Roman"/>
                <w:bCs/>
                <w:color w:val="000000" w:themeColor="text1"/>
                <w:sz w:val="24"/>
                <w:szCs w:val="24"/>
                <w:lang w:val="en-US" w:eastAsia="zh-CN"/>
                <w14:textFill>
                  <w14:solidFill>
                    <w14:schemeClr w14:val="tx1"/>
                  </w14:solidFill>
                </w14:textFill>
              </w:rPr>
              <w:t>管网供给</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，主要为</w:t>
            </w:r>
            <w:r>
              <w:rPr>
                <w:rFonts w:hint="eastAsia" w:cs="Times New Roman"/>
                <w:bCs/>
                <w:color w:val="000000" w:themeColor="text1"/>
                <w:sz w:val="24"/>
                <w:szCs w:val="24"/>
                <w:lang w:val="en-US" w:eastAsia="zh-CN"/>
                <w14:textFill>
                  <w14:solidFill>
                    <w14:schemeClr w14:val="tx1"/>
                  </w14:solidFill>
                </w14:textFill>
              </w:rPr>
              <w:t>生产用水、</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生活用水</w:t>
            </w:r>
            <w:r>
              <w:rPr>
                <w:rFonts w:hint="default" w:ascii="Times New Roman" w:hAnsi="Times New Roman" w:cs="Times New Roman"/>
                <w:color w:val="000000" w:themeColor="text1"/>
                <w:lang w:val="en-US" w:eastAsia="zh-CN"/>
                <w14:textFill>
                  <w14:solidFill>
                    <w14:schemeClr w14:val="tx1"/>
                  </w14:solidFill>
                </w14:textFill>
              </w:rPr>
              <w:t>。</w:t>
            </w:r>
          </w:p>
          <w:p>
            <w:pPr>
              <w:pStyle w:val="27"/>
              <w:ind w:firstLine="480"/>
              <w:jc w:val="both"/>
              <w:rPr>
                <w:rFonts w:hint="eastAsia" w:ascii="Times New Roman" w:hAnsi="Times New Roman"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（1）</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生活用水</w:t>
            </w:r>
          </w:p>
          <w:p>
            <w:pPr>
              <w:pStyle w:val="27"/>
              <w:ind w:firstLine="480"/>
              <w:jc w:val="both"/>
              <w:rPr>
                <w:rFonts w:hint="default" w:ascii="Times New Roman" w:hAnsi="Times New Roman"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本项目劳动定员</w:t>
            </w:r>
            <w:r>
              <w:rPr>
                <w:rFonts w:hint="eastAsia" w:cs="Times New Roman"/>
                <w:bCs/>
                <w:color w:val="000000" w:themeColor="text1"/>
                <w:szCs w:val="21"/>
                <w:lang w:val="en-US" w:eastAsia="zh-CN"/>
                <w14:textFill>
                  <w14:solidFill>
                    <w14:schemeClr w14:val="tx1"/>
                  </w14:solidFill>
                </w14:textFill>
              </w:rPr>
              <w:t>141</w:t>
            </w:r>
            <w:r>
              <w:rPr>
                <w:rFonts w:hint="default" w:ascii="Times New Roman" w:hAnsi="Times New Roman" w:eastAsia="宋体" w:cs="Times New Roman"/>
                <w:bCs/>
                <w:color w:val="000000" w:themeColor="text1"/>
                <w:szCs w:val="21"/>
                <w:lang w:val="en-US" w:eastAsia="zh-CN"/>
                <w14:textFill>
                  <w14:solidFill>
                    <w14:schemeClr w14:val="tx1"/>
                  </w14:solidFill>
                </w14:textFill>
              </w:rPr>
              <w:t>人，年工作3</w:t>
            </w:r>
            <w:r>
              <w:rPr>
                <w:rFonts w:hint="eastAsia" w:ascii="Times New Roman" w:hAnsi="Times New Roman" w:cs="Times New Roman"/>
                <w:bCs/>
                <w:color w:val="000000" w:themeColor="text1"/>
                <w:szCs w:val="21"/>
                <w:lang w:val="en-US" w:eastAsia="zh-CN"/>
                <w14:textFill>
                  <w14:solidFill>
                    <w14:schemeClr w14:val="tx1"/>
                  </w14:solidFill>
                </w14:textFill>
              </w:rPr>
              <w:t>0</w:t>
            </w:r>
            <w:r>
              <w:rPr>
                <w:rFonts w:hint="default" w:ascii="Times New Roman" w:hAnsi="Times New Roman" w:eastAsia="宋体" w:cs="Times New Roman"/>
                <w:bCs/>
                <w:color w:val="000000" w:themeColor="text1"/>
                <w:szCs w:val="21"/>
                <w:lang w:val="en-US" w:eastAsia="zh-CN"/>
                <w14:textFill>
                  <w14:solidFill>
                    <w14:schemeClr w14:val="tx1"/>
                  </w14:solidFill>
                </w14:textFill>
              </w:rPr>
              <w:t>0天</w:t>
            </w:r>
            <w:r>
              <w:rPr>
                <w:rFonts w:hint="eastAsia" w:cs="Times New Roman"/>
                <w:bCs/>
                <w:color w:val="000000" w:themeColor="text1"/>
                <w:szCs w:val="21"/>
                <w:lang w:val="en-US" w:eastAsia="zh-CN"/>
                <w14:textFill>
                  <w14:solidFill>
                    <w14:schemeClr w14:val="tx1"/>
                  </w14:solidFill>
                </w14:textFill>
              </w:rPr>
              <w:t>，不在厂区住宿，依托一期食堂，</w:t>
            </w:r>
            <w:r>
              <w:rPr>
                <w:rFonts w:hint="default" w:ascii="Times New Roman" w:hAnsi="Times New Roman" w:eastAsia="宋体" w:cs="Times New Roman"/>
                <w:bCs/>
                <w:color w:val="000000" w:themeColor="text1"/>
                <w:szCs w:val="21"/>
                <w:lang w:val="en-US" w:eastAsia="zh-CN"/>
                <w14:textFill>
                  <w14:solidFill>
                    <w14:schemeClr w14:val="tx1"/>
                  </w14:solidFill>
                </w14:textFill>
              </w:rPr>
              <w:t>根据《新疆维吾尔自治区生活用水定额》，生活用水量按照</w:t>
            </w:r>
            <w:r>
              <w:rPr>
                <w:rFonts w:hint="eastAsia" w:cs="Times New Roman"/>
                <w:bCs/>
                <w:color w:val="000000" w:themeColor="text1"/>
                <w:szCs w:val="21"/>
                <w:lang w:val="en-US" w:eastAsia="zh-CN"/>
                <w14:textFill>
                  <w14:solidFill>
                    <w14:schemeClr w14:val="tx1"/>
                  </w14:solidFill>
                </w14:textFill>
              </w:rPr>
              <w:t>50</w:t>
            </w:r>
            <w:r>
              <w:rPr>
                <w:rFonts w:hint="default" w:ascii="Times New Roman" w:hAnsi="Times New Roman" w:eastAsia="宋体" w:cs="Times New Roman"/>
                <w:bCs/>
                <w:color w:val="000000" w:themeColor="text1"/>
                <w:szCs w:val="21"/>
                <w:lang w:val="en-US" w:eastAsia="zh-CN"/>
                <w14:textFill>
                  <w14:solidFill>
                    <w14:schemeClr w14:val="tx1"/>
                  </w14:solidFill>
                </w14:textFill>
              </w:rPr>
              <w:t>L/人·d计，则生活用水量为</w:t>
            </w:r>
            <w:r>
              <w:rPr>
                <w:rFonts w:hint="eastAsia" w:cs="Times New Roman"/>
                <w:bCs/>
                <w:color w:val="000000" w:themeColor="text1"/>
                <w:szCs w:val="21"/>
                <w:lang w:val="en-US" w:eastAsia="zh-CN"/>
                <w14:textFill>
                  <w14:solidFill>
                    <w14:schemeClr w14:val="tx1"/>
                  </w14:solidFill>
                </w14:textFill>
              </w:rPr>
              <w:t>7.05</w:t>
            </w:r>
            <w:r>
              <w:rPr>
                <w:rFonts w:hint="default" w:ascii="Times New Roman" w:hAnsi="Times New Roman" w:eastAsia="宋体" w:cs="Times New Roman"/>
                <w:bCs/>
                <w:color w:val="000000" w:themeColor="text1"/>
                <w:szCs w:val="21"/>
                <w:lang w:val="en-US" w:eastAsia="zh-CN"/>
                <w14:textFill>
                  <w14:solidFill>
                    <w14:schemeClr w14:val="tx1"/>
                  </w14:solidFill>
                </w14:textFill>
              </w:rPr>
              <w:t>m</w:t>
            </w:r>
            <w:r>
              <w:rPr>
                <w:rFonts w:hint="default" w:ascii="Times New Roman" w:hAnsi="Times New Roman" w:eastAsia="宋体" w:cs="Times New Roman"/>
                <w:bCs/>
                <w:color w:val="000000" w:themeColor="text1"/>
                <w:szCs w:val="21"/>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Cs w:val="21"/>
                <w:lang w:val="en-US" w:eastAsia="zh-CN"/>
                <w14:textFill>
                  <w14:solidFill>
                    <w14:schemeClr w14:val="tx1"/>
                  </w14:solidFill>
                </w14:textFill>
              </w:rPr>
              <w:t>/d（</w:t>
            </w:r>
            <w:r>
              <w:rPr>
                <w:rFonts w:hint="eastAsia" w:cs="Times New Roman"/>
                <w:bCs/>
                <w:color w:val="000000" w:themeColor="text1"/>
                <w:szCs w:val="21"/>
                <w:lang w:val="en-US" w:eastAsia="zh-CN"/>
                <w14:textFill>
                  <w14:solidFill>
                    <w14:schemeClr w14:val="tx1"/>
                  </w14:solidFill>
                </w14:textFill>
              </w:rPr>
              <w:t>2115</w:t>
            </w:r>
            <w:r>
              <w:rPr>
                <w:rFonts w:hint="default" w:ascii="Times New Roman" w:hAnsi="Times New Roman" w:eastAsia="宋体" w:cs="Times New Roman"/>
                <w:bCs/>
                <w:color w:val="000000" w:themeColor="text1"/>
                <w:szCs w:val="21"/>
                <w:lang w:val="en-US" w:eastAsia="zh-CN"/>
                <w14:textFill>
                  <w14:solidFill>
                    <w14:schemeClr w14:val="tx1"/>
                  </w14:solidFill>
                </w14:textFill>
              </w:rPr>
              <w:t>m</w:t>
            </w:r>
            <w:r>
              <w:rPr>
                <w:rFonts w:hint="default" w:ascii="Times New Roman" w:hAnsi="Times New Roman" w:eastAsia="宋体" w:cs="Times New Roman"/>
                <w:bCs/>
                <w:color w:val="000000" w:themeColor="text1"/>
                <w:szCs w:val="21"/>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Cs w:val="21"/>
                <w:lang w:val="en-US" w:eastAsia="zh-CN"/>
                <w14:textFill>
                  <w14:solidFill>
                    <w14:schemeClr w14:val="tx1"/>
                  </w14:solidFill>
                </w14:textFill>
              </w:rPr>
              <w:t>/a）</w:t>
            </w:r>
            <w:r>
              <w:rPr>
                <w:rFonts w:hint="eastAsia" w:cs="Times New Roman"/>
                <w:bCs/>
                <w:color w:val="000000" w:themeColor="text1"/>
                <w:szCs w:val="21"/>
                <w:lang w:val="en-US" w:eastAsia="zh-CN"/>
                <w14:textFill>
                  <w14:solidFill>
                    <w14:schemeClr w14:val="tx1"/>
                  </w14:solidFill>
                </w14:textFill>
              </w:rPr>
              <w:t>。</w:t>
            </w:r>
          </w:p>
          <w:p>
            <w:pPr>
              <w:pStyle w:val="27"/>
              <w:ind w:firstLine="480"/>
              <w:jc w:val="both"/>
              <w:rPr>
                <w:rFonts w:hint="default" w:ascii="Times New Roman" w:hAnsi="Times New Roman" w:cs="Times New Roman"/>
                <w:bCs/>
                <w:color w:val="000000" w:themeColor="text1"/>
                <w:szCs w:val="21"/>
                <w:lang w:val="en-US" w:eastAsia="zh-CN"/>
                <w14:textFill>
                  <w14:solidFill>
                    <w14:schemeClr w14:val="tx1"/>
                  </w14:solidFill>
                </w14:textFill>
              </w:rPr>
            </w:pPr>
            <w:r>
              <w:rPr>
                <w:rFonts w:hint="eastAsia" w:ascii="Times New Roman" w:hAnsi="Times New Roman" w:cs="Times New Roman"/>
                <w:bCs/>
                <w:color w:val="000000" w:themeColor="text1"/>
                <w:szCs w:val="21"/>
                <w:lang w:val="en-US" w:eastAsia="zh-CN"/>
                <w14:textFill>
                  <w14:solidFill>
                    <w14:schemeClr w14:val="tx1"/>
                  </w14:solidFill>
                </w14:textFill>
              </w:rPr>
              <w:t>（2）生产用水</w:t>
            </w:r>
          </w:p>
          <w:p>
            <w:pPr>
              <w:pStyle w:val="27"/>
              <w:ind w:firstLine="480"/>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本项目生产用水为车间循环冷却用水，根据建设单位提供的资料，本项目循环冷却用水量为20m</w:t>
            </w:r>
            <w:r>
              <w:rPr>
                <w:rFonts w:hint="eastAsia" w:cs="Times New Roman"/>
                <w:bCs/>
                <w:color w:val="000000" w:themeColor="text1"/>
                <w:szCs w:val="21"/>
                <w:vertAlign w:val="superscript"/>
                <w:lang w:val="en-US" w:eastAsia="zh-CN"/>
                <w14:textFill>
                  <w14:solidFill>
                    <w14:schemeClr w14:val="tx1"/>
                  </w14:solidFill>
                </w14:textFill>
              </w:rPr>
              <w:t>3</w:t>
            </w:r>
            <w:r>
              <w:rPr>
                <w:rFonts w:hint="eastAsia" w:cs="Times New Roman"/>
                <w:bCs/>
                <w:color w:val="000000" w:themeColor="text1"/>
                <w:szCs w:val="21"/>
                <w:lang w:val="en-US" w:eastAsia="zh-CN"/>
                <w14:textFill>
                  <w14:solidFill>
                    <w14:schemeClr w14:val="tx1"/>
                  </w14:solidFill>
                </w14:textFill>
              </w:rPr>
              <w:t>/d（6000m</w:t>
            </w:r>
            <w:r>
              <w:rPr>
                <w:rFonts w:hint="eastAsia" w:cs="Times New Roman"/>
                <w:bCs/>
                <w:color w:val="000000" w:themeColor="text1"/>
                <w:szCs w:val="21"/>
                <w:vertAlign w:val="superscript"/>
                <w:lang w:val="en-US" w:eastAsia="zh-CN"/>
                <w14:textFill>
                  <w14:solidFill>
                    <w14:schemeClr w14:val="tx1"/>
                  </w14:solidFill>
                </w14:textFill>
              </w:rPr>
              <w:t>3</w:t>
            </w:r>
            <w:r>
              <w:rPr>
                <w:rFonts w:hint="eastAsia" w:cs="Times New Roman"/>
                <w:bCs/>
                <w:color w:val="000000" w:themeColor="text1"/>
                <w:szCs w:val="21"/>
                <w:lang w:val="en-US" w:eastAsia="zh-CN"/>
                <w14:textFill>
                  <w14:solidFill>
                    <w14:schemeClr w14:val="tx1"/>
                  </w14:solidFill>
                </w14:textFill>
              </w:rPr>
              <w:t>/a），蒸发损失量为4m</w:t>
            </w:r>
            <w:r>
              <w:rPr>
                <w:rFonts w:hint="eastAsia" w:cs="Times New Roman"/>
                <w:bCs/>
                <w:color w:val="000000" w:themeColor="text1"/>
                <w:szCs w:val="21"/>
                <w:vertAlign w:val="superscript"/>
                <w:lang w:val="en-US" w:eastAsia="zh-CN"/>
                <w14:textFill>
                  <w14:solidFill>
                    <w14:schemeClr w14:val="tx1"/>
                  </w14:solidFill>
                </w14:textFill>
              </w:rPr>
              <w:t>3</w:t>
            </w:r>
            <w:r>
              <w:rPr>
                <w:rFonts w:hint="eastAsia" w:cs="Times New Roman"/>
                <w:bCs/>
                <w:color w:val="000000" w:themeColor="text1"/>
                <w:szCs w:val="21"/>
                <w:lang w:val="en-US" w:eastAsia="zh-CN"/>
                <w14:textFill>
                  <w14:solidFill>
                    <w14:schemeClr w14:val="tx1"/>
                  </w14:solidFill>
                </w14:textFill>
              </w:rPr>
              <w:t>/d（1200m</w:t>
            </w:r>
            <w:r>
              <w:rPr>
                <w:rFonts w:hint="eastAsia" w:cs="Times New Roman"/>
                <w:bCs/>
                <w:color w:val="000000" w:themeColor="text1"/>
                <w:szCs w:val="21"/>
                <w:vertAlign w:val="superscript"/>
                <w:lang w:val="en-US" w:eastAsia="zh-CN"/>
                <w14:textFill>
                  <w14:solidFill>
                    <w14:schemeClr w14:val="tx1"/>
                  </w14:solidFill>
                </w14:textFill>
              </w:rPr>
              <w:t>3</w:t>
            </w:r>
            <w:r>
              <w:rPr>
                <w:rFonts w:hint="eastAsia" w:cs="Times New Roman"/>
                <w:bCs/>
                <w:color w:val="000000" w:themeColor="text1"/>
                <w:szCs w:val="21"/>
                <w:lang w:val="en-US" w:eastAsia="zh-CN"/>
                <w14:textFill>
                  <w14:solidFill>
                    <w14:schemeClr w14:val="tx1"/>
                  </w14:solidFill>
                </w14:textFill>
              </w:rPr>
              <w:t>/a）则项目冷却废水的补充水量为4m</w:t>
            </w:r>
            <w:r>
              <w:rPr>
                <w:rFonts w:hint="eastAsia" w:cs="Times New Roman"/>
                <w:bCs/>
                <w:color w:val="000000" w:themeColor="text1"/>
                <w:szCs w:val="21"/>
                <w:vertAlign w:val="superscript"/>
                <w:lang w:val="en-US" w:eastAsia="zh-CN"/>
                <w14:textFill>
                  <w14:solidFill>
                    <w14:schemeClr w14:val="tx1"/>
                  </w14:solidFill>
                </w14:textFill>
              </w:rPr>
              <w:t>3</w:t>
            </w:r>
            <w:r>
              <w:rPr>
                <w:rFonts w:hint="eastAsia" w:cs="Times New Roman"/>
                <w:bCs/>
                <w:color w:val="000000" w:themeColor="text1"/>
                <w:szCs w:val="21"/>
                <w:lang w:val="en-US" w:eastAsia="zh-CN"/>
                <w14:textFill>
                  <w14:solidFill>
                    <w14:schemeClr w14:val="tx1"/>
                  </w14:solidFill>
                </w14:textFill>
              </w:rPr>
              <w:t>/d（1200m</w:t>
            </w:r>
            <w:r>
              <w:rPr>
                <w:rFonts w:hint="eastAsia" w:cs="Times New Roman"/>
                <w:bCs/>
                <w:color w:val="000000" w:themeColor="text1"/>
                <w:szCs w:val="21"/>
                <w:vertAlign w:val="superscript"/>
                <w:lang w:val="en-US" w:eastAsia="zh-CN"/>
                <w14:textFill>
                  <w14:solidFill>
                    <w14:schemeClr w14:val="tx1"/>
                  </w14:solidFill>
                </w14:textFill>
              </w:rPr>
              <w:t>3</w:t>
            </w:r>
            <w:r>
              <w:rPr>
                <w:rFonts w:hint="eastAsia" w:cs="Times New Roman"/>
                <w:bCs/>
                <w:color w:val="000000" w:themeColor="text1"/>
                <w:szCs w:val="21"/>
                <w:lang w:val="en-US" w:eastAsia="zh-CN"/>
                <w14:textFill>
                  <w14:solidFill>
                    <w14:schemeClr w14:val="tx1"/>
                  </w14:solidFill>
                </w14:textFill>
              </w:rPr>
              <w:t>/a），本项目生产用水循环使用，不外排。</w:t>
            </w:r>
          </w:p>
          <w:p>
            <w:pPr>
              <w:pStyle w:val="8"/>
              <w:spacing w:line="360" w:lineRule="auto"/>
              <w:jc w:val="both"/>
              <w:outlineLvl w:val="2"/>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r>
              <w:rPr>
                <w:rFonts w:hint="eastAsia" w:ascii="Times New Roman" w:hAnsi="Times New Roman" w:cs="Times New Roman"/>
                <w:color w:val="000000" w:themeColor="text1"/>
                <w:lang w:val="en-US" w:eastAsia="zh-CN"/>
                <w14:textFill>
                  <w14:solidFill>
                    <w14:schemeClr w14:val="tx1"/>
                  </w14:solidFill>
                </w14:textFill>
              </w:rPr>
              <w:t>.4.2 排水</w:t>
            </w:r>
          </w:p>
          <w:p>
            <w:pPr>
              <w:pStyle w:val="27"/>
              <w:spacing w:line="360" w:lineRule="auto"/>
              <w:ind w:firstLine="480"/>
              <w:jc w:val="both"/>
              <w:rPr>
                <w:rFonts w:hint="default" w:ascii="Times New Roman" w:hAnsi="Times New Roman" w:eastAsia="宋体" w:cs="Times New Roman"/>
                <w:bCs/>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本项目运营期</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废水主要为</w:t>
            </w:r>
            <w:r>
              <w:rPr>
                <w:rFonts w:hint="default" w:ascii="Times New Roman" w:hAnsi="Times New Roman" w:cs="Times New Roman"/>
                <w:bCs/>
                <w:color w:val="000000" w:themeColor="text1"/>
                <w:sz w:val="24"/>
                <w:szCs w:val="24"/>
                <w:lang w:val="en-US" w:eastAsia="zh-CN"/>
                <w14:textFill>
                  <w14:solidFill>
                    <w14:schemeClr w14:val="tx1"/>
                  </w14:solidFill>
                </w14:textFill>
              </w:rPr>
              <w:t>生活污水</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w:t>
            </w:r>
          </w:p>
          <w:p>
            <w:pPr>
              <w:pStyle w:val="27"/>
              <w:ind w:firstLine="48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本</w:t>
            </w:r>
            <w:r>
              <w:rPr>
                <w:rFonts w:hint="default" w:ascii="Times New Roman" w:hAnsi="Times New Roman" w:eastAsia="宋体" w:cs="Times New Roman"/>
                <w:bCs/>
                <w:color w:val="000000" w:themeColor="text1"/>
                <w:szCs w:val="21"/>
                <w:lang w:val="en-US" w:eastAsia="zh-CN"/>
                <w14:textFill>
                  <w14:solidFill>
                    <w14:schemeClr w14:val="tx1"/>
                  </w14:solidFill>
                </w14:textFill>
              </w:rPr>
              <w:t>项目生活用水量为</w:t>
            </w:r>
            <w:r>
              <w:rPr>
                <w:rFonts w:hint="eastAsia" w:cs="Times New Roman"/>
                <w:bCs/>
                <w:color w:val="000000" w:themeColor="text1"/>
                <w:szCs w:val="21"/>
                <w:lang w:val="en-US" w:eastAsia="zh-CN"/>
                <w14:textFill>
                  <w14:solidFill>
                    <w14:schemeClr w14:val="tx1"/>
                  </w14:solidFill>
                </w14:textFill>
              </w:rPr>
              <w:t>7.05</w:t>
            </w:r>
            <w:r>
              <w:rPr>
                <w:rFonts w:hint="default" w:ascii="Times New Roman" w:hAnsi="Times New Roman" w:eastAsia="宋体" w:cs="Times New Roman"/>
                <w:bCs/>
                <w:color w:val="000000" w:themeColor="text1"/>
                <w:szCs w:val="21"/>
                <w:lang w:val="en-US" w:eastAsia="zh-CN"/>
                <w14:textFill>
                  <w14:solidFill>
                    <w14:schemeClr w14:val="tx1"/>
                  </w14:solidFill>
                </w14:textFill>
              </w:rPr>
              <w:t>m</w:t>
            </w:r>
            <w:r>
              <w:rPr>
                <w:rFonts w:hint="default" w:ascii="Times New Roman" w:hAnsi="Times New Roman" w:eastAsia="宋体" w:cs="Times New Roman"/>
                <w:bCs/>
                <w:color w:val="000000" w:themeColor="text1"/>
                <w:szCs w:val="21"/>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Cs w:val="21"/>
                <w:lang w:val="en-US" w:eastAsia="zh-CN"/>
                <w14:textFill>
                  <w14:solidFill>
                    <w14:schemeClr w14:val="tx1"/>
                  </w14:solidFill>
                </w14:textFill>
              </w:rPr>
              <w:t>/d（</w:t>
            </w:r>
            <w:r>
              <w:rPr>
                <w:rFonts w:hint="eastAsia" w:cs="Times New Roman"/>
                <w:bCs/>
                <w:color w:val="000000" w:themeColor="text1"/>
                <w:szCs w:val="21"/>
                <w:lang w:val="en-US" w:eastAsia="zh-CN"/>
                <w14:textFill>
                  <w14:solidFill>
                    <w14:schemeClr w14:val="tx1"/>
                  </w14:solidFill>
                </w14:textFill>
              </w:rPr>
              <w:t>2115</w:t>
            </w:r>
            <w:r>
              <w:rPr>
                <w:rFonts w:hint="default" w:ascii="Times New Roman" w:hAnsi="Times New Roman" w:eastAsia="宋体" w:cs="Times New Roman"/>
                <w:bCs/>
                <w:color w:val="000000" w:themeColor="text1"/>
                <w:szCs w:val="21"/>
                <w:lang w:val="en-US" w:eastAsia="zh-CN"/>
                <w14:textFill>
                  <w14:solidFill>
                    <w14:schemeClr w14:val="tx1"/>
                  </w14:solidFill>
                </w14:textFill>
              </w:rPr>
              <w:t>m</w:t>
            </w:r>
            <w:r>
              <w:rPr>
                <w:rFonts w:hint="default" w:ascii="Times New Roman" w:hAnsi="Times New Roman" w:eastAsia="宋体" w:cs="Times New Roman"/>
                <w:bCs/>
                <w:color w:val="000000" w:themeColor="text1"/>
                <w:szCs w:val="21"/>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Cs w:val="21"/>
                <w:lang w:val="en-US" w:eastAsia="zh-CN"/>
                <w14:textFill>
                  <w14:solidFill>
                    <w14:schemeClr w14:val="tx1"/>
                  </w14:solidFill>
                </w14:textFill>
              </w:rPr>
              <w:t>/a）</w:t>
            </w:r>
            <w:r>
              <w:rPr>
                <w:rFonts w:hint="eastAsia" w:cs="Times New Roman"/>
                <w:bCs/>
                <w:color w:val="000000" w:themeColor="text1"/>
                <w:szCs w:val="21"/>
                <w:lang w:val="en-US" w:eastAsia="zh-CN"/>
                <w14:textFill>
                  <w14:solidFill>
                    <w14:schemeClr w14:val="tx1"/>
                  </w14:solidFill>
                </w14:textFill>
              </w:rPr>
              <w:t>，</w:t>
            </w:r>
            <w:r>
              <w:rPr>
                <w:rFonts w:hint="default" w:ascii="Times New Roman" w:hAnsi="Times New Roman" w:eastAsia="宋体" w:cs="Times New Roman"/>
                <w:bCs/>
                <w:color w:val="000000" w:themeColor="text1"/>
                <w:szCs w:val="21"/>
                <w:lang w:val="en-US" w:eastAsia="zh-CN"/>
                <w14:textFill>
                  <w14:solidFill>
                    <w14:schemeClr w14:val="tx1"/>
                  </w14:solidFill>
                </w14:textFill>
              </w:rPr>
              <w:t>排水量按用水量的80%计，则生活污水排放量为</w:t>
            </w:r>
            <w:r>
              <w:rPr>
                <w:rFonts w:hint="eastAsia" w:cs="Times New Roman"/>
                <w:bCs/>
                <w:color w:val="000000" w:themeColor="text1"/>
                <w:szCs w:val="21"/>
                <w:lang w:val="en-US" w:eastAsia="zh-CN"/>
                <w14:textFill>
                  <w14:solidFill>
                    <w14:schemeClr w14:val="tx1"/>
                  </w14:solidFill>
                </w14:textFill>
              </w:rPr>
              <w:t>5.64</w:t>
            </w:r>
            <w:r>
              <w:rPr>
                <w:rFonts w:hint="default" w:ascii="Times New Roman" w:hAnsi="Times New Roman" w:eastAsia="宋体" w:cs="Times New Roman"/>
                <w:bCs/>
                <w:color w:val="000000" w:themeColor="text1"/>
                <w:szCs w:val="21"/>
                <w:lang w:val="en-US" w:eastAsia="zh-CN"/>
                <w14:textFill>
                  <w14:solidFill>
                    <w14:schemeClr w14:val="tx1"/>
                  </w14:solidFill>
                </w14:textFill>
              </w:rPr>
              <w:t>m</w:t>
            </w:r>
            <w:r>
              <w:rPr>
                <w:rFonts w:hint="default" w:ascii="Times New Roman" w:hAnsi="Times New Roman" w:eastAsia="宋体" w:cs="Times New Roman"/>
                <w:bCs/>
                <w:color w:val="000000" w:themeColor="text1"/>
                <w:szCs w:val="21"/>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Cs w:val="21"/>
                <w:lang w:val="en-US" w:eastAsia="zh-CN"/>
                <w14:textFill>
                  <w14:solidFill>
                    <w14:schemeClr w14:val="tx1"/>
                  </w14:solidFill>
                </w14:textFill>
              </w:rPr>
              <w:t>/d</w:t>
            </w: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cs="Times New Roman"/>
                <w:bCs/>
                <w:color w:val="000000" w:themeColor="text1"/>
                <w:szCs w:val="21"/>
                <w:lang w:val="en-US" w:eastAsia="zh-CN"/>
                <w14:textFill>
                  <w14:solidFill>
                    <w14:schemeClr w14:val="tx1"/>
                  </w14:solidFill>
                </w14:textFill>
              </w:rPr>
              <w:t>1692m</w:t>
            </w:r>
            <w:r>
              <w:rPr>
                <w:rFonts w:hint="eastAsia" w:cs="Times New Roman"/>
                <w:bCs/>
                <w:color w:val="000000" w:themeColor="text1"/>
                <w:szCs w:val="21"/>
                <w:vertAlign w:val="superscript"/>
                <w:lang w:val="en-US" w:eastAsia="zh-CN"/>
                <w14:textFill>
                  <w14:solidFill>
                    <w14:schemeClr w14:val="tx1"/>
                  </w14:solidFill>
                </w14:textFill>
              </w:rPr>
              <w:t>3</w:t>
            </w:r>
            <w:r>
              <w:rPr>
                <w:rFonts w:hint="eastAsia" w:cs="Times New Roman"/>
                <w:bCs/>
                <w:color w:val="000000" w:themeColor="text1"/>
                <w:szCs w:val="21"/>
                <w:lang w:val="en-US" w:eastAsia="zh-CN"/>
                <w14:textFill>
                  <w14:solidFill>
                    <w14:schemeClr w14:val="tx1"/>
                  </w14:solidFill>
                </w14:textFill>
              </w:rPr>
              <w:t>/a</w:t>
            </w:r>
            <w:r>
              <w:rPr>
                <w:rFonts w:hint="eastAsia" w:ascii="Times New Roman" w:hAnsi="Times New Roman" w:cs="Times New Roman"/>
                <w:bCs/>
                <w:color w:val="000000" w:themeColor="text1"/>
                <w:szCs w:val="21"/>
                <w:lang w:val="en-US" w:eastAsia="zh-CN"/>
                <w14:textFill>
                  <w14:solidFill>
                    <w14:schemeClr w14:val="tx1"/>
                  </w14:solidFill>
                </w14:textFill>
              </w:rPr>
              <w:t>）</w:t>
            </w:r>
            <w:r>
              <w:rPr>
                <w:rFonts w:hint="eastAsia" w:ascii="Times New Roman" w:hAnsi="Times New Roman" w:eastAsia="宋体" w:cs="Times New Roman"/>
                <w:bCs/>
                <w:color w:val="000000" w:themeColor="text1"/>
                <w:szCs w:val="21"/>
                <w:lang w:val="en-US" w:eastAsia="zh-CN"/>
                <w14:textFill>
                  <w14:solidFill>
                    <w14:schemeClr w14:val="tx1"/>
                  </w14:solidFill>
                </w14:textFill>
              </w:rPr>
              <w:t>，生活污水排入园区污水管网，最终进入昌吉高新海天污水处理厂处理</w:t>
            </w:r>
            <w:r>
              <w:rPr>
                <w:rFonts w:hint="eastAsia" w:cs="Times New Roman"/>
                <w:bCs/>
                <w:color w:val="000000" w:themeColor="text1"/>
                <w:szCs w:val="21"/>
                <w:lang w:val="en-US" w:eastAsia="zh-CN"/>
                <w14:textFill>
                  <w14:solidFill>
                    <w14:schemeClr w14:val="tx1"/>
                  </w14:solidFill>
                </w14:textFill>
              </w:rPr>
              <w:t>。</w:t>
            </w:r>
          </w:p>
          <w:p>
            <w:pPr>
              <w:pStyle w:val="27"/>
              <w:ind w:firstLine="480"/>
              <w:jc w:val="both"/>
              <w:rPr>
                <w:rFonts w:hint="default" w:ascii="Times New Roman" w:hAnsi="Times New Roman" w:cs="Times New Roman"/>
                <w:bCs/>
                <w:color w:val="000000" w:themeColor="text1"/>
                <w:szCs w:val="21"/>
                <w:lang w:val="en-US" w:eastAsia="zh-CN"/>
                <w14:textFill>
                  <w14:solidFill>
                    <w14:schemeClr w14:val="tx1"/>
                  </w14:solidFill>
                </w14:textFill>
              </w:rPr>
            </w:pPr>
            <w:r>
              <w:rPr>
                <w:rFonts w:hint="default" w:ascii="Times New Roman" w:hAnsi="Times New Roman" w:eastAsia="宋体" w:cs="Times New Roman"/>
                <w:bCs/>
                <w:color w:val="000000" w:themeColor="text1"/>
                <w:szCs w:val="21"/>
                <w:lang w:val="en-US" w:eastAsia="zh-CN"/>
                <w14:textFill>
                  <w14:solidFill>
                    <w14:schemeClr w14:val="tx1"/>
                  </w14:solidFill>
                </w14:textFill>
              </w:rPr>
              <w:t>本项目水平衡见图</w:t>
            </w:r>
            <w:r>
              <w:rPr>
                <w:rFonts w:hint="eastAsia" w:cs="Times New Roman"/>
                <w:bCs/>
                <w:color w:val="000000" w:themeColor="text1"/>
                <w:szCs w:val="21"/>
                <w:lang w:val="en-US" w:eastAsia="zh-CN"/>
                <w14:textFill>
                  <w14:solidFill>
                    <w14:schemeClr w14:val="tx1"/>
                  </w14:solidFill>
                </w14:textFill>
              </w:rPr>
              <w:t>2-</w:t>
            </w:r>
            <w:r>
              <w:rPr>
                <w:rFonts w:hint="default" w:ascii="Times New Roman" w:hAnsi="Times New Roman" w:eastAsia="宋体" w:cs="Times New Roman"/>
                <w:bCs/>
                <w:color w:val="000000" w:themeColor="text1"/>
                <w:szCs w:val="21"/>
                <w:lang w:val="en-US" w:eastAsia="zh-CN"/>
                <w14:textFill>
                  <w14:solidFill>
                    <w14:schemeClr w14:val="tx1"/>
                  </w14:solidFill>
                </w14:textFill>
              </w:rPr>
              <w:t>1</w:t>
            </w:r>
            <w:r>
              <w:rPr>
                <w:rFonts w:hint="default" w:ascii="Times New Roman" w:hAnsi="Times New Roman" w:cs="Times New Roman"/>
                <w:bCs/>
                <w:color w:val="000000" w:themeColor="text1"/>
                <w:szCs w:val="21"/>
                <w:lang w:val="en-US" w:eastAsia="zh-CN"/>
                <w14:textFill>
                  <w14:solidFill>
                    <w14:schemeClr w14:val="tx1"/>
                  </w14:solidFill>
                </w14:textFill>
              </w:rPr>
              <w:t>。</w:t>
            </w:r>
          </w:p>
          <w:p>
            <w:pPr>
              <w:pStyle w:val="27"/>
              <w:spacing w:line="360" w:lineRule="auto"/>
              <w:ind w:left="0" w:leftChars="0" w:firstLine="0" w:firstLineChars="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drawing>
                <wp:inline distT="0" distB="0" distL="114300" distR="114300">
                  <wp:extent cx="4970145" cy="2066290"/>
                  <wp:effectExtent l="0" t="0" r="1905" b="10160"/>
                  <wp:docPr id="46" name="图片 46" descr="未命名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未命名文件"/>
                          <pic:cNvPicPr>
                            <a:picLocks noChangeAspect="1"/>
                          </pic:cNvPicPr>
                        </pic:nvPicPr>
                        <pic:blipFill>
                          <a:blip r:embed="rId19"/>
                          <a:stretch>
                            <a:fillRect/>
                          </a:stretch>
                        </pic:blipFill>
                        <pic:spPr>
                          <a:xfrm>
                            <a:off x="0" y="0"/>
                            <a:ext cx="4970145" cy="2066290"/>
                          </a:xfrm>
                          <a:prstGeom prst="rect">
                            <a:avLst/>
                          </a:prstGeom>
                        </pic:spPr>
                      </pic:pic>
                    </a:graphicData>
                  </a:graphic>
                </wp:inline>
              </w:drawing>
            </w:r>
          </w:p>
          <w:p>
            <w:pPr>
              <w:pStyle w:val="27"/>
              <w:spacing w:line="240" w:lineRule="auto"/>
              <w:ind w:firstLine="480"/>
              <w:jc w:val="center"/>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图</w:t>
            </w:r>
            <w:r>
              <w:rPr>
                <w:rFonts w:hint="eastAsia" w:cs="Times New Roman"/>
                <w:b/>
                <w:bCs/>
                <w:color w:val="000000" w:themeColor="text1"/>
                <w:sz w:val="21"/>
                <w:szCs w:val="21"/>
                <w:lang w:val="en-US" w:eastAsia="zh-CN"/>
                <w14:textFill>
                  <w14:solidFill>
                    <w14:schemeClr w14:val="tx1"/>
                  </w14:solidFill>
                </w14:textFill>
              </w:rPr>
              <w:t>2-1</w:t>
            </w:r>
            <w:r>
              <w:rPr>
                <w:rFonts w:hint="default" w:ascii="Times New Roman" w:hAnsi="Times New Roman" w:cs="Times New Roman"/>
                <w:b/>
                <w:bCs/>
                <w:color w:val="000000" w:themeColor="text1"/>
                <w:sz w:val="21"/>
                <w:szCs w:val="21"/>
                <w14:textFill>
                  <w14:solidFill>
                    <w14:schemeClr w14:val="tx1"/>
                  </w14:solidFill>
                </w14:textFill>
              </w:rPr>
              <w:t xml:space="preserve">   </w:t>
            </w:r>
            <w:r>
              <w:rPr>
                <w:rFonts w:hint="default" w:ascii="Times New Roman" w:hAnsi="Times New Roman" w:cs="Times New Roman"/>
                <w:b/>
                <w:bCs/>
                <w:color w:val="000000" w:themeColor="text1"/>
                <w:sz w:val="21"/>
                <w:szCs w:val="21"/>
                <w:lang w:val="en-US" w:eastAsia="zh-CN"/>
                <w14:textFill>
                  <w14:solidFill>
                    <w14:schemeClr w14:val="tx1"/>
                  </w14:solidFill>
                </w14:textFill>
              </w:rPr>
              <w:t>水平衡图</w:t>
            </w:r>
            <w:r>
              <w:rPr>
                <w:rFonts w:hint="eastAsia" w:cs="Times New Roman"/>
                <w:b/>
                <w:bCs/>
                <w:color w:val="000000" w:themeColor="text1"/>
                <w:sz w:val="21"/>
                <w:szCs w:val="21"/>
                <w:lang w:val="en-US" w:eastAsia="zh-CN"/>
                <w14:textFill>
                  <w14:solidFill>
                    <w14:schemeClr w14:val="tx1"/>
                  </w14:solidFill>
                </w14:textFill>
              </w:rPr>
              <w:t>（</w:t>
            </w:r>
            <w:r>
              <w:rPr>
                <w:rFonts w:hint="default" w:ascii="Times New Roman" w:hAnsi="Times New Roman" w:cs="Times New Roman"/>
                <w:b/>
                <w:bCs/>
                <w:color w:val="000000" w:themeColor="text1"/>
                <w:sz w:val="21"/>
                <w:szCs w:val="21"/>
                <w:lang w:val="en-US" w:eastAsia="zh-CN"/>
                <w14:textFill>
                  <w14:solidFill>
                    <w14:schemeClr w14:val="tx1"/>
                  </w14:solidFill>
                </w14:textFill>
              </w:rPr>
              <w:t>单位：</w:t>
            </w:r>
            <w:r>
              <w:rPr>
                <w:rFonts w:hint="eastAsia" w:ascii="Times New Roman" w:hAnsi="Times New Roman" w:cs="Times New Roman"/>
                <w:b/>
                <w:bCs/>
                <w:color w:val="000000" w:themeColor="text1"/>
                <w:sz w:val="21"/>
                <w:szCs w:val="21"/>
                <w:lang w:val="en-US" w:eastAsia="zh-CN"/>
                <w14:textFill>
                  <w14:solidFill>
                    <w14:schemeClr w14:val="tx1"/>
                  </w14:solidFill>
                </w14:textFill>
              </w:rPr>
              <w:t>m</w:t>
            </w:r>
            <w:r>
              <w:rPr>
                <w:rFonts w:hint="eastAsia" w:ascii="Times New Roman" w:hAnsi="Times New Roman" w:cs="Times New Roman"/>
                <w:b/>
                <w:bCs/>
                <w:color w:val="000000" w:themeColor="text1"/>
                <w:sz w:val="21"/>
                <w:szCs w:val="21"/>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21"/>
                <w:szCs w:val="21"/>
                <w:lang w:val="en-US" w:eastAsia="zh-CN"/>
                <w14:textFill>
                  <w14:solidFill>
                    <w14:schemeClr w14:val="tx1"/>
                  </w14:solidFill>
                </w14:textFill>
              </w:rPr>
              <w:t>/</w:t>
            </w:r>
            <w:r>
              <w:rPr>
                <w:rFonts w:hint="eastAsia" w:cs="Times New Roman"/>
                <w:b/>
                <w:bCs/>
                <w:color w:val="000000" w:themeColor="text1"/>
                <w:sz w:val="21"/>
                <w:szCs w:val="21"/>
                <w:lang w:val="en-US" w:eastAsia="zh-CN"/>
                <w14:textFill>
                  <w14:solidFill>
                    <w14:schemeClr w14:val="tx1"/>
                  </w14:solidFill>
                </w14:textFill>
              </w:rPr>
              <w:t>d）</w:t>
            </w:r>
          </w:p>
          <w:p>
            <w:pPr>
              <w:pStyle w:val="8"/>
              <w:jc w:val="both"/>
              <w:outlineLvl w:val="2"/>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 xml:space="preserve"> 工作制度及劳动定员</w:t>
            </w:r>
          </w:p>
          <w:p>
            <w:pPr>
              <w:pStyle w:val="27"/>
              <w:ind w:firstLine="480"/>
              <w:jc w:val="both"/>
              <w:rPr>
                <w:rFonts w:hint="eastAsia" w:cs="Times New Roman"/>
                <w:bCs/>
                <w:color w:val="000000" w:themeColor="text1"/>
                <w:szCs w:val="2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本项目劳动人员为141人，全部为新增劳动人员，项目年运行300天，采取两班制，每班12小时，每日工作24小时。</w:t>
            </w:r>
          </w:p>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8 物料平衡</w:t>
            </w:r>
          </w:p>
          <w:p>
            <w:pPr>
              <w:pStyle w:val="27"/>
              <w:spacing w:line="360" w:lineRule="auto"/>
              <w:ind w:firstLine="480"/>
              <w:jc w:val="both"/>
              <w:rPr>
                <w:rFonts w:hint="default" w:ascii="Times New Roman" w:hAnsi="Times New Roman" w:eastAsia="宋体" w:cs="Times New Roman"/>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本项目铝基新材料车间存在重大变动，因此本次评价重点针对该车间开展物料平衡分析，</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物料平衡</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详</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见下表</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w:t>
            </w:r>
          </w:p>
          <w:p>
            <w:pPr>
              <w:pStyle w:val="44"/>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表2-6   铝基新材料车间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物</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料平衡分析表</w:t>
            </w:r>
          </w:p>
          <w:tbl>
            <w:tblPr>
              <w:tblStyle w:val="32"/>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86"/>
              <w:gridCol w:w="1425"/>
              <w:gridCol w:w="1185"/>
              <w:gridCol w:w="1056"/>
              <w:gridCol w:w="1764"/>
              <w:gridCol w:w="1550"/>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570" w:type="pct"/>
                  <w:vMerge w:val="restart"/>
                  <w:noWrap/>
                  <w:vAlign w:val="center"/>
                </w:tcPr>
                <w:p>
                  <w:pPr>
                    <w:pStyle w:val="57"/>
                    <w:bidi w:val="0"/>
                    <w:ind w:left="0" w:leftChars="0"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val="en-US" w:eastAsia="zh-CN"/>
                    </w:rPr>
                    <w:t>序号</w:t>
                  </w:r>
                </w:p>
              </w:tc>
              <w:tc>
                <w:tcPr>
                  <w:tcW w:w="1665" w:type="pct"/>
                  <w:gridSpan w:val="2"/>
                  <w:noWrap/>
                  <w:vAlign w:val="center"/>
                </w:tcPr>
                <w:p>
                  <w:pPr>
                    <w:pStyle w:val="57"/>
                    <w:bidi w:val="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val="en-US" w:eastAsia="zh-CN"/>
                    </w:rPr>
                    <w:t>投入</w:t>
                  </w:r>
                </w:p>
              </w:tc>
              <w:tc>
                <w:tcPr>
                  <w:tcW w:w="2763" w:type="pct"/>
                  <w:gridSpan w:val="3"/>
                  <w:noWrap/>
                  <w:vAlign w:val="center"/>
                </w:tcPr>
                <w:p>
                  <w:pPr>
                    <w:pStyle w:val="57"/>
                    <w:bidi w:val="0"/>
                    <w:ind w:left="0" w:leftChars="0"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val="en-US" w:eastAsia="zh-CN"/>
                    </w:rPr>
                    <w:t>产出</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570" w:type="pct"/>
                  <w:vMerge w:val="continue"/>
                  <w:tcBorders>
                    <w:bottom w:val="single" w:color="000000" w:sz="12" w:space="0"/>
                  </w:tcBorders>
                  <w:noWrap/>
                  <w:vAlign w:val="center"/>
                </w:tcPr>
                <w:p>
                  <w:pPr>
                    <w:pStyle w:val="57"/>
                    <w:bidi w:val="0"/>
                    <w:jc w:val="center"/>
                    <w:rPr>
                      <w:rFonts w:hint="default" w:ascii="Times New Roman" w:hAnsi="Times New Roman" w:eastAsia="宋体" w:cs="Times New Roman"/>
                      <w:b/>
                      <w:bCs/>
                      <w:color w:val="000000"/>
                      <w:sz w:val="21"/>
                      <w:szCs w:val="21"/>
                    </w:rPr>
                  </w:pPr>
                </w:p>
              </w:tc>
              <w:tc>
                <w:tcPr>
                  <w:tcW w:w="912" w:type="pct"/>
                  <w:tcBorders>
                    <w:bottom w:val="single" w:color="000000" w:sz="12" w:space="0"/>
                  </w:tcBorders>
                  <w:noWrap/>
                  <w:vAlign w:val="center"/>
                </w:tcPr>
                <w:p>
                  <w:pPr>
                    <w:pStyle w:val="57"/>
                    <w:bidi w:val="0"/>
                    <w:ind w:left="0" w:leftChars="0"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val="en-US" w:eastAsia="zh-CN"/>
                    </w:rPr>
                    <w:t>物料名称</w:t>
                  </w:r>
                </w:p>
              </w:tc>
              <w:tc>
                <w:tcPr>
                  <w:tcW w:w="753" w:type="pct"/>
                  <w:tcBorders>
                    <w:bottom w:val="single" w:color="000000" w:sz="12" w:space="0"/>
                  </w:tcBorders>
                  <w:noWrap/>
                  <w:vAlign w:val="center"/>
                </w:tcPr>
                <w:p>
                  <w:pPr>
                    <w:pStyle w:val="57"/>
                    <w:bidi w:val="0"/>
                    <w:ind w:left="0" w:leftChars="0"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val="en-US" w:eastAsia="zh-CN"/>
                    </w:rPr>
                    <w:t>用量（t/a）</w:t>
                  </w:r>
                </w:p>
              </w:tc>
              <w:tc>
                <w:tcPr>
                  <w:tcW w:w="1772" w:type="pct"/>
                  <w:gridSpan w:val="2"/>
                  <w:tcBorders>
                    <w:bottom w:val="single" w:color="000000" w:sz="12" w:space="0"/>
                  </w:tcBorders>
                  <w:noWrap/>
                  <w:vAlign w:val="center"/>
                </w:tcPr>
                <w:p>
                  <w:pPr>
                    <w:pStyle w:val="57"/>
                    <w:bidi w:val="0"/>
                    <w:ind w:left="0" w:leftChars="0"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val="en-US" w:eastAsia="zh-CN"/>
                    </w:rPr>
                    <w:t>物料名称</w:t>
                  </w:r>
                </w:p>
              </w:tc>
              <w:tc>
                <w:tcPr>
                  <w:tcW w:w="990" w:type="pct"/>
                  <w:tcBorders>
                    <w:bottom w:val="single" w:color="000000" w:sz="12" w:space="0"/>
                  </w:tcBorders>
                  <w:noWrap/>
                  <w:vAlign w:val="center"/>
                </w:tcPr>
                <w:p>
                  <w:pPr>
                    <w:pStyle w:val="57"/>
                    <w:bidi w:val="0"/>
                    <w:ind w:left="0" w:leftChars="0" w:firstLine="0" w:firstLineChars="0"/>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lang w:val="en-US" w:eastAsia="zh-CN"/>
                    </w:rPr>
                    <w:t>质量（t/a）</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570" w:type="pct"/>
                  <w:tcBorders>
                    <w:top w:val="single" w:color="000000" w:sz="12" w:space="0"/>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1</w:t>
                  </w:r>
                </w:p>
              </w:tc>
              <w:tc>
                <w:tcPr>
                  <w:tcW w:w="912" w:type="pct"/>
                  <w:tcBorders>
                    <w:top w:val="single" w:color="000000" w:sz="12" w:space="0"/>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铝锭</w:t>
                  </w:r>
                </w:p>
              </w:tc>
              <w:tc>
                <w:tcPr>
                  <w:tcW w:w="753" w:type="pct"/>
                  <w:tcBorders>
                    <w:top w:val="single" w:color="000000" w:sz="12" w:space="0"/>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65500</w:t>
                  </w:r>
                </w:p>
              </w:tc>
              <w:tc>
                <w:tcPr>
                  <w:tcW w:w="645" w:type="pct"/>
                  <w:tcBorders>
                    <w:top w:val="single" w:color="000000" w:sz="12" w:space="0"/>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产品</w:t>
                  </w:r>
                </w:p>
              </w:tc>
              <w:tc>
                <w:tcPr>
                  <w:tcW w:w="1127" w:type="pct"/>
                  <w:tcBorders>
                    <w:top w:val="single" w:color="000000" w:sz="12" w:space="0"/>
                    <w:tl2br w:val="nil"/>
                    <w:tr2bl w:val="nil"/>
                  </w:tcBorders>
                  <w:noWrap w:val="0"/>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电工铝杆</w:t>
                  </w:r>
                </w:p>
              </w:tc>
              <w:tc>
                <w:tcPr>
                  <w:tcW w:w="990" w:type="pct"/>
                  <w:tcBorders>
                    <w:top w:val="single" w:color="000000" w:sz="12" w:space="0"/>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65000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7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2</w:t>
                  </w:r>
                </w:p>
              </w:tc>
              <w:tc>
                <w:tcPr>
                  <w:tcW w:w="912"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硼铝合金</w:t>
                  </w:r>
                </w:p>
              </w:tc>
              <w:tc>
                <w:tcPr>
                  <w:tcW w:w="753"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300</w:t>
                  </w:r>
                </w:p>
              </w:tc>
              <w:tc>
                <w:tcPr>
                  <w:tcW w:w="645" w:type="pct"/>
                  <w:tcBorders>
                    <w:tl2br w:val="nil"/>
                    <w:tr2bl w:val="nil"/>
                  </w:tcBorders>
                  <w:noWrap/>
                  <w:vAlign w:val="center"/>
                </w:tcPr>
                <w:p>
                  <w:pPr>
                    <w:pStyle w:val="57"/>
                    <w:bidi w:val="0"/>
                    <w:ind w:left="0" w:leftChars="0" w:right="0" w:rightChars="0" w:firstLine="0" w:firstLineChars="0"/>
                    <w:jc w:val="center"/>
                    <w:rPr>
                      <w:rFonts w:hint="default" w:ascii="Times New Roman" w:hAnsi="Times New Roman" w:eastAsia="宋体" w:cs="Times New Roman"/>
                      <w:b w:val="0"/>
                      <w:bCs/>
                      <w:color w:val="000000"/>
                      <w:kern w:val="0"/>
                      <w:sz w:val="21"/>
                      <w:szCs w:val="21"/>
                      <w:lang w:val="en-US" w:eastAsia="zh-CN" w:bidi="ar-SA"/>
                    </w:rPr>
                  </w:pPr>
                  <w:r>
                    <w:rPr>
                      <w:rFonts w:hint="default" w:ascii="Times New Roman" w:hAnsi="Times New Roman" w:eastAsia="宋体" w:cs="Times New Roman"/>
                      <w:b w:val="0"/>
                      <w:bCs/>
                      <w:color w:val="000000"/>
                      <w:sz w:val="21"/>
                      <w:szCs w:val="21"/>
                      <w:lang w:val="en-US" w:eastAsia="zh-CN"/>
                    </w:rPr>
                    <w:t>外排废气</w:t>
                  </w:r>
                </w:p>
              </w:tc>
              <w:tc>
                <w:tcPr>
                  <w:tcW w:w="1127" w:type="pct"/>
                  <w:tcBorders>
                    <w:tl2br w:val="nil"/>
                    <w:tr2bl w:val="nil"/>
                  </w:tcBorders>
                  <w:noWrap w:val="0"/>
                  <w:vAlign w:val="center"/>
                </w:tcPr>
                <w:p>
                  <w:pPr>
                    <w:pStyle w:val="57"/>
                    <w:bidi w:val="0"/>
                    <w:ind w:left="0" w:leftChars="0" w:right="0" w:rightChars="0" w:firstLine="0" w:firstLineChars="0"/>
                    <w:jc w:val="center"/>
                    <w:rPr>
                      <w:rFonts w:hint="default" w:ascii="Times New Roman" w:hAnsi="Times New Roman" w:eastAsia="宋体" w:cs="Times New Roman"/>
                      <w:b w:val="0"/>
                      <w:bCs/>
                      <w:color w:val="000000"/>
                      <w:kern w:val="0"/>
                      <w:sz w:val="21"/>
                      <w:szCs w:val="21"/>
                      <w:lang w:val="en-US" w:eastAsia="zh-CN" w:bidi="ar-SA"/>
                    </w:rPr>
                  </w:pPr>
                  <w:r>
                    <w:rPr>
                      <w:rFonts w:hint="default" w:ascii="Times New Roman" w:hAnsi="Times New Roman" w:eastAsia="宋体" w:cs="Times New Roman"/>
                      <w:b w:val="0"/>
                      <w:bCs/>
                      <w:color w:val="000000"/>
                      <w:sz w:val="21"/>
                      <w:szCs w:val="21"/>
                      <w:lang w:val="en-US" w:eastAsia="zh-CN"/>
                    </w:rPr>
                    <w:t>外排废气</w:t>
                  </w:r>
                </w:p>
              </w:tc>
              <w:tc>
                <w:tcPr>
                  <w:tcW w:w="990" w:type="pct"/>
                  <w:tcBorders>
                    <w:tl2br w:val="nil"/>
                    <w:tr2bl w:val="nil"/>
                  </w:tcBorders>
                  <w:noWrap/>
                  <w:vAlign w:val="center"/>
                </w:tcPr>
                <w:p>
                  <w:pPr>
                    <w:pStyle w:val="57"/>
                    <w:bidi w:val="0"/>
                    <w:ind w:left="0" w:leftChars="0" w:right="0" w:rightChars="0" w:firstLine="0" w:firstLineChars="0"/>
                    <w:jc w:val="center"/>
                    <w:rPr>
                      <w:rFonts w:hint="default" w:ascii="Times New Roman" w:hAnsi="Times New Roman" w:eastAsia="宋体" w:cs="Times New Roman"/>
                      <w:b w:val="0"/>
                      <w:bCs/>
                      <w:color w:val="000000"/>
                      <w:kern w:val="0"/>
                      <w:sz w:val="21"/>
                      <w:szCs w:val="21"/>
                      <w:lang w:val="en-US" w:eastAsia="zh-CN" w:bidi="ar-SA"/>
                    </w:rPr>
                  </w:pPr>
                  <w:r>
                    <w:rPr>
                      <w:rFonts w:hint="default" w:ascii="Times New Roman" w:hAnsi="Times New Roman" w:eastAsia="宋体" w:cs="Times New Roman"/>
                      <w:b w:val="0"/>
                      <w:bCs/>
                      <w:color w:val="000000"/>
                      <w:kern w:val="0"/>
                      <w:sz w:val="21"/>
                      <w:szCs w:val="21"/>
                      <w:lang w:val="en-US" w:eastAsia="zh-CN" w:bidi="ar-SA"/>
                    </w:rPr>
                    <w:t>4.42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57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3</w:t>
                  </w:r>
                </w:p>
              </w:tc>
              <w:tc>
                <w:tcPr>
                  <w:tcW w:w="912"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铝铁合金</w:t>
                  </w:r>
                </w:p>
              </w:tc>
              <w:tc>
                <w:tcPr>
                  <w:tcW w:w="753"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220</w:t>
                  </w:r>
                </w:p>
              </w:tc>
              <w:tc>
                <w:tcPr>
                  <w:tcW w:w="645" w:type="pct"/>
                  <w:vMerge w:val="restar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固废</w:t>
                  </w:r>
                </w:p>
              </w:tc>
              <w:tc>
                <w:tcPr>
                  <w:tcW w:w="1127" w:type="pct"/>
                  <w:tcBorders>
                    <w:tl2br w:val="nil"/>
                    <w:tr2bl w:val="nil"/>
                  </w:tcBorders>
                  <w:noWrap w:val="0"/>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铝灰渣</w:t>
                  </w:r>
                </w:p>
              </w:tc>
              <w:tc>
                <w:tcPr>
                  <w:tcW w:w="99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1320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57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4</w:t>
                  </w:r>
                </w:p>
              </w:tc>
              <w:tc>
                <w:tcPr>
                  <w:tcW w:w="912"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铝稀土</w:t>
                  </w:r>
                </w:p>
              </w:tc>
              <w:tc>
                <w:tcPr>
                  <w:tcW w:w="753"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270.3</w:t>
                  </w:r>
                </w:p>
              </w:tc>
              <w:tc>
                <w:tcPr>
                  <w:tcW w:w="645" w:type="pct"/>
                  <w:vMerge w:val="continue"/>
                  <w:tcBorders>
                    <w:tl2br w:val="nil"/>
                    <w:tr2bl w:val="nil"/>
                  </w:tcBorders>
                  <w:noWrap/>
                  <w:vAlign w:val="center"/>
                </w:tcPr>
                <w:p>
                  <w:pPr>
                    <w:pStyle w:val="57"/>
                    <w:bidi w:val="0"/>
                    <w:jc w:val="center"/>
                    <w:rPr>
                      <w:rFonts w:hint="default" w:ascii="Times New Roman" w:hAnsi="Times New Roman" w:eastAsia="宋体" w:cs="Times New Roman"/>
                      <w:b w:val="0"/>
                      <w:bCs/>
                      <w:color w:val="000000"/>
                      <w:sz w:val="21"/>
                      <w:szCs w:val="21"/>
                    </w:rPr>
                  </w:pPr>
                </w:p>
              </w:tc>
              <w:tc>
                <w:tcPr>
                  <w:tcW w:w="1127" w:type="pct"/>
                  <w:tcBorders>
                    <w:tl2br w:val="nil"/>
                    <w:tr2bl w:val="nil"/>
                  </w:tcBorders>
                  <w:noWrap w:val="0"/>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除尘灰</w:t>
                  </w:r>
                </w:p>
              </w:tc>
              <w:tc>
                <w:tcPr>
                  <w:tcW w:w="99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216.56</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265" w:hRule="atLeast"/>
                <w:jc w:val="center"/>
              </w:trPr>
              <w:tc>
                <w:tcPr>
                  <w:tcW w:w="57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5</w:t>
                  </w:r>
                </w:p>
              </w:tc>
              <w:tc>
                <w:tcPr>
                  <w:tcW w:w="912"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除渣剂</w:t>
                  </w:r>
                </w:p>
              </w:tc>
              <w:tc>
                <w:tcPr>
                  <w:tcW w:w="753"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250.68</w:t>
                  </w:r>
                </w:p>
              </w:tc>
              <w:tc>
                <w:tcPr>
                  <w:tcW w:w="645" w:type="pct"/>
                  <w:vMerge w:val="continue"/>
                  <w:tcBorders>
                    <w:tl2br w:val="nil"/>
                    <w:tr2bl w:val="nil"/>
                  </w:tcBorders>
                  <w:noWrap/>
                  <w:vAlign w:val="center"/>
                </w:tcPr>
                <w:p>
                  <w:pPr>
                    <w:pStyle w:val="57"/>
                    <w:bidi w:val="0"/>
                    <w:jc w:val="center"/>
                    <w:rPr>
                      <w:rFonts w:hint="default" w:ascii="Times New Roman" w:hAnsi="Times New Roman" w:eastAsia="宋体" w:cs="Times New Roman"/>
                      <w:b w:val="0"/>
                      <w:bCs/>
                      <w:color w:val="000000"/>
                      <w:sz w:val="21"/>
                      <w:szCs w:val="21"/>
                    </w:rPr>
                  </w:pPr>
                </w:p>
              </w:tc>
              <w:tc>
                <w:tcPr>
                  <w:tcW w:w="1127" w:type="pct"/>
                  <w:tcBorders>
                    <w:tl2br w:val="nil"/>
                    <w:tr2bl w:val="nil"/>
                  </w:tcBorders>
                  <w:noWrap w:val="0"/>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废边角料</w:t>
                  </w:r>
                </w:p>
              </w:tc>
              <w:tc>
                <w:tcPr>
                  <w:tcW w:w="99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10530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57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6</w:t>
                  </w:r>
                </w:p>
              </w:tc>
              <w:tc>
                <w:tcPr>
                  <w:tcW w:w="912"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废边角料</w:t>
                  </w:r>
                </w:p>
              </w:tc>
              <w:tc>
                <w:tcPr>
                  <w:tcW w:w="753"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10530</w:t>
                  </w:r>
                </w:p>
              </w:tc>
              <w:tc>
                <w:tcPr>
                  <w:tcW w:w="645" w:type="pct"/>
                  <w:tcBorders>
                    <w:tl2br w:val="nil"/>
                    <w:tr2bl w:val="nil"/>
                  </w:tcBorders>
                  <w:noWrap/>
                  <w:vAlign w:val="center"/>
                </w:tcPr>
                <w:p>
                  <w:pPr>
                    <w:pStyle w:val="57"/>
                    <w:bidi w:val="0"/>
                    <w:jc w:val="center"/>
                    <w:rPr>
                      <w:rFonts w:hint="default" w:ascii="Times New Roman" w:hAnsi="Times New Roman" w:eastAsia="宋体" w:cs="Times New Roman"/>
                      <w:b w:val="0"/>
                      <w:bCs/>
                      <w:color w:val="000000"/>
                      <w:sz w:val="21"/>
                      <w:szCs w:val="21"/>
                    </w:rPr>
                  </w:pPr>
                </w:p>
              </w:tc>
              <w:tc>
                <w:tcPr>
                  <w:tcW w:w="1127"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p>
              </w:tc>
              <w:tc>
                <w:tcPr>
                  <w:tcW w:w="99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482" w:type="pct"/>
                  <w:gridSpan w:val="2"/>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合计</w:t>
                  </w:r>
                </w:p>
              </w:tc>
              <w:tc>
                <w:tcPr>
                  <w:tcW w:w="753"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77070.98</w:t>
                  </w:r>
                </w:p>
              </w:tc>
              <w:tc>
                <w:tcPr>
                  <w:tcW w:w="1772" w:type="pct"/>
                  <w:gridSpan w:val="2"/>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合计</w:t>
                  </w:r>
                </w:p>
              </w:tc>
              <w:tc>
                <w:tcPr>
                  <w:tcW w:w="990" w:type="pct"/>
                  <w:tcBorders>
                    <w:tl2br w:val="nil"/>
                    <w:tr2bl w:val="nil"/>
                  </w:tcBorders>
                  <w:noWrap/>
                  <w:vAlign w:val="center"/>
                </w:tcPr>
                <w:p>
                  <w:pPr>
                    <w:pStyle w:val="57"/>
                    <w:bidi w:val="0"/>
                    <w:ind w:left="0" w:leftChars="0" w:firstLine="0" w:firstLineChars="0"/>
                    <w:jc w:val="center"/>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77070.98</w:t>
                  </w:r>
                </w:p>
              </w:tc>
            </w:tr>
          </w:tbl>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总平面布置</w:t>
            </w:r>
          </w:p>
          <w:p>
            <w:pPr>
              <w:pStyle w:val="27"/>
              <w:ind w:firstLine="480"/>
              <w:jc w:val="both"/>
              <w:rPr>
                <w:rFonts w:hint="default" w:ascii="Times New Roman" w:hAnsi="Times New Roman" w:eastAsia="宋体" w:cs="Times New Roman"/>
                <w:bCs/>
                <w:color w:val="000000" w:themeColor="text1"/>
                <w:szCs w:val="21"/>
                <w:lang w:val="en-US" w:eastAsia="zh-CN"/>
                <w14:textFill>
                  <w14:solidFill>
                    <w14:schemeClr w14:val="tx1"/>
                  </w14:solidFill>
                </w14:textFill>
              </w:rPr>
            </w:pPr>
            <w:r>
              <w:rPr>
                <w:rFonts w:hint="default" w:ascii="Times New Roman" w:hAnsi="Times New Roman" w:eastAsia="宋体" w:cs="Times New Roman"/>
                <w:bCs/>
                <w:color w:val="000000" w:themeColor="text1"/>
                <w:szCs w:val="21"/>
                <w:lang w:val="en-US" w:eastAsia="zh-CN"/>
                <w14:textFill>
                  <w14:solidFill>
                    <w14:schemeClr w14:val="tx1"/>
                  </w14:solidFill>
                </w14:textFill>
              </w:rPr>
              <w:t>本项目建设地点位于新疆昌吉国家高新技术产业开发区经一路和创业大道交汇处特变电工智能电缆产业园内，已建成铜导体车间，数字化布线车间，辅房，动力中心，能源装备电缆车间，中低压交联车间，从北到南依次布置在场地东北部。本期新建新能源车间位于中低压交联车间的西侧，新建堆场与铝基新材料</w:t>
            </w:r>
            <w:r>
              <w:rPr>
                <w:rFonts w:hint="eastAsia" w:cs="Times New Roman"/>
                <w:bCs/>
                <w:color w:val="000000" w:themeColor="text1"/>
                <w:szCs w:val="21"/>
                <w:lang w:val="en-US" w:eastAsia="zh-CN"/>
                <w14:textFill>
                  <w14:solidFill>
                    <w14:schemeClr w14:val="tx1"/>
                  </w14:solidFill>
                </w14:textFill>
              </w:rPr>
              <w:t>车间</w:t>
            </w:r>
            <w:r>
              <w:rPr>
                <w:rFonts w:hint="default" w:ascii="Times New Roman" w:hAnsi="Times New Roman" w:eastAsia="宋体" w:cs="Times New Roman"/>
                <w:bCs/>
                <w:color w:val="000000" w:themeColor="text1"/>
                <w:szCs w:val="21"/>
                <w:lang w:val="en-US" w:eastAsia="zh-CN"/>
                <w14:textFill>
                  <w14:solidFill>
                    <w14:schemeClr w14:val="tx1"/>
                  </w14:solidFill>
                </w14:textFill>
              </w:rPr>
              <w:t>位于</w:t>
            </w:r>
            <w:r>
              <w:rPr>
                <w:rFonts w:hint="eastAsia" w:cs="Times New Roman"/>
                <w:bCs/>
                <w:color w:val="000000" w:themeColor="text1"/>
                <w:szCs w:val="21"/>
                <w:lang w:val="en-US" w:eastAsia="zh-CN"/>
                <w14:textFill>
                  <w14:solidFill>
                    <w14:schemeClr w14:val="tx1"/>
                  </w14:solidFill>
                </w14:textFill>
              </w:rPr>
              <w:t>危险废物贮存库</w:t>
            </w:r>
            <w:r>
              <w:rPr>
                <w:rFonts w:hint="default" w:ascii="Times New Roman" w:hAnsi="Times New Roman" w:eastAsia="宋体" w:cs="Times New Roman"/>
                <w:bCs/>
                <w:color w:val="000000" w:themeColor="text1"/>
                <w:szCs w:val="21"/>
                <w:lang w:val="en-US" w:eastAsia="zh-CN"/>
                <w14:textFill>
                  <w14:solidFill>
                    <w14:schemeClr w14:val="tx1"/>
                  </w14:solidFill>
                </w14:textFill>
              </w:rPr>
              <w:t>东侧。</w:t>
            </w:r>
          </w:p>
          <w:p>
            <w:pPr>
              <w:pStyle w:val="27"/>
              <w:ind w:firstLine="480"/>
              <w:jc w:val="both"/>
              <w:rPr>
                <w:rFonts w:hint="default" w:eastAsia="宋体"/>
                <w:color w:val="000000" w:themeColor="text1"/>
                <w:lang w:val="en-US" w:eastAsia="zh-CN"/>
                <w14:textFill>
                  <w14:solidFill>
                    <w14:schemeClr w14:val="tx1"/>
                  </w14:solidFill>
                </w14:textFill>
              </w:rPr>
            </w:pPr>
            <w:r>
              <w:rPr>
                <w:rFonts w:hint="default" w:ascii="Times New Roman" w:hAnsi="Times New Roman" w:eastAsia="宋体" w:cs="Times New Roman"/>
                <w:bCs/>
                <w:color w:val="000000" w:themeColor="text1"/>
                <w:szCs w:val="21"/>
                <w:lang w:val="en-US" w:eastAsia="zh-CN"/>
                <w14:textFill>
                  <w14:solidFill>
                    <w14:schemeClr w14:val="tx1"/>
                  </w14:solidFill>
                </w14:textFill>
              </w:rPr>
              <w:t>综上分析，本项目总平面布置功能区划明确，设施设备布置合理，交通便利、顺畅，项目平面布局从环保方面分析基本合理。平面布置图见</w:t>
            </w:r>
            <w:r>
              <w:rPr>
                <w:rFonts w:hint="default" w:ascii="Times New Roman" w:hAnsi="Times New Roman" w:eastAsia="宋体" w:cs="Times New Roman"/>
                <w:b/>
                <w:bCs w:val="0"/>
                <w:color w:val="000000" w:themeColor="text1"/>
                <w:szCs w:val="21"/>
                <w:lang w:val="en-US" w:eastAsia="zh-CN"/>
                <w14:textFill>
                  <w14:solidFill>
                    <w14:schemeClr w14:val="tx1"/>
                  </w14:solidFill>
                </w14:textFill>
              </w:rPr>
              <w:t>附图</w:t>
            </w:r>
            <w:r>
              <w:rPr>
                <w:rFonts w:hint="eastAsia" w:cs="Times New Roman"/>
                <w:b/>
                <w:bCs w:val="0"/>
                <w:color w:val="000000" w:themeColor="text1"/>
                <w:szCs w:val="21"/>
                <w:lang w:val="en-US" w:eastAsia="zh-CN"/>
                <w14:textFill>
                  <w14:solidFill>
                    <w14:schemeClr w14:val="tx1"/>
                  </w14:solidFill>
                </w14:textFill>
              </w:rPr>
              <w:t>6</w:t>
            </w:r>
            <w:r>
              <w:rPr>
                <w:rFonts w:hint="default" w:ascii="Times New Roman" w:hAnsi="Times New Roman" w:eastAsia="宋体" w:cs="Times New Roman"/>
                <w:bCs/>
                <w:color w:val="000000" w:themeColor="text1"/>
                <w:szCs w:val="21"/>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67" w:hRule="atLeast"/>
          <w:jc w:val="center"/>
        </w:trPr>
        <w:tc>
          <w:tcPr>
            <w:tcW w:w="454" w:type="dxa"/>
            <w:tcBorders>
              <w:tl2br w:val="nil"/>
              <w:tr2bl w:val="nil"/>
            </w:tcBorders>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工艺流程和产排污环节</w:t>
            </w:r>
          </w:p>
        </w:tc>
        <w:tc>
          <w:tcPr>
            <w:tcW w:w="8068" w:type="dxa"/>
            <w:tcBorders>
              <w:tl2br w:val="nil"/>
              <w:tr2bl w:val="nil"/>
            </w:tcBorders>
          </w:tcPr>
          <w:p>
            <w:pPr>
              <w:pStyle w:val="8"/>
              <w:jc w:val="both"/>
              <w:outlineLvl w:val="2"/>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 施工期工艺流程简述</w:t>
            </w:r>
          </w:p>
          <w:p>
            <w:pPr>
              <w:pStyle w:val="8"/>
              <w:keepNext/>
              <w:keepLines/>
              <w:pageBreakBefore w:val="0"/>
              <w:widowControl w:val="0"/>
              <w:kinsoku/>
              <w:wordWrap/>
              <w:overflowPunct/>
              <w:topLinePunct w:val="0"/>
              <w:autoSpaceDE/>
              <w:autoSpaceDN/>
              <w:bidi w:val="0"/>
              <w:adjustRightInd/>
              <w:snapToGrid/>
              <w:ind w:firstLine="480" w:firstLineChars="200"/>
              <w:jc w:val="both"/>
              <w:textAlignment w:val="auto"/>
              <w:outlineLvl w:val="2"/>
              <w:rPr>
                <w:rFonts w:hint="eastAsia" w:cs="Times New Roman"/>
                <w:b w:val="0"/>
                <w:bCs/>
                <w:color w:val="000000" w:themeColor="text1"/>
                <w:kern w:val="2"/>
                <w:sz w:val="24"/>
                <w:szCs w:val="21"/>
                <w:lang w:val="en-US" w:eastAsia="zh-CN" w:bidi="ar-SA"/>
                <w14:textFill>
                  <w14:solidFill>
                    <w14:schemeClr w14:val="tx1"/>
                  </w14:solidFill>
                </w14:textFill>
              </w:rPr>
            </w:pPr>
            <w:r>
              <w:rPr>
                <w:rFonts w:hint="eastAsia" w:cs="Times New Roman"/>
                <w:b w:val="0"/>
                <w:bCs/>
                <w:color w:val="000000" w:themeColor="text1"/>
                <w:kern w:val="2"/>
                <w:sz w:val="24"/>
                <w:szCs w:val="21"/>
                <w:lang w:val="en-US" w:eastAsia="zh-CN" w:bidi="ar-SA"/>
                <w14:textFill>
                  <w14:solidFill>
                    <w14:schemeClr w14:val="tx1"/>
                  </w14:solidFill>
                </w14:textFill>
              </w:rPr>
              <w:t>本项目位于新疆昌吉国家高新技术产业开发区经一路和创业大道交汇处特变电工智能电缆产业园内，总施工过程主要包括场地平整与基础开挖、料场框架搭建、主体建筑施工、设备安装调试以及厂区道路绿化等辅助工程建设。其中铝基新材料车间、一般工业固体废物及危险废物贮存库（50m</w:t>
            </w:r>
            <w:r>
              <w:rPr>
                <w:rFonts w:hint="eastAsia" w:cs="Times New Roman"/>
                <w:b w:val="0"/>
                <w:bCs/>
                <w:color w:val="000000" w:themeColor="text1"/>
                <w:kern w:val="2"/>
                <w:sz w:val="24"/>
                <w:szCs w:val="21"/>
                <w:vertAlign w:val="superscript"/>
                <w:lang w:val="en-US" w:eastAsia="zh-CN" w:bidi="ar-SA"/>
                <w14:textFill>
                  <w14:solidFill>
                    <w14:schemeClr w14:val="tx1"/>
                  </w14:solidFill>
                </w14:textFill>
              </w:rPr>
              <w:t>2</w:t>
            </w:r>
            <w:r>
              <w:rPr>
                <w:rFonts w:hint="eastAsia" w:cs="Times New Roman"/>
                <w:b w:val="0"/>
                <w:bCs/>
                <w:color w:val="000000" w:themeColor="text1"/>
                <w:kern w:val="2"/>
                <w:sz w:val="24"/>
                <w:szCs w:val="21"/>
                <w:lang w:val="en-US" w:eastAsia="zh-CN" w:bidi="ar-SA"/>
                <w14:textFill>
                  <w14:solidFill>
                    <w14:schemeClr w14:val="tx1"/>
                  </w14:solidFill>
                </w14:textFill>
              </w:rPr>
              <w:t>）已建成，新能源车间及扩建危险废物贮存库（50m</w:t>
            </w:r>
            <w:r>
              <w:rPr>
                <w:rFonts w:hint="eastAsia" w:cs="Times New Roman"/>
                <w:b w:val="0"/>
                <w:bCs/>
                <w:color w:val="000000" w:themeColor="text1"/>
                <w:kern w:val="2"/>
                <w:sz w:val="24"/>
                <w:szCs w:val="21"/>
                <w:vertAlign w:val="superscript"/>
                <w:lang w:val="en-US" w:eastAsia="zh-CN" w:bidi="ar-SA"/>
                <w14:textFill>
                  <w14:solidFill>
                    <w14:schemeClr w14:val="tx1"/>
                  </w14:solidFill>
                </w14:textFill>
              </w:rPr>
              <w:t>2</w:t>
            </w:r>
            <w:r>
              <w:rPr>
                <w:rFonts w:hint="eastAsia" w:cs="Times New Roman"/>
                <w:b w:val="0"/>
                <w:bCs/>
                <w:color w:val="000000" w:themeColor="text1"/>
                <w:kern w:val="2"/>
                <w:sz w:val="24"/>
                <w:szCs w:val="21"/>
                <w:lang w:val="en-US" w:eastAsia="zh-CN" w:bidi="ar-SA"/>
                <w14:textFill>
                  <w14:solidFill>
                    <w14:schemeClr w14:val="tx1"/>
                  </w14:solidFill>
                </w14:textFill>
              </w:rPr>
              <w:t>）未建成。</w:t>
            </w:r>
          </w:p>
          <w:p>
            <w:pPr>
              <w:pStyle w:val="8"/>
              <w:keepNext/>
              <w:keepLines/>
              <w:pageBreakBefore w:val="0"/>
              <w:widowControl w:val="0"/>
              <w:kinsoku/>
              <w:wordWrap/>
              <w:overflowPunct/>
              <w:topLinePunct w:val="0"/>
              <w:autoSpaceDE/>
              <w:autoSpaceDN/>
              <w:bidi w:val="0"/>
              <w:adjustRightInd/>
              <w:snapToGrid/>
              <w:ind w:firstLine="480" w:firstLineChars="200"/>
              <w:jc w:val="both"/>
              <w:textAlignment w:val="auto"/>
              <w:outlineLvl w:val="2"/>
              <w:rPr>
                <w:rFonts w:hint="eastAsia" w:cs="Times New Roman"/>
                <w:b w:val="0"/>
                <w:bCs/>
                <w:color w:val="000000" w:themeColor="text1"/>
                <w:kern w:val="2"/>
                <w:sz w:val="24"/>
                <w:szCs w:val="21"/>
                <w:lang w:val="en-US" w:eastAsia="zh-CN" w:bidi="ar-SA"/>
                <w14:textFill>
                  <w14:solidFill>
                    <w14:schemeClr w14:val="tx1"/>
                  </w14:solidFill>
                </w14:textFill>
              </w:rPr>
            </w:pPr>
            <w:r>
              <w:rPr>
                <w:rFonts w:hint="eastAsia" w:cs="Times New Roman"/>
                <w:b w:val="0"/>
                <w:bCs/>
                <w:color w:val="000000" w:themeColor="text1"/>
                <w:kern w:val="2"/>
                <w:sz w:val="24"/>
                <w:szCs w:val="21"/>
                <w:lang w:val="en-US" w:eastAsia="zh-CN" w:bidi="ar-SA"/>
                <w14:textFill>
                  <w14:solidFill>
                    <w14:schemeClr w14:val="tx1"/>
                  </w14:solidFill>
                </w14:textFill>
              </w:rPr>
              <w:t>施工期主要污染物为土方开挖、建材装卸及夯实路面引起的扬尘和施工机械及运输车辆排放的尾气；挖掘机、打桩机、混凝土振捣器等机械设备运行产生的施工噪声和车辆作业运输产生的噪声；开挖产生的弃土/渣、建筑垃圾以及施工人员生活垃圾；施工人员生活污水及少量施工冲洗废水，将随施工期的结束而消失，因此，施工期对周围环境影响较小。施工期工艺流程图及产污情况见图2-2。</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000000" w:themeColor="text1"/>
                <w:lang w:eastAsia="zh-CN"/>
                <w14:textFill>
                  <w14:solidFill>
                    <w14:schemeClr w14:val="tx1"/>
                  </w14:solidFill>
                </w14:textFill>
              </w:rPr>
            </w:pPr>
            <w:r>
              <w:drawing>
                <wp:inline distT="0" distB="0" distL="114300" distR="114300">
                  <wp:extent cx="4590415" cy="1910715"/>
                  <wp:effectExtent l="0" t="0" r="635" b="1333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0"/>
                          <a:stretch>
                            <a:fillRect/>
                          </a:stretch>
                        </pic:blipFill>
                        <pic:spPr>
                          <a:xfrm>
                            <a:off x="0" y="0"/>
                            <a:ext cx="4590415" cy="1910715"/>
                          </a:xfrm>
                          <a:prstGeom prst="rect">
                            <a:avLst/>
                          </a:prstGeom>
                          <a:noFill/>
                          <a:ln>
                            <a:noFill/>
                          </a:ln>
                        </pic:spPr>
                      </pic:pic>
                    </a:graphicData>
                  </a:graphic>
                </wp:inline>
              </w:drawing>
            </w:r>
          </w:p>
          <w:p>
            <w:pPr>
              <w:pStyle w:val="14"/>
              <w:keepNext w:val="0"/>
              <w:keepLines w:val="0"/>
              <w:pageBreakBefore w:val="0"/>
              <w:widowControl/>
              <w:kinsoku/>
              <w:wordWrap/>
              <w:overflowPunct/>
              <w:topLinePunct w:val="0"/>
              <w:autoSpaceDE/>
              <w:autoSpaceDN/>
              <w:bidi w:val="0"/>
              <w:adjustRightInd w:val="0"/>
              <w:snapToGrid w:val="0"/>
              <w:spacing w:before="0" w:after="0" w:line="240" w:lineRule="auto"/>
              <w:ind w:right="0"/>
              <w:jc w:val="center"/>
              <w:textAlignment w:val="auto"/>
              <w:rPr>
                <w:rFonts w:hint="eastAsia"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图</w:t>
            </w:r>
            <w:r>
              <w:rPr>
                <w:rFonts w:hint="eastAsia" w:cs="Times New Roman"/>
                <w:color w:val="000000" w:themeColor="text1"/>
                <w:sz w:val="21"/>
                <w:szCs w:val="21"/>
                <w:lang w:val="en-US" w:eastAsia="zh-CN"/>
                <w14:textFill>
                  <w14:solidFill>
                    <w14:schemeClr w14:val="tx1"/>
                  </w14:solidFill>
                </w14:textFill>
              </w:rPr>
              <w:t>2-2</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eastAsia" w:cs="Times New Roman"/>
                <w:color w:val="000000" w:themeColor="text1"/>
                <w:sz w:val="21"/>
                <w:szCs w:val="21"/>
                <w:lang w:val="en-US" w:eastAsia="zh-CN"/>
                <w14:textFill>
                  <w14:solidFill>
                    <w14:schemeClr w14:val="tx1"/>
                  </w14:solidFill>
                </w14:textFill>
              </w:rPr>
              <w:t>施工期</w:t>
            </w:r>
            <w:r>
              <w:rPr>
                <w:rFonts w:hint="default" w:ascii="Times New Roman" w:hAnsi="Times New Roman" w:cs="Times New Roman"/>
                <w:color w:val="000000" w:themeColor="text1"/>
                <w:sz w:val="21"/>
                <w:szCs w:val="21"/>
                <w14:textFill>
                  <w14:solidFill>
                    <w14:schemeClr w14:val="tx1"/>
                  </w14:solidFill>
                </w14:textFill>
              </w:rPr>
              <w:t>工艺流程</w:t>
            </w:r>
            <w:r>
              <w:rPr>
                <w:rFonts w:hint="eastAsia" w:cs="Times New Roman"/>
                <w:color w:val="000000" w:themeColor="text1"/>
                <w:sz w:val="21"/>
                <w:szCs w:val="21"/>
                <w:lang w:val="en-US" w:eastAsia="zh-CN"/>
                <w14:textFill>
                  <w14:solidFill>
                    <w14:schemeClr w14:val="tx1"/>
                  </w14:solidFill>
                </w14:textFill>
              </w:rPr>
              <w:t>及产污节点图</w:t>
            </w:r>
          </w:p>
          <w:p>
            <w:pPr>
              <w:pStyle w:val="27"/>
              <w:ind w:firstLine="480"/>
              <w:jc w:val="both"/>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w:t>
            </w:r>
            <w:r>
              <w:rPr>
                <w:color w:val="000000" w:themeColor="text1"/>
                <w14:textFill>
                  <w14:solidFill>
                    <w14:schemeClr w14:val="tx1"/>
                  </w14:solidFill>
                </w14:textFill>
              </w:rPr>
              <w:t>项目施工期主要污染工序见表</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p>
          <w:p>
            <w:pPr>
              <w:pStyle w:val="44"/>
              <w:spacing w:line="240" w:lineRule="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表2-</w:t>
            </w:r>
            <w:r>
              <w:rPr>
                <w:rFonts w:hint="eastAsia"/>
                <w:color w:val="000000" w:themeColor="text1"/>
                <w:sz w:val="21"/>
                <w:szCs w:val="21"/>
                <w:lang w:val="en-US" w:eastAsia="zh-CN"/>
                <w14:textFill>
                  <w14:solidFill>
                    <w14:schemeClr w14:val="tx1"/>
                  </w14:solidFill>
                </w14:textFill>
              </w:rPr>
              <w:t>7</w:t>
            </w:r>
            <w:r>
              <w:rPr>
                <w:rFonts w:hint="eastAsia" w:ascii="Times New Roman" w:hAnsi="Times New Roman" w:eastAsia="宋体"/>
                <w:color w:val="000000" w:themeColor="text1"/>
                <w:sz w:val="21"/>
                <w:szCs w:val="21"/>
                <w:lang w:val="en-US" w:eastAsia="zh-CN"/>
                <w14:textFill>
                  <w14:solidFill>
                    <w14:schemeClr w14:val="tx1"/>
                  </w14:solidFill>
                </w14:textFill>
              </w:rPr>
              <w:t xml:space="preserve">   施工期主要污染工序一览表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032"/>
              <w:gridCol w:w="1856"/>
              <w:gridCol w:w="279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5" w:type="pct"/>
                  <w:tcBorders>
                    <w:bottom w:val="single" w:color="000000" w:sz="12" w:space="0"/>
                    <w:tl2br w:val="nil"/>
                    <w:tr2bl w:val="nil"/>
                  </w:tcBorders>
                  <w:vAlign w:val="center"/>
                </w:tcPr>
                <w:p>
                  <w:pPr>
                    <w:pStyle w:val="45"/>
                    <w:rPr>
                      <w:b/>
                      <w:bCs/>
                      <w:color w:val="000000" w:themeColor="text1"/>
                      <w14:textFill>
                        <w14:solidFill>
                          <w14:schemeClr w14:val="tx1"/>
                        </w14:solidFill>
                      </w14:textFill>
                    </w:rPr>
                  </w:pPr>
                  <w:r>
                    <w:rPr>
                      <w:b/>
                      <w:bCs/>
                      <w:color w:val="000000" w:themeColor="text1"/>
                      <w14:textFill>
                        <w14:solidFill>
                          <w14:schemeClr w14:val="tx1"/>
                        </w14:solidFill>
                      </w14:textFill>
                    </w:rPr>
                    <w:t>污染类别</w:t>
                  </w:r>
                </w:p>
              </w:tc>
              <w:tc>
                <w:tcPr>
                  <w:tcW w:w="1291" w:type="pct"/>
                  <w:tcBorders>
                    <w:bottom w:val="single" w:color="000000" w:sz="12" w:space="0"/>
                    <w:tl2br w:val="nil"/>
                    <w:tr2bl w:val="nil"/>
                  </w:tcBorders>
                  <w:vAlign w:val="center"/>
                </w:tcPr>
                <w:p>
                  <w:pPr>
                    <w:pStyle w:val="45"/>
                    <w:rPr>
                      <w:b/>
                      <w:bCs/>
                      <w:color w:val="000000" w:themeColor="text1"/>
                      <w14:textFill>
                        <w14:solidFill>
                          <w14:schemeClr w14:val="tx1"/>
                        </w14:solidFill>
                      </w14:textFill>
                    </w:rPr>
                  </w:pPr>
                  <w:r>
                    <w:rPr>
                      <w:b/>
                      <w:bCs/>
                      <w:color w:val="000000" w:themeColor="text1"/>
                      <w14:textFill>
                        <w14:solidFill>
                          <w14:schemeClr w14:val="tx1"/>
                        </w14:solidFill>
                      </w14:textFill>
                    </w:rPr>
                    <w:t>污染源名称</w:t>
                  </w:r>
                </w:p>
              </w:tc>
              <w:tc>
                <w:tcPr>
                  <w:tcW w:w="1179" w:type="pct"/>
                  <w:tcBorders>
                    <w:bottom w:val="single" w:color="000000" w:sz="12" w:space="0"/>
                    <w:tl2br w:val="nil"/>
                    <w:tr2bl w:val="nil"/>
                  </w:tcBorders>
                  <w:vAlign w:val="center"/>
                </w:tcPr>
                <w:p>
                  <w:pPr>
                    <w:pStyle w:val="45"/>
                    <w:rPr>
                      <w:b/>
                      <w:bCs/>
                      <w:color w:val="000000" w:themeColor="text1"/>
                      <w14:textFill>
                        <w14:solidFill>
                          <w14:schemeClr w14:val="tx1"/>
                        </w14:solidFill>
                      </w14:textFill>
                    </w:rPr>
                  </w:pPr>
                  <w:r>
                    <w:rPr>
                      <w:b/>
                      <w:bCs/>
                      <w:color w:val="000000" w:themeColor="text1"/>
                      <w14:textFill>
                        <w14:solidFill>
                          <w14:schemeClr w14:val="tx1"/>
                        </w14:solidFill>
                      </w14:textFill>
                    </w:rPr>
                    <w:t>产生工序</w:t>
                  </w:r>
                </w:p>
              </w:tc>
              <w:tc>
                <w:tcPr>
                  <w:tcW w:w="1773" w:type="pct"/>
                  <w:tcBorders>
                    <w:bottom w:val="single" w:color="000000" w:sz="12" w:space="0"/>
                    <w:tl2br w:val="nil"/>
                    <w:tr2bl w:val="nil"/>
                  </w:tcBorders>
                  <w:vAlign w:val="center"/>
                </w:tcPr>
                <w:p>
                  <w:pPr>
                    <w:pStyle w:val="45"/>
                    <w:rPr>
                      <w:b/>
                      <w:bCs/>
                      <w:color w:val="000000" w:themeColor="text1"/>
                      <w14:textFill>
                        <w14:solidFill>
                          <w14:schemeClr w14:val="tx1"/>
                        </w14:solidFill>
                      </w14:textFill>
                    </w:rPr>
                  </w:pPr>
                  <w:r>
                    <w:rPr>
                      <w:b/>
                      <w:bCs/>
                      <w:color w:val="000000" w:themeColor="text1"/>
                      <w14:textFill>
                        <w14:solidFill>
                          <w14:schemeClr w14:val="tx1"/>
                        </w14:solidFill>
                      </w14:textFill>
                    </w:rPr>
                    <w:t>主要污染因子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5" w:type="pct"/>
                  <w:tcBorders>
                    <w:tl2br w:val="nil"/>
                    <w:tr2bl w:val="nil"/>
                  </w:tcBorders>
                  <w:vAlign w:val="center"/>
                </w:tcPr>
                <w:p>
                  <w:pPr>
                    <w:pStyle w:val="4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废气</w:t>
                  </w:r>
                </w:p>
              </w:tc>
              <w:tc>
                <w:tcPr>
                  <w:tcW w:w="1291" w:type="pct"/>
                  <w:tcBorders>
                    <w:tl2br w:val="nil"/>
                    <w:tr2bl w:val="nil"/>
                  </w:tcBorders>
                  <w:vAlign w:val="center"/>
                </w:tcPr>
                <w:p>
                  <w:pPr>
                    <w:pStyle w:val="4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扬尘、尾气</w:t>
                  </w:r>
                </w:p>
              </w:tc>
              <w:tc>
                <w:tcPr>
                  <w:tcW w:w="1179" w:type="pct"/>
                  <w:tcBorders>
                    <w:tl2br w:val="nil"/>
                    <w:tr2bl w:val="nil"/>
                  </w:tcBorders>
                  <w:vAlign w:val="center"/>
                </w:tcPr>
                <w:p>
                  <w:pPr>
                    <w:pStyle w:val="4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施工过程</w:t>
                  </w:r>
                </w:p>
              </w:tc>
              <w:tc>
                <w:tcPr>
                  <w:tcW w:w="1773" w:type="pct"/>
                  <w:tcBorders>
                    <w:tl2br w:val="nil"/>
                    <w:tr2bl w:val="nil"/>
                  </w:tcBorders>
                  <w:vAlign w:val="center"/>
                </w:tcPr>
                <w:p>
                  <w:pPr>
                    <w:pStyle w:val="45"/>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SO</w:t>
                  </w:r>
                  <w:r>
                    <w:rPr>
                      <w:rFonts w:hint="eastAsia" w:eastAsia="宋体"/>
                      <w:color w:val="000000" w:themeColor="text1"/>
                      <w:vertAlign w:val="subscript"/>
                      <w:lang w:val="en-US" w:eastAsia="zh-CN"/>
                      <w14:textFill>
                        <w14:solidFill>
                          <w14:schemeClr w14:val="tx1"/>
                        </w14:solidFill>
                      </w14:textFill>
                    </w:rPr>
                    <w:t>2</w:t>
                  </w:r>
                  <w:r>
                    <w:rPr>
                      <w:rFonts w:hint="eastAsia" w:eastAsia="宋体"/>
                      <w:color w:val="000000" w:themeColor="text1"/>
                      <w:lang w:val="en-US" w:eastAsia="zh-CN"/>
                      <w14:textFill>
                        <w14:solidFill>
                          <w14:schemeClr w14:val="tx1"/>
                        </w14:solidFill>
                      </w14:textFill>
                    </w:rPr>
                    <w:t>、颗粒物、总烃、CO、NOx</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5" w:type="pct"/>
                  <w:tcBorders>
                    <w:tl2br w:val="nil"/>
                    <w:tr2bl w:val="nil"/>
                  </w:tcBorders>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废水</w:t>
                  </w:r>
                </w:p>
              </w:tc>
              <w:tc>
                <w:tcPr>
                  <w:tcW w:w="1291" w:type="pct"/>
                  <w:tcBorders>
                    <w:tl2br w:val="nil"/>
                    <w:tr2bl w:val="nil"/>
                  </w:tcBorders>
                  <w:vAlign w:val="center"/>
                </w:tcPr>
                <w:p>
                  <w:pPr>
                    <w:pStyle w:val="45"/>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施工废水、</w:t>
                  </w:r>
                  <w:r>
                    <w:rPr>
                      <w:color w:val="000000" w:themeColor="text1"/>
                      <w14:textFill>
                        <w14:solidFill>
                          <w14:schemeClr w14:val="tx1"/>
                        </w14:solidFill>
                      </w14:textFill>
                    </w:rPr>
                    <w:t>生活污水</w:t>
                  </w:r>
                </w:p>
              </w:tc>
              <w:tc>
                <w:tcPr>
                  <w:tcW w:w="1179" w:type="pct"/>
                  <w:tcBorders>
                    <w:tl2br w:val="nil"/>
                    <w:tr2bl w:val="nil"/>
                  </w:tcBorders>
                  <w:vAlign w:val="center"/>
                </w:tcPr>
                <w:p>
                  <w:pPr>
                    <w:pStyle w:val="45"/>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施工人员生活</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施工过程</w:t>
                  </w:r>
                </w:p>
              </w:tc>
              <w:tc>
                <w:tcPr>
                  <w:tcW w:w="1773" w:type="pct"/>
                  <w:tcBorders>
                    <w:tl2br w:val="nil"/>
                    <w:tr2bl w:val="nil"/>
                  </w:tcBorders>
                  <w:vAlign w:val="center"/>
                </w:tcPr>
                <w:p>
                  <w:pPr>
                    <w:pStyle w:val="45"/>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COD、NH</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-N</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BOD、SS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5" w:type="pct"/>
                  <w:tcBorders>
                    <w:tl2br w:val="nil"/>
                    <w:tr2bl w:val="nil"/>
                  </w:tcBorders>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噪声</w:t>
                  </w:r>
                </w:p>
              </w:tc>
              <w:tc>
                <w:tcPr>
                  <w:tcW w:w="1291" w:type="pct"/>
                  <w:tcBorders>
                    <w:tl2br w:val="nil"/>
                    <w:tr2bl w:val="nil"/>
                  </w:tcBorders>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生产设备噪声</w:t>
                  </w:r>
                </w:p>
              </w:tc>
              <w:tc>
                <w:tcPr>
                  <w:tcW w:w="1179" w:type="pct"/>
                  <w:tcBorders>
                    <w:tl2br w:val="nil"/>
                    <w:tr2bl w:val="nil"/>
                  </w:tcBorders>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施工过程</w:t>
                  </w:r>
                </w:p>
              </w:tc>
              <w:tc>
                <w:tcPr>
                  <w:tcW w:w="1773" w:type="pct"/>
                  <w:tcBorders>
                    <w:tl2br w:val="nil"/>
                    <w:tr2bl w:val="nil"/>
                  </w:tcBorders>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噪声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5" w:type="pct"/>
                  <w:vMerge w:val="restart"/>
                  <w:tcBorders>
                    <w:tl2br w:val="nil"/>
                    <w:tr2bl w:val="nil"/>
                  </w:tcBorders>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固废</w:t>
                  </w:r>
                </w:p>
              </w:tc>
              <w:tc>
                <w:tcPr>
                  <w:tcW w:w="1291" w:type="pct"/>
                  <w:tcBorders>
                    <w:tl2br w:val="nil"/>
                    <w:tr2bl w:val="nil"/>
                  </w:tcBorders>
                  <w:vAlign w:val="center"/>
                </w:tcPr>
                <w:p>
                  <w:pPr>
                    <w:pStyle w:val="45"/>
                    <w:rPr>
                      <w:rFonts w:hint="eastAsia"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生活</w:t>
                  </w:r>
                  <w:r>
                    <w:rPr>
                      <w:rFonts w:hint="eastAsia"/>
                      <w:color w:val="000000" w:themeColor="text1"/>
                      <w:lang w:val="en-US" w:eastAsia="zh-CN"/>
                      <w14:textFill>
                        <w14:solidFill>
                          <w14:schemeClr w14:val="tx1"/>
                        </w14:solidFill>
                      </w14:textFill>
                    </w:rPr>
                    <w:t>垃圾</w:t>
                  </w:r>
                </w:p>
              </w:tc>
              <w:tc>
                <w:tcPr>
                  <w:tcW w:w="1179" w:type="pct"/>
                  <w:tcBorders>
                    <w:tl2br w:val="nil"/>
                    <w:tr2bl w:val="nil"/>
                  </w:tcBorders>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施工人员生活</w:t>
                  </w:r>
                </w:p>
              </w:tc>
              <w:tc>
                <w:tcPr>
                  <w:tcW w:w="1773" w:type="pct"/>
                  <w:tcBorders>
                    <w:tl2br w:val="nil"/>
                    <w:tr2bl w:val="nil"/>
                  </w:tcBorders>
                  <w:vAlign w:val="center"/>
                </w:tcPr>
                <w:p>
                  <w:pPr>
                    <w:pStyle w:val="4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生活垃圾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55" w:type="pct"/>
                  <w:vMerge w:val="continue"/>
                  <w:tcBorders>
                    <w:tl2br w:val="nil"/>
                    <w:tr2bl w:val="nil"/>
                  </w:tcBorders>
                  <w:vAlign w:val="center"/>
                </w:tcPr>
                <w:p>
                  <w:pPr>
                    <w:pStyle w:val="45"/>
                    <w:rPr>
                      <w:color w:val="000000" w:themeColor="text1"/>
                      <w14:textFill>
                        <w14:solidFill>
                          <w14:schemeClr w14:val="tx1"/>
                        </w14:solidFill>
                      </w14:textFill>
                    </w:rPr>
                  </w:pPr>
                </w:p>
              </w:tc>
              <w:tc>
                <w:tcPr>
                  <w:tcW w:w="1291" w:type="pct"/>
                  <w:tcBorders>
                    <w:tl2br w:val="nil"/>
                    <w:tr2bl w:val="nil"/>
                  </w:tcBorders>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建筑垃圾</w:t>
                  </w:r>
                </w:p>
              </w:tc>
              <w:tc>
                <w:tcPr>
                  <w:tcW w:w="1179" w:type="pct"/>
                  <w:tcBorders>
                    <w:tl2br w:val="nil"/>
                    <w:tr2bl w:val="nil"/>
                  </w:tcBorders>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施工过程</w:t>
                  </w:r>
                </w:p>
              </w:tc>
              <w:tc>
                <w:tcPr>
                  <w:tcW w:w="1773" w:type="pct"/>
                  <w:tcBorders>
                    <w:tl2br w:val="nil"/>
                    <w:tr2bl w:val="nil"/>
                  </w:tcBorders>
                  <w:vAlign w:val="center"/>
                </w:tcPr>
                <w:p>
                  <w:pPr>
                    <w:pStyle w:val="45"/>
                    <w:rPr>
                      <w:color w:val="000000" w:themeColor="text1"/>
                      <w:lang w:val="en-US"/>
                      <w14:textFill>
                        <w14:solidFill>
                          <w14:schemeClr w14:val="tx1"/>
                        </w14:solidFill>
                      </w14:textFill>
                    </w:rPr>
                  </w:pPr>
                  <w:r>
                    <w:rPr>
                      <w:color w:val="000000" w:themeColor="text1"/>
                      <w:lang w:eastAsia="zh-CN"/>
                      <w14:textFill>
                        <w14:solidFill>
                          <w14:schemeClr w14:val="tx1"/>
                        </w14:solidFill>
                      </w14:textFill>
                    </w:rPr>
                    <w:t>设备废包装物</w:t>
                  </w:r>
                </w:p>
              </w:tc>
            </w:tr>
          </w:tbl>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 xml:space="preserve"> </w:t>
            </w:r>
            <w:r>
              <w:rPr>
                <w:rFonts w:hint="eastAsia" w:cs="Times New Roman"/>
                <w:color w:val="000000" w:themeColor="text1"/>
                <w:lang w:val="en-US" w:eastAsia="zh-CN"/>
                <w14:textFill>
                  <w14:solidFill>
                    <w14:schemeClr w14:val="tx1"/>
                  </w14:solidFill>
                </w14:textFill>
              </w:rPr>
              <w:t>运营</w:t>
            </w:r>
            <w:r>
              <w:rPr>
                <w:rFonts w:hint="default" w:ascii="Times New Roman" w:hAnsi="Times New Roman" w:eastAsia="宋体" w:cs="Times New Roman"/>
                <w:color w:val="000000" w:themeColor="text1"/>
                <w:lang w:val="en-US" w:eastAsia="zh-CN"/>
                <w14:textFill>
                  <w14:solidFill>
                    <w14:schemeClr w14:val="tx1"/>
                  </w14:solidFill>
                </w14:textFill>
              </w:rPr>
              <w:t>期工艺流程简述</w:t>
            </w:r>
          </w:p>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r>
              <w:rPr>
                <w:rFonts w:hint="default" w:ascii="Times New Roman" w:hAnsi="Times New Roman" w:eastAsia="宋体" w:cs="Times New Roman"/>
                <w:color w:val="000000" w:themeColor="text1"/>
                <w:lang w:val="en-US" w:eastAsia="zh-CN"/>
                <w14:textFill>
                  <w14:solidFill>
                    <w14:schemeClr w14:val="tx1"/>
                  </w14:solidFill>
                </w14:textFill>
              </w:rPr>
              <w:t>.1 生产工艺流程图</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eastAsia" w:ascii="Times New Roman" w:hAnsi="Times New Roman" w:eastAsia="宋体" w:cs="Times New Roman"/>
                <w:b w:val="0"/>
                <w:bCs w:val="0"/>
                <w:color w:val="000000" w:themeColor="text1"/>
                <w:sz w:val="24"/>
                <w:lang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1、</w:t>
            </w:r>
            <w:r>
              <w:rPr>
                <w:rFonts w:hint="eastAsia" w:cs="Times New Roman"/>
                <w:b w:val="0"/>
                <w:bCs w:val="0"/>
                <w:color w:val="000000" w:themeColor="text1"/>
                <w:sz w:val="24"/>
                <w:lang w:eastAsia="zh-CN"/>
                <w14:textFill>
                  <w14:solidFill>
                    <w14:schemeClr w14:val="tx1"/>
                  </w14:solidFill>
                </w14:textFill>
              </w:rPr>
              <w:t>特高压导线工艺流程</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（1）</w:t>
            </w:r>
            <w:r>
              <w:rPr>
                <w:rFonts w:hint="default" w:ascii="Times New Roman" w:hAnsi="Times New Roman" w:cs="Times New Roman"/>
                <w:b w:val="0"/>
                <w:bCs w:val="0"/>
                <w:color w:val="000000" w:themeColor="text1"/>
                <w:sz w:val="24"/>
                <w:lang w:val="en-US" w:eastAsia="zh-CN"/>
                <w14:textFill>
                  <w14:solidFill>
                    <w14:schemeClr w14:val="tx1"/>
                  </w14:solidFill>
                </w14:textFill>
              </w:rPr>
              <w:t>拉丝</w:t>
            </w:r>
            <w:r>
              <w:rPr>
                <w:rFonts w:hint="eastAsia" w:cs="Times New Roman"/>
                <w:b w:val="0"/>
                <w:bCs w:val="0"/>
                <w:color w:val="000000" w:themeColor="text1"/>
                <w:sz w:val="24"/>
                <w:lang w:val="en-US" w:eastAsia="zh-CN"/>
                <w14:textFill>
                  <w14:solidFill>
                    <w14:schemeClr w14:val="tx1"/>
                  </w14:solidFill>
                </w14:textFill>
              </w:rPr>
              <w:t>：</w:t>
            </w:r>
            <w:r>
              <w:rPr>
                <w:rFonts w:hint="default" w:ascii="Times New Roman" w:hAnsi="Times New Roman" w:cs="Times New Roman"/>
                <w:b w:val="0"/>
                <w:bCs w:val="0"/>
                <w:color w:val="000000" w:themeColor="text1"/>
                <w:sz w:val="24"/>
                <w:lang w:val="en-US" w:eastAsia="zh-CN"/>
                <w14:textFill>
                  <w14:solidFill>
                    <w14:schemeClr w14:val="tx1"/>
                  </w14:solidFill>
                </w14:textFill>
              </w:rPr>
              <w:t>在常温下，电工圆铝杆与镀锌钢线利用拉丝机通过一道拉伸模具的模孔，使杆材（铝）截面减小、长度增加、强度提高（如从9 .5mm 拉至1.0~5.0mm 的铜丝）。主要操作要点是：将进线的头子轧尖，穿出第一模子35cm 左右，并把模子固定在穿模机的模座上，用穿模机上的夹钳夹住线关，开动穿模机，使穿模机滚筒绕约10~15 圈，用以上方法依次将所有模具穿好并将线头绕过牵收固定在收线盘上；根据线径大小调节好收线张力，拉丝机拉动。检查成品是否符合要求，符合要求方能开机；线盘排线应整齐，平坦，收线张力宜适宜，收线不得过满，离盘边不小于15mm；每盘下线要小心，不要有碰伤导线，品字型放在指定的区位，并按要求进行完工检验。经验收合格的产品挂上合格标签，并且做好记录。本项目使用的拉丝液，是用于拉拔工艺的一种助剂。在拉丝过程中，原料线与拉丝模、导向轮之间产生摩擦，拉丝液作用主要是润滑和冷却，减少金属间的摩擦，并带走所产生的热量。拉丝液还具备着防止原料线氧化、不粘线、清洗性、无泡沫、无毒、稳定的理化性能。拉丝液在拉丝机液槽内循环使用，不外排。</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（2）</w:t>
            </w:r>
            <w:r>
              <w:rPr>
                <w:rFonts w:hint="default" w:ascii="Times New Roman" w:hAnsi="Times New Roman" w:cs="Times New Roman"/>
                <w:b w:val="0"/>
                <w:bCs w:val="0"/>
                <w:color w:val="000000" w:themeColor="text1"/>
                <w:sz w:val="24"/>
                <w:lang w:val="en-US" w:eastAsia="zh-CN"/>
                <w14:textFill>
                  <w14:solidFill>
                    <w14:schemeClr w14:val="tx1"/>
                  </w14:solidFill>
                </w14:textFill>
              </w:rPr>
              <w:t>绞制：为了提高电线电缆的柔软度，以便于敷设安装，导电线芯采取多根单丝绞合而成。从导电线芯的绞合形式上，可分为规则绞合和非规则绞合。非规则绞合又分为束绞、同心复绞、特殊绞合等。为了减少导线的占用面积、缩小电缆的几何尺寸，在绞合导体的同时采用紧压形式，使普通圆形变异为半圆、扇形、瓦形和紧压的圆形。</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（3）</w:t>
            </w:r>
            <w:r>
              <w:rPr>
                <w:rFonts w:hint="default" w:ascii="Times New Roman" w:hAnsi="Times New Roman" w:cs="Times New Roman"/>
                <w:b w:val="0"/>
                <w:bCs w:val="0"/>
                <w:color w:val="000000" w:themeColor="text1"/>
                <w:sz w:val="24"/>
                <w:lang w:val="en-US" w:eastAsia="zh-CN"/>
                <w14:textFill>
                  <w14:solidFill>
                    <w14:schemeClr w14:val="tx1"/>
                  </w14:solidFill>
                </w14:textFill>
              </w:rPr>
              <w:t>成缆：对于多芯的电缆为了保证成型度、减小电缆的外形，一般都需要将其绞合为圆形。绞合的机理与导体绞制相仿，由于绞制节径较大，大多采用无退扭方式。成缆的技术要求：一是杜绝异型绝缘线芯翻身而导致电缆的扭弯；二是防止绝缘层被划伤。大部分电缆在成缆的同时伴随另外两个工序的完成：一个是填充，保证成缆后电缆的圆整和稳定；一个是绑扎，保证缆芯不松散。</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（4）</w:t>
            </w:r>
            <w:r>
              <w:rPr>
                <w:rFonts w:hint="default" w:ascii="Times New Roman" w:hAnsi="Times New Roman" w:cs="Times New Roman"/>
                <w:b w:val="0"/>
                <w:bCs w:val="0"/>
                <w:color w:val="000000" w:themeColor="text1"/>
                <w:sz w:val="24"/>
                <w:lang w:val="en-US" w:eastAsia="zh-CN"/>
                <w14:textFill>
                  <w14:solidFill>
                    <w14:schemeClr w14:val="tx1"/>
                  </w14:solidFill>
                </w14:textFill>
              </w:rPr>
              <w:t>检验入库：将产品检验入库</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特高压导线工艺流程及产污环节见图</w:t>
            </w:r>
            <w:r>
              <w:rPr>
                <w:rFonts w:hint="eastAsia" w:cs="Times New Roman"/>
                <w:b w:val="0"/>
                <w:bCs w:val="0"/>
                <w:color w:val="000000" w:themeColor="text1"/>
                <w:sz w:val="24"/>
                <w:lang w:val="en-US" w:eastAsia="zh-CN"/>
                <w14:textFill>
                  <w14:solidFill>
                    <w14:schemeClr w14:val="tx1"/>
                  </w14:solidFill>
                </w14:textFill>
              </w:rPr>
              <w:t>2-3</w:t>
            </w:r>
            <w:r>
              <w:rPr>
                <w:rFonts w:hint="default" w:ascii="Times New Roman" w:hAnsi="Times New Roman" w:cs="Times New Roman"/>
                <w:color w:val="000000" w:themeColor="text1"/>
                <w:lang w:val="en-US" w:eastAsia="zh-CN"/>
                <w14:textFill>
                  <w14:solidFill>
                    <w14:schemeClr w14:val="tx1"/>
                  </w14:solidFill>
                </w14:textFill>
              </w:rPr>
              <w:t>。</w:t>
            </w:r>
          </w:p>
          <w:p>
            <w:pPr>
              <w:pStyle w:val="27"/>
              <w:ind w:firstLine="0" w:firstLineChars="0"/>
              <w:jc w:val="center"/>
              <w:rPr>
                <w:rFonts w:hint="default" w:ascii="Times New Roman" w:hAnsi="Times New Roman" w:cs="Times New Roman"/>
                <w:color w:val="000000" w:themeColor="text1"/>
                <w:lang w:eastAsia="zh-CN"/>
                <w14:textFill>
                  <w14:solidFill>
                    <w14:schemeClr w14:val="tx1"/>
                  </w14:solidFill>
                </w14:textFill>
              </w:rPr>
            </w:pPr>
            <w:r>
              <w:drawing>
                <wp:inline distT="0" distB="0" distL="114300" distR="114300">
                  <wp:extent cx="5033010" cy="2987040"/>
                  <wp:effectExtent l="0" t="0" r="15240" b="381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1"/>
                          <a:stretch>
                            <a:fillRect/>
                          </a:stretch>
                        </pic:blipFill>
                        <pic:spPr>
                          <a:xfrm>
                            <a:off x="0" y="0"/>
                            <a:ext cx="5033010" cy="2987040"/>
                          </a:xfrm>
                          <a:prstGeom prst="rect">
                            <a:avLst/>
                          </a:prstGeom>
                          <a:noFill/>
                          <a:ln>
                            <a:noFill/>
                          </a:ln>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图</w:t>
            </w:r>
            <w:r>
              <w:rPr>
                <w:rFonts w:hint="eastAsia" w:cs="Times New Roman"/>
                <w:color w:val="000000" w:themeColor="text1"/>
                <w:sz w:val="21"/>
                <w:szCs w:val="21"/>
                <w:lang w:val="en-US" w:eastAsia="zh-CN"/>
                <w14:textFill>
                  <w14:solidFill>
                    <w14:schemeClr w14:val="tx1"/>
                  </w14:solidFill>
                </w14:textFill>
              </w:rPr>
              <w:t>2-3</w:t>
            </w:r>
            <w:r>
              <w:rPr>
                <w:rFonts w:hint="default" w:ascii="Times New Roman" w:hAnsi="Times New Roman" w:cs="Times New Roman"/>
                <w:color w:val="000000" w:themeColor="text1"/>
                <w:sz w:val="21"/>
                <w:szCs w:val="21"/>
                <w14:textFill>
                  <w14:solidFill>
                    <w14:schemeClr w14:val="tx1"/>
                  </w14:solidFill>
                </w14:textFill>
              </w:rPr>
              <w:t xml:space="preserve">   特高压导线工艺流程及产污环节图</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2、低压电缆生产线工艺流程</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（1）拉丝</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本项目所用铝/铝合金线材进行拉丝工艺加工处理，拉拔至工艺所需要求直径的铝丝、铝合金丝。拉丝工艺即在外力作用下使金属强行通过模具，金属横截面积被压缩，并获得所要求横截面积形状和尺寸的技术加工方法。铝/ 铝合金杆大拉机拉丝时，在外应力的作用下，将会产生大量的热。为了润滑导体和降低导体温度，需要将导体浸润在拉丝液中进行拉丝。</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（2）绞线、时效</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将铝丝/铝合金丝使用绞线机将盘绞机和盘框绞机进行绞合，形成导线芯，绞合数量一般为7-91 股。</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铝合金线材拉丝后需进行时效处理，时效处理采用电加热，时效炉加热温度约为340℃，以提高铝合金导体的提高硬度和强度质量。</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（3）挤绝缘</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导线芯经挤塑机挤压一层绝缘层，进行火花试验，检验绝缘电气性能。</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项目挤塑机采用电加热，交联聚乙烯挤出温度约195℃。将外购交联聚乙烯颗粒采用真空上料机上料至挤塑机料斗，在导线芯经过挤塑机时对其进行加热并挤出，对导线芯进行绝缘包裹，然后经设备自带的冷却水槽与冷却水直接接触进行绝缘冷却。挤绝缘过程中产生有机废气，主要成分为非甲烷总烃。</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（4）蒸汽交联</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挤塑后的导线芯送蒸线房进行蒸汽交联成三维网状结构，以最大限度地保证绝缘套的性能。首先将电缆送入蒸线房，蒸汽通过管道进入蒸线房，温度保持在95 ℃，交联时间约4小时左右，然后关闭蒸汽，保温1-2h，喷淋水降温后，打开交联房，将交联的电缆取出。</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（5）成缆</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用成缆机将挤塑后的多根绝缘芯成缆。对成缆后的电缆进行绕包带，其中无纺布主要作用为绑扎，阻水带主要作用为防潮，PP 绳主要作用为填充、阻燃。</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（6）挤制/绕包隔离套</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成缆后经挤塑机挤制隔离套，隔离套材质为聚乙烯/聚氯乙烯。挤塑温度为160℃~180℃的分解温度。可在成缆增加绕包设备，采用PVC、PE、聚烯烃绕包带进行绕包隔离层。</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（7）钢带铠装</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用耐腐蚀的镀锌钢带绕包电缆，主要作用为防损坏、防腐蚀，使用800铠装机生产，主要作用为防损坏、抗垂直压力。若电缆用户有特殊要求，如需铜丝屏蔽等结构，使用铜丝屏蔽机将多跟单丝缠绕在电缆内芯外，用于在使用时屏蔽电场。</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（8）挤制外护套</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铠装后的电缆最后在挤塑机挤出外护套，外护套采用聚乙烯或聚氯乙烯挤塑而成。</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（9）成品检验、包装入库</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成品电缆运至成品试验区进行质量检测，截取成盘电缆30cm 左右，采用绝缘电阻测试仪、火花试验机、耐压试验机系统等进行检验，检验合格后采用电缆木轴、塑料薄膜进行包装，包装后即为成品</w:t>
            </w:r>
            <w:r>
              <w:rPr>
                <w:rFonts w:hint="eastAsia" w:cs="Times New Roman"/>
                <w:b w:val="0"/>
                <w:bCs w:val="0"/>
                <w:color w:val="000000" w:themeColor="text1"/>
                <w:sz w:val="24"/>
                <w:lang w:val="en-US" w:eastAsia="zh-CN"/>
                <w14:textFill>
                  <w14:solidFill>
                    <w14:schemeClr w14:val="tx1"/>
                  </w14:solidFill>
                </w14:textFill>
              </w:rPr>
              <w:t>。</w:t>
            </w:r>
          </w:p>
          <w:p>
            <w:pPr>
              <w:pStyle w:val="27"/>
              <w:keepNext w:val="0"/>
              <w:keepLines w:val="0"/>
              <w:pageBreakBefore w:val="0"/>
              <w:widowControl w:val="0"/>
              <w:kinsoku/>
              <w:wordWrap/>
              <w:overflowPunct/>
              <w:autoSpaceDE/>
              <w:autoSpaceDN/>
              <w:bidi w:val="0"/>
              <w:adjustRightInd/>
              <w:snapToGrid/>
              <w:spacing w:after="0" w:line="360" w:lineRule="auto"/>
              <w:ind w:left="0" w:leftChars="0" w:firstLine="0" w:firstLineChars="0"/>
              <w:jc w:val="center"/>
              <w:rPr>
                <w:rFonts w:hint="default" w:cs="Times New Roman"/>
                <w:b w:val="0"/>
                <w:bCs w:val="0"/>
                <w:color w:val="000000" w:themeColor="text1"/>
                <w:sz w:val="24"/>
                <w:lang w:val="en-US" w:eastAsia="zh-CN"/>
                <w14:textFill>
                  <w14:solidFill>
                    <w14:schemeClr w14:val="tx1"/>
                  </w14:solidFill>
                </w14:textFill>
              </w:rPr>
            </w:pPr>
            <w:r>
              <w:drawing>
                <wp:inline distT="0" distB="0" distL="114300" distR="114300">
                  <wp:extent cx="4848225" cy="6467475"/>
                  <wp:effectExtent l="0" t="0" r="9525"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2"/>
                          <a:stretch>
                            <a:fillRect/>
                          </a:stretch>
                        </pic:blipFill>
                        <pic:spPr>
                          <a:xfrm>
                            <a:off x="0" y="0"/>
                            <a:ext cx="4848225" cy="6467475"/>
                          </a:xfrm>
                          <a:prstGeom prst="rect">
                            <a:avLst/>
                          </a:prstGeom>
                          <a:noFill/>
                          <a:ln>
                            <a:noFill/>
                          </a:ln>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图</w:t>
            </w:r>
            <w:r>
              <w:rPr>
                <w:rFonts w:hint="eastAsia" w:cs="Times New Roman"/>
                <w:color w:val="000000" w:themeColor="text1"/>
                <w:sz w:val="21"/>
                <w:szCs w:val="21"/>
                <w:lang w:val="en-US" w:eastAsia="zh-CN"/>
                <w14:textFill>
                  <w14:solidFill>
                    <w14:schemeClr w14:val="tx1"/>
                  </w14:solidFill>
                </w14:textFill>
              </w:rPr>
              <w:t>2-4</w:t>
            </w:r>
            <w:r>
              <w:rPr>
                <w:rFonts w:hint="default" w:ascii="Times New Roman" w:hAnsi="Times New Roman" w:cs="Times New Roman"/>
                <w:color w:val="000000" w:themeColor="text1"/>
                <w:sz w:val="21"/>
                <w:szCs w:val="21"/>
                <w14:textFill>
                  <w14:solidFill>
                    <w14:schemeClr w14:val="tx1"/>
                  </w14:solidFill>
                </w14:textFill>
              </w:rPr>
              <w:t xml:space="preserve">   低压电缆生产工艺流程及产污环节图</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3、电工铝杆工艺流程</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（1）熔铝炉</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矩形蓄热式熔铝炉使用的原料为天然气，将纯度为99 .7%铝锭投入熔解炉中进行熔解，熔化均以天然气为燃料，熔化温度为700℃~720℃。熔解后的铝合金液运送至保温炉中进行保温。熔解工序仅对外铝合锭进行熔解，无需添加任何其他物质进行调质处理。熔炉熔化过程产生烟尘、噪声。</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（2）保温炉</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倾动式保温炉承接熔铝炉转入的铝液，保温炉为730~750℃，保温炉里添加除渣剂，将定量除渣剂装入喷射装置的储料罐中，盖好上盖。打开除渣罐开关通入氮气（要求氮气压力为1.2－1 .8kg/cm</w:t>
            </w:r>
            <w:r>
              <w:rPr>
                <w:rFonts w:hint="default" w:cs="Times New Roman"/>
                <w:b w:val="0"/>
                <w:bCs w:val="0"/>
                <w:color w:val="000000" w:themeColor="text1"/>
                <w:sz w:val="24"/>
                <w:vertAlign w:val="superscript"/>
                <w:lang w:val="en-US" w:eastAsia="zh-CN"/>
                <w14:textFill>
                  <w14:solidFill>
                    <w14:schemeClr w14:val="tx1"/>
                  </w14:solidFill>
                </w14:textFill>
              </w:rPr>
              <w:t>2</w:t>
            </w:r>
            <w:r>
              <w:rPr>
                <w:rFonts w:hint="default" w:cs="Times New Roman"/>
                <w:b w:val="0"/>
                <w:bCs w:val="0"/>
                <w:color w:val="000000" w:themeColor="text1"/>
                <w:sz w:val="24"/>
                <w:lang w:val="en-US" w:eastAsia="zh-CN"/>
                <w14:textFill>
                  <w14:solidFill>
                    <w14:schemeClr w14:val="tx1"/>
                  </w14:solidFill>
                </w14:textFill>
              </w:rPr>
              <w:t>），当除渣铁管内有除渣剂喷出时，即可将铁管插入熔池内作缓慢均匀移动，时间为10～15分钟，待罐内熔剂全部喷尽时继续喷气3-5分钟，抽出熔剂管关闭氮气。铝液在保温炉中经过升温、保温、静置、扒渣处理，熔体成分和温度符合工艺要求后，将铝液经铸造流槽进入后续的除气和过滤箱进行熔体静化处理，然后进入连铸连轧机。</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（3）连铸连轧</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保温炉内温度</w:t>
            </w:r>
            <w:r>
              <w:rPr>
                <w:rFonts w:hint="eastAsia" w:cs="Times New Roman"/>
                <w:b w:val="0"/>
                <w:bCs w:val="0"/>
                <w:color w:val="000000" w:themeColor="text1"/>
                <w:sz w:val="24"/>
                <w:lang w:val="en-US" w:eastAsia="zh-CN"/>
                <w14:textFill>
                  <w14:solidFill>
                    <w14:schemeClr w14:val="tx1"/>
                  </w14:solidFill>
                </w14:textFill>
              </w:rPr>
              <w:t>为</w:t>
            </w:r>
            <w:r>
              <w:rPr>
                <w:rFonts w:hint="default" w:cs="Times New Roman"/>
                <w:b w:val="0"/>
                <w:bCs w:val="0"/>
                <w:color w:val="000000" w:themeColor="text1"/>
                <w:sz w:val="24"/>
                <w:lang w:val="en-US" w:eastAsia="zh-CN"/>
                <w14:textFill>
                  <w14:solidFill>
                    <w14:schemeClr w14:val="tx1"/>
                  </w14:solidFill>
                </w14:textFill>
              </w:rPr>
              <w:t>730℃左右铝水通过流槽进入连铸机结晶轮槽中，经循环冷却水冷却铸造成5cm³的方形铝条温度保持在400℃，在前牵引机带动下，进入连轧机组，连轧机组由多组不同直径的单轧机组成，经连轧机组作用形成可φ9 .5mm、φ12mm、φ15mm 电工圆铝杆。</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（4）成卷收线</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本装置采用无油收杆，由操作平台、夹送装置、环形摆线装置、盛线框组成，轧机成型后直接由铝杆成圈装置收线成卷。</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（4）检验入库</w:t>
            </w:r>
          </w:p>
          <w:p>
            <w:pPr>
              <w:pStyle w:val="27"/>
              <w:keepNext w:val="0"/>
              <w:keepLines w:val="0"/>
              <w:pageBreakBefore w:val="0"/>
              <w:widowControl w:val="0"/>
              <w:kinsoku/>
              <w:wordWrap/>
              <w:overflowPunct/>
              <w:autoSpaceDE/>
              <w:autoSpaceDN/>
              <w:bidi w:val="0"/>
              <w:adjustRightInd/>
              <w:snapToGrid/>
              <w:spacing w:after="0"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t>对生产的电工圆铝杆进行检验，包装入库，不合格电工圆铝杆回用生产</w:t>
            </w:r>
            <w:r>
              <w:rPr>
                <w:rFonts w:hint="eastAsia" w:cs="Times New Roman"/>
                <w:b w:val="0"/>
                <w:bCs w:val="0"/>
                <w:color w:val="000000" w:themeColor="text1"/>
                <w:sz w:val="24"/>
                <w:lang w:val="en-US" w:eastAsia="zh-CN"/>
                <w14:textFill>
                  <w14:solidFill>
                    <w14:schemeClr w14:val="tx1"/>
                  </w14:solidFill>
                </w14:textFill>
              </w:rPr>
              <w:t>。</w:t>
            </w:r>
            <w:r>
              <w:rPr>
                <w:rFonts w:hint="default" w:cs="Times New Roman"/>
                <w:b w:val="0"/>
                <w:bCs w:val="0"/>
                <w:color w:val="000000" w:themeColor="text1"/>
                <w:sz w:val="24"/>
                <w:lang w:val="en-US" w:eastAsia="zh-CN"/>
                <w14:textFill>
                  <w14:solidFill>
                    <w14:schemeClr w14:val="tx1"/>
                  </w14:solidFill>
                </w14:textFill>
              </w:rPr>
              <w:t xml:space="preserve"> </w:t>
            </w:r>
          </w:p>
          <w:p>
            <w:pPr>
              <w:pStyle w:val="27"/>
              <w:keepNext w:val="0"/>
              <w:keepLines w:val="0"/>
              <w:pageBreakBefore w:val="0"/>
              <w:widowControl w:val="0"/>
              <w:kinsoku/>
              <w:wordWrap/>
              <w:overflowPunct/>
              <w:autoSpaceDE/>
              <w:autoSpaceDN/>
              <w:bidi w:val="0"/>
              <w:adjustRightInd/>
              <w:snapToGrid/>
              <w:spacing w:after="0" w:line="360" w:lineRule="auto"/>
              <w:ind w:left="0" w:leftChars="0" w:firstLine="0" w:firstLineChars="0"/>
              <w:jc w:val="center"/>
              <w:rPr>
                <w:rFonts w:hint="default" w:cs="Times New Roman"/>
                <w:b w:val="0"/>
                <w:bCs w:val="0"/>
                <w:color w:val="000000" w:themeColor="text1"/>
                <w:sz w:val="24"/>
                <w:lang w:val="en-US" w:eastAsia="zh-CN"/>
                <w14:textFill>
                  <w14:solidFill>
                    <w14:schemeClr w14:val="tx1"/>
                  </w14:solidFill>
                </w14:textFill>
              </w:rPr>
            </w:pPr>
            <w:r>
              <w:rPr>
                <w:rFonts w:hint="default" w:cs="Times New Roman"/>
                <w:b w:val="0"/>
                <w:bCs w:val="0"/>
                <w:color w:val="000000" w:themeColor="text1"/>
                <w:sz w:val="24"/>
                <w:lang w:val="en-US" w:eastAsia="zh-CN"/>
                <w14:textFill>
                  <w14:solidFill>
                    <w14:schemeClr w14:val="tx1"/>
                  </w14:solidFill>
                </w14:textFill>
              </w:rPr>
              <w:drawing>
                <wp:inline distT="0" distB="0" distL="114300" distR="114300">
                  <wp:extent cx="3948430" cy="3304540"/>
                  <wp:effectExtent l="0" t="0" r="13970" b="10160"/>
                  <wp:docPr id="1" name="图片 1" descr="工艺流程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工艺流程_05"/>
                          <pic:cNvPicPr>
                            <a:picLocks noChangeAspect="1"/>
                          </pic:cNvPicPr>
                        </pic:nvPicPr>
                        <pic:blipFill>
                          <a:blip r:embed="rId23"/>
                          <a:srcRect l="6206" t="14424" r="33206" b="13885"/>
                          <a:stretch>
                            <a:fillRect/>
                          </a:stretch>
                        </pic:blipFill>
                        <pic:spPr>
                          <a:xfrm>
                            <a:off x="0" y="0"/>
                            <a:ext cx="3948430" cy="3304540"/>
                          </a:xfrm>
                          <a:prstGeom prst="rect">
                            <a:avLst/>
                          </a:prstGeom>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图</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2-5</w:t>
            </w:r>
            <w:r>
              <w:rPr>
                <w:rFonts w:hint="default" w:ascii="Times New Roman" w:hAnsi="Times New Roman" w:eastAsia="宋体" w:cs="Times New Roman"/>
                <w:color w:val="000000" w:themeColor="text1"/>
                <w:sz w:val="21"/>
                <w:szCs w:val="21"/>
                <w14:textFill>
                  <w14:solidFill>
                    <w14:schemeClr w14:val="tx1"/>
                  </w14:solidFill>
                </w14:textFill>
              </w:rPr>
              <w:t xml:space="preserve">   </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电工铝杆</w:t>
            </w:r>
            <w:r>
              <w:rPr>
                <w:rFonts w:hint="default" w:ascii="Times New Roman" w:hAnsi="Times New Roman" w:eastAsia="宋体" w:cs="Times New Roman"/>
                <w:color w:val="000000" w:themeColor="text1"/>
                <w:sz w:val="21"/>
                <w:szCs w:val="21"/>
                <w14:textFill>
                  <w14:solidFill>
                    <w14:schemeClr w14:val="tx1"/>
                  </w14:solidFill>
                </w14:textFill>
              </w:rPr>
              <w:t>生产工艺流程及产污环节图</w:t>
            </w:r>
          </w:p>
          <w:p>
            <w:pPr>
              <w:pStyle w:val="8"/>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2.2 产排污环节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 w:val="0"/>
                <w:bCs/>
                <w:color w:val="000000" w:themeColor="text1"/>
                <w:lang w:val="en-US" w:eastAsia="zh-CN"/>
                <w14:textFill>
                  <w14:solidFill>
                    <w14:schemeClr w14:val="tx1"/>
                  </w14:solidFill>
                </w14:textFill>
              </w:rPr>
            </w:pPr>
            <w:r>
              <w:rPr>
                <w:rFonts w:hint="default" w:ascii="Times New Roman" w:hAnsi="Times New Roman" w:cs="Times New Roman"/>
                <w:b w:val="0"/>
                <w:bCs/>
                <w:color w:val="000000" w:themeColor="text1"/>
                <w:lang w:val="en-US" w:eastAsia="zh-CN"/>
                <w14:textFill>
                  <w14:solidFill>
                    <w14:schemeClr w14:val="tx1"/>
                  </w14:solidFill>
                </w14:textFill>
              </w:rPr>
              <w:t>本项目运营期污染工序与污染因子见表2-</w:t>
            </w:r>
            <w:r>
              <w:rPr>
                <w:rFonts w:hint="eastAsia" w:cs="Times New Roman"/>
                <w:b w:val="0"/>
                <w:bCs/>
                <w:color w:val="000000" w:themeColor="text1"/>
                <w:lang w:val="en-US" w:eastAsia="zh-CN"/>
                <w14:textFill>
                  <w14:solidFill>
                    <w14:schemeClr w14:val="tx1"/>
                  </w14:solidFill>
                </w14:textFill>
              </w:rPr>
              <w:t>8</w:t>
            </w:r>
            <w:r>
              <w:rPr>
                <w:rFonts w:hint="default" w:ascii="Times New Roman" w:hAnsi="Times New Roman" w:cs="Times New Roman"/>
                <w:b w:val="0"/>
                <w:bCs/>
                <w:color w:val="000000" w:themeColor="text1"/>
                <w:lang w:val="en-US" w:eastAsia="zh-CN"/>
                <w14:textFill>
                  <w14:solidFill>
                    <w14:schemeClr w14:val="tx1"/>
                  </w14:solidFill>
                </w14:textFill>
              </w:rPr>
              <w:t>。</w:t>
            </w:r>
          </w:p>
          <w:p>
            <w:pPr>
              <w:pStyle w:val="44"/>
              <w:bidi w:val="0"/>
              <w:spacing w:line="240" w:lineRule="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表2-</w:t>
            </w:r>
            <w:r>
              <w:rPr>
                <w:rFonts w:hint="eastAsia" w:cs="Times New Roman"/>
                <w:color w:val="000000" w:themeColor="text1"/>
                <w:sz w:val="21"/>
                <w:szCs w:val="21"/>
                <w:lang w:val="en-US" w:eastAsia="zh-CN"/>
                <w14:textFill>
                  <w14:solidFill>
                    <w14:schemeClr w14:val="tx1"/>
                  </w14:solidFill>
                </w14:textFill>
              </w:rPr>
              <w:t>8</w:t>
            </w:r>
            <w:r>
              <w:rPr>
                <w:rFonts w:hint="default" w:ascii="Times New Roman" w:hAnsi="Times New Roman" w:cs="Times New Roman"/>
                <w:color w:val="000000" w:themeColor="text1"/>
                <w:sz w:val="21"/>
                <w:szCs w:val="21"/>
                <w:lang w:val="en-US" w:eastAsia="zh-CN"/>
                <w14:textFill>
                  <w14:solidFill>
                    <w14:schemeClr w14:val="tx1"/>
                  </w14:solidFill>
                </w14:textFill>
              </w:rPr>
              <w:t xml:space="preserve">   </w:t>
            </w:r>
            <w:r>
              <w:rPr>
                <w:rFonts w:hint="eastAsia" w:cs="Times New Roman"/>
                <w:color w:val="000000" w:themeColor="text1"/>
                <w:sz w:val="21"/>
                <w:szCs w:val="21"/>
                <w:lang w:val="en-US" w:eastAsia="zh-CN"/>
                <w14:textFill>
                  <w14:solidFill>
                    <w14:schemeClr w14:val="tx1"/>
                  </w14:solidFill>
                </w14:textFill>
              </w:rPr>
              <w:t>运营期</w:t>
            </w:r>
            <w:r>
              <w:rPr>
                <w:rFonts w:hint="default" w:ascii="Times New Roman" w:hAnsi="Times New Roman" w:cs="Times New Roman"/>
                <w:color w:val="000000" w:themeColor="text1"/>
                <w:sz w:val="21"/>
                <w:szCs w:val="21"/>
                <w:lang w:val="en-US" w:eastAsia="zh-CN"/>
                <w14:textFill>
                  <w14:solidFill>
                    <w14:schemeClr w14:val="tx1"/>
                  </w14:solidFill>
                </w14:textFill>
              </w:rPr>
              <w:t>产排污情况汇总表</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1731"/>
              <w:gridCol w:w="2827"/>
              <w:gridCol w:w="24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bottom w:val="single" w:color="auto" w:sz="12" w:space="0"/>
                  </w:tcBorders>
                  <w:noWrap w:val="0"/>
                  <w:vAlign w:val="center"/>
                </w:tcPr>
                <w:p>
                  <w:pPr>
                    <w:pStyle w:val="45"/>
                    <w:widowControl w:val="0"/>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序号</w:t>
                  </w:r>
                </w:p>
              </w:tc>
              <w:tc>
                <w:tcPr>
                  <w:tcW w:w="1100" w:type="pct"/>
                  <w:tcBorders>
                    <w:bottom w:val="single" w:color="auto" w:sz="12" w:space="0"/>
                  </w:tcBorders>
                  <w:noWrap w:val="0"/>
                  <w:vAlign w:val="center"/>
                </w:tcPr>
                <w:p>
                  <w:pPr>
                    <w:pStyle w:val="45"/>
                    <w:widowControl w:val="0"/>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污染类别</w:t>
                  </w:r>
                </w:p>
              </w:tc>
              <w:tc>
                <w:tcPr>
                  <w:tcW w:w="1796" w:type="pct"/>
                  <w:tcBorders>
                    <w:bottom w:val="single" w:color="auto" w:sz="12" w:space="0"/>
                  </w:tcBorders>
                  <w:noWrap w:val="0"/>
                  <w:vAlign w:val="center"/>
                </w:tcPr>
                <w:p>
                  <w:pPr>
                    <w:pStyle w:val="45"/>
                    <w:widowControl w:val="0"/>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污染源/污染工序</w:t>
                  </w:r>
                </w:p>
              </w:tc>
              <w:tc>
                <w:tcPr>
                  <w:tcW w:w="1541" w:type="pct"/>
                  <w:tcBorders>
                    <w:bottom w:val="single" w:color="auto" w:sz="12" w:space="0"/>
                  </w:tcBorders>
                  <w:noWrap w:val="0"/>
                  <w:vAlign w:val="center"/>
                </w:tcPr>
                <w:p>
                  <w:pPr>
                    <w:pStyle w:val="45"/>
                    <w:widowControl w:val="0"/>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污染因子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12"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p>
              </w:tc>
              <w:tc>
                <w:tcPr>
                  <w:tcW w:w="1100" w:type="pct"/>
                  <w:vMerge w:val="restart"/>
                  <w:tcBorders>
                    <w:top w:val="single" w:color="auto" w:sz="12"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废气</w:t>
                  </w:r>
                </w:p>
              </w:tc>
              <w:tc>
                <w:tcPr>
                  <w:tcW w:w="1796" w:type="pct"/>
                  <w:tcBorders>
                    <w:top w:val="single" w:color="auto" w:sz="12"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熔铝、保温</w:t>
                  </w:r>
                  <w:r>
                    <w:rPr>
                      <w:rFonts w:hint="eastAsia" w:cs="Times New Roman"/>
                      <w:color w:val="000000" w:themeColor="text1"/>
                      <w:lang w:val="en-US" w:eastAsia="zh-CN"/>
                      <w14:textFill>
                        <w14:solidFill>
                          <w14:schemeClr w14:val="tx1"/>
                        </w14:solidFill>
                      </w14:textFill>
                    </w:rPr>
                    <w:t>工序</w:t>
                  </w:r>
                </w:p>
              </w:tc>
              <w:tc>
                <w:tcPr>
                  <w:tcW w:w="1541" w:type="pct"/>
                  <w:tcBorders>
                    <w:top w:val="single" w:color="auto" w:sz="12"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颗粒物、NOx、SO</w:t>
                  </w:r>
                  <w:r>
                    <w:rPr>
                      <w:rFonts w:hint="default" w:ascii="Times New Roman" w:hAnsi="Times New Roman" w:cs="Times New Roman"/>
                      <w:color w:val="000000" w:themeColor="text1"/>
                      <w:vertAlign w:val="subscript"/>
                      <w:lang w:val="en-US" w:eastAsia="zh-CN"/>
                      <w14:textFill>
                        <w14:solidFill>
                          <w14:schemeClr w14:val="tx1"/>
                        </w14:solidFill>
                      </w14:textFill>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12"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12" w:space="0"/>
                    <w:bottom w:val="single" w:color="auto" w:sz="8" w:space="0"/>
                    <w:tl2br w:val="nil"/>
                    <w:tr2bl w:val="nil"/>
                  </w:tcBorders>
                  <w:noWrap w:val="0"/>
                  <w:vAlign w:val="center"/>
                </w:tcPr>
                <w:p>
                  <w:pPr>
                    <w:pStyle w:val="45"/>
                    <w:widowControl w:val="0"/>
                    <w:bidi w:val="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连铸连轧工序</w:t>
                  </w:r>
                </w:p>
              </w:tc>
              <w:tc>
                <w:tcPr>
                  <w:tcW w:w="1541" w:type="pct"/>
                  <w:tcBorders>
                    <w:top w:val="single" w:color="auto" w:sz="12" w:space="0"/>
                    <w:bottom w:val="single" w:color="auto" w:sz="8" w:space="0"/>
                    <w:tl2br w:val="nil"/>
                    <w:tr2bl w:val="nil"/>
                  </w:tcBorders>
                  <w:noWrap w:val="0"/>
                  <w:vAlign w:val="center"/>
                </w:tcPr>
                <w:p>
                  <w:pPr>
                    <w:pStyle w:val="45"/>
                    <w:widowControl w:val="0"/>
                    <w:bidi w:val="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油雾（以非甲烷总烃计）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12"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12" w:space="0"/>
                    <w:bottom w:val="single" w:color="auto" w:sz="8" w:space="0"/>
                    <w:tl2br w:val="nil"/>
                    <w:tr2bl w:val="nil"/>
                  </w:tcBorders>
                  <w:noWrap w:val="0"/>
                  <w:vAlign w:val="center"/>
                </w:tcPr>
                <w:p>
                  <w:pPr>
                    <w:pStyle w:val="45"/>
                    <w:widowControl w:val="0"/>
                    <w:bidi w:val="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挤塑工序</w:t>
                  </w:r>
                </w:p>
              </w:tc>
              <w:tc>
                <w:tcPr>
                  <w:tcW w:w="1541" w:type="pct"/>
                  <w:tcBorders>
                    <w:top w:val="single" w:color="auto" w:sz="12" w:space="0"/>
                    <w:bottom w:val="single" w:color="auto" w:sz="8" w:space="0"/>
                    <w:tl2br w:val="nil"/>
                    <w:tr2bl w:val="nil"/>
                  </w:tcBorders>
                  <w:noWrap w:val="0"/>
                  <w:vAlign w:val="center"/>
                </w:tcPr>
                <w:p>
                  <w:pPr>
                    <w:pStyle w:val="45"/>
                    <w:widowControl w:val="0"/>
                    <w:bidi w:val="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非甲烷总烃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1100" w:type="pct"/>
                  <w:tcBorders>
                    <w:top w:val="single" w:color="auto" w:sz="8"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噪声</w:t>
                  </w:r>
                </w:p>
              </w:tc>
              <w:tc>
                <w:tcPr>
                  <w:tcW w:w="1796" w:type="pct"/>
                  <w:tcBorders>
                    <w:top w:val="single" w:color="auto" w:sz="8"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生产设备</w:t>
                  </w:r>
                </w:p>
              </w:tc>
              <w:tc>
                <w:tcPr>
                  <w:tcW w:w="1541" w:type="pct"/>
                  <w:tcBorders>
                    <w:top w:val="single" w:color="auto" w:sz="8"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等效声级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6</w:t>
                  </w:r>
                </w:p>
              </w:tc>
              <w:tc>
                <w:tcPr>
                  <w:tcW w:w="1100" w:type="pct"/>
                  <w:vMerge w:val="restart"/>
                  <w:tcBorders>
                    <w:top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废水</w:t>
                  </w:r>
                </w:p>
              </w:tc>
              <w:tc>
                <w:tcPr>
                  <w:tcW w:w="1796" w:type="pct"/>
                  <w:tcBorders>
                    <w:top w:val="single" w:color="auto" w:sz="8"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职工生活</w:t>
                  </w:r>
                </w:p>
              </w:tc>
              <w:tc>
                <w:tcPr>
                  <w:tcW w:w="1541" w:type="pct"/>
                  <w:tcBorders>
                    <w:top w:val="single" w:color="auto" w:sz="8"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COD</w:t>
                  </w:r>
                  <w:r>
                    <w:rPr>
                      <w:rFonts w:hint="default" w:cs="Times New Roman"/>
                      <w:color w:val="000000" w:themeColor="text1"/>
                      <w:vertAlign w:val="subscript"/>
                      <w:lang w:val="en-US" w:eastAsia="zh-CN"/>
                      <w14:textFill>
                        <w14:solidFill>
                          <w14:schemeClr w14:val="tx1"/>
                        </w14:solidFill>
                      </w14:textFill>
                    </w:rPr>
                    <w:t>Cr</w:t>
                  </w:r>
                  <w:r>
                    <w:rPr>
                      <w:rFonts w:hint="default" w:ascii="Times New Roman" w:hAnsi="Times New Roman" w:cs="Times New Roman"/>
                      <w:color w:val="000000" w:themeColor="text1"/>
                      <w:lang w:val="en-US" w:eastAsia="zh-CN"/>
                      <w14:textFill>
                        <w14:solidFill>
                          <w14:schemeClr w14:val="tx1"/>
                        </w14:solidFill>
                      </w14:textFill>
                    </w:rPr>
                    <w:t>、SS、BOD</w:t>
                  </w:r>
                  <w:r>
                    <w:rPr>
                      <w:rFonts w:hint="default" w:ascii="Times New Roman" w:hAnsi="Times New Roman" w:cs="Times New Roman"/>
                      <w:color w:val="000000" w:themeColor="text1"/>
                      <w:vertAlign w:val="subscript"/>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、NH</w:t>
                  </w:r>
                  <w:r>
                    <w:rPr>
                      <w:rFonts w:hint="default" w:ascii="Times New Roman" w:hAnsi="Times New Roman" w:cs="Times New Roman"/>
                      <w:color w:val="000000" w:themeColor="text1"/>
                      <w:vertAlign w:val="sub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-N</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7</w:t>
                  </w:r>
                </w:p>
              </w:tc>
              <w:tc>
                <w:tcPr>
                  <w:tcW w:w="1100" w:type="pct"/>
                  <w:vMerge w:val="continue"/>
                  <w:tcBorders>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冷却循环水</w:t>
                  </w:r>
                </w:p>
              </w:tc>
              <w:tc>
                <w:tcPr>
                  <w:tcW w:w="1541" w:type="pct"/>
                  <w:tcBorders>
                    <w:top w:val="single" w:color="auto" w:sz="8" w:space="0"/>
                    <w:bottom w:val="single" w:color="auto" w:sz="8" w:space="0"/>
                    <w:tl2br w:val="nil"/>
                    <w:tr2bl w:val="nil"/>
                  </w:tcBorders>
                  <w:noWrap w:val="0"/>
                  <w:vAlign w:val="center"/>
                </w:tcPr>
                <w:p>
                  <w:pPr>
                    <w:pStyle w:val="45"/>
                    <w:widowControl w:val="0"/>
                    <w:bidi w:val="0"/>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pH、COD</w:t>
                  </w:r>
                  <w:r>
                    <w:rPr>
                      <w:rFonts w:hint="default" w:cs="Times New Roman"/>
                      <w:color w:val="000000" w:themeColor="text1"/>
                      <w:vertAlign w:val="subscript"/>
                      <w:lang w:val="en-US" w:eastAsia="zh-CN"/>
                      <w14:textFill>
                        <w14:solidFill>
                          <w14:schemeClr w14:val="tx1"/>
                        </w14:solidFill>
                      </w14:textFill>
                    </w:rPr>
                    <w:t>Cr</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8</w:t>
                  </w:r>
                </w:p>
              </w:tc>
              <w:tc>
                <w:tcPr>
                  <w:tcW w:w="1100" w:type="pct"/>
                  <w:vMerge w:val="restart"/>
                  <w:tcBorders>
                    <w:top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固废</w:t>
                  </w:r>
                </w:p>
              </w:tc>
              <w:tc>
                <w:tcPr>
                  <w:tcW w:w="1796" w:type="pct"/>
                  <w:tcBorders>
                    <w:top w:val="single" w:color="auto" w:sz="8"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员工生活</w:t>
                  </w:r>
                </w:p>
              </w:tc>
              <w:tc>
                <w:tcPr>
                  <w:tcW w:w="1541" w:type="pct"/>
                  <w:tcBorders>
                    <w:top w:val="single" w:color="auto" w:sz="8" w:space="0"/>
                    <w:bottom w:val="single" w:color="auto" w:sz="8" w:space="0"/>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生活垃圾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9</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noWrap w:val="0"/>
                  <w:vAlign w:val="center"/>
                </w:tcPr>
                <w:p>
                  <w:pPr>
                    <w:pStyle w:val="45"/>
                    <w:widowControl w:val="0"/>
                    <w:bidi w:val="0"/>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拉丝、绞制、成缆工序</w:t>
                  </w:r>
                </w:p>
              </w:tc>
              <w:tc>
                <w:tcPr>
                  <w:tcW w:w="1541" w:type="pct"/>
                  <w:tcBorders>
                    <w:top w:val="single" w:color="auto" w:sz="8" w:space="0"/>
                    <w:bottom w:val="single" w:color="auto" w:sz="8" w:space="0"/>
                    <w:tl2br w:val="nil"/>
                    <w:tr2bl w:val="nil"/>
                  </w:tcBorders>
                  <w:noWrap w:val="0"/>
                  <w:vAlign w:val="center"/>
                </w:tcPr>
                <w:p>
                  <w:pPr>
                    <w:pStyle w:val="45"/>
                    <w:widowControl w:val="0"/>
                    <w:bidi w:val="0"/>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废金属线（头）</w:t>
                  </w:r>
                  <w:r>
                    <w:rPr>
                      <w:rFonts w:hint="eastAsia" w:cs="Times New Roman"/>
                      <w:color w:val="000000" w:themeColor="text1"/>
                      <w:lang w:val="en-US" w:eastAsia="zh-CN"/>
                      <w14:textFill>
                        <w14:solidFill>
                          <w14:schemeClr w14:val="tx1"/>
                        </w14:solidFill>
                      </w14:textFill>
                    </w:rPr>
                    <w:t>、皂化液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10</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挤塑工序</w:t>
                  </w:r>
                </w:p>
              </w:tc>
              <w:tc>
                <w:tcPr>
                  <w:tcW w:w="154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挤塑废料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11</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有机废气治理工序</w:t>
                  </w:r>
                </w:p>
              </w:tc>
              <w:tc>
                <w:tcPr>
                  <w:tcW w:w="154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t>废活性炭、废催化剂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12</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cs="Times New Roman"/>
                      <w:color w:val="000000" w:themeColor="text1"/>
                      <w:lang w:val="en-US" w:eastAsia="zh-CN"/>
                      <w14:textFill>
                        <w14:solidFill>
                          <w14:schemeClr w14:val="tx1"/>
                        </w14:solidFill>
                      </w14:textFill>
                    </w:rPr>
                    <w:t>熔铝、保温工序</w:t>
                  </w:r>
                </w:p>
              </w:tc>
              <w:tc>
                <w:tcPr>
                  <w:tcW w:w="154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除尘灰、废布袋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13</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cs="Times New Roman"/>
                      <w:color w:val="000000" w:themeColor="text1"/>
                      <w:lang w:val="en-US" w:eastAsia="zh-CN"/>
                      <w14:textFill>
                        <w14:solidFill>
                          <w14:schemeClr w14:val="tx1"/>
                        </w14:solidFill>
                      </w14:textFill>
                    </w:rPr>
                    <w:t>保温工序</w:t>
                  </w:r>
                </w:p>
              </w:tc>
              <w:tc>
                <w:tcPr>
                  <w:tcW w:w="154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t>铝灰渣</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14</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cs="Times New Roman"/>
                      <w:color w:val="000000" w:themeColor="text1"/>
                      <w:lang w:val="en-US" w:eastAsia="zh-CN"/>
                      <w14:textFill>
                        <w14:solidFill>
                          <w14:schemeClr w14:val="tx1"/>
                        </w14:solidFill>
                      </w14:textFill>
                    </w:rPr>
                    <w:t>连铸连轧</w:t>
                  </w:r>
                  <w:r>
                    <w:rPr>
                      <w:rFonts w:hint="eastAsia" w:cs="Times New Roman"/>
                      <w:color w:val="000000" w:themeColor="text1"/>
                      <w:lang w:val="en-US" w:eastAsia="zh-CN"/>
                      <w14:textFill>
                        <w14:solidFill>
                          <w14:schemeClr w14:val="tx1"/>
                        </w14:solidFill>
                      </w14:textFill>
                    </w:rPr>
                    <w:t>工序</w:t>
                  </w:r>
                </w:p>
              </w:tc>
              <w:tc>
                <w:tcPr>
                  <w:tcW w:w="154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废铝杆、</w:t>
                  </w:r>
                  <w:r>
                    <w:rPr>
                      <w:rFonts w:hint="eastAsia" w:cs="Times New Roman"/>
                      <w:color w:val="000000" w:themeColor="text1"/>
                      <w:kern w:val="2"/>
                      <w:sz w:val="21"/>
                      <w:szCs w:val="24"/>
                      <w:lang w:val="en-US" w:eastAsia="zh-CN" w:bidi="ar-SA"/>
                      <w14:textFill>
                        <w14:solidFill>
                          <w14:schemeClr w14:val="tx1"/>
                        </w14:solidFill>
                      </w14:textFill>
                    </w:rPr>
                    <w:t>废</w:t>
                  </w: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边角料</w:t>
                  </w:r>
                  <w:r>
                    <w:rPr>
                      <w:rFonts w:hint="eastAsia" w:cs="Times New Roman"/>
                      <w:color w:val="000000" w:themeColor="text1"/>
                      <w:kern w:val="2"/>
                      <w:sz w:val="21"/>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废乳化液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15</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油雾处理工序</w:t>
                  </w:r>
                </w:p>
              </w:tc>
              <w:tc>
                <w:tcPr>
                  <w:tcW w:w="154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废洗涤液</w:t>
                  </w:r>
                  <w:r>
                    <w:rPr>
                      <w:rFonts w:hint="eastAsia" w:cs="Times New Roman"/>
                      <w:color w:val="000000" w:themeColor="text1"/>
                      <w:kern w:val="2"/>
                      <w:sz w:val="21"/>
                      <w:szCs w:val="24"/>
                      <w:lang w:val="en-US" w:eastAsia="zh-CN" w:bidi="ar-SA"/>
                      <w14:textFill>
                        <w14:solidFill>
                          <w14:schemeClr w14:val="tx1"/>
                        </w14:solidFill>
                      </w14:textFill>
                    </w:rPr>
                    <w:t>、废活性炭、废洗涤液桶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16</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包装工序</w:t>
                  </w:r>
                </w:p>
              </w:tc>
              <w:tc>
                <w:tcPr>
                  <w:tcW w:w="154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废包装材料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17</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成品检验工序</w:t>
                  </w:r>
                </w:p>
              </w:tc>
              <w:tc>
                <w:tcPr>
                  <w:tcW w:w="154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不合格品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6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18</w:t>
                  </w:r>
                </w:p>
              </w:tc>
              <w:tc>
                <w:tcPr>
                  <w:tcW w:w="1100" w:type="pct"/>
                  <w:vMerge w:val="continue"/>
                  <w:tcBorders>
                    <w:tl2br w:val="nil"/>
                    <w:tr2bl w:val="nil"/>
                  </w:tcBorders>
                  <w:noWrap w:val="0"/>
                  <w:vAlign w:val="center"/>
                </w:tcPr>
                <w:p>
                  <w:pPr>
                    <w:pStyle w:val="45"/>
                    <w:widowControl w:val="0"/>
                    <w:bidi w:val="0"/>
                    <w:rPr>
                      <w:rFonts w:hint="default" w:ascii="Times New Roman" w:hAnsi="Times New Roman" w:cs="Times New Roman"/>
                      <w:color w:val="000000" w:themeColor="text1"/>
                      <w:lang w:val="en-US" w:eastAsia="zh-CN"/>
                      <w14:textFill>
                        <w14:solidFill>
                          <w14:schemeClr w14:val="tx1"/>
                        </w14:solidFill>
                      </w14:textFill>
                    </w:rPr>
                  </w:pPr>
                </w:p>
              </w:tc>
              <w:tc>
                <w:tcPr>
                  <w:tcW w:w="1796"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设备维修工序</w:t>
                  </w:r>
                </w:p>
              </w:tc>
              <w:tc>
                <w:tcPr>
                  <w:tcW w:w="1541" w:type="pct"/>
                  <w:tcBorders>
                    <w:top w:val="single" w:color="auto" w:sz="8" w:space="0"/>
                    <w:bottom w:val="single" w:color="auto" w:sz="8" w:space="0"/>
                    <w:tl2br w:val="nil"/>
                    <w:tr2bl w:val="nil"/>
                  </w:tcBorders>
                  <w:shd w:val="clear" w:color="auto" w:fill="auto"/>
                  <w:noWrap w:val="0"/>
                  <w:vAlign w:val="center"/>
                </w:tcPr>
                <w:p>
                  <w:pPr>
                    <w:pStyle w:val="45"/>
                    <w:widowControl w:val="0"/>
                    <w:bidi w:val="0"/>
                    <w:rPr>
                      <w:rFonts w:hint="default" w:cs="Times New Roman"/>
                      <w:color w:val="000000" w:themeColor="text1"/>
                      <w:kern w:val="2"/>
                      <w:sz w:val="21"/>
                      <w:szCs w:val="24"/>
                      <w:lang w:val="en-US" w:eastAsia="zh-CN" w:bidi="ar-SA"/>
                      <w14:textFill>
                        <w14:solidFill>
                          <w14:schemeClr w14:val="tx1"/>
                        </w14:solidFill>
                      </w14:textFill>
                    </w:rPr>
                  </w:pPr>
                  <w:r>
                    <w:rPr>
                      <w:rFonts w:hint="default" w:cs="Times New Roman"/>
                      <w:color w:val="000000" w:themeColor="text1"/>
                      <w:kern w:val="2"/>
                      <w:sz w:val="21"/>
                      <w:szCs w:val="24"/>
                      <w:lang w:val="en-US" w:eastAsia="zh-CN" w:bidi="ar-SA"/>
                      <w14:textFill>
                        <w14:solidFill>
                          <w14:schemeClr w14:val="tx1"/>
                        </w14:solidFill>
                      </w14:textFill>
                    </w:rPr>
                    <w:t>废润滑油</w:t>
                  </w:r>
                  <w:r>
                    <w:rPr>
                      <w:rFonts w:hint="eastAsia" w:cs="Times New Roman"/>
                      <w:color w:val="000000" w:themeColor="text1"/>
                      <w:kern w:val="2"/>
                      <w:sz w:val="21"/>
                      <w:szCs w:val="24"/>
                      <w:lang w:val="en-US" w:eastAsia="zh-CN" w:bidi="ar-SA"/>
                      <w14:textFill>
                        <w14:solidFill>
                          <w14:schemeClr w14:val="tx1"/>
                        </w14:solidFill>
                      </w14:textFill>
                    </w:rPr>
                    <w:t>、废润滑油桶、废弃的含油抹布、劳保用品</w:t>
                  </w:r>
                </w:p>
              </w:tc>
            </w:tr>
          </w:tbl>
          <w:p>
            <w:pPr>
              <w:pStyle w:val="22"/>
              <w:jc w:val="both"/>
              <w:rPr>
                <w:rFonts w:hint="default" w:ascii="Times New Roman" w:hAnsi="Times New Roman" w:cs="Times New Roman"/>
                <w:color w:val="000000" w:themeColor="text1"/>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39" w:hRule="atLeast"/>
          <w:jc w:val="center"/>
        </w:trPr>
        <w:tc>
          <w:tcPr>
            <w:tcW w:w="454" w:type="dxa"/>
            <w:tcBorders>
              <w:tl2br w:val="nil"/>
              <w:tr2bl w:val="nil"/>
            </w:tcBorders>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与项目有关的</w:t>
            </w:r>
            <w:r>
              <w:rPr>
                <w:rFonts w:hint="default" w:ascii="Times New Roman" w:hAnsi="Times New Roman" w:cs="Times New Roman"/>
                <w:b w:val="0"/>
                <w:bCs w:val="0"/>
                <w:color w:val="000000" w:themeColor="text1"/>
                <w:lang w:eastAsia="zh-CN"/>
                <w14:textFill>
                  <w14:solidFill>
                    <w14:schemeClr w14:val="tx1"/>
                  </w14:solidFill>
                </w14:textFill>
              </w:rPr>
              <w:t>现有</w:t>
            </w:r>
            <w:r>
              <w:rPr>
                <w:rFonts w:hint="default" w:ascii="Times New Roman" w:hAnsi="Times New Roman" w:cs="Times New Roman"/>
                <w:b w:val="0"/>
                <w:bCs w:val="0"/>
                <w:color w:val="000000" w:themeColor="text1"/>
                <w14:textFill>
                  <w14:solidFill>
                    <w14:schemeClr w14:val="tx1"/>
                  </w14:solidFill>
                </w14:textFill>
              </w:rPr>
              <w:t>环境污染问题</w:t>
            </w:r>
          </w:p>
        </w:tc>
        <w:tc>
          <w:tcPr>
            <w:tcW w:w="8068" w:type="dxa"/>
            <w:tcBorders>
              <w:tl2br w:val="nil"/>
              <w:tr2bl w:val="nil"/>
            </w:tcBorders>
            <w:vAlign w:val="center"/>
          </w:tcPr>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现有工程概况</w:t>
            </w:r>
          </w:p>
          <w:p>
            <w:pPr>
              <w:pStyle w:val="8"/>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 现有工程基本情况</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特变电工新疆电缆有限公司通过司法拍卖取得新疆新华能电气股份有限公司所有的新华能电气智能化输配电产业基地的土地所有权以及附着物厂房三栋，办公楼一栋。</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特变电工新疆电缆有限公司是特变电工新疆线缆厂下属全资子公司，成立于2021年，生产经营场所位于昌吉国家高新技术产业开发区经一路和创业大道交汇处，主要从事电线电缆制造及其周边产品服务。</w:t>
            </w:r>
          </w:p>
          <w:p>
            <w:pPr>
              <w:pStyle w:val="8"/>
              <w:bidi w:val="0"/>
              <w:jc w:val="both"/>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1.2 现有</w:t>
            </w:r>
            <w:r>
              <w:rPr>
                <w:color w:val="000000" w:themeColor="text1"/>
                <w14:textFill>
                  <w14:solidFill>
                    <w14:schemeClr w14:val="tx1"/>
                  </w14:solidFill>
                </w14:textFill>
              </w:rPr>
              <w:t>工程环保手续履行情况</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（1）一期项目</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2021年8月，特变电工新疆电缆有限公司委托昌吉市新瑞鑫诚环保咨询有限公司编制完成《特变电工新疆电缆有限公司智能电缆产业园一期项目环境影响报告表》，2021年9月2日，昌吉高新技术产业开发区环境保护局出具《关于特变电工新疆电缆有限公司智能电缆产业园一期项目环境影响报告表的批复》（昌高环评〔2021〕26号）。</w:t>
            </w:r>
          </w:p>
          <w:p>
            <w:pPr>
              <w:pStyle w:val="27"/>
              <w:bidi w:val="0"/>
              <w:jc w:val="both"/>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2021 年9 月开工建设，2023年3月建设完成。</w:t>
            </w:r>
            <w:r>
              <w:rPr>
                <w:rFonts w:hint="eastAsia"/>
                <w:color w:val="000000" w:themeColor="text1"/>
                <w:lang w:val="en-US" w:eastAsia="zh-CN"/>
                <w14:textFill>
                  <w14:solidFill>
                    <w14:schemeClr w14:val="tx1"/>
                  </w14:solidFill>
                </w14:textFill>
              </w:rPr>
              <w:t>特变电工新疆电缆有限公司于2023年2月2日取得排污登记回执，登记编号：91652301MA79FA9E9N001Y。2023年3月10日进行编制突发环境事件应急预案并进行了备案，备案编号为6523GX-2024-005-[一般-大气（Q0-M2-E3）+一般-水（Q0-M 1-E3）]。2023年7月27日特变电工新疆电缆有限公司智能电缆产业园一期项目》通过专家组的验收，验收意见见附件。</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（2）三期项目</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2024年7月委托新疆祥达亿源环保科技有限公司编制完成《特变电工智能电缆产业园建设项目（三期）环境影响报告表》，2024年8月17日昌吉高新技术产业开发区生态环境局出具《关于特变电工智能电缆产业园建设项目（三期）环境影响报告表的批复》（昌高环发〔2024〕34号），该项目铝基生产车间于2025年5月开工建设，2025年8月建设完成，建设情况详见第二章工程分析。</w:t>
            </w:r>
          </w:p>
          <w:p>
            <w:pPr>
              <w:pStyle w:val="8"/>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1.3 现有工程建设情况</w:t>
            </w:r>
          </w:p>
          <w:p>
            <w:pPr>
              <w:pStyle w:val="27"/>
              <w:ind w:firstLine="480"/>
              <w:jc w:val="both"/>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特变电工新疆电缆有限公司智能电缆产业园一期项目建设内容为：年生产建筑用电线502167km，年生产各型号交联聚乙烯绝缘聚氯乙烯护套钢带中低压电缆25331km。</w:t>
            </w:r>
          </w:p>
          <w:p>
            <w:pPr>
              <w:pStyle w:val="44"/>
              <w:bidi w:val="0"/>
              <w:spacing w:line="240" w:lineRule="auto"/>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表2-</w:t>
            </w:r>
            <w:r>
              <w:rPr>
                <w:rFonts w:hint="eastAsia"/>
                <w:color w:val="000000" w:themeColor="text1"/>
                <w:sz w:val="21"/>
                <w:szCs w:val="21"/>
                <w:lang w:val="en-US" w:eastAsia="zh-CN"/>
                <w14:textFill>
                  <w14:solidFill>
                    <w14:schemeClr w14:val="tx1"/>
                  </w14:solidFill>
                </w14:textFill>
              </w:rPr>
              <w:t>9</w:t>
            </w:r>
            <w:r>
              <w:rPr>
                <w:rFonts w:hint="eastAsia" w:ascii="Times New Roman" w:hAnsi="Times New Roman" w:eastAsia="宋体"/>
                <w:color w:val="000000" w:themeColor="text1"/>
                <w:sz w:val="21"/>
                <w:szCs w:val="21"/>
                <w:lang w:val="en-US" w:eastAsia="zh-CN"/>
                <w14:textFill>
                  <w14:solidFill>
                    <w14:schemeClr w14:val="tx1"/>
                  </w14:solidFill>
                </w14:textFill>
              </w:rPr>
              <w:t xml:space="preserve">   特变电工新疆电缆有限公司智能电缆产业园一期项目建设内容</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2406"/>
              <w:gridCol w:w="43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253" w:type="pct"/>
                  <w:gridSpan w:val="2"/>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000000"/>
                      <w:sz w:val="21"/>
                      <w:szCs w:val="21"/>
                      <w:highlight w:val="none"/>
                      <w:vertAlign w:val="baseline"/>
                    </w:rPr>
                  </w:pPr>
                  <w:r>
                    <w:rPr>
                      <w:rFonts w:hint="default" w:ascii="Times New Roman" w:hAnsi="Times New Roman" w:eastAsia="宋体" w:cs="Times New Roman"/>
                      <w:b/>
                      <w:bCs w:val="0"/>
                      <w:color w:val="000000"/>
                      <w:sz w:val="21"/>
                      <w:szCs w:val="21"/>
                      <w:highlight w:val="none"/>
                      <w:vertAlign w:val="baseline"/>
                      <w:lang w:val="en-US" w:eastAsia="zh-CN"/>
                    </w:rPr>
                    <w:t>类别</w:t>
                  </w:r>
                </w:p>
              </w:tc>
              <w:tc>
                <w:tcPr>
                  <w:tcW w:w="27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b/>
                      <w:bCs w:val="0"/>
                      <w:sz w:val="21"/>
                      <w:szCs w:val="21"/>
                      <w:lang w:val="en-US" w:eastAsia="zh-CN"/>
                    </w:rPr>
                  </w:pPr>
                  <w:r>
                    <w:rPr>
                      <w:rFonts w:hint="eastAsia"/>
                      <w:b/>
                      <w:bCs w:val="0"/>
                      <w:sz w:val="21"/>
                      <w:szCs w:val="21"/>
                      <w:lang w:val="en-US" w:eastAsia="zh-CN"/>
                    </w:rPr>
                    <w:t>建设内容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restart"/>
                  <w:tcBorders>
                    <w:tl2br w:val="nil"/>
                    <w:tr2bl w:val="nil"/>
                  </w:tcBorders>
                  <w:noWrap w:val="0"/>
                  <w:vAlign w:val="center"/>
                </w:tcPr>
                <w:p>
                  <w:pPr>
                    <w:pStyle w:val="45"/>
                    <w:widowControl w:val="0"/>
                    <w:bidi w:val="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主体</w:t>
                  </w:r>
                </w:p>
                <w:p>
                  <w:pPr>
                    <w:pStyle w:val="45"/>
                    <w:widowControl w:val="0"/>
                    <w:bidi w:val="0"/>
                    <w:rPr>
                      <w:rFonts w:hint="default" w:ascii="Times New Roman" w:hAnsi="Times New Roman" w:eastAsia="宋体" w:cs="Times New Roman"/>
                      <w:b w:val="0"/>
                      <w:bCs/>
                      <w:color w:val="000000"/>
                      <w:sz w:val="21"/>
                      <w:szCs w:val="21"/>
                      <w:highlight w:val="none"/>
                      <w:vertAlign w:val="baseline"/>
                      <w:lang w:val="en-US" w:eastAsia="zh-CN"/>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工程</w:t>
                  </w: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1#能源装备</w:t>
                  </w:r>
                </w:p>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rPr>
                    <w:t>车间</w:t>
                  </w:r>
                </w:p>
              </w:tc>
              <w:tc>
                <w:tcPr>
                  <w:tcW w:w="27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lang w:val="en-US" w:eastAsia="zh-CN"/>
                    </w:rPr>
                    <w:t>建筑面积为</w:t>
                  </w:r>
                  <w:r>
                    <w:rPr>
                      <w:rFonts w:hint="default" w:ascii="Times New Roman" w:hAnsi="Times New Roman" w:eastAsia="宋体" w:cs="Times New Roman"/>
                      <w:b w:val="0"/>
                      <w:bCs/>
                      <w:color w:val="auto"/>
                      <w:sz w:val="21"/>
                      <w:szCs w:val="21"/>
                    </w:rPr>
                    <w:t>17000m</w:t>
                  </w:r>
                  <w:r>
                    <w:rPr>
                      <w:rFonts w:hint="default" w:ascii="Times New Roman" w:hAnsi="Times New Roman" w:cs="Times New Roman"/>
                      <w:b w:val="0"/>
                      <w:bCs/>
                      <w:color w:val="auto"/>
                      <w:sz w:val="21"/>
                      <w:szCs w:val="21"/>
                      <w:vertAlign w:val="superscript"/>
                      <w:lang w:val="en-US" w:eastAsia="zh-CN"/>
                    </w:rPr>
                    <w:t>2</w:t>
                  </w:r>
                  <w:r>
                    <w:rPr>
                      <w:rFonts w:hint="default" w:ascii="Times New Roman" w:hAnsi="Times New Roman" w:cs="Times New Roman"/>
                      <w:b w:val="0"/>
                      <w:bCs/>
                      <w:color w:val="auto"/>
                      <w:sz w:val="21"/>
                      <w:szCs w:val="21"/>
                      <w:vertAlign w:val="baseline"/>
                      <w:lang w:val="en-US" w:eastAsia="zh-CN"/>
                    </w:rPr>
                    <w:t>，主要放置12条</w:t>
                  </w:r>
                  <w:r>
                    <w:rPr>
                      <w:rFonts w:hint="default" w:ascii="Times New Roman" w:hAnsi="Times New Roman" w:eastAsia="宋体" w:cs="Times New Roman"/>
                      <w:b w:val="0"/>
                      <w:bCs/>
                      <w:color w:val="auto"/>
                      <w:sz w:val="21"/>
                      <w:szCs w:val="21"/>
                    </w:rPr>
                    <w:t>能源装备电缆</w:t>
                  </w:r>
                  <w:r>
                    <w:rPr>
                      <w:rFonts w:hint="default" w:ascii="Times New Roman" w:hAnsi="Times New Roman" w:cs="Times New Roman"/>
                      <w:b w:val="0"/>
                      <w:bCs/>
                      <w:color w:val="auto"/>
                      <w:sz w:val="21"/>
                      <w:szCs w:val="21"/>
                      <w:lang w:val="en-US" w:eastAsia="zh-CN"/>
                    </w:rPr>
                    <w:t>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2#铜导体</w:t>
                  </w:r>
                </w:p>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b w:val="0"/>
                      <w:bCs/>
                      <w:snapToGrid w:val="0"/>
                      <w:kern w:val="2"/>
                      <w:sz w:val="21"/>
                      <w:szCs w:val="21"/>
                      <w:lang w:val="en-US" w:eastAsia="zh-CN" w:bidi="ar-SA"/>
                    </w:rPr>
                  </w:pPr>
                  <w:r>
                    <w:rPr>
                      <w:rFonts w:hint="default" w:ascii="Times New Roman" w:hAnsi="Times New Roman" w:eastAsia="宋体" w:cs="Times New Roman"/>
                      <w:b w:val="0"/>
                      <w:bCs/>
                      <w:color w:val="auto"/>
                      <w:sz w:val="21"/>
                      <w:szCs w:val="21"/>
                    </w:rPr>
                    <w:t>车间</w:t>
                  </w:r>
                </w:p>
              </w:tc>
              <w:tc>
                <w:tcPr>
                  <w:tcW w:w="27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eastAsia"/>
                      <w:b w:val="0"/>
                      <w:bCs/>
                      <w:snapToGrid w:val="0"/>
                      <w:kern w:val="2"/>
                      <w:sz w:val="21"/>
                      <w:szCs w:val="21"/>
                      <w:lang w:val="en-US" w:eastAsia="zh-CN" w:bidi="ar-SA"/>
                    </w:rPr>
                  </w:pPr>
                  <w:r>
                    <w:rPr>
                      <w:rFonts w:hint="default" w:ascii="Times New Roman" w:hAnsi="Times New Roman" w:cs="Times New Roman"/>
                      <w:b w:val="0"/>
                      <w:bCs/>
                      <w:color w:val="auto"/>
                      <w:sz w:val="21"/>
                      <w:szCs w:val="21"/>
                      <w:lang w:val="en-US" w:eastAsia="zh-CN"/>
                    </w:rPr>
                    <w:t>建筑面积为</w:t>
                  </w:r>
                  <w:r>
                    <w:rPr>
                      <w:rFonts w:hint="default" w:ascii="Times New Roman" w:hAnsi="Times New Roman" w:eastAsia="宋体" w:cs="Times New Roman"/>
                      <w:b w:val="0"/>
                      <w:bCs/>
                      <w:color w:val="auto"/>
                      <w:sz w:val="21"/>
                      <w:szCs w:val="21"/>
                    </w:rPr>
                    <w:t>14144.08m</w:t>
                  </w:r>
                  <w:r>
                    <w:rPr>
                      <w:rFonts w:hint="default" w:ascii="Times New Roman" w:hAnsi="Times New Roman" w:cs="Times New Roman"/>
                      <w:b w:val="0"/>
                      <w:bCs/>
                      <w:color w:val="auto"/>
                      <w:sz w:val="21"/>
                      <w:szCs w:val="21"/>
                      <w:vertAlign w:val="superscript"/>
                      <w:lang w:val="en-US" w:eastAsia="zh-CN"/>
                    </w:rPr>
                    <w:t>2</w:t>
                  </w:r>
                  <w:r>
                    <w:rPr>
                      <w:rFonts w:hint="default" w:ascii="Times New Roman" w:hAnsi="Times New Roman" w:cs="Times New Roman"/>
                      <w:b w:val="0"/>
                      <w:bCs/>
                      <w:color w:val="auto"/>
                      <w:sz w:val="21"/>
                      <w:szCs w:val="21"/>
                      <w:vertAlign w:val="baseline"/>
                      <w:lang w:val="en-US" w:eastAsia="zh-CN"/>
                    </w:rPr>
                    <w:t>，主要放置4条</w:t>
                  </w:r>
                  <w:r>
                    <w:rPr>
                      <w:rFonts w:hint="default" w:ascii="Times New Roman" w:hAnsi="Times New Roman" w:eastAsia="宋体" w:cs="Times New Roman"/>
                      <w:b w:val="0"/>
                      <w:bCs/>
                      <w:color w:val="auto"/>
                      <w:sz w:val="21"/>
                      <w:szCs w:val="21"/>
                    </w:rPr>
                    <w:t>铜导体</w:t>
                  </w:r>
                  <w:r>
                    <w:rPr>
                      <w:rFonts w:hint="default" w:ascii="Times New Roman" w:hAnsi="Times New Roman" w:cs="Times New Roman"/>
                      <w:b w:val="0"/>
                      <w:bCs/>
                      <w:color w:val="auto"/>
                      <w:sz w:val="21"/>
                      <w:szCs w:val="21"/>
                      <w:lang w:val="en-US" w:eastAsia="zh-CN"/>
                    </w:rPr>
                    <w:t>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b w:val="0"/>
                      <w:bCs/>
                      <w:snapToGrid w:val="0"/>
                      <w:kern w:val="2"/>
                      <w:sz w:val="21"/>
                      <w:szCs w:val="21"/>
                      <w:lang w:val="en-US" w:eastAsia="zh-CN" w:bidi="ar-SA"/>
                    </w:rPr>
                  </w:pPr>
                  <w:r>
                    <w:rPr>
                      <w:rFonts w:hint="default" w:ascii="Times New Roman" w:hAnsi="Times New Roman" w:eastAsia="宋体" w:cs="Times New Roman"/>
                      <w:b w:val="0"/>
                      <w:bCs/>
                      <w:color w:val="auto"/>
                      <w:sz w:val="21"/>
                      <w:szCs w:val="21"/>
                    </w:rPr>
                    <w:t>3#布电线车间</w:t>
                  </w:r>
                </w:p>
              </w:tc>
              <w:tc>
                <w:tcPr>
                  <w:tcW w:w="27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eastAsia"/>
                      <w:b w:val="0"/>
                      <w:bCs/>
                      <w:snapToGrid w:val="0"/>
                      <w:kern w:val="2"/>
                      <w:sz w:val="21"/>
                      <w:szCs w:val="21"/>
                      <w:lang w:val="en-US" w:eastAsia="zh-CN" w:bidi="ar-SA"/>
                    </w:rPr>
                  </w:pPr>
                  <w:r>
                    <w:rPr>
                      <w:rFonts w:hint="default" w:ascii="Times New Roman" w:hAnsi="Times New Roman" w:cs="Times New Roman"/>
                      <w:b w:val="0"/>
                      <w:bCs/>
                      <w:color w:val="auto"/>
                      <w:sz w:val="21"/>
                      <w:szCs w:val="21"/>
                      <w:lang w:val="en-US" w:eastAsia="zh-CN"/>
                    </w:rPr>
                    <w:t>建筑面积为</w:t>
                  </w:r>
                  <w:r>
                    <w:rPr>
                      <w:rFonts w:hint="default" w:ascii="Times New Roman" w:hAnsi="Times New Roman" w:eastAsia="宋体" w:cs="Times New Roman"/>
                      <w:b w:val="0"/>
                      <w:bCs/>
                      <w:color w:val="auto"/>
                      <w:sz w:val="21"/>
                      <w:szCs w:val="21"/>
                    </w:rPr>
                    <w:t>5878.09m</w:t>
                  </w:r>
                  <w:r>
                    <w:rPr>
                      <w:rFonts w:hint="default" w:ascii="Times New Roman" w:hAnsi="Times New Roman" w:cs="Times New Roman"/>
                      <w:b w:val="0"/>
                      <w:bCs/>
                      <w:color w:val="auto"/>
                      <w:sz w:val="21"/>
                      <w:szCs w:val="21"/>
                      <w:vertAlign w:val="superscript"/>
                      <w:lang w:val="en-US" w:eastAsia="zh-CN"/>
                    </w:rPr>
                    <w:t>2</w:t>
                  </w:r>
                  <w:r>
                    <w:rPr>
                      <w:rFonts w:hint="default" w:ascii="Times New Roman" w:hAnsi="Times New Roman" w:cs="Times New Roman"/>
                      <w:b w:val="0"/>
                      <w:bCs/>
                      <w:color w:val="auto"/>
                      <w:sz w:val="21"/>
                      <w:szCs w:val="21"/>
                      <w:lang w:eastAsia="zh-CN"/>
                    </w:rPr>
                    <w:t>，</w:t>
                  </w:r>
                  <w:r>
                    <w:rPr>
                      <w:rFonts w:hint="default" w:ascii="Times New Roman" w:hAnsi="Times New Roman" w:cs="Times New Roman"/>
                      <w:b w:val="0"/>
                      <w:bCs/>
                      <w:color w:val="auto"/>
                      <w:sz w:val="21"/>
                      <w:szCs w:val="21"/>
                      <w:vertAlign w:val="baseline"/>
                      <w:lang w:val="en-US" w:eastAsia="zh-CN"/>
                    </w:rPr>
                    <w:t>主要放置6条</w:t>
                  </w:r>
                  <w:r>
                    <w:rPr>
                      <w:rFonts w:hint="default" w:ascii="Times New Roman" w:hAnsi="Times New Roman" w:eastAsia="宋体" w:cs="Times New Roman"/>
                      <w:b w:val="0"/>
                      <w:bCs/>
                      <w:color w:val="auto"/>
                      <w:sz w:val="21"/>
                      <w:szCs w:val="21"/>
                    </w:rPr>
                    <w:t>布电线</w:t>
                  </w:r>
                  <w:r>
                    <w:rPr>
                      <w:rFonts w:hint="default" w:ascii="Times New Roman" w:hAnsi="Times New Roman" w:cs="Times New Roman"/>
                      <w:b w:val="0"/>
                      <w:bCs/>
                      <w:color w:val="auto"/>
                      <w:sz w:val="21"/>
                      <w:szCs w:val="21"/>
                      <w:lang w:val="en-US" w:eastAsia="zh-CN"/>
                    </w:rPr>
                    <w:t>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b w:val="0"/>
                      <w:bCs/>
                      <w:snapToGrid w:val="0"/>
                      <w:kern w:val="2"/>
                      <w:sz w:val="21"/>
                      <w:szCs w:val="21"/>
                      <w:lang w:val="en-US" w:eastAsia="zh-CN" w:bidi="ar-SA"/>
                    </w:rPr>
                  </w:pPr>
                  <w:r>
                    <w:rPr>
                      <w:rFonts w:hint="default" w:ascii="Times New Roman" w:hAnsi="Times New Roman" w:eastAsia="宋体" w:cs="Times New Roman"/>
                      <w:b w:val="0"/>
                      <w:bCs/>
                      <w:color w:val="auto"/>
                      <w:sz w:val="21"/>
                      <w:szCs w:val="21"/>
                      <w:lang w:val="en-US" w:eastAsia="zh-CN"/>
                    </w:rPr>
                    <w:t>4#中低压</w:t>
                  </w:r>
                  <w:r>
                    <w:rPr>
                      <w:rFonts w:hint="eastAsia" w:ascii="Times New Roman" w:hAnsi="Times New Roman" w:cs="Times New Roman"/>
                      <w:b w:val="0"/>
                      <w:bCs/>
                      <w:color w:val="auto"/>
                      <w:sz w:val="21"/>
                      <w:szCs w:val="21"/>
                      <w:lang w:val="en-US" w:eastAsia="zh-CN"/>
                    </w:rPr>
                    <w:t>交联</w:t>
                  </w:r>
                  <w:r>
                    <w:rPr>
                      <w:rFonts w:hint="default" w:ascii="Times New Roman" w:hAnsi="Times New Roman" w:eastAsia="宋体" w:cs="Times New Roman"/>
                      <w:b w:val="0"/>
                      <w:bCs/>
                      <w:color w:val="auto"/>
                      <w:sz w:val="21"/>
                      <w:szCs w:val="21"/>
                      <w:lang w:val="en-US" w:eastAsia="zh-CN"/>
                    </w:rPr>
                    <w:t>车间</w:t>
                  </w:r>
                </w:p>
              </w:tc>
              <w:tc>
                <w:tcPr>
                  <w:tcW w:w="27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eastAsia"/>
                      <w:b w:val="0"/>
                      <w:bCs/>
                      <w:snapToGrid w:val="0"/>
                      <w:kern w:val="2"/>
                      <w:sz w:val="21"/>
                      <w:szCs w:val="21"/>
                      <w:lang w:val="en-US" w:eastAsia="zh-CN" w:bidi="ar-SA"/>
                    </w:rPr>
                  </w:pPr>
                  <w:r>
                    <w:rPr>
                      <w:rFonts w:hint="default" w:ascii="Times New Roman" w:hAnsi="Times New Roman" w:cs="Times New Roman"/>
                      <w:b w:val="0"/>
                      <w:bCs/>
                      <w:color w:val="auto"/>
                      <w:sz w:val="21"/>
                      <w:szCs w:val="21"/>
                      <w:lang w:val="en-US" w:eastAsia="zh-CN"/>
                    </w:rPr>
                    <w:t>建筑面积为</w:t>
                  </w:r>
                  <w:r>
                    <w:rPr>
                      <w:rFonts w:hint="eastAsia" w:ascii="Times New Roman" w:hAnsi="Times New Roman" w:eastAsia="宋体" w:cs="Times New Roman"/>
                      <w:b w:val="0"/>
                      <w:bCs/>
                      <w:color w:val="auto"/>
                      <w:sz w:val="21"/>
                      <w:szCs w:val="21"/>
                      <w:lang w:val="en-US" w:eastAsia="zh-CN"/>
                    </w:rPr>
                    <w:t>21870</w:t>
                  </w:r>
                  <w:r>
                    <w:rPr>
                      <w:rFonts w:hint="default" w:ascii="Times New Roman" w:hAnsi="Times New Roman" w:eastAsia="宋体" w:cs="Times New Roman"/>
                      <w:b w:val="0"/>
                      <w:bCs/>
                      <w:color w:val="auto"/>
                      <w:sz w:val="21"/>
                      <w:szCs w:val="21"/>
                    </w:rPr>
                    <w:t>m</w:t>
                  </w:r>
                  <w:r>
                    <w:rPr>
                      <w:rFonts w:hint="default" w:ascii="Times New Roman" w:hAnsi="Times New Roman" w:cs="Times New Roman"/>
                      <w:b w:val="0"/>
                      <w:bCs/>
                      <w:color w:val="auto"/>
                      <w:sz w:val="21"/>
                      <w:szCs w:val="21"/>
                      <w:vertAlign w:val="superscript"/>
                      <w:lang w:val="en-US" w:eastAsia="zh-CN"/>
                    </w:rPr>
                    <w:t>2</w:t>
                  </w:r>
                  <w:r>
                    <w:rPr>
                      <w:rFonts w:hint="eastAsia" w:ascii="Times New Roman" w:hAnsi="Times New Roman" w:cs="Times New Roman"/>
                      <w:b w:val="0"/>
                      <w:bCs/>
                      <w:color w:val="auto"/>
                      <w:sz w:val="21"/>
                      <w:szCs w:val="21"/>
                      <w:vertAlign w:val="baseline"/>
                      <w:lang w:val="en-US" w:eastAsia="zh-CN"/>
                    </w:rPr>
                    <w:t>，</w:t>
                  </w:r>
                  <w:r>
                    <w:rPr>
                      <w:rFonts w:hint="default" w:ascii="Times New Roman" w:hAnsi="Times New Roman" w:cs="Times New Roman"/>
                      <w:b w:val="0"/>
                      <w:bCs/>
                      <w:color w:val="auto"/>
                      <w:sz w:val="21"/>
                      <w:szCs w:val="21"/>
                      <w:vertAlign w:val="baseline"/>
                      <w:lang w:val="en-US" w:eastAsia="zh-CN"/>
                    </w:rPr>
                    <w:t>主要放置</w:t>
                  </w:r>
                  <w:r>
                    <w:rPr>
                      <w:rFonts w:hint="eastAsia" w:ascii="Times New Roman" w:hAnsi="Times New Roman" w:cs="Times New Roman"/>
                      <w:b w:val="0"/>
                      <w:bCs/>
                      <w:color w:val="auto"/>
                      <w:sz w:val="21"/>
                      <w:szCs w:val="21"/>
                      <w:vertAlign w:val="baseline"/>
                      <w:lang w:val="en-US" w:eastAsia="zh-CN"/>
                    </w:rPr>
                    <w:t>3</w:t>
                  </w:r>
                  <w:r>
                    <w:rPr>
                      <w:rFonts w:hint="default" w:ascii="Times New Roman" w:hAnsi="Times New Roman" w:cs="Times New Roman"/>
                      <w:b w:val="0"/>
                      <w:bCs/>
                      <w:color w:val="auto"/>
                      <w:sz w:val="21"/>
                      <w:szCs w:val="21"/>
                      <w:vertAlign w:val="baseline"/>
                      <w:lang w:val="en-US" w:eastAsia="zh-CN"/>
                    </w:rPr>
                    <w:t>条中低压</w:t>
                  </w:r>
                  <w:r>
                    <w:rPr>
                      <w:rFonts w:hint="eastAsia" w:ascii="Times New Roman" w:hAnsi="Times New Roman" w:cs="Times New Roman"/>
                      <w:b w:val="0"/>
                      <w:bCs/>
                      <w:color w:val="auto"/>
                      <w:sz w:val="21"/>
                      <w:szCs w:val="21"/>
                      <w:vertAlign w:val="baseline"/>
                      <w:lang w:val="en-US" w:eastAsia="zh-CN"/>
                    </w:rPr>
                    <w:t>交联</w:t>
                  </w:r>
                  <w:r>
                    <w:rPr>
                      <w:rFonts w:hint="default" w:ascii="Times New Roman" w:hAnsi="Times New Roman" w:cs="Times New Roman"/>
                      <w:b w:val="0"/>
                      <w:bCs/>
                      <w:color w:val="auto"/>
                      <w:sz w:val="21"/>
                      <w:szCs w:val="21"/>
                      <w:vertAlign w:val="baseline"/>
                      <w:lang w:val="en-US" w:eastAsia="zh-CN"/>
                    </w:rPr>
                    <w:t>车间</w:t>
                  </w:r>
                  <w:r>
                    <w:rPr>
                      <w:rFonts w:hint="default" w:ascii="Times New Roman" w:hAnsi="Times New Roman" w:cs="Times New Roman"/>
                      <w:b w:val="0"/>
                      <w:bCs/>
                      <w:color w:val="auto"/>
                      <w:sz w:val="21"/>
                      <w:szCs w:val="21"/>
                      <w:lang w:val="en-US" w:eastAsia="zh-CN"/>
                    </w:rPr>
                    <w:t>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atLeast"/>
                <w:tblHeader/>
                <w:jc w:val="center"/>
              </w:trPr>
              <w:tc>
                <w:tcPr>
                  <w:tcW w:w="724"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r>
                    <w:rPr>
                      <w:rFonts w:hint="eastAsia" w:ascii="Times New Roman" w:hAnsi="Times New Roman" w:cs="Times New Roman"/>
                      <w:b w:val="0"/>
                      <w:bCs/>
                      <w:color w:val="000000"/>
                      <w:kern w:val="0"/>
                      <w:sz w:val="21"/>
                      <w:szCs w:val="21"/>
                      <w:highlight w:val="none"/>
                      <w:lang w:val="en-US" w:eastAsia="zh-CN"/>
                    </w:rPr>
                    <w:t>储运工程</w:t>
                  </w: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b w:val="0"/>
                      <w:bCs/>
                      <w:snapToGrid w:val="0"/>
                      <w:kern w:val="2"/>
                      <w:sz w:val="21"/>
                      <w:szCs w:val="21"/>
                      <w:lang w:val="en-US" w:eastAsia="zh-CN" w:bidi="ar-SA"/>
                    </w:rPr>
                  </w:pPr>
                  <w:r>
                    <w:rPr>
                      <w:rFonts w:hint="eastAsia"/>
                      <w:b w:val="0"/>
                      <w:bCs/>
                      <w:snapToGrid w:val="0"/>
                      <w:kern w:val="2"/>
                      <w:sz w:val="21"/>
                      <w:szCs w:val="21"/>
                      <w:lang w:val="en-US" w:eastAsia="zh-CN" w:bidi="ar-SA"/>
                    </w:rPr>
                    <w:t>货场</w:t>
                  </w:r>
                </w:p>
              </w:tc>
              <w:tc>
                <w:tcPr>
                  <w:tcW w:w="27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21"/>
                      <w:szCs w:val="21"/>
                      <w:lang w:val="en-US" w:eastAsia="zh-CN"/>
                    </w:rPr>
                  </w:pPr>
                  <w:r>
                    <w:rPr>
                      <w:rFonts w:hint="eastAsia" w:ascii="Times New Roman" w:hAnsi="Times New Roman" w:cs="Times New Roman"/>
                      <w:b w:val="0"/>
                      <w:bCs/>
                      <w:color w:val="auto"/>
                      <w:sz w:val="21"/>
                      <w:szCs w:val="21"/>
                      <w:lang w:val="en-US" w:eastAsia="zh-CN"/>
                    </w:rPr>
                    <w:t>新建电缆货场，占地面积20000m</w:t>
                  </w:r>
                  <w:r>
                    <w:rPr>
                      <w:rFonts w:hint="eastAsia" w:ascii="Times New Roman" w:hAnsi="Times New Roman" w:cs="Times New Roman"/>
                      <w:b w:val="0"/>
                      <w:bCs/>
                      <w:color w:val="auto"/>
                      <w:sz w:val="21"/>
                      <w:szCs w:val="21"/>
                      <w:vertAlign w:val="superscript"/>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restar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r>
                    <w:rPr>
                      <w:rFonts w:hint="eastAsia" w:ascii="Times New Roman" w:hAnsi="Times New Roman" w:cs="Times New Roman"/>
                      <w:b w:val="0"/>
                      <w:bCs/>
                      <w:color w:val="000000"/>
                      <w:kern w:val="0"/>
                      <w:sz w:val="21"/>
                      <w:szCs w:val="21"/>
                      <w:highlight w:val="none"/>
                      <w:lang w:val="en-US" w:eastAsia="zh-CN"/>
                    </w:rPr>
                    <w:t>辅助</w:t>
                  </w:r>
                  <w:r>
                    <w:rPr>
                      <w:rFonts w:hint="eastAsia" w:cs="Times New Roman"/>
                      <w:b w:val="0"/>
                      <w:bCs/>
                      <w:color w:val="000000"/>
                      <w:kern w:val="0"/>
                      <w:sz w:val="21"/>
                      <w:szCs w:val="21"/>
                      <w:highlight w:val="none"/>
                      <w:lang w:val="en-US" w:eastAsia="zh-CN"/>
                    </w:rPr>
                    <w:t>工</w:t>
                  </w:r>
                  <w:r>
                    <w:rPr>
                      <w:rFonts w:hint="eastAsia" w:ascii="Times New Roman" w:hAnsi="Times New Roman" w:cs="Times New Roman"/>
                      <w:b w:val="0"/>
                      <w:bCs/>
                      <w:color w:val="000000"/>
                      <w:kern w:val="0"/>
                      <w:sz w:val="21"/>
                      <w:szCs w:val="21"/>
                      <w:highlight w:val="none"/>
                      <w:lang w:val="en-US" w:eastAsia="zh-CN"/>
                    </w:rPr>
                    <w:t>程</w:t>
                  </w: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lang w:eastAsia="zh-CN"/>
                    </w:rPr>
                    <w:t>办公</w:t>
                  </w:r>
                  <w:r>
                    <w:rPr>
                      <w:rFonts w:hint="default" w:ascii="Times New Roman" w:hAnsi="Times New Roman" w:cs="Times New Roman"/>
                      <w:b w:val="0"/>
                      <w:bCs/>
                      <w:color w:val="auto"/>
                      <w:sz w:val="21"/>
                      <w:szCs w:val="21"/>
                      <w:lang w:val="en-US" w:eastAsia="zh-CN"/>
                    </w:rPr>
                    <w:t>楼</w:t>
                  </w:r>
                  <w:r>
                    <w:rPr>
                      <w:rFonts w:hint="eastAsia" w:ascii="Times New Roman" w:hAnsi="Times New Roman" w:cs="Times New Roman"/>
                      <w:b w:val="0"/>
                      <w:bCs/>
                      <w:color w:val="auto"/>
                      <w:sz w:val="21"/>
                      <w:szCs w:val="21"/>
                      <w:lang w:val="en-US" w:eastAsia="zh-CN"/>
                    </w:rPr>
                    <w:t>及</w:t>
                  </w:r>
                  <w:r>
                    <w:rPr>
                      <w:rFonts w:hint="default" w:ascii="Times New Roman" w:hAnsi="Times New Roman" w:cs="Times New Roman"/>
                      <w:b w:val="0"/>
                      <w:bCs/>
                      <w:color w:val="auto"/>
                      <w:sz w:val="21"/>
                      <w:szCs w:val="21"/>
                      <w:lang w:val="en-US" w:eastAsia="zh-CN"/>
                    </w:rPr>
                    <w:t>职工餐厅</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eastAsia" w:ascii="Times New Roman" w:hAnsi="Times New Roman" w:eastAsia="宋体" w:cs="Times New Roman"/>
                      <w:b w:val="0"/>
                      <w:bCs/>
                      <w:color w:val="auto"/>
                      <w:kern w:val="0"/>
                      <w:sz w:val="21"/>
                      <w:szCs w:val="21"/>
                      <w:lang w:val="en-US" w:eastAsia="zh-CN" w:bidi="ar-SA"/>
                    </w:rPr>
                  </w:pPr>
                  <w:r>
                    <w:rPr>
                      <w:rFonts w:hint="eastAsia" w:ascii="Times New Roman" w:hAnsi="Times New Roman" w:cs="Times New Roman"/>
                      <w:b w:val="0"/>
                      <w:bCs/>
                      <w:color w:val="auto"/>
                      <w:sz w:val="21"/>
                      <w:szCs w:val="21"/>
                      <w:lang w:val="en-US" w:eastAsia="zh-CN"/>
                    </w:rPr>
                    <w:t>1栋，</w:t>
                  </w:r>
                  <w:r>
                    <w:rPr>
                      <w:rFonts w:hint="default" w:ascii="Times New Roman" w:hAnsi="Times New Roman" w:cs="Times New Roman"/>
                      <w:b w:val="0"/>
                      <w:bCs/>
                      <w:color w:val="auto"/>
                      <w:sz w:val="21"/>
                      <w:szCs w:val="21"/>
                      <w:lang w:val="en-US" w:eastAsia="zh-CN"/>
                    </w:rPr>
                    <w:t>建筑</w:t>
                  </w:r>
                  <w:r>
                    <w:rPr>
                      <w:rFonts w:hint="default" w:ascii="Times New Roman" w:hAnsi="Times New Roman" w:cs="Times New Roman"/>
                      <w:b w:val="0"/>
                      <w:bCs/>
                      <w:color w:val="auto"/>
                      <w:sz w:val="21"/>
                      <w:szCs w:val="21"/>
                    </w:rPr>
                    <w:t>面积为</w:t>
                  </w:r>
                  <w:r>
                    <w:rPr>
                      <w:rFonts w:hint="default" w:ascii="Times New Roman" w:hAnsi="Times New Roman" w:cs="Times New Roman"/>
                      <w:b w:val="0"/>
                      <w:bCs/>
                      <w:color w:val="auto"/>
                      <w:sz w:val="21"/>
                      <w:szCs w:val="21"/>
                      <w:lang w:val="en-US" w:eastAsia="zh-CN"/>
                    </w:rPr>
                    <w:t>8913</w:t>
                  </w:r>
                  <w:r>
                    <w:rPr>
                      <w:rFonts w:hint="default" w:ascii="Times New Roman" w:hAnsi="Times New Roman" w:cs="Times New Roman"/>
                      <w:b w:val="0"/>
                      <w:bCs/>
                      <w:color w:val="auto"/>
                      <w:sz w:val="21"/>
                      <w:szCs w:val="21"/>
                    </w:rPr>
                    <w:t>m</w:t>
                  </w:r>
                  <w:r>
                    <w:rPr>
                      <w:rFonts w:hint="default" w:ascii="Times New Roman" w:hAnsi="Times New Roman" w:cs="Times New Roman"/>
                      <w:b w:val="0"/>
                      <w:bCs/>
                      <w:color w:val="auto"/>
                      <w:sz w:val="21"/>
                      <w:szCs w:val="21"/>
                      <w:vertAlign w:val="superscript"/>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lang w:val="en-US" w:eastAsia="zh-CN"/>
                    </w:rPr>
                    <w:t>危化品库</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eastAsia"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rPr>
                    <w:t>1座，</w:t>
                  </w:r>
                  <w:r>
                    <w:rPr>
                      <w:rFonts w:hint="default" w:ascii="Times New Roman" w:hAnsi="Times New Roman" w:cs="Times New Roman"/>
                      <w:b w:val="0"/>
                      <w:bCs/>
                      <w:color w:val="auto"/>
                      <w:sz w:val="21"/>
                      <w:szCs w:val="21"/>
                      <w:lang w:val="en-US" w:eastAsia="zh-CN"/>
                    </w:rPr>
                    <w:t>占地</w:t>
                  </w:r>
                  <w:r>
                    <w:rPr>
                      <w:rFonts w:hint="default" w:ascii="Times New Roman" w:hAnsi="Times New Roman" w:cs="Times New Roman"/>
                      <w:b w:val="0"/>
                      <w:bCs/>
                      <w:color w:val="auto"/>
                      <w:sz w:val="21"/>
                      <w:szCs w:val="21"/>
                    </w:rPr>
                    <w:t>面积</w:t>
                  </w:r>
                  <w:r>
                    <w:rPr>
                      <w:rFonts w:hint="default" w:ascii="Times New Roman" w:hAnsi="Times New Roman" w:cs="Times New Roman"/>
                      <w:b w:val="0"/>
                      <w:bCs/>
                      <w:color w:val="auto"/>
                      <w:sz w:val="21"/>
                      <w:szCs w:val="21"/>
                      <w:lang w:val="en-US" w:eastAsia="zh-CN"/>
                    </w:rPr>
                    <w:t>50</w:t>
                  </w:r>
                  <w:r>
                    <w:rPr>
                      <w:rFonts w:hint="default" w:ascii="Times New Roman" w:hAnsi="Times New Roman" w:cs="Times New Roman"/>
                      <w:b w:val="0"/>
                      <w:bCs/>
                      <w:color w:val="auto"/>
                      <w:sz w:val="21"/>
                      <w:szCs w:val="21"/>
                    </w:rPr>
                    <w:t>m</w:t>
                  </w:r>
                  <w:r>
                    <w:rPr>
                      <w:rFonts w:hint="default" w:ascii="Times New Roman" w:hAnsi="Times New Roman" w:cs="Times New Roman"/>
                      <w:b w:val="0"/>
                      <w:bCs/>
                      <w:color w:val="auto"/>
                      <w:sz w:val="21"/>
                      <w:szCs w:val="21"/>
                      <w:vertAlign w:val="superscript"/>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lang w:val="en-US" w:eastAsia="zh-CN"/>
                    </w:rPr>
                    <w:t>变电所</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eastAsia"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lang w:val="en-US" w:eastAsia="zh-CN"/>
                    </w:rPr>
                    <w:t>新建35KV变电所</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lang w:val="en-US" w:eastAsia="zh-CN"/>
                    </w:rPr>
                    <w:t>水泵房</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eastAsia"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rPr>
                    <w:t>1座，</w:t>
                  </w:r>
                  <w:r>
                    <w:rPr>
                      <w:rFonts w:hint="default" w:ascii="Times New Roman" w:hAnsi="Times New Roman" w:cs="Times New Roman"/>
                      <w:b w:val="0"/>
                      <w:bCs/>
                      <w:color w:val="auto"/>
                      <w:sz w:val="21"/>
                      <w:szCs w:val="21"/>
                      <w:lang w:val="en-US" w:eastAsia="zh-CN"/>
                    </w:rPr>
                    <w:t>占地</w:t>
                  </w:r>
                  <w:r>
                    <w:rPr>
                      <w:rFonts w:hint="default" w:ascii="Times New Roman" w:hAnsi="Times New Roman" w:cs="Times New Roman"/>
                      <w:b w:val="0"/>
                      <w:bCs/>
                      <w:color w:val="auto"/>
                      <w:sz w:val="21"/>
                      <w:szCs w:val="21"/>
                    </w:rPr>
                    <w:t>面积</w:t>
                  </w:r>
                  <w:r>
                    <w:rPr>
                      <w:rFonts w:hint="default" w:ascii="Times New Roman" w:hAnsi="Times New Roman" w:cs="Times New Roman"/>
                      <w:b w:val="0"/>
                      <w:bCs/>
                      <w:color w:val="auto"/>
                      <w:sz w:val="21"/>
                      <w:szCs w:val="21"/>
                      <w:lang w:val="en-US" w:eastAsia="zh-CN"/>
                    </w:rPr>
                    <w:t>50</w:t>
                  </w:r>
                  <w:r>
                    <w:rPr>
                      <w:rFonts w:hint="default" w:ascii="Times New Roman" w:hAnsi="Times New Roman" w:cs="Times New Roman"/>
                      <w:b w:val="0"/>
                      <w:bCs/>
                      <w:color w:val="auto"/>
                      <w:sz w:val="21"/>
                      <w:szCs w:val="21"/>
                    </w:rPr>
                    <w:t>m</w:t>
                  </w:r>
                  <w:r>
                    <w:rPr>
                      <w:rFonts w:hint="default" w:ascii="Times New Roman" w:hAnsi="Times New Roman" w:cs="Times New Roman"/>
                      <w:b w:val="0"/>
                      <w:bCs/>
                      <w:color w:val="auto"/>
                      <w:sz w:val="21"/>
                      <w:szCs w:val="21"/>
                      <w:vertAlign w:val="superscript"/>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eastAsia" w:ascii="Times New Roman" w:hAnsi="Times New Roman" w:cs="Times New Roman"/>
                      <w:b w:val="0"/>
                      <w:bCs/>
                      <w:color w:val="auto"/>
                      <w:sz w:val="21"/>
                      <w:szCs w:val="21"/>
                      <w:lang w:val="en-US" w:eastAsia="zh-CN"/>
                    </w:rPr>
                    <w:t>停车场</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eastAsia"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lang w:val="en-US" w:eastAsia="zh-CN"/>
                    </w:rPr>
                    <w:t>规划车位802个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restar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r>
                    <w:rPr>
                      <w:rFonts w:hint="eastAsia" w:ascii="Times New Roman" w:hAnsi="Times New Roman" w:cs="Times New Roman"/>
                      <w:b w:val="0"/>
                      <w:bCs/>
                      <w:color w:val="000000"/>
                      <w:kern w:val="0"/>
                      <w:sz w:val="21"/>
                      <w:szCs w:val="21"/>
                      <w:highlight w:val="none"/>
                      <w:lang w:val="en-US" w:eastAsia="zh-CN"/>
                    </w:rPr>
                    <w:t>公用工程</w:t>
                  </w: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rPr>
                    <w:t>供水</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rPr>
                    <w:t>连接园区供水管网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rPr>
                    <w:t>排水</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rPr>
                    <w:t>生产废水循环使用，不排放；</w:t>
                  </w:r>
                  <w:r>
                    <w:rPr>
                      <w:rFonts w:hint="default" w:ascii="Times New Roman" w:hAnsi="Times New Roman" w:cs="Times New Roman"/>
                      <w:b w:val="0"/>
                      <w:bCs/>
                      <w:color w:val="auto"/>
                      <w:sz w:val="21"/>
                      <w:szCs w:val="21"/>
                      <w:lang w:eastAsia="zh-CN"/>
                    </w:rPr>
                    <w:t>生活污水经化粪池预处理通过下水管网排入园区污水处理厂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rPr>
                    <w:t>供电</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rPr>
                    <w:t>园区电网供电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rPr>
                    <w:t>供暖</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jc w:val="center"/>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cs="Times New Roman"/>
                      <w:b w:val="0"/>
                      <w:bCs/>
                      <w:color w:val="auto"/>
                      <w:sz w:val="21"/>
                      <w:szCs w:val="21"/>
                      <w:lang w:val="en-US" w:eastAsia="zh-CN"/>
                    </w:rPr>
                    <w:t>项目区采用园区供暖</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2" w:hRule="atLeast"/>
                <w:tblHeader/>
                <w:jc w:val="center"/>
              </w:trPr>
              <w:tc>
                <w:tcPr>
                  <w:tcW w:w="724" w:type="pct"/>
                  <w:vMerge w:val="restar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r>
                    <w:rPr>
                      <w:rFonts w:hint="eastAsia" w:ascii="Times New Roman" w:hAnsi="Times New Roman" w:cs="Times New Roman"/>
                      <w:b w:val="0"/>
                      <w:bCs/>
                      <w:color w:val="000000"/>
                      <w:kern w:val="0"/>
                      <w:sz w:val="21"/>
                      <w:szCs w:val="21"/>
                      <w:highlight w:val="none"/>
                      <w:lang w:val="en-US" w:eastAsia="zh-CN"/>
                    </w:rPr>
                    <w:t>环保工程</w:t>
                  </w:r>
                </w:p>
              </w:tc>
              <w:tc>
                <w:tcPr>
                  <w:tcW w:w="1528" w:type="pct"/>
                  <w:vMerge w:val="restar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rPr>
                    <w:t>废气</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lang w:val="en-US" w:eastAsia="zh-CN" w:bidi="ar-SA"/>
                    </w:rPr>
                    <w:t>挤出、挤护套、喷码工序：采用集气罩（24个）+吸附浓缩+催化燃烧+15m排气筒（4套，能源装备电缆车间2套、数字化布电线车间1套、中低压交联车间1套）；中低压交联车间1套多级活性炭吸附+15m排气筒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vMerge w:val="continue"/>
                  <w:tcBorders>
                    <w:tl2br w:val="nil"/>
                    <w:tr2bl w:val="nil"/>
                  </w:tcBorders>
                  <w:noWrap w:val="0"/>
                  <w:vAlign w:val="center"/>
                </w:tcPr>
                <w:p>
                  <w:pPr>
                    <w:pStyle w:val="96"/>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snapToGrid w:val="0"/>
                      <w:kern w:val="2"/>
                      <w:sz w:val="21"/>
                      <w:szCs w:val="21"/>
                      <w:lang w:val="en-US" w:eastAsia="zh-CN" w:bidi="ar-SA"/>
                    </w:rPr>
                  </w:pP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rPr>
                    <w:t>食堂油烟：油烟净化装置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vMerge w:val="restar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rPr>
                    <w:t>废水</w:t>
                  </w:r>
                </w:p>
              </w:tc>
              <w:tc>
                <w:tcPr>
                  <w:tcW w:w="2746" w:type="pct"/>
                  <w:vMerge w:val="restar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eastAsia" w:ascii="Times New Roman" w:hAnsi="Times New Roman" w:cs="Times New Roman"/>
                      <w:b w:val="0"/>
                      <w:bCs/>
                      <w:color w:val="auto"/>
                      <w:kern w:val="0"/>
                      <w:sz w:val="21"/>
                      <w:szCs w:val="21"/>
                      <w:lang w:val="en-US" w:eastAsia="zh-CN" w:bidi="ar-SA"/>
                    </w:rPr>
                    <w:t>生产废水新建6座循环水池，总容积727m</w:t>
                  </w:r>
                  <w:r>
                    <w:rPr>
                      <w:rFonts w:hint="eastAsia" w:ascii="Times New Roman" w:hAnsi="Times New Roman" w:cs="Times New Roman"/>
                      <w:b w:val="0"/>
                      <w:bCs/>
                      <w:color w:val="auto"/>
                      <w:kern w:val="0"/>
                      <w:sz w:val="21"/>
                      <w:szCs w:val="21"/>
                      <w:vertAlign w:val="superscript"/>
                      <w:lang w:val="en-US" w:eastAsia="zh-CN" w:bidi="ar-SA"/>
                    </w:rPr>
                    <w:t>3,</w:t>
                  </w:r>
                  <w:r>
                    <w:rPr>
                      <w:rFonts w:hint="eastAsia" w:ascii="Times New Roman" w:hAnsi="Times New Roman" w:cs="Times New Roman"/>
                      <w:b w:val="0"/>
                      <w:bCs/>
                      <w:color w:val="auto"/>
                      <w:kern w:val="0"/>
                      <w:sz w:val="21"/>
                      <w:szCs w:val="21"/>
                      <w:lang w:val="en-US" w:eastAsia="zh-CN" w:bidi="ar-SA"/>
                    </w:rPr>
                    <w:t>，不排放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vMerge w:val="continue"/>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rPr>
                  </w:pPr>
                </w:p>
              </w:tc>
              <w:tc>
                <w:tcPr>
                  <w:tcW w:w="2746" w:type="pct"/>
                  <w:vMerge w:val="continue"/>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both"/>
                    <w:textAlignment w:val="auto"/>
                    <w:rPr>
                      <w:rFonts w:hint="eastAsia" w:ascii="Times New Roman" w:hAnsi="Times New Roman" w:cs="Times New Roman"/>
                      <w:b w:val="0"/>
                      <w:bCs/>
                      <w:color w:val="auto"/>
                      <w:kern w:val="0"/>
                      <w:sz w:val="21"/>
                      <w:szCs w:val="21"/>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vMerge w:val="continue"/>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rPr>
                  </w:pP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lang w:eastAsia="zh-CN"/>
                    </w:rPr>
                    <w:t>生活污水经</w:t>
                  </w:r>
                  <w:r>
                    <w:rPr>
                      <w:rFonts w:hint="default" w:ascii="Times New Roman" w:hAnsi="Times New Roman" w:eastAsia="宋体" w:cs="Times New Roman"/>
                      <w:b w:val="0"/>
                      <w:bCs/>
                      <w:color w:val="auto"/>
                      <w:sz w:val="21"/>
                      <w:szCs w:val="21"/>
                      <w:lang w:val="en-US" w:eastAsia="zh-CN"/>
                    </w:rPr>
                    <w:t>中低压交联车间东侧、西侧设置2个化粪池收集中低压交联车间生活废水，经化粪池处理后排入园区下水管网；全厂其他生活污水经管道排入园区下水管网，最终进入昌吉高新海天污水处理厂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rPr>
                    <w:t>噪声</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rPr>
                    <w:t>生产设备隔声、减振、消声等。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vMerge w:val="restar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固</w:t>
                  </w:r>
                  <w:r>
                    <w:rPr>
                      <w:rFonts w:hint="eastAsia" w:ascii="Times New Roman" w:hAnsi="Times New Roman" w:cs="Times New Roman"/>
                      <w:b w:val="0"/>
                      <w:bCs/>
                      <w:color w:val="auto"/>
                      <w:sz w:val="21"/>
                      <w:szCs w:val="21"/>
                      <w:lang w:val="en-US" w:eastAsia="zh-CN"/>
                    </w:rPr>
                    <w:t>体</w:t>
                  </w:r>
                  <w:r>
                    <w:rPr>
                      <w:rFonts w:hint="default" w:ascii="Times New Roman" w:hAnsi="Times New Roman" w:eastAsia="宋体" w:cs="Times New Roman"/>
                      <w:b w:val="0"/>
                      <w:bCs/>
                      <w:color w:val="auto"/>
                      <w:sz w:val="21"/>
                      <w:szCs w:val="21"/>
                    </w:rPr>
                    <w:t>废</w:t>
                  </w:r>
                  <w:r>
                    <w:rPr>
                      <w:rFonts w:hint="eastAsia" w:ascii="Times New Roman" w:hAnsi="Times New Roman" w:cs="Times New Roman"/>
                      <w:b w:val="0"/>
                      <w:bCs/>
                      <w:color w:val="auto"/>
                      <w:sz w:val="21"/>
                      <w:szCs w:val="21"/>
                      <w:lang w:val="en-US" w:eastAsia="zh-CN"/>
                    </w:rPr>
                    <w:t>物</w:t>
                  </w:r>
                </w:p>
              </w:tc>
              <w:tc>
                <w:tcPr>
                  <w:tcW w:w="27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一般固废：</w:t>
                  </w:r>
                </w:p>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val="en-US" w:eastAsia="zh-CN"/>
                    </w:rPr>
                    <w:t>废边角料（废铜带、废钢带、废无纺布等），挤出护套过程中产生的废护套，检验工序</w:t>
                  </w:r>
                  <w:r>
                    <w:rPr>
                      <w:rFonts w:hint="eastAsia" w:ascii="Times New Roman" w:hAnsi="Times New Roman" w:cs="Times New Roman"/>
                      <w:b w:val="0"/>
                      <w:bCs/>
                      <w:color w:val="auto"/>
                      <w:sz w:val="21"/>
                      <w:szCs w:val="21"/>
                      <w:lang w:val="en-US" w:eastAsia="zh-CN"/>
                    </w:rPr>
                    <w:t>产生</w:t>
                  </w:r>
                  <w:r>
                    <w:rPr>
                      <w:rFonts w:hint="default" w:ascii="Times New Roman" w:hAnsi="Times New Roman" w:eastAsia="宋体" w:cs="Times New Roman"/>
                      <w:b w:val="0"/>
                      <w:bCs/>
                      <w:color w:val="auto"/>
                      <w:sz w:val="21"/>
                      <w:szCs w:val="21"/>
                      <w:lang w:val="en-US" w:eastAsia="zh-CN"/>
                    </w:rPr>
                    <w:t>的不合格产品等</w:t>
                  </w:r>
                  <w:r>
                    <w:rPr>
                      <w:rFonts w:hint="default" w:ascii="Times New Roman" w:hAnsi="Times New Roman" w:eastAsia="宋体" w:cs="Times New Roman"/>
                      <w:b w:val="0"/>
                      <w:bCs/>
                      <w:color w:val="auto"/>
                      <w:sz w:val="21"/>
                      <w:szCs w:val="21"/>
                    </w:rPr>
                    <w:t>集中收集后暂存于</w:t>
                  </w:r>
                  <w:r>
                    <w:rPr>
                      <w:rFonts w:hint="default" w:ascii="Times New Roman" w:hAnsi="Times New Roman" w:eastAsia="宋体" w:cs="Times New Roman"/>
                      <w:b w:val="0"/>
                      <w:bCs/>
                      <w:color w:val="auto"/>
                      <w:sz w:val="21"/>
                      <w:szCs w:val="21"/>
                      <w:lang w:val="en-US" w:eastAsia="zh-CN"/>
                    </w:rPr>
                    <w:t>一般</w:t>
                  </w:r>
                  <w:r>
                    <w:rPr>
                      <w:rFonts w:hint="default" w:ascii="Times New Roman" w:hAnsi="Times New Roman" w:eastAsia="宋体" w:cs="Times New Roman"/>
                      <w:b w:val="0"/>
                      <w:bCs/>
                      <w:color w:val="auto"/>
                      <w:sz w:val="21"/>
                      <w:szCs w:val="21"/>
                    </w:rPr>
                    <w:t>固废暂存间</w:t>
                  </w:r>
                  <w:r>
                    <w:rPr>
                      <w:rFonts w:hint="default" w:ascii="Times New Roman" w:hAnsi="Times New Roman" w:eastAsia="宋体" w:cs="Times New Roman"/>
                      <w:b w:val="0"/>
                      <w:bCs/>
                      <w:color w:val="auto"/>
                      <w:sz w:val="21"/>
                      <w:szCs w:val="21"/>
                      <w:lang w:val="en-US" w:eastAsia="zh-CN"/>
                    </w:rPr>
                    <w:t>或各车间固废暂存</w:t>
                  </w:r>
                  <w:r>
                    <w:rPr>
                      <w:rFonts w:hint="eastAsia" w:ascii="Times New Roman" w:hAnsi="Times New Roman" w:cs="Times New Roman"/>
                      <w:b w:val="0"/>
                      <w:bCs/>
                      <w:color w:val="auto"/>
                      <w:sz w:val="21"/>
                      <w:szCs w:val="21"/>
                      <w:lang w:val="en-US" w:eastAsia="zh-CN"/>
                    </w:rPr>
                    <w:t>处</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eastAsia="zh-CN"/>
                    </w:rPr>
                    <w:t>出售给废品回收企业</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eastAsia="zh-CN"/>
                    </w:rPr>
                    <w:t>厂区内</w:t>
                  </w:r>
                  <w:r>
                    <w:rPr>
                      <w:rFonts w:hint="default" w:ascii="Times New Roman" w:hAnsi="Times New Roman" w:eastAsia="宋体" w:cs="Times New Roman"/>
                      <w:b w:val="0"/>
                      <w:bCs/>
                      <w:color w:val="auto"/>
                      <w:sz w:val="21"/>
                      <w:szCs w:val="21"/>
                    </w:rPr>
                    <w:t>设置一般固废暂存</w:t>
                  </w:r>
                  <w:r>
                    <w:rPr>
                      <w:rFonts w:hint="eastAsia" w:ascii="Times New Roman" w:hAnsi="Times New Roman" w:cs="Times New Roman"/>
                      <w:b w:val="0"/>
                      <w:bCs/>
                      <w:color w:val="auto"/>
                      <w:sz w:val="21"/>
                      <w:szCs w:val="21"/>
                      <w:lang w:val="en-US" w:eastAsia="zh-CN"/>
                    </w:rPr>
                    <w:t>库</w:t>
                  </w:r>
                  <w:r>
                    <w:rPr>
                      <w:rFonts w:hint="default" w:ascii="Times New Roman" w:hAnsi="Times New Roman" w:eastAsia="宋体" w:cs="Times New Roman"/>
                      <w:b w:val="0"/>
                      <w:bCs/>
                      <w:color w:val="auto"/>
                      <w:sz w:val="21"/>
                      <w:szCs w:val="21"/>
                    </w:rPr>
                    <w:t>1座，</w:t>
                  </w:r>
                  <w:r>
                    <w:rPr>
                      <w:rFonts w:hint="default" w:ascii="Times New Roman" w:hAnsi="Times New Roman" w:eastAsia="宋体" w:cs="Times New Roman"/>
                      <w:b w:val="0"/>
                      <w:bCs/>
                      <w:color w:val="auto"/>
                      <w:sz w:val="21"/>
                      <w:szCs w:val="21"/>
                      <w:lang w:val="en-US" w:eastAsia="zh-CN"/>
                    </w:rPr>
                    <w:t>占地</w:t>
                  </w:r>
                  <w:r>
                    <w:rPr>
                      <w:rFonts w:hint="default" w:ascii="Times New Roman" w:hAnsi="Times New Roman" w:eastAsia="宋体" w:cs="Times New Roman"/>
                      <w:b w:val="0"/>
                      <w:bCs/>
                      <w:color w:val="auto"/>
                      <w:sz w:val="21"/>
                      <w:szCs w:val="21"/>
                    </w:rPr>
                    <w:t>面积</w:t>
                  </w:r>
                  <w:r>
                    <w:rPr>
                      <w:rFonts w:hint="default" w:ascii="Times New Roman" w:hAnsi="Times New Roman" w:eastAsia="宋体" w:cs="Times New Roman"/>
                      <w:b w:val="0"/>
                      <w:bCs/>
                      <w:color w:val="auto"/>
                      <w:sz w:val="21"/>
                      <w:szCs w:val="21"/>
                      <w:lang w:val="en-US" w:eastAsia="zh-CN"/>
                    </w:rPr>
                    <w:t>500</w:t>
                  </w:r>
                  <w:r>
                    <w:rPr>
                      <w:rFonts w:hint="default" w:ascii="Times New Roman" w:hAnsi="Times New Roman" w:eastAsia="宋体" w:cs="Times New Roman"/>
                      <w:b w:val="0"/>
                      <w:bCs/>
                      <w:color w:val="auto"/>
                      <w:sz w:val="21"/>
                      <w:szCs w:val="21"/>
                    </w:rPr>
                    <w:t>m</w:t>
                  </w:r>
                  <w:r>
                    <w:rPr>
                      <w:rFonts w:hint="default" w:ascii="Times New Roman" w:hAnsi="Times New Roman" w:eastAsia="宋体" w:cs="Times New Roman"/>
                      <w:b w:val="0"/>
                      <w:bCs/>
                      <w:color w:val="auto"/>
                      <w:sz w:val="21"/>
                      <w:szCs w:val="21"/>
                      <w:vertAlign w:val="superscript"/>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vMerge w:val="continue"/>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rPr>
                  </w:pP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危险废物：集中收集后暂存于危险废物暂存间，定期交至有资质的相关危废处理单位处置。厂区内设置危废暂存间1座，占地面积50m</w:t>
                  </w:r>
                  <w:r>
                    <w:rPr>
                      <w:rFonts w:hint="default" w:ascii="Times New Roman" w:hAnsi="Times New Roman" w:eastAsia="宋体" w:cs="Times New Roman"/>
                      <w:b w:val="0"/>
                      <w:bCs/>
                      <w:color w:val="auto"/>
                      <w:sz w:val="21"/>
                      <w:szCs w:val="21"/>
                      <w:highlight w:val="none"/>
                      <w:vertAlign w:val="superscript"/>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vMerge w:val="continue"/>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rPr>
                  </w:pP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rPr>
                    <w:t>生活垃圾：设立垃圾收集箱，定期清运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24"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000000"/>
                      <w:kern w:val="0"/>
                      <w:sz w:val="21"/>
                      <w:szCs w:val="21"/>
                      <w:highlight w:val="none"/>
                      <w:lang w:val="en-US" w:eastAsia="zh-CN"/>
                    </w:rPr>
                  </w:pPr>
                </w:p>
              </w:tc>
              <w:tc>
                <w:tcPr>
                  <w:tcW w:w="1528"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其他</w:t>
                  </w:r>
                </w:p>
              </w:tc>
              <w:tc>
                <w:tcPr>
                  <w:tcW w:w="2746" w:type="pct"/>
                  <w:tcBorders>
                    <w:tl2br w:val="nil"/>
                    <w:tr2bl w:val="nil"/>
                  </w:tcBorders>
                  <w:noWrap w:val="0"/>
                  <w:vAlign w:val="center"/>
                </w:tcPr>
                <w:p>
                  <w:pPr>
                    <w:pStyle w:val="28"/>
                    <w:keepNext w:val="0"/>
                    <w:keepLines/>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b w:val="0"/>
                      <w:bCs/>
                      <w:color w:val="auto"/>
                      <w:sz w:val="21"/>
                      <w:szCs w:val="21"/>
                    </w:rPr>
                  </w:pPr>
                  <w:r>
                    <w:rPr>
                      <w:rFonts w:hint="eastAsia" w:ascii="Times New Roman" w:hAnsi="Times New Roman" w:cs="Times New Roman"/>
                      <w:b w:val="0"/>
                      <w:bCs/>
                      <w:color w:val="auto"/>
                      <w:sz w:val="21"/>
                      <w:szCs w:val="21"/>
                      <w:lang w:val="en-US" w:eastAsia="zh-CN"/>
                    </w:rPr>
                    <w:t>新建1座750m</w:t>
                  </w:r>
                  <w:r>
                    <w:rPr>
                      <w:rFonts w:hint="eastAsia" w:ascii="Times New Roman" w:hAnsi="Times New Roman" w:cs="Times New Roman"/>
                      <w:b w:val="0"/>
                      <w:bCs/>
                      <w:color w:val="auto"/>
                      <w:sz w:val="21"/>
                      <w:szCs w:val="21"/>
                      <w:vertAlign w:val="superscript"/>
                      <w:lang w:val="en-US" w:eastAsia="zh-CN"/>
                    </w:rPr>
                    <w:t>3</w:t>
                  </w:r>
                  <w:r>
                    <w:rPr>
                      <w:rFonts w:hint="eastAsia" w:ascii="Times New Roman" w:hAnsi="Times New Roman" w:cs="Times New Roman"/>
                      <w:b w:val="0"/>
                      <w:bCs/>
                      <w:color w:val="auto"/>
                      <w:sz w:val="21"/>
                      <w:szCs w:val="21"/>
                      <w:lang w:val="en-US" w:eastAsia="zh-CN"/>
                    </w:rPr>
                    <w:t>消防水池</w:t>
                  </w:r>
                </w:p>
              </w:tc>
            </w:tr>
          </w:tbl>
          <w:p>
            <w:pPr>
              <w:pStyle w:val="8"/>
              <w:jc w:val="both"/>
              <w:outlineLvl w:val="2"/>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1.4 现有工程原辅材料及产品方案</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现有工程原辅材料及产品方案详见下表。</w:t>
            </w:r>
          </w:p>
          <w:p>
            <w:pPr>
              <w:pStyle w:val="8"/>
              <w:spacing w:line="240" w:lineRule="auto"/>
              <w:jc w:val="center"/>
              <w:outlineLvl w:val="2"/>
              <w:rPr>
                <w:rFonts w:hint="eastAsia" w:ascii="Times New Roman" w:hAnsi="Times New Roman" w:eastAsia="宋体"/>
                <w:color w:val="000000" w:themeColor="text1"/>
                <w:sz w:val="21"/>
                <w:szCs w:val="21"/>
                <w:lang w:val="en-US" w:eastAsia="zh-CN"/>
                <w14:textFill>
                  <w14:solidFill>
                    <w14:schemeClr w14:val="tx1"/>
                  </w14:solidFill>
                </w14:textFill>
              </w:rPr>
            </w:pPr>
          </w:p>
          <w:p>
            <w:pPr>
              <w:pStyle w:val="8"/>
              <w:spacing w:line="240" w:lineRule="auto"/>
              <w:jc w:val="center"/>
              <w:outlineLvl w:val="2"/>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表2-</w:t>
            </w:r>
            <w:r>
              <w:rPr>
                <w:rFonts w:hint="eastAsia"/>
                <w:color w:val="000000" w:themeColor="text1"/>
                <w:sz w:val="21"/>
                <w:szCs w:val="21"/>
                <w:lang w:val="en-US" w:eastAsia="zh-CN"/>
                <w14:textFill>
                  <w14:solidFill>
                    <w14:schemeClr w14:val="tx1"/>
                  </w14:solidFill>
                </w14:textFill>
              </w:rPr>
              <w:t>10</w:t>
            </w:r>
            <w:r>
              <w:rPr>
                <w:rFonts w:hint="eastAsia" w:ascii="Times New Roman" w:hAnsi="Times New Roman" w:eastAsia="宋体"/>
                <w:color w:val="000000" w:themeColor="text1"/>
                <w:sz w:val="21"/>
                <w:szCs w:val="21"/>
                <w:lang w:val="en-US" w:eastAsia="zh-CN"/>
                <w14:textFill>
                  <w14:solidFill>
                    <w14:schemeClr w14:val="tx1"/>
                  </w14:solidFill>
                </w14:textFill>
              </w:rPr>
              <w:t xml:space="preserve">   现有工程原辅材料年用量</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3063"/>
              <w:gridCol w:w="1449"/>
              <w:gridCol w:w="23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623"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eastAsia="宋体" w:cs="Times New Roman"/>
                      <w:b/>
                      <w:bCs/>
                      <w:color w:val="auto"/>
                      <w:kern w:val="0"/>
                      <w:sz w:val="21"/>
                      <w:szCs w:val="21"/>
                      <w:highlight w:val="none"/>
                      <w:vertAlign w:val="baseline"/>
                      <w:lang w:val="en-US" w:eastAsia="zh-CN" w:bidi="ar"/>
                    </w:rPr>
                    <w:t>序号</w:t>
                  </w:r>
                </w:p>
              </w:tc>
              <w:tc>
                <w:tcPr>
                  <w:tcW w:w="19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eastAsia="宋体" w:cs="Times New Roman"/>
                      <w:b/>
                      <w:bCs/>
                      <w:color w:val="auto"/>
                      <w:kern w:val="0"/>
                      <w:sz w:val="21"/>
                      <w:szCs w:val="21"/>
                      <w:highlight w:val="none"/>
                      <w:vertAlign w:val="baseline"/>
                      <w:lang w:val="en-US" w:eastAsia="zh-CN" w:bidi="ar"/>
                    </w:rPr>
                    <w:t>名称</w:t>
                  </w:r>
                </w:p>
              </w:tc>
              <w:tc>
                <w:tcPr>
                  <w:tcW w:w="92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eastAsia="宋体" w:cs="Times New Roman"/>
                      <w:b/>
                      <w:bCs/>
                      <w:color w:val="auto"/>
                      <w:kern w:val="0"/>
                      <w:sz w:val="21"/>
                      <w:szCs w:val="21"/>
                      <w:highlight w:val="none"/>
                      <w:vertAlign w:val="baseline"/>
                      <w:lang w:val="en-US" w:eastAsia="zh-CN" w:bidi="ar"/>
                    </w:rPr>
                    <w:t>单位</w:t>
                  </w:r>
                </w:p>
              </w:tc>
              <w:tc>
                <w:tcPr>
                  <w:tcW w:w="150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eastAsia="宋体" w:cs="Times New Roman"/>
                      <w:b/>
                      <w:bCs/>
                      <w:color w:val="auto"/>
                      <w:kern w:val="0"/>
                      <w:sz w:val="21"/>
                      <w:szCs w:val="21"/>
                      <w:highlight w:val="none"/>
                      <w:vertAlign w:val="baseline"/>
                      <w:lang w:val="en-US" w:eastAsia="zh-CN" w:bidi="ar"/>
                    </w:rPr>
                    <w:t>使用量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3" w:type="pct"/>
                  <w:tcBorders>
                    <w:tl2br w:val="nil"/>
                    <w:tr2bl w:val="nil"/>
                  </w:tcBorders>
                  <w:noWrap w:val="0"/>
                  <w:vAlign w:val="center"/>
                </w:tcPr>
                <w:p>
                  <w:pPr>
                    <w:pStyle w:val="17"/>
                    <w:keepNext w:val="0"/>
                    <w:keepLines/>
                    <w:pageBreakBefore w:val="0"/>
                    <w:widowControl w:val="0"/>
                    <w:numPr>
                      <w:ilvl w:val="0"/>
                      <w:numId w:val="0"/>
                    </w:numPr>
                    <w:tabs>
                      <w:tab w:val="left" w:pos="420"/>
                    </w:tabs>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kern w:val="2"/>
                      <w:sz w:val="21"/>
                      <w:szCs w:val="21"/>
                      <w:lang w:val="en-US" w:eastAsia="zh-CN" w:bidi="ar-SA"/>
                    </w:rPr>
                  </w:pPr>
                  <w:r>
                    <w:rPr>
                      <w:rFonts w:hint="default" w:ascii="Times New Roman" w:hAnsi="Times New Roman" w:eastAsia="宋体" w:cs="Times New Roman"/>
                      <w:b w:val="0"/>
                      <w:bCs/>
                      <w:kern w:val="2"/>
                      <w:sz w:val="21"/>
                      <w:szCs w:val="21"/>
                      <w:lang w:val="en-US" w:eastAsia="zh-CN" w:bidi="ar-SA"/>
                    </w:rPr>
                    <w:t>1</w:t>
                  </w:r>
                </w:p>
              </w:tc>
              <w:tc>
                <w:tcPr>
                  <w:tcW w:w="19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sz w:val="21"/>
                      <w:szCs w:val="21"/>
                      <w:vertAlign w:val="baseline"/>
                      <w:lang w:val="en-US"/>
                    </w:rPr>
                    <w:t>铜导体</w:t>
                  </w:r>
                </w:p>
              </w:tc>
              <w:tc>
                <w:tcPr>
                  <w:tcW w:w="92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t/a</w:t>
                  </w:r>
                </w:p>
              </w:tc>
              <w:tc>
                <w:tcPr>
                  <w:tcW w:w="150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sz w:val="21"/>
                      <w:szCs w:val="21"/>
                      <w:vertAlign w:val="baseline"/>
                      <w:lang w:val="en-US" w:eastAsia="zh-CN"/>
                    </w:rPr>
                    <w:t>42420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623" w:type="pct"/>
                  <w:tcBorders>
                    <w:tl2br w:val="nil"/>
                    <w:tr2bl w:val="nil"/>
                  </w:tcBorders>
                  <w:noWrap w:val="0"/>
                  <w:vAlign w:val="center"/>
                </w:tcPr>
                <w:p>
                  <w:pPr>
                    <w:pStyle w:val="17"/>
                    <w:keepNext w:val="0"/>
                    <w:keepLines/>
                    <w:pageBreakBefore w:val="0"/>
                    <w:widowControl w:val="0"/>
                    <w:numPr>
                      <w:ilvl w:val="0"/>
                      <w:numId w:val="0"/>
                    </w:numPr>
                    <w:tabs>
                      <w:tab w:val="left" w:pos="420"/>
                    </w:tabs>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kern w:val="2"/>
                      <w:sz w:val="21"/>
                      <w:szCs w:val="21"/>
                      <w:lang w:val="en-US" w:eastAsia="zh-CN" w:bidi="ar-SA"/>
                    </w:rPr>
                  </w:pPr>
                  <w:r>
                    <w:rPr>
                      <w:rFonts w:hint="default" w:ascii="Times New Roman" w:hAnsi="Times New Roman" w:eastAsia="宋体" w:cs="Times New Roman"/>
                      <w:b w:val="0"/>
                      <w:bCs/>
                      <w:kern w:val="2"/>
                      <w:sz w:val="21"/>
                      <w:szCs w:val="21"/>
                      <w:lang w:val="en-US" w:eastAsia="zh-CN" w:bidi="ar-SA"/>
                    </w:rPr>
                    <w:t>2</w:t>
                  </w:r>
                </w:p>
              </w:tc>
              <w:tc>
                <w:tcPr>
                  <w:tcW w:w="19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PVC</w:t>
                  </w:r>
                </w:p>
              </w:tc>
              <w:tc>
                <w:tcPr>
                  <w:tcW w:w="92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t/a</w:t>
                  </w:r>
                </w:p>
              </w:tc>
              <w:tc>
                <w:tcPr>
                  <w:tcW w:w="150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6793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3" w:type="pct"/>
                  <w:tcBorders>
                    <w:tl2br w:val="nil"/>
                    <w:tr2bl w:val="nil"/>
                  </w:tcBorders>
                  <w:noWrap w:val="0"/>
                  <w:vAlign w:val="center"/>
                </w:tcPr>
                <w:p>
                  <w:pPr>
                    <w:pStyle w:val="17"/>
                    <w:keepNext w:val="0"/>
                    <w:keepLines/>
                    <w:pageBreakBefore w:val="0"/>
                    <w:widowControl w:val="0"/>
                    <w:numPr>
                      <w:ilvl w:val="0"/>
                      <w:numId w:val="0"/>
                    </w:numPr>
                    <w:tabs>
                      <w:tab w:val="left" w:pos="420"/>
                    </w:tabs>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kern w:val="2"/>
                      <w:sz w:val="21"/>
                      <w:szCs w:val="21"/>
                      <w:lang w:val="en-US" w:eastAsia="zh-CN" w:bidi="ar-SA"/>
                    </w:rPr>
                  </w:pPr>
                  <w:r>
                    <w:rPr>
                      <w:rFonts w:hint="default" w:ascii="Times New Roman" w:hAnsi="Times New Roman" w:eastAsia="宋体" w:cs="Times New Roman"/>
                      <w:b w:val="0"/>
                      <w:bCs/>
                      <w:kern w:val="2"/>
                      <w:sz w:val="21"/>
                      <w:szCs w:val="21"/>
                      <w:lang w:val="en-US" w:eastAsia="zh-CN" w:bidi="ar-SA"/>
                    </w:rPr>
                    <w:t>3</w:t>
                  </w:r>
                </w:p>
              </w:tc>
              <w:tc>
                <w:tcPr>
                  <w:tcW w:w="19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PE</w:t>
                  </w:r>
                </w:p>
              </w:tc>
              <w:tc>
                <w:tcPr>
                  <w:tcW w:w="92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t/a</w:t>
                  </w:r>
                </w:p>
              </w:tc>
              <w:tc>
                <w:tcPr>
                  <w:tcW w:w="150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3397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623" w:type="pct"/>
                  <w:tcBorders>
                    <w:tl2br w:val="nil"/>
                    <w:tr2bl w:val="nil"/>
                  </w:tcBorders>
                  <w:noWrap w:val="0"/>
                  <w:vAlign w:val="center"/>
                </w:tcPr>
                <w:p>
                  <w:pPr>
                    <w:pStyle w:val="17"/>
                    <w:keepNext w:val="0"/>
                    <w:keepLines/>
                    <w:pageBreakBefore w:val="0"/>
                    <w:widowControl w:val="0"/>
                    <w:numPr>
                      <w:ilvl w:val="0"/>
                      <w:numId w:val="0"/>
                    </w:numPr>
                    <w:tabs>
                      <w:tab w:val="left" w:pos="420"/>
                    </w:tabs>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kern w:val="2"/>
                      <w:sz w:val="21"/>
                      <w:szCs w:val="21"/>
                      <w:lang w:val="en-US" w:eastAsia="zh-CN" w:bidi="ar-SA"/>
                    </w:rPr>
                  </w:pPr>
                  <w:r>
                    <w:rPr>
                      <w:rFonts w:hint="default" w:ascii="Times New Roman" w:hAnsi="Times New Roman" w:eastAsia="宋体" w:cs="Times New Roman"/>
                      <w:b w:val="0"/>
                      <w:bCs/>
                      <w:kern w:val="2"/>
                      <w:sz w:val="21"/>
                      <w:szCs w:val="21"/>
                      <w:lang w:val="en-US" w:eastAsia="zh-CN" w:bidi="ar-SA"/>
                    </w:rPr>
                    <w:t>4</w:t>
                  </w:r>
                </w:p>
              </w:tc>
              <w:tc>
                <w:tcPr>
                  <w:tcW w:w="19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kern w:val="2"/>
                      <w:sz w:val="21"/>
                      <w:szCs w:val="21"/>
                      <w:lang w:val="en-US" w:eastAsia="zh-CN" w:bidi="ar-SA"/>
                    </w:rPr>
                    <w:t>低烟无卤料</w:t>
                  </w:r>
                </w:p>
              </w:tc>
              <w:tc>
                <w:tcPr>
                  <w:tcW w:w="92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t/a</w:t>
                  </w:r>
                </w:p>
              </w:tc>
              <w:tc>
                <w:tcPr>
                  <w:tcW w:w="150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6793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623" w:type="pct"/>
                  <w:tcBorders>
                    <w:tl2br w:val="nil"/>
                    <w:tr2bl w:val="nil"/>
                  </w:tcBorders>
                  <w:noWrap w:val="0"/>
                  <w:vAlign w:val="center"/>
                </w:tcPr>
                <w:p>
                  <w:pPr>
                    <w:pStyle w:val="17"/>
                    <w:keepNext w:val="0"/>
                    <w:keepLines/>
                    <w:pageBreakBefore w:val="0"/>
                    <w:widowControl w:val="0"/>
                    <w:numPr>
                      <w:ilvl w:val="0"/>
                      <w:numId w:val="0"/>
                    </w:numPr>
                    <w:tabs>
                      <w:tab w:val="left" w:pos="420"/>
                    </w:tabs>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kern w:val="2"/>
                      <w:sz w:val="21"/>
                      <w:szCs w:val="21"/>
                      <w:lang w:val="en-US" w:eastAsia="zh-CN" w:bidi="ar-SA"/>
                    </w:rPr>
                  </w:pPr>
                  <w:r>
                    <w:rPr>
                      <w:rFonts w:hint="default" w:ascii="Times New Roman" w:hAnsi="Times New Roman" w:eastAsia="宋体" w:cs="Times New Roman"/>
                      <w:b w:val="0"/>
                      <w:bCs/>
                      <w:kern w:val="2"/>
                      <w:sz w:val="21"/>
                      <w:szCs w:val="21"/>
                      <w:lang w:val="en-US" w:eastAsia="zh-CN" w:bidi="ar-SA"/>
                    </w:rPr>
                    <w:t>5</w:t>
                  </w:r>
                </w:p>
              </w:tc>
              <w:tc>
                <w:tcPr>
                  <w:tcW w:w="19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填充、包带</w:t>
                  </w:r>
                </w:p>
              </w:tc>
              <w:tc>
                <w:tcPr>
                  <w:tcW w:w="92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t/a</w:t>
                  </w:r>
                </w:p>
              </w:tc>
              <w:tc>
                <w:tcPr>
                  <w:tcW w:w="150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775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623" w:type="pct"/>
                  <w:tcBorders>
                    <w:tl2br w:val="nil"/>
                    <w:tr2bl w:val="nil"/>
                  </w:tcBorders>
                  <w:noWrap w:val="0"/>
                  <w:vAlign w:val="center"/>
                </w:tcPr>
                <w:p>
                  <w:pPr>
                    <w:pStyle w:val="17"/>
                    <w:keepNext w:val="0"/>
                    <w:keepLines/>
                    <w:pageBreakBefore w:val="0"/>
                    <w:widowControl w:val="0"/>
                    <w:numPr>
                      <w:ilvl w:val="0"/>
                      <w:numId w:val="0"/>
                    </w:numPr>
                    <w:tabs>
                      <w:tab w:val="left" w:pos="420"/>
                    </w:tabs>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kern w:val="2"/>
                      <w:sz w:val="21"/>
                      <w:szCs w:val="21"/>
                      <w:lang w:val="en-US" w:eastAsia="zh-CN" w:bidi="ar-SA"/>
                    </w:rPr>
                  </w:pPr>
                  <w:r>
                    <w:rPr>
                      <w:rFonts w:hint="default" w:ascii="Times New Roman" w:hAnsi="Times New Roman" w:eastAsia="宋体" w:cs="Times New Roman"/>
                      <w:b w:val="0"/>
                      <w:bCs/>
                      <w:kern w:val="2"/>
                      <w:sz w:val="21"/>
                      <w:szCs w:val="21"/>
                      <w:lang w:val="en-US" w:eastAsia="zh-CN" w:bidi="ar-SA"/>
                    </w:rPr>
                    <w:t>6</w:t>
                  </w:r>
                </w:p>
              </w:tc>
              <w:tc>
                <w:tcPr>
                  <w:tcW w:w="19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000000"/>
                      <w:kern w:val="2"/>
                      <w:sz w:val="21"/>
                      <w:szCs w:val="21"/>
                      <w:vertAlign w:val="baseline"/>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乳化液</w:t>
                  </w:r>
                </w:p>
              </w:tc>
              <w:tc>
                <w:tcPr>
                  <w:tcW w:w="92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t/a</w:t>
                  </w:r>
                </w:p>
              </w:tc>
              <w:tc>
                <w:tcPr>
                  <w:tcW w:w="150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000000"/>
                      <w:kern w:val="2"/>
                      <w:sz w:val="21"/>
                      <w:szCs w:val="21"/>
                      <w:vertAlign w:val="baseline"/>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623" w:type="pct"/>
                  <w:tcBorders>
                    <w:tl2br w:val="nil"/>
                    <w:tr2bl w:val="nil"/>
                  </w:tcBorders>
                  <w:noWrap w:val="0"/>
                  <w:vAlign w:val="center"/>
                </w:tcPr>
                <w:p>
                  <w:pPr>
                    <w:pStyle w:val="17"/>
                    <w:keepNext w:val="0"/>
                    <w:keepLines/>
                    <w:pageBreakBefore w:val="0"/>
                    <w:widowControl w:val="0"/>
                    <w:numPr>
                      <w:ilvl w:val="0"/>
                      <w:numId w:val="0"/>
                    </w:numPr>
                    <w:tabs>
                      <w:tab w:val="left" w:pos="420"/>
                    </w:tabs>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kern w:val="2"/>
                      <w:sz w:val="21"/>
                      <w:szCs w:val="21"/>
                      <w:lang w:val="en-US" w:eastAsia="zh-CN" w:bidi="ar-SA"/>
                    </w:rPr>
                  </w:pPr>
                  <w:r>
                    <w:rPr>
                      <w:rFonts w:hint="default" w:ascii="Times New Roman" w:hAnsi="Times New Roman" w:eastAsia="宋体" w:cs="Times New Roman"/>
                      <w:b w:val="0"/>
                      <w:bCs/>
                      <w:kern w:val="2"/>
                      <w:sz w:val="21"/>
                      <w:szCs w:val="21"/>
                      <w:lang w:val="en-US" w:eastAsia="zh-CN" w:bidi="ar-SA"/>
                    </w:rPr>
                    <w:t>7</w:t>
                  </w:r>
                </w:p>
              </w:tc>
              <w:tc>
                <w:tcPr>
                  <w:tcW w:w="19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000000"/>
                      <w:kern w:val="2"/>
                      <w:sz w:val="21"/>
                      <w:szCs w:val="21"/>
                      <w:vertAlign w:val="baseline"/>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油墨</w:t>
                  </w:r>
                </w:p>
              </w:tc>
              <w:tc>
                <w:tcPr>
                  <w:tcW w:w="92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t/a</w:t>
                  </w:r>
                </w:p>
              </w:tc>
              <w:tc>
                <w:tcPr>
                  <w:tcW w:w="150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000000"/>
                      <w:kern w:val="2"/>
                      <w:sz w:val="21"/>
                      <w:szCs w:val="21"/>
                      <w:vertAlign w:val="baseline"/>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623" w:type="pct"/>
                  <w:tcBorders>
                    <w:tl2br w:val="nil"/>
                    <w:tr2bl w:val="nil"/>
                  </w:tcBorders>
                  <w:noWrap w:val="0"/>
                  <w:vAlign w:val="center"/>
                </w:tcPr>
                <w:p>
                  <w:pPr>
                    <w:pStyle w:val="17"/>
                    <w:keepNext w:val="0"/>
                    <w:keepLines/>
                    <w:pageBreakBefore w:val="0"/>
                    <w:widowControl w:val="0"/>
                    <w:numPr>
                      <w:ilvl w:val="0"/>
                      <w:numId w:val="0"/>
                    </w:numPr>
                    <w:tabs>
                      <w:tab w:val="left" w:pos="420"/>
                    </w:tabs>
                    <w:kinsoku/>
                    <w:wordWrap/>
                    <w:overflowPunct/>
                    <w:topLinePunct w:val="0"/>
                    <w:autoSpaceDE/>
                    <w:autoSpaceDN/>
                    <w:bidi w:val="0"/>
                    <w:adjustRightInd/>
                    <w:snapToGrid/>
                    <w:spacing w:line="240" w:lineRule="auto"/>
                    <w:ind w:leftChars="0"/>
                    <w:jc w:val="center"/>
                    <w:rPr>
                      <w:rFonts w:hint="default" w:ascii="Times New Roman" w:hAnsi="Times New Roman" w:eastAsia="宋体" w:cs="Times New Roman"/>
                      <w:b w:val="0"/>
                      <w:bCs/>
                      <w:kern w:val="2"/>
                      <w:sz w:val="21"/>
                      <w:szCs w:val="21"/>
                      <w:lang w:val="en-US" w:eastAsia="zh-CN" w:bidi="ar-SA"/>
                    </w:rPr>
                  </w:pPr>
                  <w:r>
                    <w:rPr>
                      <w:rFonts w:hint="eastAsia" w:ascii="Times New Roman" w:hAnsi="Times New Roman" w:eastAsia="宋体" w:cs="Times New Roman"/>
                      <w:b w:val="0"/>
                      <w:bCs/>
                      <w:kern w:val="2"/>
                      <w:sz w:val="21"/>
                      <w:szCs w:val="21"/>
                      <w:lang w:val="en-US" w:eastAsia="zh-CN" w:bidi="ar-SA"/>
                    </w:rPr>
                    <w:t>8</w:t>
                  </w:r>
                </w:p>
              </w:tc>
              <w:tc>
                <w:tcPr>
                  <w:tcW w:w="1946"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000000"/>
                      <w:kern w:val="2"/>
                      <w:sz w:val="21"/>
                      <w:szCs w:val="21"/>
                      <w:vertAlign w:val="baseline"/>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钢带</w:t>
                  </w:r>
                </w:p>
              </w:tc>
              <w:tc>
                <w:tcPr>
                  <w:tcW w:w="92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rPr>
                    <w:t>t/a</w:t>
                  </w:r>
                </w:p>
              </w:tc>
              <w:tc>
                <w:tcPr>
                  <w:tcW w:w="150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jc w:val="center"/>
                    <w:rPr>
                      <w:rFonts w:hint="default" w:ascii="Times New Roman" w:hAnsi="Times New Roman" w:eastAsia="宋体" w:cs="Times New Roman"/>
                      <w:b w:val="0"/>
                      <w:bCs/>
                      <w:color w:val="000000"/>
                      <w:kern w:val="2"/>
                      <w:sz w:val="21"/>
                      <w:szCs w:val="21"/>
                      <w:vertAlign w:val="baseline"/>
                      <w:lang w:val="en-US" w:eastAsia="zh-CN" w:bidi="ar-SA"/>
                    </w:rPr>
                  </w:pPr>
                  <w:r>
                    <w:rPr>
                      <w:rFonts w:hint="default" w:ascii="Times New Roman" w:hAnsi="Times New Roman" w:eastAsia="宋体" w:cs="Times New Roman"/>
                      <w:b w:val="0"/>
                      <w:bCs/>
                      <w:color w:val="000000"/>
                      <w:kern w:val="2"/>
                      <w:sz w:val="21"/>
                      <w:szCs w:val="21"/>
                      <w:vertAlign w:val="baseline"/>
                      <w:lang w:val="en-US" w:eastAsia="zh-CN" w:bidi="ar-SA"/>
                    </w:rPr>
                    <w:t>5000</w:t>
                  </w:r>
                </w:p>
              </w:tc>
            </w:tr>
          </w:tbl>
          <w:p>
            <w:pPr>
              <w:pStyle w:val="8"/>
              <w:spacing w:line="240" w:lineRule="auto"/>
              <w:jc w:val="center"/>
              <w:outlineLvl w:val="2"/>
              <w:rPr>
                <w:rFonts w:hint="default" w:ascii="Times New Roman" w:hAnsi="Times New Roman" w:eastAsia="宋体"/>
                <w:color w:val="000000" w:themeColor="text1"/>
                <w:sz w:val="21"/>
                <w:szCs w:val="21"/>
                <w:lang w:val="en-US" w:eastAsia="zh-CN"/>
                <w14:textFill>
                  <w14:solidFill>
                    <w14:schemeClr w14:val="tx1"/>
                  </w14:solidFill>
                </w14:textFill>
              </w:rPr>
            </w:pPr>
            <w:r>
              <w:rPr>
                <w:rFonts w:hint="default" w:ascii="Times New Roman" w:hAnsi="Times New Roman" w:eastAsia="宋体"/>
                <w:color w:val="000000" w:themeColor="text1"/>
                <w:sz w:val="21"/>
                <w:szCs w:val="21"/>
                <w:lang w:val="en-US" w:eastAsia="zh-CN"/>
                <w14:textFill>
                  <w14:solidFill>
                    <w14:schemeClr w14:val="tx1"/>
                  </w14:solidFill>
                </w14:textFill>
              </w:rPr>
              <w:t>表2-</w:t>
            </w:r>
            <w:r>
              <w:rPr>
                <w:rFonts w:hint="eastAsia" w:ascii="Times New Roman" w:hAnsi="Times New Roman" w:eastAsia="宋体"/>
                <w:color w:val="000000" w:themeColor="text1"/>
                <w:sz w:val="21"/>
                <w:szCs w:val="21"/>
                <w:lang w:val="en-US" w:eastAsia="zh-CN"/>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1</w:t>
            </w:r>
            <w:r>
              <w:rPr>
                <w:rFonts w:hint="default" w:ascii="Times New Roman" w:hAnsi="Times New Roman" w:eastAsia="宋体"/>
                <w:color w:val="000000" w:themeColor="text1"/>
                <w:sz w:val="21"/>
                <w:szCs w:val="21"/>
                <w:lang w:val="en-US" w:eastAsia="zh-CN"/>
                <w14:textFill>
                  <w14:solidFill>
                    <w14:schemeClr w14:val="tx1"/>
                  </w14:solidFill>
                </w14:textFill>
              </w:rPr>
              <w:t xml:space="preserve">  现有工程主要产品一览表</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2370"/>
              <w:gridCol w:w="2019"/>
              <w:gridCol w:w="773"/>
              <w:gridCol w:w="185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eastAsia="宋体" w:cs="Times New Roman"/>
                      <w:b/>
                      <w:bCs/>
                      <w:color w:val="auto"/>
                      <w:kern w:val="0"/>
                      <w:sz w:val="21"/>
                      <w:szCs w:val="21"/>
                      <w:highlight w:val="none"/>
                      <w:vertAlign w:val="baseline"/>
                      <w:lang w:val="en-US" w:eastAsia="zh-CN" w:bidi="ar"/>
                    </w:rPr>
                    <w:t>序号</w:t>
                  </w:r>
                </w:p>
              </w:tc>
              <w:tc>
                <w:tcPr>
                  <w:tcW w:w="2789" w:type="pct"/>
                  <w:gridSpan w:val="2"/>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eastAsia="宋体" w:cs="Times New Roman"/>
                      <w:b/>
                      <w:bCs/>
                      <w:color w:val="auto"/>
                      <w:kern w:val="0"/>
                      <w:sz w:val="21"/>
                      <w:szCs w:val="21"/>
                      <w:highlight w:val="none"/>
                      <w:vertAlign w:val="baseline"/>
                      <w:lang w:val="en-US" w:eastAsia="zh-CN" w:bidi="ar"/>
                    </w:rPr>
                    <w:t>产品名称</w:t>
                  </w:r>
                </w:p>
              </w:tc>
              <w:tc>
                <w:tcPr>
                  <w:tcW w:w="49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eastAsia="宋体" w:cs="Times New Roman"/>
                      <w:b/>
                      <w:bCs/>
                      <w:color w:val="auto"/>
                      <w:kern w:val="0"/>
                      <w:sz w:val="21"/>
                      <w:szCs w:val="21"/>
                      <w:highlight w:val="none"/>
                      <w:vertAlign w:val="baseline"/>
                      <w:lang w:val="en-US" w:eastAsia="zh-CN" w:bidi="ar"/>
                    </w:rPr>
                    <w:t>单位</w:t>
                  </w:r>
                </w:p>
              </w:tc>
              <w:tc>
                <w:tcPr>
                  <w:tcW w:w="1180"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eastAsia" w:ascii="Times New Roman" w:hAnsi="Times New Roman" w:eastAsia="宋体" w:cs="Times New Roman"/>
                      <w:b/>
                      <w:bCs/>
                      <w:color w:val="auto"/>
                      <w:kern w:val="0"/>
                      <w:sz w:val="21"/>
                      <w:szCs w:val="21"/>
                      <w:highlight w:val="none"/>
                      <w:vertAlign w:val="baseline"/>
                      <w:lang w:val="en-US" w:eastAsia="zh-CN" w:bidi="ar"/>
                    </w:rPr>
                    <w:t>产生量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8" w:type="pct"/>
                  <w:tcBorders>
                    <w:tl2br w:val="nil"/>
                    <w:tr2bl w:val="nil"/>
                  </w:tcBorders>
                  <w:noWrap w:val="0"/>
                  <w:vAlign w:val="center"/>
                </w:tcPr>
                <w:p>
                  <w:pPr>
                    <w:pStyle w:val="17"/>
                    <w:keepNext w:val="0"/>
                    <w:keepLines/>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val="0"/>
                      <w:kern w:val="2"/>
                      <w:sz w:val="21"/>
                      <w:szCs w:val="21"/>
                      <w:lang w:val="en-US" w:eastAsia="zh-CN" w:bidi="ar-SA"/>
                    </w:rPr>
                  </w:pPr>
                </w:p>
              </w:tc>
              <w:tc>
                <w:tcPr>
                  <w:tcW w:w="1506" w:type="pct"/>
                  <w:vMerge w:val="restar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建设用电线</w:t>
                  </w:r>
                </w:p>
              </w:tc>
              <w:tc>
                <w:tcPr>
                  <w:tcW w:w="1283"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000000"/>
                      <w:sz w:val="21"/>
                      <w:szCs w:val="21"/>
                    </w:rPr>
                    <w:t>数字化布电线</w:t>
                  </w:r>
                </w:p>
              </w:tc>
              <w:tc>
                <w:tcPr>
                  <w:tcW w:w="49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t/a</w:t>
                  </w:r>
                </w:p>
              </w:tc>
              <w:tc>
                <w:tcPr>
                  <w:tcW w:w="1180"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17520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8" w:type="pct"/>
                  <w:tcBorders>
                    <w:tl2br w:val="nil"/>
                    <w:tr2bl w:val="nil"/>
                  </w:tcBorders>
                  <w:noWrap w:val="0"/>
                  <w:vAlign w:val="center"/>
                </w:tcPr>
                <w:p>
                  <w:pPr>
                    <w:pStyle w:val="17"/>
                    <w:keepNext w:val="0"/>
                    <w:keepLines/>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val="0"/>
                      <w:kern w:val="2"/>
                      <w:sz w:val="21"/>
                      <w:szCs w:val="21"/>
                      <w:lang w:val="en-US" w:eastAsia="zh-CN" w:bidi="ar-SA"/>
                    </w:rPr>
                  </w:pPr>
                </w:p>
              </w:tc>
              <w:tc>
                <w:tcPr>
                  <w:tcW w:w="1506" w:type="pct"/>
                  <w:vMerge w:val="continue"/>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283"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能源装备电缆</w:t>
                  </w:r>
                </w:p>
              </w:tc>
              <w:tc>
                <w:tcPr>
                  <w:tcW w:w="49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t/a</w:t>
                  </w:r>
                </w:p>
              </w:tc>
              <w:tc>
                <w:tcPr>
                  <w:tcW w:w="1180"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484647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8" w:type="pct"/>
                  <w:tcBorders>
                    <w:tl2br w:val="nil"/>
                    <w:tr2bl w:val="nil"/>
                  </w:tcBorders>
                  <w:noWrap w:val="0"/>
                  <w:vAlign w:val="center"/>
                </w:tcPr>
                <w:p>
                  <w:pPr>
                    <w:pStyle w:val="17"/>
                    <w:keepNext w:val="0"/>
                    <w:keepLines/>
                    <w:pageBreakBefore w:val="0"/>
                    <w:widowControl w:val="0"/>
                    <w:numPr>
                      <w:ilvl w:val="0"/>
                      <w:numId w:val="3"/>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eastAsia="宋体" w:cs="Times New Roman"/>
                      <w:b w:val="0"/>
                      <w:bCs w:val="0"/>
                      <w:kern w:val="2"/>
                      <w:sz w:val="21"/>
                      <w:szCs w:val="21"/>
                      <w:lang w:val="en-US" w:eastAsia="zh-CN" w:bidi="ar-SA"/>
                    </w:rPr>
                  </w:pPr>
                </w:p>
              </w:tc>
              <w:tc>
                <w:tcPr>
                  <w:tcW w:w="1506"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交联聚乙烯绝缘聚氯乙烯护套钢带</w:t>
                  </w:r>
                </w:p>
              </w:tc>
              <w:tc>
                <w:tcPr>
                  <w:tcW w:w="1283"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i w:val="0"/>
                      <w:iCs w:val="0"/>
                      <w:color w:val="000000"/>
                      <w:kern w:val="0"/>
                      <w:sz w:val="21"/>
                      <w:szCs w:val="21"/>
                      <w:u w:val="none"/>
                      <w:lang w:val="en-US" w:eastAsia="zh-CN" w:bidi="ar"/>
                    </w:rPr>
                    <w:t>中低压电缆大规格电力电缆</w:t>
                  </w:r>
                </w:p>
              </w:tc>
              <w:tc>
                <w:tcPr>
                  <w:tcW w:w="491"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t/a</w:t>
                  </w:r>
                </w:p>
              </w:tc>
              <w:tc>
                <w:tcPr>
                  <w:tcW w:w="1180"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25331</w:t>
                  </w:r>
                </w:p>
              </w:tc>
            </w:tr>
          </w:tbl>
          <w:p>
            <w:pPr>
              <w:pStyle w:val="8"/>
              <w:jc w:val="both"/>
              <w:outlineLvl w:val="2"/>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1.5 现有工程主要生产设备</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现有工程主要生产设备详见下表。</w:t>
            </w:r>
          </w:p>
          <w:p>
            <w:pPr>
              <w:pStyle w:val="8"/>
              <w:spacing w:line="240" w:lineRule="auto"/>
              <w:jc w:val="center"/>
              <w:outlineLvl w:val="2"/>
              <w:rPr>
                <w:rFonts w:hint="default" w:ascii="Times New Roman" w:hAnsi="Times New Roman" w:eastAsia="宋体"/>
                <w:color w:val="000000" w:themeColor="text1"/>
                <w:sz w:val="21"/>
                <w:szCs w:val="21"/>
                <w:lang w:val="en-US" w:eastAsia="zh-CN"/>
                <w14:textFill>
                  <w14:solidFill>
                    <w14:schemeClr w14:val="tx1"/>
                  </w14:solidFill>
                </w14:textFill>
              </w:rPr>
            </w:pPr>
            <w:r>
              <w:rPr>
                <w:rFonts w:hint="default" w:ascii="Times New Roman" w:hAnsi="Times New Roman" w:eastAsia="宋体"/>
                <w:color w:val="000000" w:themeColor="text1"/>
                <w:sz w:val="21"/>
                <w:szCs w:val="21"/>
                <w:lang w:val="en-US" w:eastAsia="zh-CN"/>
                <w14:textFill>
                  <w14:solidFill>
                    <w14:schemeClr w14:val="tx1"/>
                  </w14:solidFill>
                </w14:textFill>
              </w:rPr>
              <w:t>表2-</w:t>
            </w:r>
            <w:r>
              <w:rPr>
                <w:rFonts w:hint="eastAsia" w:ascii="Times New Roman" w:hAnsi="Times New Roman" w:eastAsia="宋体"/>
                <w:color w:val="000000" w:themeColor="text1"/>
                <w:sz w:val="21"/>
                <w:szCs w:val="21"/>
                <w:lang w:val="en-US" w:eastAsia="zh-CN"/>
                <w14:textFill>
                  <w14:solidFill>
                    <w14:schemeClr w14:val="tx1"/>
                  </w14:solidFill>
                </w14:textFill>
              </w:rPr>
              <w:t>1</w:t>
            </w:r>
            <w:r>
              <w:rPr>
                <w:rFonts w:hint="eastAsia"/>
                <w:color w:val="000000" w:themeColor="text1"/>
                <w:sz w:val="21"/>
                <w:szCs w:val="21"/>
                <w:lang w:val="en-US" w:eastAsia="zh-CN"/>
                <w14:textFill>
                  <w14:solidFill>
                    <w14:schemeClr w14:val="tx1"/>
                  </w14:solidFill>
                </w14:textFill>
              </w:rPr>
              <w:t>2</w:t>
            </w:r>
            <w:r>
              <w:rPr>
                <w:rFonts w:hint="default" w:ascii="Times New Roman" w:hAnsi="Times New Roman" w:eastAsia="宋体"/>
                <w:color w:val="000000" w:themeColor="text1"/>
                <w:sz w:val="21"/>
                <w:szCs w:val="21"/>
                <w:lang w:val="en-US" w:eastAsia="zh-CN"/>
                <w14:textFill>
                  <w14:solidFill>
                    <w14:schemeClr w14:val="tx1"/>
                  </w14:solidFill>
                </w14:textFill>
              </w:rPr>
              <w:t xml:space="preserve">  现有工程主要</w:t>
            </w:r>
            <w:r>
              <w:rPr>
                <w:rFonts w:hint="eastAsia" w:ascii="Times New Roman" w:hAnsi="Times New Roman" w:eastAsia="宋体"/>
                <w:color w:val="000000" w:themeColor="text1"/>
                <w:sz w:val="21"/>
                <w:szCs w:val="21"/>
                <w:lang w:val="en-US" w:eastAsia="zh-CN"/>
                <w14:textFill>
                  <w14:solidFill>
                    <w14:schemeClr w14:val="tx1"/>
                  </w14:solidFill>
                </w14:textFill>
              </w:rPr>
              <w:t>生产设备</w:t>
            </w:r>
            <w:r>
              <w:rPr>
                <w:rFonts w:hint="default" w:ascii="Times New Roman" w:hAnsi="Times New Roman" w:eastAsia="宋体"/>
                <w:color w:val="000000" w:themeColor="text1"/>
                <w:sz w:val="21"/>
                <w:szCs w:val="21"/>
                <w:lang w:val="en-US" w:eastAsia="zh-CN"/>
                <w14:textFill>
                  <w14:solidFill>
                    <w14:schemeClr w14:val="tx1"/>
                  </w14:solidFill>
                </w14:textFill>
              </w:rPr>
              <w:t>一览表</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51"/>
              <w:gridCol w:w="1607"/>
              <w:gridCol w:w="2268"/>
              <w:gridCol w:w="2480"/>
              <w:gridCol w:w="96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cs="Times New Roman"/>
                      <w:b/>
                      <w:bCs/>
                      <w:color w:val="auto"/>
                      <w:kern w:val="0"/>
                      <w:sz w:val="21"/>
                      <w:szCs w:val="21"/>
                      <w:highlight w:val="none"/>
                      <w:vertAlign w:val="baseline"/>
                      <w:lang w:val="en-US" w:eastAsia="zh-CN" w:bidi="ar"/>
                    </w:rPr>
                    <w:t>序号</w:t>
                  </w:r>
                </w:p>
              </w:tc>
              <w:tc>
                <w:tcPr>
                  <w:tcW w:w="1025"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cs="Times New Roman"/>
                      <w:b/>
                      <w:bCs/>
                      <w:color w:val="auto"/>
                      <w:kern w:val="0"/>
                      <w:sz w:val="21"/>
                      <w:szCs w:val="21"/>
                      <w:highlight w:val="none"/>
                      <w:vertAlign w:val="baseline"/>
                      <w:lang w:val="en-US" w:eastAsia="zh-CN" w:bidi="ar"/>
                    </w:rPr>
                    <w:t>车间名称</w:t>
                  </w:r>
                </w:p>
              </w:tc>
              <w:tc>
                <w:tcPr>
                  <w:tcW w:w="1445"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b/>
                      <w:bCs/>
                      <w:color w:val="auto"/>
                      <w:kern w:val="0"/>
                      <w:sz w:val="21"/>
                      <w:szCs w:val="21"/>
                      <w:highlight w:val="none"/>
                      <w:vertAlign w:val="baseline"/>
                      <w:lang w:val="en-US" w:eastAsia="zh-CN" w:bidi="ar"/>
                    </w:rPr>
                  </w:pPr>
                  <w:r>
                    <w:rPr>
                      <w:rFonts w:hint="default" w:ascii="Times New Roman" w:hAnsi="Times New Roman" w:cs="Times New Roman"/>
                      <w:b/>
                      <w:bCs/>
                      <w:color w:val="auto"/>
                      <w:kern w:val="0"/>
                      <w:sz w:val="21"/>
                      <w:szCs w:val="21"/>
                      <w:highlight w:val="none"/>
                      <w:vertAlign w:val="baseline"/>
                      <w:lang w:val="en-US" w:eastAsia="zh-CN" w:bidi="ar"/>
                    </w:rPr>
                    <w:t>设备名称</w:t>
                  </w:r>
                </w:p>
              </w:tc>
              <w:tc>
                <w:tcPr>
                  <w:tcW w:w="1558"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cs="Times New Roman"/>
                      <w:b/>
                      <w:bCs/>
                      <w:color w:val="auto"/>
                      <w:kern w:val="0"/>
                      <w:sz w:val="21"/>
                      <w:szCs w:val="21"/>
                      <w:highlight w:val="none"/>
                      <w:vertAlign w:val="baseline"/>
                      <w:lang w:val="en-US" w:eastAsia="zh-CN" w:bidi="ar"/>
                    </w:rPr>
                    <w:t>规格型号</w:t>
                  </w:r>
                </w:p>
              </w:tc>
              <w:tc>
                <w:tcPr>
                  <w:tcW w:w="614" w:type="pct"/>
                  <w:tcBorders>
                    <w:tl2br w:val="nil"/>
                    <w:tr2bl w:val="nil"/>
                  </w:tcBorders>
                  <w:noWrap w:val="0"/>
                  <w:vAlign w:val="center"/>
                </w:tcPr>
                <w:p>
                  <w:pPr>
                    <w:keepNext w:val="0"/>
                    <w:keepLines/>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auto"/>
                      <w:kern w:val="0"/>
                      <w:sz w:val="21"/>
                      <w:szCs w:val="21"/>
                      <w:highlight w:val="none"/>
                      <w:vertAlign w:val="baseline"/>
                      <w:lang w:val="en-US" w:eastAsia="zh-CN" w:bidi="ar"/>
                    </w:rPr>
                  </w:pPr>
                  <w:r>
                    <w:rPr>
                      <w:rFonts w:hint="default" w:ascii="Times New Roman" w:hAnsi="Times New Roman" w:cs="Times New Roman"/>
                      <w:b/>
                      <w:bCs/>
                      <w:color w:val="auto"/>
                      <w:kern w:val="0"/>
                      <w:sz w:val="21"/>
                      <w:szCs w:val="21"/>
                      <w:highlight w:val="none"/>
                      <w:vertAlign w:val="baseline"/>
                      <w:lang w:val="en-US" w:eastAsia="zh-CN" w:bidi="ar"/>
                    </w:rPr>
                    <w:t>数量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单头11模非滑动式铜大拉</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LDD-450/11-1(ST)</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卧式双头绕包机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双头</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卧式双头绕包机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双头</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束绞机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630型</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800型束线机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φ800型</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60框绞机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630/61盘</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立式双层云母绕包机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立式双层云母绕包机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立式双层云母绕包机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立式双层云母绕包机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630型复绕机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RW-630Ⅰ型</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束绞机（框式放线）</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STD-1250AC</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束绞机（框式放线）</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STD-1250AC</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同心绞</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盘收双头铜大拉</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筐收双头铜大拉</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14头中拉丝机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布电线车间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80+50高速挤出生产线</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80+50</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布电线车间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80+50高速挤出生产线</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80+50</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Borders>
                    <w:tl2br w:val="nil"/>
                    <w:tr2bl w:val="nil"/>
                  </w:tcBorders>
                  <w:noWrap w:val="0"/>
                  <w:vAlign w:val="center"/>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布电线车间</w:t>
                  </w:r>
                </w:p>
              </w:tc>
              <w:tc>
                <w:tcPr>
                  <w:tcW w:w="1445"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高速成圈机</w:t>
                  </w:r>
                </w:p>
              </w:tc>
              <w:tc>
                <w:tcPr>
                  <w:tcW w:w="1558"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250成圈</w:t>
                  </w:r>
                </w:p>
              </w:tc>
              <w:tc>
                <w:tcPr>
                  <w:tcW w:w="614" w:type="pct"/>
                  <w:tcBorders>
                    <w:tl2br w:val="nil"/>
                    <w:tr2bl w:val="nil"/>
                  </w:tcBorders>
                  <w:noWrap w:val="0"/>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布电线车间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电子加速器</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DDLH2.0/50-1600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布电线车间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光伏串挤设备</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90+100/50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布电线车间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70+70/35生产线</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70+70/35</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90挤塑机（护套）</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φ90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90挤塑机（护套）</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90型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120挤塑机（护套）</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800复绕机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1250复绕机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800弓绞机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800弓绞机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800弓绞机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800弓绞机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1250悬臂单绞机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1250悬臂单绞机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600装铠机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600装铠机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710装铠机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710型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710装铠机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710型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编织机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24锭</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编织机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24锭</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编织机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24锭</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编织机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24锭</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编织机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24锭</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编织机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16锭</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全自动并丝机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并丝机</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1250弓绞机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1250弓绞机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70挤塑机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φ70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80挤塑机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φ80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80挤塑机（绝缘）</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φ80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80挤塑机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φ80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80挤塑机（绝缘）</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φ80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蒸汽房</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蒸汽房</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低压电缆试验站</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AHDZ-100Kva/5kV/10kV</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120绝缘挤塑机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120+75绝缘挤塑机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120+75型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150护套挤塑机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左手机</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200护套挤塑机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左手机</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800装铠机（低压）</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φ800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800装铠机（中压）</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φ800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2500盘绞机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2500（无钢丝铠装）</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2500盘绞机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2500（配钢丝铠装）</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3600盘绞机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3600（配钢丝铠装）</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600屏蔽机（3150放线）</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φ600型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0+3三层共挤35KV交联生产线</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175+100+80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复绕机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1600复绕机（定长停车）</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复绕机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1600复绕机（定长停车）</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蒸汽室</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2000型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蒸汽室</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2000型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蒸汽室</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2000型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制氮系统</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120-295</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全屏蔽局放检测系统</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PDT-1200Kva/120kV</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中低压交联车间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低压电缆试验站</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AHDZ-100Kva/5kV/10kV</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铜导体车间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同心绞</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1250弓绞机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1250悬臂单绞机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1250型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编织机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16/24锭</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全自动并丝机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并丝机</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70挤塑机</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φ70</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 w:type="pct"/>
                </w:tcPr>
                <w:p>
                  <w:pPr>
                    <w:pStyle w:val="17"/>
                    <w:keepNext w:val="0"/>
                    <w:keepLines/>
                    <w:pageBreakBefore w:val="0"/>
                    <w:widowControl w:val="0"/>
                    <w:numPr>
                      <w:ilvl w:val="0"/>
                      <w:numId w:val="4"/>
                    </w:numPr>
                    <w:kinsoku/>
                    <w:wordWrap/>
                    <w:overflowPunct/>
                    <w:topLinePunct w:val="0"/>
                    <w:autoSpaceDE/>
                    <w:autoSpaceDN/>
                    <w:bidi w:val="0"/>
                    <w:adjustRightInd/>
                    <w:snapToGrid/>
                    <w:spacing w:line="240" w:lineRule="auto"/>
                    <w:ind w:left="425" w:leftChars="0" w:hanging="425" w:firstLineChars="0"/>
                    <w:jc w:val="center"/>
                    <w:rPr>
                      <w:rFonts w:hint="default" w:ascii="Times New Roman" w:hAnsi="Times New Roman" w:cs="Times New Roman"/>
                      <w:b w:val="0"/>
                      <w:bCs w:val="0"/>
                      <w:sz w:val="21"/>
                      <w:szCs w:val="21"/>
                      <w:lang w:val="en-US" w:eastAsia="zh-CN"/>
                    </w:rPr>
                  </w:pPr>
                </w:p>
              </w:tc>
              <w:tc>
                <w:tcPr>
                  <w:tcW w:w="102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能源装备车间</w:t>
                  </w:r>
                </w:p>
              </w:tc>
              <w:tc>
                <w:tcPr>
                  <w:tcW w:w="1445"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120挤塑机（护套）</w:t>
                  </w:r>
                </w:p>
              </w:tc>
              <w:tc>
                <w:tcPr>
                  <w:tcW w:w="1558"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120型</w:t>
                  </w:r>
                </w:p>
              </w:tc>
              <w:tc>
                <w:tcPr>
                  <w:tcW w:w="614" w:type="pct"/>
                  <w:vAlign w:val="center"/>
                </w:tcPr>
                <w:p>
                  <w:pPr>
                    <w:keepNext w:val="0"/>
                    <w:keepLines/>
                    <w:pageBreakBefore w:val="0"/>
                    <w:widowControl w:val="0"/>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r>
          </w:tbl>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1.6 现有工程生产工艺流程</w:t>
            </w:r>
          </w:p>
          <w:p>
            <w:pPr>
              <w:pStyle w:val="27"/>
              <w:bidi w:val="0"/>
              <w:jc w:val="both"/>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（1）电力电缆生产工艺流程</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拉丝软化：拉丝机采用电加热对铜杆施加拉力，使铜杆通过模孔连续进行拉丝，得到所需线径的铜丝，铜丝通过铜轮进行退火处理，退火温度为300~400℃，退火时间约为4h，退火的工作原理是利用铜丝把两个正负电极的铜轮直接短路，因为铜线的电阻相当低，在低电压状况下也能产生很大的短路电流，产生热量，对铜丝进行加热退火。退火时通入氮气，作为保护气体。主要污染物为噪声、废皂化液。</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绞线：根据客户需求，将不同材质的铜导线按照一定数量分别进行绞丝，生产出多股绞合导线。</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绝缘挤出：绝缘挤出在线火检：根据橡套电缆与电力电缆产品需求，采用不同规格、不同型号的挤出机，将PVC 塑料或交联聚乙烯包裹在导体外层。塑料颗粒进行挤塑，挤塑过程采用全自动封闭设备进行控制，PVC 塑料颗粒作为母料直接使用，不添加辅料。人工将干燥后的塑料颗粒倒入挤塑机的料斗内，在180～230℃温度条件下（电加热），塑料开始软化，通过挤出机内部的螺杆挤塑设备将软化后的塑料包覆在铜导体材料外层。根据客户要求，挤出完成后的电线电缆通过封闭水槽内进行降温，挤塑冷却水循环使用；挤出工序主要产生少量VOCS 和噪声。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成缆：将若干绝缘线芯和填充绳按一定的方向和规则绞合成一股，为了防止线芯和填充绳松散，采用无纺布或钢带绕包将线芯扎紧，组成线缆。污染物为设备噪声。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挤包内衬：对于成缆后需要铠装的产品，使用PVC、无卤低烟阻燃聚烯烃护套料进行内衬挤出，在外护套挤塑机进行内衬挤包。塑料颗粒经电加热熔融，塑料颗粒挤出温度165℃、无卤低烟阻燃聚烯烃护套料挤出温度170℃。通过加热护套材料使其处于熔融状态，由挤塑机内螺杆旋转推进下，经模具挤出，均匀地包覆在成缆表面，同时通过冷却水槽速度冷却成型。挤包工序产生VOCs 和HCL。</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金属铠装：将电缆接入铠装机，旋转包装铜带或者铜丝。主要污染物为噪声。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外护套挤包：编制后的产品外护套挤塑机进行护套，使用PVC、无卤低烟阻燃聚烯烃护套料进行内衬挤出。塑料颗粒经电加热熔融，PVC 挤出温度165℃、无卤低烟阻燃聚烯烃护套料挤出温度170℃。通过加热护套材料使其处于熔融状态，由挤塑机内螺杆旋转推进下，经模具挤出，均匀地包覆在成缆表面，同时通过冷却水槽速度冷却成型。挤出工序主要产生少量VOCs。 PVC 分解温度在130℃，低于其加热温度，挤出工序PVC 会热分解产生VOCs和HCL。因此，此工序会产生少量VOCs和噪声。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喷码：在产品外护套挤塑的同时，使用喷码机使用油墨进行喷印客户的商标信息，喷码时会产生微量的有机废气，主要污染物为VOCs、废油墨桶。</w:t>
            </w:r>
          </w:p>
          <w:p>
            <w:pPr>
              <w:pStyle w:val="27"/>
              <w:bidi w:val="0"/>
              <w:jc w:val="both"/>
              <w:rPr>
                <w:rFonts w:hint="eastAsia"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成品检验：根据不同产品的规格要求，通过成圈机对产品进行收束包装</w:t>
            </w:r>
            <w:r>
              <w:rPr>
                <w:rFonts w:hint="eastAsia" w:ascii="Times New Roman" w:hAnsi="Times New Roman" w:eastAsia="宋体"/>
                <w:color w:val="000000" w:themeColor="text1"/>
                <w:lang w:val="en-US" w:eastAsia="zh-CN"/>
                <w14:textFill>
                  <w14:solidFill>
                    <w14:schemeClr w14:val="tx1"/>
                  </w14:solidFill>
                </w14:textFill>
              </w:rPr>
              <w:t>，电缆经成圈机收束包装。对产品各方面性能进行检验，检验合格产品后包装入库，不合格产品将塑料外皮割开后进行人工修整，达到条件入库待售。无法修补的产品作为固废外售。此过程主要产生噪声、不合格品。</w:t>
            </w:r>
          </w:p>
          <w:p>
            <w:pPr>
              <w:pStyle w:val="8"/>
              <w:jc w:val="center"/>
              <w:outlineLvl w:val="2"/>
              <w:rPr>
                <w:rFonts w:hint="default" w:ascii="Times New Roman" w:hAnsi="Times New Roman" w:eastAsia="宋体"/>
                <w:color w:val="000000" w:themeColor="text1"/>
                <w:lang w:val="en-US" w:eastAsia="zh-CN"/>
                <w14:textFill>
                  <w14:solidFill>
                    <w14:schemeClr w14:val="tx1"/>
                  </w14:solidFill>
                </w14:textFill>
              </w:rPr>
            </w:pPr>
            <w:r>
              <w:drawing>
                <wp:inline distT="0" distB="0" distL="114300" distR="114300">
                  <wp:extent cx="2822575" cy="4657725"/>
                  <wp:effectExtent l="0" t="0" r="15875" b="9525"/>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24"/>
                          <a:stretch>
                            <a:fillRect/>
                          </a:stretch>
                        </pic:blipFill>
                        <pic:spPr>
                          <a:xfrm>
                            <a:off x="0" y="0"/>
                            <a:ext cx="2822575" cy="4657725"/>
                          </a:xfrm>
                          <a:prstGeom prst="rect">
                            <a:avLst/>
                          </a:prstGeom>
                          <a:noFill/>
                          <a:ln>
                            <a:noFill/>
                          </a:ln>
                        </pic:spPr>
                      </pic:pic>
                    </a:graphicData>
                  </a:graphic>
                </wp:inline>
              </w:drawing>
            </w:r>
          </w:p>
          <w:p>
            <w:pPr>
              <w:keepNext w:val="0"/>
              <w:keepLines w:val="0"/>
              <w:widowControl/>
              <w:suppressLineNumbers w:val="0"/>
              <w:jc w:val="center"/>
              <w:rPr>
                <w:sz w:val="21"/>
                <w:szCs w:val="21"/>
              </w:rPr>
            </w:pPr>
            <w:r>
              <w:rPr>
                <w:rFonts w:hint="default" w:ascii="Times New Roman" w:hAnsi="Times New Roman" w:eastAsia="宋体" w:cs="Times New Roman"/>
                <w:color w:val="000000" w:themeColor="text1"/>
                <w:sz w:val="21"/>
                <w:szCs w:val="21"/>
                <w14:textFill>
                  <w14:solidFill>
                    <w14:schemeClr w14:val="tx1"/>
                  </w14:solidFill>
                </w14:textFill>
              </w:rPr>
              <w:t>图</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2-6</w:t>
            </w:r>
            <w:r>
              <w:rPr>
                <w:rFonts w:hint="default" w:ascii="Times New Roman" w:hAnsi="Times New Roman" w:eastAsia="宋体" w:cs="Times New Roman"/>
                <w:color w:val="000000" w:themeColor="text1"/>
                <w:sz w:val="21"/>
                <w:szCs w:val="21"/>
                <w14:textFill>
                  <w14:solidFill>
                    <w14:schemeClr w14:val="tx1"/>
                  </w14:solidFill>
                </w14:textFill>
              </w:rPr>
              <w:t xml:space="preserve">   </w:t>
            </w:r>
            <w:r>
              <w:rPr>
                <w:rFonts w:hint="eastAsia" w:ascii="宋体" w:hAnsi="宋体" w:eastAsia="宋体" w:cs="宋体"/>
                <w:b/>
                <w:bCs/>
                <w:color w:val="000000"/>
                <w:kern w:val="0"/>
                <w:sz w:val="21"/>
                <w:szCs w:val="21"/>
                <w:lang w:val="en-US" w:eastAsia="zh-CN" w:bidi="ar"/>
              </w:rPr>
              <w:t>电力电缆生产工艺流程</w:t>
            </w:r>
            <w:r>
              <w:rPr>
                <w:rFonts w:hint="default" w:ascii="Times New Roman" w:hAnsi="Times New Roman" w:eastAsia="宋体" w:cs="Times New Roman"/>
                <w:color w:val="000000" w:themeColor="text1"/>
                <w:sz w:val="21"/>
                <w:szCs w:val="21"/>
                <w14:textFill>
                  <w14:solidFill>
                    <w14:schemeClr w14:val="tx1"/>
                  </w14:solidFill>
                </w14:textFill>
              </w:rPr>
              <w:t>及产污环节图</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（2）控制电缆生产工艺</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 xml:space="preserve">拉丝、软化：拉丝机对铜杆施加拉力，使铜杆通过模孔连续进行拉丝， </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得到所需线径的铜丝，铜丝通过铜轮进行退火处理，退火温度为 300~400℃，退火时间约为 4h，退火的工作原理是利用铜丝把两个正负电极的铜轮直接短路，因为铜线的电阻相当低，在低电压状况下也能产生很大的短路电流，产生热量，对铜丝进行加热退火。退火时通入氮气，作为保护气体。主要污染物为噪声、废</w:t>
            </w:r>
            <w:r>
              <w:rPr>
                <w:rFonts w:hint="eastAsia"/>
                <w:color w:val="000000" w:themeColor="text1"/>
                <w:lang w:val="en-US" w:eastAsia="zh-CN"/>
                <w14:textFill>
                  <w14:solidFill>
                    <w14:schemeClr w14:val="tx1"/>
                  </w14:solidFill>
                </w14:textFill>
              </w:rPr>
              <w:t>皂化液</w:t>
            </w:r>
            <w:r>
              <w:rPr>
                <w:rFonts w:hint="default" w:ascii="Times New Roman" w:hAnsi="Times New Roman" w:eastAsia="宋体"/>
                <w:color w:val="000000" w:themeColor="text1"/>
                <w:lang w:val="en-US" w:eastAsia="zh-CN"/>
                <w14:textFill>
                  <w14:solidFill>
                    <w14:schemeClr w14:val="tx1"/>
                  </w14:solidFill>
                </w14:textFill>
              </w:rPr>
              <w:t>。</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绝缘挤出：绝缘挤出在线火检：根据橡套电缆与电力电缆产品需求，采用不同规格、不同型号的挤出机，将PVC 塑料或交联聚乙烯包裹在导体外层。塑料颗粒进行挤塑，挤塑过程采用全自动封闭设备进行控制，PVC 塑料颗粒作为母料直接使用，不添加辅料。人工将干燥后的塑料颗粒倒入挤塑机的料斗内，在180～230℃温度条件下（电加热），塑料开始软化，通过挤出机内部的螺杆挤塑设备将软化后的塑料包覆在铜导体材料外层。根据要求，挤出完成后的电线电缆通过封闭水槽内进行降温，挤塑冷却水循环使用；挤出工序主要产生少量VOCs和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成缆：将若干绝缘线芯和填充绳按一定的方向和规则绞合成一股，为了防止线芯和填充绳松散，采用无纺布或钢带绕包将线芯扎紧，组成线缆。污染物为设备噪声。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挤包内衬：成缆后需要铠装的产品在外护套挤塑机进行内衬挤包，使用 PVC、无卤低烟阻燃聚烯烃护套料进行内衬挤出。塑料颗粒经电加热熔融， PVC 挤出温度165℃、无卤低烟阻燃聚烯烃护套料挤出温度170℃。通过加热护套材料使其处于熔融状态，由挤塑机内螺杆旋转推进下，经模具挤出，均匀地包覆在成缆表面，同时通过冷却水槽速度冷却成型。挤出工序主要产生少量VOCs和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金属铠装：将电缆接入铠装机，旋转包装铜带或者铜丝。主要污染物为噪声。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外护套挤包：编制后的产品外护套挤塑机进行护套，使用PVC、无卤低烟阻燃聚烯烃护套料进行内衬挤出。塑料颗粒经电加热熔融，PVC 挤出温度165℃、无卤低烟阻燃聚烯烃护套料挤出温度170℃。通过加热护套材料使其处于熔融状态，由挤塑机内螺杆旋转推进下，经模具挤出，均匀地包覆在成缆表面，同时通过冷却水槽速度冷却成型。挤出工序主要产生少量VOCs</w:t>
            </w:r>
            <w:r>
              <w:rPr>
                <w:rFonts w:hint="eastAsia"/>
                <w:color w:val="000000" w:themeColor="text1"/>
                <w:lang w:val="en-US" w:eastAsia="zh-CN"/>
                <w14:textFill>
                  <w14:solidFill>
                    <w14:schemeClr w14:val="tx1"/>
                  </w14:solidFill>
                </w14:textFill>
              </w:rPr>
              <w:t>、氯化氢</w:t>
            </w:r>
            <w:r>
              <w:rPr>
                <w:rFonts w:hint="default" w:ascii="Times New Roman" w:hAnsi="Times New Roman" w:eastAsia="宋体"/>
                <w:color w:val="000000" w:themeColor="text1"/>
                <w:lang w:val="en-US" w:eastAsia="zh-CN"/>
                <w14:textFill>
                  <w14:solidFill>
                    <w14:schemeClr w14:val="tx1"/>
                  </w14:solidFill>
                </w14:textFill>
              </w:rPr>
              <w:t>和噪声</w:t>
            </w:r>
            <w:r>
              <w:rPr>
                <w:rFonts w:hint="eastAsia" w:ascii="Times New Roman" w:hAnsi="Times New Roman" w:eastAsia="宋体"/>
                <w:color w:val="000000" w:themeColor="text1"/>
                <w:lang w:val="en-US" w:eastAsia="zh-CN"/>
                <w14:textFill>
                  <w14:solidFill>
                    <w14:schemeClr w14:val="tx1"/>
                  </w14:solidFill>
                </w14:textFill>
              </w:rPr>
              <w:t>。</w:t>
            </w:r>
          </w:p>
          <w:p>
            <w:pPr>
              <w:pStyle w:val="8"/>
              <w:jc w:val="both"/>
              <w:outlineLvl w:val="2"/>
              <w:rPr>
                <w:rFonts w:hint="default" w:ascii="Times New Roman" w:hAnsi="Times New Roman" w:eastAsia="宋体"/>
                <w:color w:val="000000" w:themeColor="text1"/>
                <w:lang w:val="en-US" w:eastAsia="zh-CN"/>
                <w14:textFill>
                  <w14:solidFill>
                    <w14:schemeClr w14:val="tx1"/>
                  </w14:solidFill>
                </w14:textFill>
              </w:rPr>
            </w:pPr>
            <w:r>
              <w:drawing>
                <wp:inline distT="0" distB="0" distL="114300" distR="114300">
                  <wp:extent cx="5017770" cy="5387975"/>
                  <wp:effectExtent l="0" t="0" r="11430" b="3175"/>
                  <wp:docPr id="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6"/>
                          <pic:cNvPicPr>
                            <a:picLocks noChangeAspect="1"/>
                          </pic:cNvPicPr>
                        </pic:nvPicPr>
                        <pic:blipFill>
                          <a:blip r:embed="rId25"/>
                          <a:stretch>
                            <a:fillRect/>
                          </a:stretch>
                        </pic:blipFill>
                        <pic:spPr>
                          <a:xfrm>
                            <a:off x="0" y="0"/>
                            <a:ext cx="5017770" cy="5387975"/>
                          </a:xfrm>
                          <a:prstGeom prst="rect">
                            <a:avLst/>
                          </a:prstGeom>
                          <a:noFill/>
                          <a:ln>
                            <a:noFill/>
                          </a:ln>
                        </pic:spPr>
                      </pic:pic>
                    </a:graphicData>
                  </a:graphic>
                </wp:inline>
              </w:drawing>
            </w:r>
          </w:p>
          <w:p>
            <w:pPr>
              <w:keepNext w:val="0"/>
              <w:keepLines w:val="0"/>
              <w:widowControl/>
              <w:suppressLineNumbers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图</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2-7</w:t>
            </w:r>
            <w:r>
              <w:rPr>
                <w:rFonts w:hint="default" w:ascii="Times New Roman" w:hAnsi="Times New Roman" w:eastAsia="宋体" w:cs="Times New Roman"/>
                <w:color w:val="000000" w:themeColor="text1"/>
                <w:sz w:val="21"/>
                <w:szCs w:val="21"/>
                <w14:textFill>
                  <w14:solidFill>
                    <w14:schemeClr w14:val="tx1"/>
                  </w14:solidFill>
                </w14:textFill>
              </w:rPr>
              <w:t xml:space="preserve">   </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控制电缆</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生产工艺流程</w:t>
            </w:r>
            <w:r>
              <w:rPr>
                <w:rFonts w:hint="default" w:ascii="Times New Roman" w:hAnsi="Times New Roman" w:eastAsia="宋体" w:cs="Times New Roman"/>
                <w:color w:val="000000" w:themeColor="text1"/>
                <w:sz w:val="21"/>
                <w:szCs w:val="21"/>
                <w14:textFill>
                  <w14:solidFill>
                    <w14:schemeClr w14:val="tx1"/>
                  </w14:solidFill>
                </w14:textFill>
              </w:rPr>
              <w:t>及产污环节图</w:t>
            </w:r>
          </w:p>
          <w:p>
            <w:pPr>
              <w:pStyle w:val="27"/>
              <w:bidi w:val="0"/>
              <w:jc w:val="both"/>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 xml:space="preserve">（3）BV 布电线生产工艺流程 </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拉丝、软化：拉丝机对铜杆施加拉力，使铜杆通过模孔连续进行拉丝，得到所需线径的铜丝，铜丝通过铜轮进行退火处理，退火温度为300~400℃，退火时间约为4h，退火的工作原理是利用铜丝把两个正负电极的铜轮直接短路，因为铜线的电阻相当低，在低电压状况下也能产生很大的短路电流，产生热量，对铜丝进行加热退火。退火时通入氮气，作为保护气体。铜拉丝设备配有拉丝乳化液润滑槽、都为定期补充不外排，该工序主要的污染物为噪声、废拉丝乳化液。</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绝缘挤出：根据橡套电缆与电力电缆产品需求，采用不同规格、不同型号的挤出机，将PVC 塑料或交联聚乙烯包裹在导体外层。塑料颗粒在挤塑过</w:t>
            </w:r>
            <w:r>
              <w:rPr>
                <w:rFonts w:hint="eastAsia"/>
                <w:color w:val="000000" w:themeColor="text1"/>
                <w:lang w:val="en-US" w:eastAsia="zh-CN"/>
                <w14:textFill>
                  <w14:solidFill>
                    <w14:schemeClr w14:val="tx1"/>
                  </w14:solidFill>
                </w14:textFill>
              </w:rPr>
              <w:t>程中</w:t>
            </w:r>
            <w:r>
              <w:rPr>
                <w:rFonts w:hint="default" w:ascii="Times New Roman" w:hAnsi="Times New Roman" w:eastAsia="宋体"/>
                <w:color w:val="000000" w:themeColor="text1"/>
                <w:lang w:val="en-US" w:eastAsia="zh-CN"/>
                <w14:textFill>
                  <w14:solidFill>
                    <w14:schemeClr w14:val="tx1"/>
                  </w14:solidFill>
                </w14:textFill>
              </w:rPr>
              <w:t>采用全自动封闭设备进行控制，PVC 塑料颗粒作为母料直接使用，不添加辅料。人工将干燥后的塑料颗粒倒入挤塑机的料斗内，在180～230℃温度条件下（采用电加热），塑料开始软化，通过挤出机内部的螺杆挤塑设备将软化后的塑料包覆在铜导体材料外层。根据客户要求，挤出完成后的电线电缆通过封闭水槽内进行降温，挤塑冷却水循环使用；挤出工序主要产生少量 VOCs 和噪声。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检验：冷却后进行火花实验，检查产品是否存在气眼，并对半成品绝缘性进行检验，成品待售。</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成圈：根据不同产品的规格要求，通过成圈机对产品进行收束包装，电缆经成圈机收束包装。主要污染物为噪声。</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检验：对产品各方面性能进行检验，检验合格产品后包装入库，不合格产品将塑料外皮割开后进行人工修整，达到要求后入库待售。无法修补的产品作为固废外售。此过程主要产生噪声、不合格品</w:t>
            </w:r>
            <w:r>
              <w:rPr>
                <w:rFonts w:hint="eastAsia" w:ascii="Times New Roman" w:hAnsi="Times New Roman" w:eastAsia="宋体"/>
                <w:color w:val="000000" w:themeColor="text1"/>
                <w:lang w:val="en-US" w:eastAsia="zh-CN"/>
                <w14:textFill>
                  <w14:solidFill>
                    <w14:schemeClr w14:val="tx1"/>
                  </w14:solidFill>
                </w14:textFill>
              </w:rPr>
              <w:t>。</w:t>
            </w:r>
          </w:p>
          <w:p>
            <w:pPr>
              <w:jc w:val="both"/>
              <w:rPr>
                <w:rFonts w:hint="default"/>
                <w:lang w:val="en-US" w:eastAsia="zh-CN"/>
              </w:rPr>
            </w:pPr>
            <w:r>
              <w:drawing>
                <wp:inline distT="0" distB="0" distL="114300" distR="114300">
                  <wp:extent cx="5008880" cy="4123055"/>
                  <wp:effectExtent l="0" t="0" r="1270" b="10795"/>
                  <wp:docPr id="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7"/>
                          <pic:cNvPicPr>
                            <a:picLocks noChangeAspect="1"/>
                          </pic:cNvPicPr>
                        </pic:nvPicPr>
                        <pic:blipFill>
                          <a:blip r:embed="rId26"/>
                          <a:stretch>
                            <a:fillRect/>
                          </a:stretch>
                        </pic:blipFill>
                        <pic:spPr>
                          <a:xfrm>
                            <a:off x="0" y="0"/>
                            <a:ext cx="5008880" cy="4123055"/>
                          </a:xfrm>
                          <a:prstGeom prst="rect">
                            <a:avLst/>
                          </a:prstGeom>
                          <a:noFill/>
                          <a:ln>
                            <a:noFill/>
                          </a:ln>
                        </pic:spPr>
                      </pic:pic>
                    </a:graphicData>
                  </a:graphic>
                </wp:inline>
              </w:drawing>
            </w:r>
          </w:p>
          <w:p>
            <w:pPr>
              <w:keepNext w:val="0"/>
              <w:keepLines w:val="0"/>
              <w:widowControl/>
              <w:suppressLineNumbers w:val="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图</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2-8</w:t>
            </w:r>
            <w:r>
              <w:rPr>
                <w:rFonts w:hint="default" w:ascii="Times New Roman" w:hAnsi="Times New Roman" w:eastAsia="宋体" w:cs="Times New Roman"/>
                <w:color w:val="000000" w:themeColor="text1"/>
                <w:sz w:val="21"/>
                <w:szCs w:val="21"/>
                <w14:textFill>
                  <w14:solidFill>
                    <w14:schemeClr w14:val="tx1"/>
                  </w14:solidFill>
                </w14:textFill>
              </w:rPr>
              <w:t xml:space="preserve">   </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BV布电线</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生产工艺流程</w:t>
            </w:r>
            <w:r>
              <w:rPr>
                <w:rFonts w:hint="default" w:ascii="Times New Roman" w:hAnsi="Times New Roman" w:eastAsia="宋体" w:cs="Times New Roman"/>
                <w:color w:val="000000" w:themeColor="text1"/>
                <w:sz w:val="21"/>
                <w:szCs w:val="21"/>
                <w14:textFill>
                  <w14:solidFill>
                    <w14:schemeClr w14:val="tx1"/>
                  </w14:solidFill>
                </w14:textFill>
              </w:rPr>
              <w:t>及产污环节图</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现有工程污染物产排情况</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default" w:ascii="Times New Roman" w:hAnsi="Times New Roman" w:eastAsia="宋体"/>
                <w:color w:val="000000" w:themeColor="text1"/>
                <w:lang w:val="en-US" w:eastAsia="zh-CN"/>
                <w14:textFill>
                  <w14:solidFill>
                    <w14:schemeClr w14:val="tx1"/>
                  </w14:solidFill>
                </w14:textFill>
              </w:rPr>
              <w:t>2.1</w:t>
            </w:r>
            <w:r>
              <w:rPr>
                <w:rFonts w:hint="eastAsia" w:ascii="Times New Roman" w:hAnsi="Times New Roman" w:eastAsia="宋体"/>
                <w:color w:val="000000" w:themeColor="text1"/>
                <w:lang w:val="en-US" w:eastAsia="zh-CN"/>
                <w14:textFill>
                  <w14:solidFill>
                    <w14:schemeClr w14:val="tx1"/>
                  </w14:solidFill>
                </w14:textFill>
              </w:rPr>
              <w:t xml:space="preserve"> 现有工程产排污核算</w:t>
            </w:r>
          </w:p>
          <w:p>
            <w:pPr>
              <w:pStyle w:val="27"/>
              <w:bidi w:val="0"/>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本次评价</w:t>
            </w:r>
            <w:r>
              <w:rPr>
                <w:rFonts w:hint="eastAsia"/>
                <w:color w:val="000000" w:themeColor="text1"/>
                <w:lang w:val="en-US" w:eastAsia="zh-CN"/>
                <w14:textFill>
                  <w14:solidFill>
                    <w14:schemeClr w14:val="tx1"/>
                  </w14:solidFill>
                </w14:textFill>
              </w:rPr>
              <w:t>现有</w:t>
            </w:r>
            <w:r>
              <w:rPr>
                <w:rFonts w:hint="eastAsia"/>
                <w:color w:val="000000" w:themeColor="text1"/>
                <w14:textFill>
                  <w14:solidFill>
                    <w14:schemeClr w14:val="tx1"/>
                  </w14:solidFill>
                </w14:textFill>
              </w:rPr>
              <w:t>工程污染物排放量参考新疆新农大环境检测中心</w:t>
            </w:r>
            <w:r>
              <w:rPr>
                <w:rFonts w:hint="eastAsia"/>
                <w:color w:val="000000" w:themeColor="text1"/>
                <w:lang w:val="en-US" w:eastAsia="zh-CN"/>
                <w14:textFill>
                  <w14:solidFill>
                    <w14:schemeClr w14:val="tx1"/>
                  </w14:solidFill>
                </w14:textFill>
              </w:rPr>
              <w:t>（有限公司）对本公司2026年自行监测数据</w:t>
            </w:r>
            <w:r>
              <w:rPr>
                <w:rFonts w:hint="eastAsia"/>
                <w:color w:val="000000" w:themeColor="text1"/>
                <w14:textFill>
                  <w14:solidFill>
                    <w14:schemeClr w14:val="tx1"/>
                  </w14:solidFill>
                </w14:textFill>
              </w:rPr>
              <w:t>进行核算</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2026年6月22日新疆新农大环境检测中心（有限公司）对废气、废水、噪声进行了检测</w:t>
            </w:r>
            <w:r>
              <w:rPr>
                <w:rFonts w:hint="eastAsia"/>
                <w:color w:val="000000" w:themeColor="text1"/>
                <w:lang w:eastAsia="zh-CN"/>
                <w14:textFill>
                  <w14:solidFill>
                    <w14:schemeClr w14:val="tx1"/>
                  </w14:solidFill>
                </w14:textFill>
              </w:rPr>
              <w:t>。</w:t>
            </w:r>
          </w:p>
          <w:p>
            <w:pPr>
              <w:pageBreakBefore w:val="0"/>
              <w:widowControl w:val="0"/>
              <w:kinsoku/>
              <w:wordWrap/>
              <w:overflowPunct/>
              <w:topLinePunct w:val="0"/>
              <w:autoSpaceDE/>
              <w:autoSpaceDN/>
              <w:bidi w:val="0"/>
              <w:adjustRightInd/>
              <w:snapToGrid/>
              <w:spacing w:line="360" w:lineRule="auto"/>
              <w:jc w:val="both"/>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2.2 废气污染物排放情况</w:t>
            </w:r>
          </w:p>
          <w:p>
            <w:pPr>
              <w:pStyle w:val="27"/>
              <w:bidi w:val="0"/>
              <w:jc w:val="both"/>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现有工程废气主要排放污染物为非甲烷总烃、氯乙烯、氯化氢、臭气浓度</w:t>
            </w:r>
            <w:r>
              <w:rPr>
                <w:rFonts w:hint="eastAsia"/>
                <w:color w:val="000000" w:themeColor="text1"/>
                <w:lang w:eastAsia="zh-CN"/>
                <w14:textFill>
                  <w14:solidFill>
                    <w14:schemeClr w14:val="tx1"/>
                  </w14:solidFill>
                </w14:textFill>
              </w:rPr>
              <w:t>。</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（1）有组织废气</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自行监测数据，挤塑机环保设施废气排放口（DA001）、挤塑机环保设施废气排放口（DA002）、挤塑机环保设施废气排放口（DA003）、挤塑机环保设施废气排放口（DA004）氯化氢、氯乙烯排放浓度及排放速率满足《大气污染物综合排放标准》（GB16297 -1996）中表2新污染源大气污染物排放限值；非甲烷总烃满足《合成树脂工业污染物排放标准》（GB31572-2015，含2024 年修改单）中有组织排放限值；臭气浓度满足《恶臭污染物排放标准》（GB 14554-1993）中有组织排放限值。</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（2）无组织废气</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厂界无组织颗粒物、二氧化硫、氮氧化物、氯化氢满足《大气污染物综合排放标准》（GB16297 -1996）中表2新污染源大气污染物无组织排放限值；非甲烷总烃满足《合成树脂工业污染物排放标准》（GB31572-2015，含2024 年修改单）中无组织排放限值；臭气浓度满足《恶臭污染物排放标准》（GB 14554-1993）中无组织排放限值。厂界内非甲烷总烃满足《挥发性有机物无组织排放控制标准》（GB37822-2019）限值要求。</w:t>
            </w:r>
          </w:p>
          <w:p>
            <w:pPr>
              <w:pStyle w:val="8"/>
              <w:pageBreakBefore w:val="0"/>
              <w:widowControl w:val="0"/>
              <w:kinsoku/>
              <w:wordWrap/>
              <w:overflowPunct/>
              <w:topLinePunct w:val="0"/>
              <w:autoSpaceDE/>
              <w:autoSpaceDN/>
              <w:bidi w:val="0"/>
              <w:adjustRightInd/>
              <w:snapToGrid/>
              <w:jc w:val="both"/>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2.3 废水污染物排放情况</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工程生产废水全部回用，不外排，生活污水经园区市政管网最终排入园区污水处理厂处理。根据自行监测数据，污水排放口pH值、悬浮物、五日生化需氧量、化学需氧量、氨氮、动植物油类、石油类满足《污水综合排放标准》（GB8978 -1996）表4中三级标准限值。</w:t>
            </w:r>
          </w:p>
          <w:p>
            <w:pPr>
              <w:pStyle w:val="8"/>
              <w:pageBreakBefore w:val="0"/>
              <w:widowControl w:val="0"/>
              <w:kinsoku/>
              <w:wordWrap/>
              <w:overflowPunct/>
              <w:topLinePunct w:val="0"/>
              <w:autoSpaceDE/>
              <w:autoSpaceDN/>
              <w:bidi w:val="0"/>
              <w:adjustRightInd/>
              <w:snapToGrid/>
              <w:jc w:val="both"/>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2.4 噪声</w:t>
            </w:r>
          </w:p>
          <w:p>
            <w:pPr>
              <w:pStyle w:val="27"/>
              <w:pageBreakBefore w:val="0"/>
              <w:widowControl w:val="0"/>
              <w:kinsoku/>
              <w:wordWrap/>
              <w:overflowPunct/>
              <w:topLinePunct w:val="0"/>
              <w:autoSpaceDE/>
              <w:autoSpaceDN/>
              <w:bidi w:val="0"/>
              <w:adjustRightInd/>
              <w:snapToGrid/>
              <w:jc w:val="both"/>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现有工程</w:t>
            </w:r>
            <w:r>
              <w:rPr>
                <w:rFonts w:hint="eastAsia"/>
                <w:color w:val="000000" w:themeColor="text1"/>
                <w14:textFill>
                  <w14:solidFill>
                    <w14:schemeClr w14:val="tx1"/>
                  </w14:solidFill>
                </w14:textFill>
              </w:rPr>
              <w:t>噪声源主要为</w:t>
            </w:r>
            <w:r>
              <w:rPr>
                <w:rFonts w:hint="eastAsia"/>
                <w:color w:val="000000" w:themeColor="text1"/>
                <w:lang w:val="en-US" w:eastAsia="zh-CN"/>
                <w14:textFill>
                  <w14:solidFill>
                    <w14:schemeClr w14:val="tx1"/>
                  </w14:solidFill>
                </w14:textFill>
              </w:rPr>
              <w:t>挤塑机、拉丝机、</w:t>
            </w:r>
            <w:r>
              <w:rPr>
                <w:rFonts w:hint="eastAsia"/>
                <w:color w:val="000000" w:themeColor="text1"/>
                <w14:textFill>
                  <w14:solidFill>
                    <w14:schemeClr w14:val="tx1"/>
                  </w14:solidFill>
                </w14:textFill>
              </w:rPr>
              <w:t>机泵、</w:t>
            </w:r>
            <w:r>
              <w:rPr>
                <w:rFonts w:hint="eastAsia"/>
                <w:color w:val="000000" w:themeColor="text1"/>
                <w:lang w:val="en-US" w:eastAsia="zh-CN"/>
                <w14:textFill>
                  <w14:solidFill>
                    <w14:schemeClr w14:val="tx1"/>
                  </w14:solidFill>
                </w14:textFill>
              </w:rPr>
              <w:t>风机</w:t>
            </w:r>
            <w:r>
              <w:rPr>
                <w:rFonts w:hint="eastAsia"/>
                <w:color w:val="000000" w:themeColor="text1"/>
                <w:lang w:val="zh-CN"/>
                <w14:textFill>
                  <w14:solidFill>
                    <w14:schemeClr w14:val="tx1"/>
                  </w14:solidFill>
                </w14:textFill>
              </w:rPr>
              <w:t>等设备运转时产生的噪声。</w:t>
            </w:r>
            <w:r>
              <w:rPr>
                <w:rFonts w:hint="eastAsia"/>
                <w:color w:val="000000" w:themeColor="text1"/>
                <w:lang w:val="en-US" w:eastAsia="zh-CN"/>
                <w14:textFill>
                  <w14:solidFill>
                    <w14:schemeClr w14:val="tx1"/>
                  </w14:solidFill>
                </w14:textFill>
              </w:rPr>
              <w:t>根据自行监测数据，厂界四周噪声满足《工业企业厂界环境噪声排放标准》（GB12348 -2008）中3类标准。</w:t>
            </w:r>
          </w:p>
          <w:p>
            <w:pPr>
              <w:pStyle w:val="8"/>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2.5 固废</w:t>
            </w:r>
          </w:p>
          <w:p>
            <w:pPr>
              <w:pStyle w:val="27"/>
              <w:bidi w:val="0"/>
              <w:jc w:val="both"/>
              <w:rPr>
                <w:rFonts w:hint="eastAsia" w:ascii="Times New Roman" w:hAnsi="Times New Roman" w:eastAsia="宋体"/>
                <w:color w:val="000000" w:themeColor="text1"/>
                <w:lang w:val="en-US" w:eastAsia="zh-CN"/>
                <w14:textFill>
                  <w14:solidFill>
                    <w14:schemeClr w14:val="tx1"/>
                  </w14:solidFill>
                </w14:textFill>
              </w:rPr>
            </w:pPr>
            <w:bookmarkStart w:id="2" w:name="_Toc18649"/>
            <w:bookmarkStart w:id="3" w:name="_Toc8144"/>
            <w:r>
              <w:rPr>
                <w:rFonts w:hint="eastAsia" w:ascii="Times New Roman" w:hAnsi="Times New Roman" w:eastAsia="宋体"/>
                <w:color w:val="000000" w:themeColor="text1"/>
                <w:lang w:val="en-US" w:eastAsia="zh-CN"/>
                <w14:textFill>
                  <w14:solidFill>
                    <w14:schemeClr w14:val="tx1"/>
                  </w14:solidFill>
                </w14:textFill>
              </w:rPr>
              <w:t>1、生活垃圾</w:t>
            </w:r>
          </w:p>
          <w:p>
            <w:pPr>
              <w:pStyle w:val="27"/>
              <w:bidi w:val="0"/>
              <w:jc w:val="both"/>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本项目生活垃圾产生量约21.53t/a，厂区分类定点收集，交由环卫部门统一处理。</w:t>
            </w:r>
          </w:p>
          <w:p>
            <w:pPr>
              <w:pStyle w:val="27"/>
              <w:bidi w:val="0"/>
              <w:jc w:val="both"/>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2、一般工业固体废物</w:t>
            </w:r>
          </w:p>
          <w:p>
            <w:pPr>
              <w:pStyle w:val="27"/>
              <w:bidi w:val="0"/>
              <w:jc w:val="both"/>
              <w:rPr>
                <w:rFonts w:hint="default" w:ascii="Times New Roman" w:hAnsi="Times New Roman" w:eastAsia="宋体"/>
                <w:color w:val="000000" w:themeColor="text1"/>
                <w:lang w:val="en-US" w:eastAsia="zh-CN"/>
                <w14:textFill>
                  <w14:solidFill>
                    <w14:schemeClr w14:val="tx1"/>
                  </w14:solidFill>
                </w14:textFill>
              </w:rPr>
            </w:pPr>
            <w:bookmarkStart w:id="4" w:name="_Toc24771"/>
            <w:bookmarkStart w:id="5" w:name="_Toc9203"/>
            <w:r>
              <w:rPr>
                <w:rFonts w:hint="eastAsia" w:ascii="Times New Roman" w:hAnsi="Times New Roman" w:eastAsia="宋体"/>
                <w:color w:val="000000" w:themeColor="text1"/>
                <w:lang w:val="en-US" w:eastAsia="zh-CN"/>
                <w14:textFill>
                  <w14:solidFill>
                    <w14:schemeClr w14:val="tx1"/>
                  </w14:solidFill>
                </w14:textFill>
              </w:rPr>
              <w:t>（1）废边角料</w:t>
            </w:r>
          </w:p>
          <w:p>
            <w:pPr>
              <w:pStyle w:val="27"/>
              <w:bidi w:val="0"/>
              <w:jc w:val="both"/>
              <w:rPr>
                <w:rFonts w:hint="eastAsia"/>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本项目产生废边角</w:t>
            </w:r>
            <w:r>
              <w:rPr>
                <w:rFonts w:hint="eastAsia"/>
                <w:color w:val="000000" w:themeColor="text1"/>
                <w:lang w:val="en-US" w:eastAsia="zh-CN"/>
                <w14:textFill>
                  <w14:solidFill>
                    <w14:schemeClr w14:val="tx1"/>
                  </w14:solidFill>
                </w14:textFill>
              </w:rPr>
              <w:t>料，主要有废铜带、废钢带、废无纺布等，产生量约20t/a，综合利用外售；</w:t>
            </w:r>
            <w:bookmarkEnd w:id="4"/>
            <w:bookmarkEnd w:id="5"/>
          </w:p>
          <w:p>
            <w:pPr>
              <w:pStyle w:val="27"/>
              <w:bidi w:val="0"/>
              <w:jc w:val="both"/>
              <w:rPr>
                <w:rFonts w:hint="eastAsia"/>
                <w:color w:val="000000" w:themeColor="text1"/>
                <w:lang w:val="en-US" w:eastAsia="zh-CN"/>
                <w14:textFill>
                  <w14:solidFill>
                    <w14:schemeClr w14:val="tx1"/>
                  </w14:solidFill>
                </w14:textFill>
              </w:rPr>
            </w:pPr>
            <w:bookmarkStart w:id="6" w:name="_Toc8516"/>
            <w:bookmarkStart w:id="7" w:name="_Toc19136"/>
            <w:r>
              <w:rPr>
                <w:rFonts w:hint="eastAsia"/>
                <w:color w:val="000000" w:themeColor="text1"/>
                <w:lang w:val="en-US" w:eastAsia="zh-CN"/>
                <w14:textFill>
                  <w14:solidFill>
                    <w14:schemeClr w14:val="tx1"/>
                  </w14:solidFill>
                </w14:textFill>
              </w:rPr>
              <w:t>（2）废护套</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本项目产生废护套，产生量约120t/a，综合利用外售；</w:t>
            </w:r>
            <w:bookmarkEnd w:id="6"/>
            <w:bookmarkEnd w:id="7"/>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（3）不合格品</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本项目不合格品，主要有废电线电缆，产生量约20t/a，综合利用外售。</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3、危险废物</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（1）废催化剂</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本项目有机废气处理装置产生废催化剂，危废代码：HW49（900-041-49），产生量1.0t/a，暂存厂区危险废物贮存库，交由有资质的单位处置。</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（2）交联废液</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本项目生产过程中产生交联废液，危废代码：HW09（900-007-09），产生量5.0t/a，暂存厂区危险废物贮存库，交由有资质的单位处置。</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（3）废皂化液</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本项目生产过程中产生废皂化液，危废代码：HW09（900-007-09），产生量4.0t/a，暂存厂区危险废物贮存库，交由有资质的单位处置。</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（4）废助焊剂沾染物</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本项目生产过程中产生废助焊剂沾染物，危废代码：HW49（900-041-49），产生量4.0t/a，暂存厂区危险废物贮存库，交由有资质的单位处置。</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（5）废润滑油</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本项目维修过程中产生废润滑油，危废代码：HW08（900-217-08），产生量4.9t/a，暂存厂区危险废物贮存库，交由有资质的单位处置。</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（6）废润滑油桶</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本项目维修过程中产生废润滑油桶，危废代码：HW08（900-249-08 ），产生量1.0t/a，暂存厂区危险废物贮存库，交由有资质的单位处置。</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（7）废活性炭</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本项目有机废气处理装置产生废活性炭，危废代码：HW49（900-039-49），产生量10t/a，暂存厂区危险废物贮存库，交由有资质的单位处置</w:t>
            </w:r>
            <w:bookmarkEnd w:id="2"/>
            <w:bookmarkEnd w:id="3"/>
            <w:r>
              <w:rPr>
                <w:rFonts w:hint="eastAsia"/>
                <w:color w:val="000000" w:themeColor="text1"/>
                <w:lang w:val="en-US" w:eastAsia="zh-CN"/>
                <w14:textFill>
                  <w14:solidFill>
                    <w14:schemeClr w14:val="tx1"/>
                  </w14:solidFill>
                </w14:textFill>
              </w:rPr>
              <w:t>。</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（8）废油墨桶、废弃粘合剂包装桶</w:t>
            </w:r>
          </w:p>
          <w:p>
            <w:pPr>
              <w:pStyle w:val="27"/>
              <w:bidi w:val="0"/>
              <w:jc w:val="both"/>
              <w:rPr>
                <w:rFonts w:hint="eastAsia"/>
                <w:color w:val="000000" w:themeColor="text1"/>
                <w:lang w:val="en-US" w:eastAsia="zh-CN"/>
                <w14:textFill>
                  <w14:solidFill>
                    <w14:schemeClr w14:val="tx1"/>
                  </w14:solidFill>
                </w14:textFill>
              </w:rPr>
            </w:pPr>
            <w:bookmarkStart w:id="8" w:name="_Toc28157"/>
            <w:bookmarkStart w:id="9" w:name="_Toc31918"/>
            <w:r>
              <w:rPr>
                <w:rFonts w:hint="eastAsia"/>
                <w:color w:val="000000" w:themeColor="text1"/>
                <w:lang w:val="en-US" w:eastAsia="zh-CN"/>
                <w14:textFill>
                  <w14:solidFill>
                    <w14:schemeClr w14:val="tx1"/>
                  </w14:solidFill>
                </w14:textFill>
              </w:rPr>
              <w:t>本项目生产过程中产生废油墨桶、废弃粘合剂包装桶，危废代码：HW49（900-041-49），产生量1.5t/a，暂存厂区危险废物贮存库，交由有资质的单位处置。</w:t>
            </w:r>
          </w:p>
          <w:p>
            <w:pPr>
              <w:pStyle w:val="8"/>
              <w:pageBreakBefore w:val="0"/>
              <w:widowControl w:val="0"/>
              <w:kinsoku/>
              <w:wordWrap/>
              <w:overflowPunct/>
              <w:topLinePunct w:val="0"/>
              <w:autoSpaceDE/>
              <w:autoSpaceDN/>
              <w:bidi w:val="0"/>
              <w:adjustRightInd/>
              <w:snapToGrid/>
              <w:jc w:val="both"/>
              <w:textAlignment w:val="auto"/>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2.6 污染物排放量</w:t>
            </w:r>
          </w:p>
          <w:p>
            <w:pPr>
              <w:pStyle w:val="27"/>
              <w:bidi w:val="0"/>
              <w:jc w:val="both"/>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本次评价污染物排放总量参考新疆新农大环境检测中心（有限公司）2026年自行监测</w:t>
            </w:r>
            <w:r>
              <w:rPr>
                <w:rFonts w:hint="eastAsia"/>
                <w:color w:val="000000" w:themeColor="text1"/>
                <w:lang w:val="en-US" w:eastAsia="zh-CN"/>
                <w14:textFill>
                  <w14:solidFill>
                    <w14:schemeClr w14:val="tx1"/>
                  </w14:solidFill>
                </w14:textFill>
              </w:rPr>
              <w:t>数据，</w:t>
            </w:r>
            <w:r>
              <w:rPr>
                <w:rFonts w:hint="default"/>
                <w:color w:val="000000" w:themeColor="text1"/>
                <w:lang w:val="en-US" w:eastAsia="zh-CN"/>
                <w14:textFill>
                  <w14:solidFill>
                    <w14:schemeClr w14:val="tx1"/>
                  </w14:solidFill>
                </w14:textFill>
              </w:rPr>
              <w:t>有组织非甲烷总烃</w:t>
            </w:r>
            <w:r>
              <w:rPr>
                <w:rFonts w:hint="eastAsia"/>
                <w:color w:val="000000" w:themeColor="text1"/>
                <w:lang w:val="en-US" w:eastAsia="zh-CN"/>
                <w14:textFill>
                  <w14:solidFill>
                    <w14:schemeClr w14:val="tx1"/>
                  </w14:solidFill>
                </w14:textFill>
              </w:rPr>
              <w:t>最大排放浓度为5.67mg/m</w:t>
            </w:r>
            <w:r>
              <w:rPr>
                <w:rFonts w:hint="eastAsia"/>
                <w:color w:val="000000" w:themeColor="text1"/>
                <w:vertAlign w:val="superscript"/>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氯化氢最大排放浓度为8.0mg/m</w:t>
            </w:r>
            <w:r>
              <w:rPr>
                <w:rFonts w:hint="eastAsia"/>
                <w:color w:val="000000" w:themeColor="text1"/>
                <w:vertAlign w:val="superscript"/>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氯乙烯最大排放浓度为＜0.08mg/m</w:t>
            </w:r>
            <w:r>
              <w:rPr>
                <w:rFonts w:hint="eastAsia"/>
                <w:color w:val="000000" w:themeColor="text1"/>
                <w:vertAlign w:val="superscript"/>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臭气浓度最大排放浓度为112（无量纲）</w:t>
            </w:r>
            <w:r>
              <w:rPr>
                <w:rFonts w:hint="default"/>
                <w:color w:val="000000" w:themeColor="text1"/>
                <w:lang w:val="en-US" w:eastAsia="zh-CN"/>
                <w14:textFill>
                  <w14:solidFill>
                    <w14:schemeClr w14:val="tx1"/>
                  </w14:solidFill>
                </w14:textFill>
              </w:rPr>
              <w:t>，有组织排放浓度及排放速率均满足相关要求，厂界无组织颗粒物、非甲烷总烃满足相关要求</w:t>
            </w:r>
            <w:r>
              <w:rPr>
                <w:rFonts w:hint="eastAsia"/>
                <w:color w:val="000000" w:themeColor="text1"/>
                <w:lang w:val="en-US" w:eastAsia="zh-CN"/>
                <w14:textFill>
                  <w14:solidFill>
                    <w14:schemeClr w14:val="tx1"/>
                  </w14:solidFill>
                </w14:textFill>
              </w:rPr>
              <w:t>。</w:t>
            </w:r>
          </w:p>
          <w:bookmarkEnd w:id="8"/>
          <w:bookmarkEnd w:id="9"/>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3</w:t>
            </w:r>
            <w:r>
              <w:rPr>
                <w:rFonts w:hint="eastAsia" w:ascii="Times New Roman" w:hAnsi="Times New Roman" w:eastAsia="宋体"/>
                <w:color w:val="000000" w:themeColor="text1"/>
                <w:lang w:val="en-US" w:eastAsia="zh-CN"/>
                <w14:textFill>
                  <w14:solidFill>
                    <w14:schemeClr w14:val="tx1"/>
                  </w14:solidFill>
                </w14:textFill>
              </w:rPr>
              <w:t xml:space="preserve"> 现有工程环境管理情况</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根据查阅特变电工新疆电缆有限公司排污许可执行报告填报记录，企业已根据排污许可证申请与核发技术规范进行了填报。同时，项目污染物已采取相应治理措施。</w:t>
            </w:r>
          </w:p>
          <w:p>
            <w:pPr>
              <w:pStyle w:val="27"/>
              <w:bidi w:val="0"/>
              <w:jc w:val="both"/>
              <w:rPr>
                <w:rFonts w:hint="eastAsia"/>
                <w:color w:val="000000" w:themeColor="text1"/>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根据企业自身情况，</w:t>
            </w:r>
            <w:r>
              <w:rPr>
                <w:rFonts w:hint="eastAsia"/>
                <w:color w:val="000000" w:themeColor="text1"/>
                <w:lang w:val="en-US" w:eastAsia="zh-CN"/>
                <w14:textFill>
                  <w14:solidFill>
                    <w14:schemeClr w14:val="tx1"/>
                  </w14:solidFill>
                </w14:textFill>
              </w:rPr>
              <w:t>特变电工新疆电缆有限公司</w:t>
            </w:r>
            <w:r>
              <w:rPr>
                <w:rFonts w:hint="eastAsia"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设</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有</w:t>
            </w:r>
            <w:r>
              <w:rPr>
                <w:rFonts w:hint="eastAsia" w:cs="Times New Roman"/>
                <w:b w:val="0"/>
                <w:bCs/>
                <w:color w:val="000000" w:themeColor="text1"/>
                <w:kern w:val="0"/>
                <w:sz w:val="24"/>
                <w:szCs w:val="24"/>
                <w:lang w:val="en-US" w:eastAsia="zh-CN" w:bidi="ar"/>
                <w14:textFill>
                  <w14:solidFill>
                    <w14:schemeClr w14:val="tx1"/>
                  </w14:solidFill>
                </w14:textFill>
              </w:rPr>
              <w:t>专人</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负责相关环境管理工作</w:t>
            </w:r>
            <w:r>
              <w:rPr>
                <w:rFonts w:hint="eastAsia" w:cs="Times New Roman"/>
                <w:b w:val="0"/>
                <w:bCs/>
                <w:color w:val="000000" w:themeColor="text1"/>
                <w:kern w:val="0"/>
                <w:sz w:val="24"/>
                <w:szCs w:val="24"/>
                <w:lang w:val="en-US" w:eastAsia="zh-CN" w:bidi="ar"/>
                <w14:textFill>
                  <w14:solidFill>
                    <w14:schemeClr w14:val="tx1"/>
                  </w14:solidFill>
                </w14:textFill>
              </w:rPr>
              <w:t>并</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建立档案</w:t>
            </w:r>
            <w:r>
              <w:rPr>
                <w:rFonts w:hint="eastAsia" w:cs="Times New Roman"/>
                <w:b w:val="0"/>
                <w:bCs/>
                <w:color w:val="000000" w:themeColor="text1"/>
                <w:kern w:val="0"/>
                <w:sz w:val="24"/>
                <w:szCs w:val="24"/>
                <w:lang w:val="en-US" w:eastAsia="zh-CN" w:bidi="ar"/>
                <w14:textFill>
                  <w14:solidFill>
                    <w14:schemeClr w14:val="tx1"/>
                  </w14:solidFill>
                </w14:textFill>
              </w:rPr>
              <w:t>及相关</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环境保护规章制度。</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经现场查验和收集相关资料，特变电工新疆电缆有限公司自建成至今，各装置运行稳定，未发生过环境风险事故，未受到环保投诉，未受到生态环境管理部门的处罚以及环保督察需要整改的问题。</w:t>
            </w:r>
          </w:p>
          <w:p>
            <w:pPr>
              <w:pStyle w:val="8"/>
              <w:jc w:val="both"/>
              <w:outlineLvl w:val="2"/>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4</w:t>
            </w:r>
            <w:r>
              <w:rPr>
                <w:rFonts w:hint="eastAsia" w:ascii="Times New Roman" w:hAnsi="Times New Roman" w:eastAsia="宋体"/>
                <w:color w:val="000000" w:themeColor="text1"/>
                <w:lang w:val="en-US" w:eastAsia="zh-CN"/>
                <w14:textFill>
                  <w14:solidFill>
                    <w14:schemeClr w14:val="tx1"/>
                  </w14:solidFill>
                </w14:textFill>
              </w:rPr>
              <w:t xml:space="preserve"> 存在的环境问题</w:t>
            </w:r>
          </w:p>
          <w:p>
            <w:pPr>
              <w:pStyle w:val="27"/>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根据现场资料收集与勘查，项目污染物产生后已采取相应治理措施，污染物得到有效处理，各污染物排放均能满足环评及批复要求，项目现有工程存在的环境问题如下：</w:t>
            </w:r>
          </w:p>
          <w:p>
            <w:pPr>
              <w:pStyle w:val="27"/>
              <w:numPr>
                <w:ilvl w:val="0"/>
                <w:numId w:val="0"/>
              </w:numPr>
              <w:bidi w:val="0"/>
              <w:ind w:firstLine="480" w:firstLineChars="200"/>
              <w:jc w:val="both"/>
              <w:rPr>
                <w:rFonts w:hint="eastAsia"/>
                <w:color w:val="000000" w:themeColor="text1"/>
                <w:lang w:val="en-US" w:eastAsia="zh-CN"/>
                <w14:textFill>
                  <w14:solidFill>
                    <w14:schemeClr w14:val="tx1"/>
                  </w14:solidFill>
                </w14:textFill>
              </w:rPr>
            </w:pP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现有工程</w:t>
            </w:r>
            <w:r>
              <w:rPr>
                <w:rFonts w:hint="eastAsia" w:cstheme="minorBidi"/>
                <w:b w:val="0"/>
                <w:color w:val="000000" w:themeColor="text1"/>
                <w:kern w:val="2"/>
                <w:sz w:val="24"/>
                <w:szCs w:val="24"/>
                <w:lang w:val="en-US" w:eastAsia="zh-CN" w:bidi="ar-SA"/>
                <w14:textFill>
                  <w14:solidFill>
                    <w14:schemeClr w14:val="tx1"/>
                  </w14:solidFill>
                </w14:textFill>
              </w:rPr>
              <w:t>突发环境事件应急预案需按照三期项目建设内容，重新修编突发环境事件应急预案</w:t>
            </w:r>
            <w:r>
              <w:rPr>
                <w:rFonts w:hint="eastAsia"/>
                <w:color w:val="000000" w:themeColor="text1"/>
                <w:lang w:val="en-US" w:eastAsia="zh-CN"/>
                <w14:textFill>
                  <w14:solidFill>
                    <w14:schemeClr w14:val="tx1"/>
                  </w14:solidFill>
                </w14:textFill>
              </w:rPr>
              <w:t>。</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5</w:t>
            </w:r>
            <w:r>
              <w:rPr>
                <w:rFonts w:hint="eastAsia" w:ascii="Times New Roman" w:hAnsi="Times New Roman" w:eastAsia="宋体"/>
                <w:color w:val="000000" w:themeColor="text1"/>
                <w:lang w:val="en-US" w:eastAsia="zh-CN"/>
                <w14:textFill>
                  <w14:solidFill>
                    <w14:schemeClr w14:val="tx1"/>
                  </w14:solidFill>
                </w14:textFill>
              </w:rPr>
              <w:t xml:space="preserve"> </w:t>
            </w:r>
            <w:r>
              <w:rPr>
                <w:rFonts w:hint="eastAsia" w:ascii="Times New Roman" w:hAnsi="Times New Roman"/>
                <w:color w:val="000000" w:themeColor="text1"/>
                <w:lang w:val="en-US" w:eastAsia="zh-CN"/>
                <w14:textFill>
                  <w14:solidFill>
                    <w14:schemeClr w14:val="tx1"/>
                  </w14:solidFill>
                </w14:textFill>
              </w:rPr>
              <w:t>整改</w:t>
            </w:r>
            <w:r>
              <w:rPr>
                <w:rFonts w:hint="eastAsia" w:ascii="Times New Roman" w:hAnsi="Times New Roman" w:eastAsia="宋体"/>
                <w:color w:val="000000" w:themeColor="text1"/>
                <w:lang w:val="en-US" w:eastAsia="zh-CN"/>
                <w14:textFill>
                  <w14:solidFill>
                    <w14:schemeClr w14:val="tx1"/>
                  </w14:solidFill>
                </w14:textFill>
              </w:rPr>
              <w:t>措施</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建设单位</w:t>
            </w:r>
            <w:r>
              <w:rPr>
                <w:rFonts w:hint="default"/>
                <w:color w:val="000000" w:themeColor="text1"/>
                <w:lang w:val="en-US" w:eastAsia="zh-CN"/>
                <w14:textFill>
                  <w14:solidFill>
                    <w14:schemeClr w14:val="tx1"/>
                  </w14:solidFill>
                </w14:textFill>
              </w:rPr>
              <w:t>参照《排污单位自行监测技术指南 总则》（HJ819-2017）相关要求制定监测制度并认真执行</w:t>
            </w:r>
            <w:r>
              <w:rPr>
                <w:rFonts w:hint="eastAsia"/>
                <w:color w:val="000000" w:themeColor="text1"/>
                <w:lang w:val="en-US" w:eastAsia="zh-CN"/>
                <w14:textFill>
                  <w14:solidFill>
                    <w14:schemeClr w14:val="tx1"/>
                  </w14:solidFill>
                </w14:textFill>
              </w:rPr>
              <w:t>；</w:t>
            </w:r>
          </w:p>
          <w:p>
            <w:pPr>
              <w:pStyle w:val="27"/>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（2）及时修编</w:t>
            </w:r>
            <w:r>
              <w:rPr>
                <w:rFonts w:hint="eastAsia" w:cstheme="minorBidi"/>
                <w:b w:val="0"/>
                <w:color w:val="000000" w:themeColor="text1"/>
                <w:kern w:val="2"/>
                <w:sz w:val="24"/>
                <w:szCs w:val="24"/>
                <w:lang w:val="en-US" w:eastAsia="zh-CN" w:bidi="ar-SA"/>
                <w14:textFill>
                  <w14:solidFill>
                    <w14:schemeClr w14:val="tx1"/>
                  </w14:solidFill>
                </w14:textFill>
              </w:rPr>
              <w:t>突发环境事件应急预案，报送至昌吉高新技术产业开发区生态环境局备案</w:t>
            </w:r>
            <w:r>
              <w:rPr>
                <w:rFonts w:hint="eastAsia"/>
                <w:color w:val="000000" w:themeColor="text1"/>
                <w:lang w:val="en-US" w:eastAsia="zh-CN"/>
                <w14:textFill>
                  <w14:solidFill>
                    <w14:schemeClr w14:val="tx1"/>
                  </w14:solidFill>
                </w14:textFill>
              </w:rPr>
              <w:t>。</w:t>
            </w:r>
          </w:p>
          <w:p>
            <w:pPr>
              <w:pStyle w:val="27"/>
              <w:jc w:val="both"/>
              <w:rPr>
                <w:rFonts w:hint="eastAsia"/>
                <w:color w:val="000000" w:themeColor="text1"/>
                <w:lang w:val="en-US" w:eastAsia="zh-CN"/>
                <w14:textFill>
                  <w14:solidFill>
                    <w14:schemeClr w14:val="tx1"/>
                  </w14:solidFill>
                </w14:textFill>
              </w:rPr>
            </w:pPr>
          </w:p>
          <w:p>
            <w:pPr>
              <w:pStyle w:val="27"/>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p>
            <w:pPr>
              <w:pStyle w:val="27"/>
              <w:ind w:left="0" w:leftChars="0" w:firstLine="0" w:firstLineChars="0"/>
              <w:jc w:val="both"/>
              <w:rPr>
                <w:rFonts w:hint="default"/>
                <w:color w:val="000000" w:themeColor="text1"/>
                <w:lang w:val="en-US" w:eastAsia="zh-CN"/>
                <w14:textFill>
                  <w14:solidFill>
                    <w14:schemeClr w14:val="tx1"/>
                  </w14:solidFill>
                </w14:textFill>
              </w:rPr>
            </w:pPr>
          </w:p>
        </w:tc>
      </w:tr>
    </w:tbl>
    <w:p>
      <w:pPr>
        <w:jc w:val="both"/>
        <w:rPr>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6"/>
        <w:numPr>
          <w:ilvl w:val="0"/>
          <w:numId w:val="0"/>
        </w:numPr>
        <w:jc w:val="center"/>
        <w:rPr>
          <w:rFonts w:hint="eastAsia" w:ascii="黑体" w:hAnsi="黑体" w:eastAsia="黑体" w:cs="黑体"/>
          <w:b w:val="0"/>
          <w:bCs/>
          <w:color w:val="000000" w:themeColor="text1"/>
          <w14:textFill>
            <w14:solidFill>
              <w14:schemeClr w14:val="tx1"/>
            </w14:solidFill>
          </w14:textFill>
        </w:rPr>
      </w:pPr>
      <w:r>
        <w:rPr>
          <w:rFonts w:hint="eastAsia" w:ascii="黑体" w:hAnsi="黑体" w:eastAsia="黑体" w:cs="黑体"/>
          <w:b w:val="0"/>
          <w:bCs/>
          <w:color w:val="000000" w:themeColor="text1"/>
          <w:kern w:val="44"/>
          <w:sz w:val="30"/>
          <w:szCs w:val="24"/>
          <w:lang w:val="en-US" w:eastAsia="zh-CN" w:bidi="ar-SA"/>
          <w14:textFill>
            <w14:solidFill>
              <w14:schemeClr w14:val="tx1"/>
            </w14:solidFill>
          </w14:textFill>
        </w:rPr>
        <w:t>三、</w:t>
      </w:r>
      <w:r>
        <w:rPr>
          <w:rFonts w:hint="eastAsia" w:ascii="黑体" w:hAnsi="黑体" w:eastAsia="黑体" w:cs="黑体"/>
          <w:b w:val="0"/>
          <w:bCs/>
          <w:color w:val="000000" w:themeColor="text1"/>
          <w14:textFill>
            <w14:solidFill>
              <w14:schemeClr w14:val="tx1"/>
            </w14:solidFill>
          </w14:textFill>
        </w:rPr>
        <w:t>区域环境质量现状、环境保护目标及评价标准</w:t>
      </w:r>
    </w:p>
    <w:tbl>
      <w:tblPr>
        <w:tblStyle w:val="33"/>
        <w:tblpPr w:leftFromText="180" w:rightFromText="180" w:vertAnchor="text" w:tblpXSpec="center" w:tblpY="1"/>
        <w:tblOverlap w:val="never"/>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22"/>
        <w:gridCol w:w="79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622" w:type="dxa"/>
            <w:tcBorders>
              <w:tl2br w:val="nil"/>
              <w:tr2bl w:val="nil"/>
            </w:tcBorders>
            <w:vAlign w:val="center"/>
          </w:tcPr>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区域</w:t>
            </w:r>
          </w:p>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环境</w:t>
            </w:r>
          </w:p>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质量</w:t>
            </w:r>
          </w:p>
          <w:p>
            <w:pPr>
              <w:jc w:val="center"/>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现状</w:t>
            </w:r>
          </w:p>
        </w:tc>
        <w:tc>
          <w:tcPr>
            <w:tcW w:w="7900" w:type="dxa"/>
            <w:tcBorders>
              <w:tl2br w:val="nil"/>
              <w:tr2bl w:val="nil"/>
            </w:tcBorders>
          </w:tcPr>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大气环境质量现状与评价</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 xml:space="preserve">1.1 </w:t>
            </w:r>
            <w:r>
              <w:rPr>
                <w:b/>
                <w:bCs/>
                <w:color w:val="000000" w:themeColor="text1"/>
                <w:sz w:val="24"/>
                <w14:textFill>
                  <w14:solidFill>
                    <w14:schemeClr w14:val="tx1"/>
                  </w14:solidFill>
                </w14:textFill>
              </w:rPr>
              <w:t>基本污染物环境质量现状评价</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本项目位于新疆昌吉国家高新技术产业开发区经一路和创业大道交汇处特变电工智能电缆产业园内，</w:t>
            </w:r>
            <w:r>
              <w:rPr>
                <w:b w:val="0"/>
                <w:bCs/>
                <w:color w:val="000000" w:themeColor="text1"/>
                <w:sz w:val="24"/>
                <w14:textFill>
                  <w14:solidFill>
                    <w14:schemeClr w14:val="tx1"/>
                  </w14:solidFill>
                </w14:textFill>
              </w:rPr>
              <w:t>根据《建设项目环境影响报告表编制技术指南（污染影响类）</w:t>
            </w:r>
            <w:r>
              <w:rPr>
                <w:rFonts w:hint="eastAsia"/>
                <w:b w:val="0"/>
                <w:bCs/>
                <w:color w:val="000000" w:themeColor="text1"/>
                <w:sz w:val="24"/>
                <w:lang w:eastAsia="zh-CN"/>
                <w14:textFill>
                  <w14:solidFill>
                    <w14:schemeClr w14:val="tx1"/>
                  </w14:solidFill>
                </w14:textFill>
              </w:rPr>
              <w:t>（</w:t>
            </w:r>
            <w:r>
              <w:rPr>
                <w:rFonts w:hint="eastAsia"/>
                <w:b w:val="0"/>
                <w:bCs/>
                <w:color w:val="000000" w:themeColor="text1"/>
                <w:sz w:val="24"/>
                <w:lang w:val="en-US" w:eastAsia="zh-CN"/>
                <w14:textFill>
                  <w14:solidFill>
                    <w14:schemeClr w14:val="tx1"/>
                  </w14:solidFill>
                </w14:textFill>
              </w:rPr>
              <w:t>试行</w:t>
            </w:r>
            <w:r>
              <w:rPr>
                <w:rFonts w:hint="eastAsia"/>
                <w:b w:val="0"/>
                <w:bCs/>
                <w:color w:val="000000" w:themeColor="text1"/>
                <w:sz w:val="24"/>
                <w:lang w:eastAsia="zh-CN"/>
                <w14:textFill>
                  <w14:solidFill>
                    <w14:schemeClr w14:val="tx1"/>
                  </w14:solidFill>
                </w14:textFill>
              </w:rPr>
              <w:t>）</w:t>
            </w:r>
            <w:r>
              <w:rPr>
                <w:b w:val="0"/>
                <w:bCs/>
                <w:color w:val="000000" w:themeColor="text1"/>
                <w:sz w:val="24"/>
                <w14:textFill>
                  <w14:solidFill>
                    <w14:schemeClr w14:val="tx1"/>
                  </w14:solidFill>
                </w14:textFill>
              </w:rPr>
              <w:t>》的要求，</w:t>
            </w:r>
            <w:r>
              <w:rPr>
                <w:rFonts w:hint="eastAsia"/>
                <w:b w:val="0"/>
                <w:bCs/>
                <w:color w:val="000000" w:themeColor="text1"/>
                <w:sz w:val="24"/>
                <w:lang w:val="en-US" w:eastAsia="zh-CN"/>
                <w14:textFill>
                  <w14:solidFill>
                    <w14:schemeClr w14:val="tx1"/>
                  </w14:solidFill>
                </w14:textFill>
              </w:rPr>
              <w:t>根据环境空气质量模型技术支持服务系统中发布的昌吉市新区政务中心监测站</w:t>
            </w:r>
            <w:r>
              <w:rPr>
                <w:rFonts w:hint="default"/>
                <w:b w:val="0"/>
                <w:bCs/>
                <w:color w:val="000000" w:themeColor="text1"/>
                <w:sz w:val="24"/>
                <w:lang w:val="en-US" w:eastAsia="zh-CN"/>
                <w14:textFill>
                  <w14:solidFill>
                    <w14:schemeClr w14:val="tx1"/>
                  </w14:solidFill>
                </w14:textFill>
              </w:rPr>
              <w:t>202</w:t>
            </w:r>
            <w:r>
              <w:rPr>
                <w:rFonts w:hint="eastAsia"/>
                <w:b w:val="0"/>
                <w:bCs/>
                <w:color w:val="000000" w:themeColor="text1"/>
                <w:sz w:val="24"/>
                <w:lang w:val="en-US" w:eastAsia="zh-CN"/>
                <w14:textFill>
                  <w14:solidFill>
                    <w14:schemeClr w14:val="tx1"/>
                  </w14:solidFill>
                </w14:textFill>
              </w:rPr>
              <w:t>4年环境空气质量数据</w:t>
            </w:r>
            <w:r>
              <w:rPr>
                <w:rFonts w:hint="eastAsia"/>
                <w:b w:val="0"/>
                <w:bCs/>
                <w:color w:val="000000" w:themeColor="text1"/>
                <w:lang w:val="en-US" w:eastAsia="zh-CN"/>
                <w14:textFill>
                  <w14:solidFill>
                    <w14:schemeClr w14:val="tx1"/>
                  </w14:solidFill>
                </w14:textFill>
              </w:rPr>
              <w:t>，</w:t>
            </w:r>
            <w:r>
              <w:rPr>
                <w:b w:val="0"/>
                <w:bCs/>
                <w:color w:val="000000" w:themeColor="text1"/>
                <w14:textFill>
                  <w14:solidFill>
                    <w14:schemeClr w14:val="tx1"/>
                  </w14:solidFill>
                </w14:textFill>
              </w:rPr>
              <w:t>作为本项目环境空气现状评价基本污染物</w:t>
            </w:r>
            <w:r>
              <w:rPr>
                <w:rFonts w:eastAsia="Times New Roman"/>
                <w:b w:val="0"/>
                <w:bCs/>
                <w:color w:val="000000" w:themeColor="text1"/>
                <w14:textFill>
                  <w14:solidFill>
                    <w14:schemeClr w14:val="tx1"/>
                  </w14:solidFill>
                </w14:textFill>
              </w:rPr>
              <w:t>SO</w:t>
            </w:r>
            <w:r>
              <w:rPr>
                <w:rFonts w:eastAsia="Times New Roman"/>
                <w:b w:val="0"/>
                <w:bCs/>
                <w:color w:val="000000" w:themeColor="text1"/>
                <w:vertAlign w:val="subscript"/>
                <w14:textFill>
                  <w14:solidFill>
                    <w14:schemeClr w14:val="tx1"/>
                  </w14:solidFill>
                </w14:textFill>
              </w:rPr>
              <w:t>2</w:t>
            </w:r>
            <w:r>
              <w:rPr>
                <w:b w:val="0"/>
                <w:bCs/>
                <w:color w:val="000000" w:themeColor="text1"/>
                <w14:textFill>
                  <w14:solidFill>
                    <w14:schemeClr w14:val="tx1"/>
                  </w14:solidFill>
                </w14:textFill>
              </w:rPr>
              <w:t>、</w:t>
            </w:r>
            <w:r>
              <w:rPr>
                <w:rFonts w:eastAsia="Times New Roman"/>
                <w:b w:val="0"/>
                <w:bCs/>
                <w:color w:val="000000" w:themeColor="text1"/>
                <w14:textFill>
                  <w14:solidFill>
                    <w14:schemeClr w14:val="tx1"/>
                  </w14:solidFill>
                </w14:textFill>
              </w:rPr>
              <w:t>NO</w:t>
            </w:r>
            <w:r>
              <w:rPr>
                <w:rFonts w:eastAsia="Times New Roman"/>
                <w:b w:val="0"/>
                <w:bCs/>
                <w:color w:val="000000" w:themeColor="text1"/>
                <w:vertAlign w:val="subscript"/>
                <w14:textFill>
                  <w14:solidFill>
                    <w14:schemeClr w14:val="tx1"/>
                  </w14:solidFill>
                </w14:textFill>
              </w:rPr>
              <w:t>2</w:t>
            </w:r>
            <w:r>
              <w:rPr>
                <w:b w:val="0"/>
                <w:bCs/>
                <w:color w:val="000000" w:themeColor="text1"/>
                <w14:textFill>
                  <w14:solidFill>
                    <w14:schemeClr w14:val="tx1"/>
                  </w14:solidFill>
                </w14:textFill>
              </w:rPr>
              <w:t>、</w:t>
            </w:r>
            <w:r>
              <w:rPr>
                <w:rFonts w:eastAsia="Times New Roman"/>
                <w:b w:val="0"/>
                <w:bCs/>
                <w:color w:val="000000" w:themeColor="text1"/>
                <w14:textFill>
                  <w14:solidFill>
                    <w14:schemeClr w14:val="tx1"/>
                  </w14:solidFill>
                </w14:textFill>
              </w:rPr>
              <w:t>PM</w:t>
            </w:r>
            <w:r>
              <w:rPr>
                <w:rFonts w:eastAsia="Times New Roman"/>
                <w:b w:val="0"/>
                <w:bCs/>
                <w:color w:val="000000" w:themeColor="text1"/>
                <w:vertAlign w:val="subscript"/>
                <w14:textFill>
                  <w14:solidFill>
                    <w14:schemeClr w14:val="tx1"/>
                  </w14:solidFill>
                </w14:textFill>
              </w:rPr>
              <w:t>10</w:t>
            </w:r>
            <w:r>
              <w:rPr>
                <w:b w:val="0"/>
                <w:bCs/>
                <w:color w:val="000000" w:themeColor="text1"/>
                <w14:textFill>
                  <w14:solidFill>
                    <w14:schemeClr w14:val="tx1"/>
                  </w14:solidFill>
                </w14:textFill>
              </w:rPr>
              <w:t>、</w:t>
            </w:r>
            <w:r>
              <w:rPr>
                <w:rFonts w:eastAsia="Times New Roman"/>
                <w:b w:val="0"/>
                <w:bCs/>
                <w:color w:val="000000" w:themeColor="text1"/>
                <w14:textFill>
                  <w14:solidFill>
                    <w14:schemeClr w14:val="tx1"/>
                  </w14:solidFill>
                </w14:textFill>
              </w:rPr>
              <w:t>PM</w:t>
            </w:r>
            <w:r>
              <w:rPr>
                <w:rFonts w:eastAsia="Times New Roman"/>
                <w:b w:val="0"/>
                <w:bCs/>
                <w:color w:val="000000" w:themeColor="text1"/>
                <w:vertAlign w:val="subscript"/>
                <w14:textFill>
                  <w14:solidFill>
                    <w14:schemeClr w14:val="tx1"/>
                  </w14:solidFill>
                </w14:textFill>
              </w:rPr>
              <w:t>2.5</w:t>
            </w:r>
            <w:r>
              <w:rPr>
                <w:b w:val="0"/>
                <w:bCs/>
                <w:color w:val="000000" w:themeColor="text1"/>
                <w14:textFill>
                  <w14:solidFill>
                    <w14:schemeClr w14:val="tx1"/>
                  </w14:solidFill>
                </w14:textFill>
              </w:rPr>
              <w:t>、</w:t>
            </w:r>
            <w:r>
              <w:rPr>
                <w:rFonts w:eastAsia="Times New Roman"/>
                <w:b w:val="0"/>
                <w:bCs/>
                <w:color w:val="000000" w:themeColor="text1"/>
                <w14:textFill>
                  <w14:solidFill>
                    <w14:schemeClr w14:val="tx1"/>
                  </w14:solidFill>
                </w14:textFill>
              </w:rPr>
              <w:t>CO</w:t>
            </w:r>
            <w:r>
              <w:rPr>
                <w:b w:val="0"/>
                <w:bCs/>
                <w:color w:val="000000" w:themeColor="text1"/>
                <w14:textFill>
                  <w14:solidFill>
                    <w14:schemeClr w14:val="tx1"/>
                  </w14:solidFill>
                </w14:textFill>
              </w:rPr>
              <w:t>和</w:t>
            </w:r>
            <w:r>
              <w:rPr>
                <w:rFonts w:eastAsia="Times New Roman"/>
                <w:b w:val="0"/>
                <w:bCs/>
                <w:color w:val="000000" w:themeColor="text1"/>
                <w14:textFill>
                  <w14:solidFill>
                    <w14:schemeClr w14:val="tx1"/>
                  </w14:solidFill>
                </w14:textFill>
              </w:rPr>
              <w:t>O</w:t>
            </w:r>
            <w:r>
              <w:rPr>
                <w:rFonts w:eastAsia="Times New Roman"/>
                <w:b w:val="0"/>
                <w:bCs/>
                <w:color w:val="000000" w:themeColor="text1"/>
                <w:vertAlign w:val="subscript"/>
                <w14:textFill>
                  <w14:solidFill>
                    <w14:schemeClr w14:val="tx1"/>
                  </w14:solidFill>
                </w14:textFill>
              </w:rPr>
              <w:t>3</w:t>
            </w:r>
            <w:r>
              <w:rPr>
                <w:b w:val="0"/>
                <w:bCs/>
                <w:color w:val="000000" w:themeColor="text1"/>
                <w14:textFill>
                  <w14:solidFill>
                    <w14:schemeClr w14:val="tx1"/>
                  </w14:solidFill>
                </w14:textFill>
              </w:rPr>
              <w:t>的数据来源</w:t>
            </w:r>
            <w:r>
              <w:rPr>
                <w:rFonts w:hint="eastAsia"/>
                <w:b w:val="0"/>
                <w:bCs/>
                <w:color w:val="000000" w:themeColor="text1"/>
                <w:lang w:val="en-US" w:eastAsia="zh-CN"/>
                <w14:textFill>
                  <w14:solidFill>
                    <w14:schemeClr w14:val="tx1"/>
                  </w14:solidFill>
                </w14:textFill>
              </w:rPr>
              <w:t>。</w:t>
            </w:r>
          </w:p>
          <w:p>
            <w:pPr>
              <w:pStyle w:val="27"/>
              <w:numPr>
                <w:ilvl w:val="0"/>
                <w:numId w:val="0"/>
              </w:numPr>
              <w:bidi w:val="0"/>
              <w:ind w:firstLine="480" w:firstLineChars="200"/>
              <w:jc w:val="both"/>
              <w:rPr>
                <w:color w:val="000000" w:themeColor="text1"/>
                <w14:textFill>
                  <w14:solidFill>
                    <w14:schemeClr w14:val="tx1"/>
                  </w14:solidFill>
                </w14:textFill>
              </w:rPr>
            </w:pPr>
            <w:r>
              <w:rPr>
                <w:rFonts w:ascii="Times New Roman" w:hAnsi="Times New Roman" w:eastAsia="宋体" w:cstheme="minorBidi"/>
                <w:b w:val="0"/>
                <w:color w:val="000000" w:themeColor="text1"/>
                <w:kern w:val="2"/>
                <w:sz w:val="24"/>
                <w:szCs w:val="24"/>
                <w:lang w:val="en-US" w:eastAsia="zh-CN" w:bidi="ar-SA"/>
                <w14:textFill>
                  <w14:solidFill>
                    <w14:schemeClr w14:val="tx1"/>
                  </w14:solidFill>
                </w14:textFill>
              </w:rPr>
              <w:t>（</w:t>
            </w:r>
            <w:r>
              <w:rPr>
                <w:rFonts w:hint="eastAsia" w:cstheme="minorBidi"/>
                <w:b w:val="0"/>
                <w:color w:val="000000" w:themeColor="text1"/>
                <w:kern w:val="2"/>
                <w:sz w:val="24"/>
                <w:szCs w:val="24"/>
                <w:lang w:val="en-US" w:eastAsia="zh-CN" w:bidi="ar-SA"/>
                <w14:textFill>
                  <w14:solidFill>
                    <w14:schemeClr w14:val="tx1"/>
                  </w14:solidFill>
                </w14:textFill>
              </w:rPr>
              <w:t>1</w:t>
            </w:r>
            <w:r>
              <w:rPr>
                <w:rFonts w:ascii="Times New Roman" w:hAnsi="Times New Roman" w:eastAsia="宋体" w:cstheme="minorBidi"/>
                <w:b w:val="0"/>
                <w:color w:val="000000" w:themeColor="text1"/>
                <w:kern w:val="2"/>
                <w:sz w:val="24"/>
                <w:szCs w:val="24"/>
                <w:lang w:val="en-US" w:eastAsia="zh-CN" w:bidi="ar-SA"/>
                <w14:textFill>
                  <w14:solidFill>
                    <w14:schemeClr w14:val="tx1"/>
                  </w14:solidFill>
                </w14:textFill>
              </w:rPr>
              <w:t>）</w:t>
            </w:r>
            <w:r>
              <w:rPr>
                <w:color w:val="000000" w:themeColor="text1"/>
                <w14:textFill>
                  <w14:solidFill>
                    <w14:schemeClr w14:val="tx1"/>
                  </w14:solidFill>
                </w14:textFill>
              </w:rPr>
              <w:t>评价标准</w:t>
            </w:r>
          </w:p>
          <w:p>
            <w:pPr>
              <w:pStyle w:val="27"/>
              <w:bidi w:val="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本次评价基本污染物</w:t>
            </w:r>
            <w:r>
              <w:rPr>
                <w:color w:val="000000" w:themeColor="text1"/>
                <w14:textFill>
                  <w14:solidFill>
                    <w14:schemeClr w14:val="tx1"/>
                  </w14:solidFill>
                </w14:textFill>
              </w:rPr>
              <w:t>执行《环境空气质量标准》（GB3095</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w:t>
            </w:r>
            <w:r>
              <w:rPr>
                <w:rFonts w:hint="eastAsia"/>
                <w:color w:val="000000" w:themeColor="text1"/>
                <w:lang w:val="en-US" w:eastAsia="zh-CN"/>
                <w14:textFill>
                  <w14:solidFill>
                    <w14:schemeClr w14:val="tx1"/>
                  </w14:solidFill>
                </w14:textFill>
              </w:rPr>
              <w:t>26</w:t>
            </w:r>
            <w:r>
              <w:rPr>
                <w:color w:val="000000" w:themeColor="text1"/>
                <w14:textFill>
                  <w14:solidFill>
                    <w14:schemeClr w14:val="tx1"/>
                  </w14:solidFill>
                </w14:textFill>
              </w:rPr>
              <w:t>）中</w:t>
            </w:r>
            <w:r>
              <w:rPr>
                <w:rFonts w:hint="eastAsia"/>
                <w:color w:val="000000" w:themeColor="text1"/>
                <w:lang w:val="en-US" w:eastAsia="zh-CN"/>
                <w14:textFill>
                  <w14:solidFill>
                    <w14:schemeClr w14:val="tx1"/>
                  </w14:solidFill>
                </w14:textFill>
              </w:rPr>
              <w:t>过渡阶段浓度限值的</w:t>
            </w:r>
            <w:r>
              <w:rPr>
                <w:color w:val="000000" w:themeColor="text1"/>
                <w14:textFill>
                  <w14:solidFill>
                    <w14:schemeClr w14:val="tx1"/>
                  </w14:solidFill>
                </w14:textFill>
              </w:rPr>
              <w:t>二级标准。</w:t>
            </w:r>
            <w:r>
              <w:rPr>
                <w:rFonts w:hint="eastAsia"/>
                <w:color w:val="000000" w:themeColor="text1"/>
                <w14:textFill>
                  <w14:solidFill>
                    <w14:schemeClr w14:val="tx1"/>
                  </w14:solidFill>
                </w14:textFill>
              </w:rPr>
              <w:t>环境空气质量标准限值见表3-1。</w:t>
            </w:r>
          </w:p>
          <w:p>
            <w:pPr>
              <w:pStyle w:val="44"/>
              <w:spacing w:line="240" w:lineRule="auto"/>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14:textFill>
                  <w14:solidFill>
                    <w14:schemeClr w14:val="tx1"/>
                  </w14:solidFill>
                </w14:textFill>
              </w:rPr>
              <w:t>表3-1   环境空气质量标准（GB3095-20</w:t>
            </w:r>
            <w:r>
              <w:rPr>
                <w:rFonts w:hint="eastAsia"/>
                <w:color w:val="000000" w:themeColor="text1"/>
                <w:sz w:val="21"/>
                <w:szCs w:val="21"/>
                <w:lang w:val="en-US" w:eastAsia="zh-CN"/>
                <w14:textFill>
                  <w14:solidFill>
                    <w14:schemeClr w14:val="tx1"/>
                  </w14:solidFill>
                </w14:textFill>
              </w:rPr>
              <w:t>26</w:t>
            </w:r>
            <w:r>
              <w:rPr>
                <w:rFonts w:hint="eastAsia"/>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过渡阶段浓度限值的</w:t>
            </w:r>
            <w:r>
              <w:rPr>
                <w:rFonts w:hint="eastAsia"/>
                <w:color w:val="000000" w:themeColor="text1"/>
                <w:sz w:val="21"/>
                <w:szCs w:val="21"/>
                <w14:textFill>
                  <w14:solidFill>
                    <w14:schemeClr w14:val="tx1"/>
                  </w14:solidFill>
                </w14:textFill>
              </w:rPr>
              <w:t>二级标</w:t>
            </w:r>
            <w:r>
              <w:rPr>
                <w:rFonts w:hint="eastAsia"/>
                <w:color w:val="000000" w:themeColor="text1"/>
                <w:sz w:val="21"/>
                <w:szCs w:val="21"/>
                <w:lang w:val="en-US" w:eastAsia="zh-CN"/>
                <w14:textFill>
                  <w14:solidFill>
                    <w14:schemeClr w14:val="tx1"/>
                  </w14:solidFill>
                </w14:textFill>
              </w:rPr>
              <w:t>准</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节选</w:t>
            </w:r>
            <w:r>
              <w:rPr>
                <w:rFonts w:hint="eastAsia"/>
                <w:color w:val="000000" w:themeColor="text1"/>
                <w:sz w:val="21"/>
                <w:szCs w:val="21"/>
                <w:lang w:eastAsia="zh-CN"/>
                <w14:textFill>
                  <w14:solidFill>
                    <w14:schemeClr w14:val="tx1"/>
                  </w14:solidFill>
                </w14:textFill>
              </w:rPr>
              <w:t>）</w:t>
            </w:r>
          </w:p>
          <w:tbl>
            <w:tblPr>
              <w:tblStyle w:val="32"/>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730"/>
              <w:gridCol w:w="2128"/>
              <w:gridCol w:w="2128"/>
              <w:gridCol w:w="1040"/>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tcBorders>
                    <w:bottom w:val="single" w:color="000000" w:sz="12" w:space="0"/>
                  </w:tcBorders>
                  <w:noWrap w:val="0"/>
                  <w:vAlign w:val="center"/>
                </w:tcPr>
                <w:p>
                  <w:pPr>
                    <w:pStyle w:val="45"/>
                    <w:rPr>
                      <w:b/>
                      <w:bCs/>
                      <w:color w:val="000000" w:themeColor="text1"/>
                      <w14:textFill>
                        <w14:solidFill>
                          <w14:schemeClr w14:val="tx1"/>
                        </w14:solidFill>
                      </w14:textFill>
                    </w:rPr>
                  </w:pPr>
                  <w:r>
                    <w:rPr>
                      <w:b/>
                      <w:bCs/>
                      <w:color w:val="000000" w:themeColor="text1"/>
                      <w14:textFill>
                        <w14:solidFill>
                          <w14:schemeClr w14:val="tx1"/>
                        </w14:solidFill>
                      </w14:textFill>
                    </w:rPr>
                    <w:t>序号</w:t>
                  </w:r>
                </w:p>
              </w:tc>
              <w:tc>
                <w:tcPr>
                  <w:tcW w:w="1126" w:type="pct"/>
                  <w:tcBorders>
                    <w:bottom w:val="single" w:color="000000" w:sz="12" w:space="0"/>
                  </w:tcBorders>
                  <w:noWrap w:val="0"/>
                  <w:vAlign w:val="center"/>
                </w:tcPr>
                <w:p>
                  <w:pPr>
                    <w:pStyle w:val="45"/>
                    <w:rPr>
                      <w:b/>
                      <w:bCs/>
                      <w:color w:val="000000" w:themeColor="text1"/>
                      <w14:textFill>
                        <w14:solidFill>
                          <w14:schemeClr w14:val="tx1"/>
                        </w14:solidFill>
                      </w14:textFill>
                    </w:rPr>
                  </w:pPr>
                  <w:r>
                    <w:rPr>
                      <w:b/>
                      <w:bCs/>
                      <w:color w:val="000000" w:themeColor="text1"/>
                      <w14:textFill>
                        <w14:solidFill>
                          <w14:schemeClr w14:val="tx1"/>
                        </w14:solidFill>
                      </w14:textFill>
                    </w:rPr>
                    <w:t>污染物项目</w:t>
                  </w:r>
                </w:p>
              </w:tc>
              <w:tc>
                <w:tcPr>
                  <w:tcW w:w="1385" w:type="pct"/>
                  <w:tcBorders>
                    <w:bottom w:val="single" w:color="000000" w:sz="12" w:space="0"/>
                  </w:tcBorders>
                  <w:noWrap w:val="0"/>
                  <w:vAlign w:val="center"/>
                </w:tcPr>
                <w:p>
                  <w:pPr>
                    <w:pStyle w:val="45"/>
                    <w:rPr>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年评价指标</w:t>
                  </w:r>
                </w:p>
              </w:tc>
              <w:tc>
                <w:tcPr>
                  <w:tcW w:w="1385" w:type="pct"/>
                  <w:tcBorders>
                    <w:bottom w:val="single" w:color="000000" w:sz="12" w:space="0"/>
                  </w:tcBorders>
                  <w:noWrap w:val="0"/>
                  <w:vAlign w:val="center"/>
                </w:tcPr>
                <w:p>
                  <w:pPr>
                    <w:pStyle w:val="45"/>
                    <w:rPr>
                      <w:b/>
                      <w:bCs/>
                      <w:color w:val="000000" w:themeColor="text1"/>
                      <w14:textFill>
                        <w14:solidFill>
                          <w14:schemeClr w14:val="tx1"/>
                        </w14:solidFill>
                      </w14:textFill>
                    </w:rPr>
                  </w:pPr>
                  <w:r>
                    <w:rPr>
                      <w:b/>
                      <w:bCs/>
                      <w:color w:val="000000" w:themeColor="text1"/>
                      <w14:textFill>
                        <w14:solidFill>
                          <w14:schemeClr w14:val="tx1"/>
                        </w14:solidFill>
                      </w14:textFill>
                    </w:rPr>
                    <w:t>浓度限值</w:t>
                  </w:r>
                </w:p>
              </w:tc>
              <w:tc>
                <w:tcPr>
                  <w:tcW w:w="676" w:type="pct"/>
                  <w:tcBorders>
                    <w:bottom w:val="single" w:color="000000" w:sz="12" w:space="0"/>
                  </w:tcBorders>
                  <w:noWrap w:val="0"/>
                  <w:vAlign w:val="center"/>
                </w:tcPr>
                <w:p>
                  <w:pPr>
                    <w:pStyle w:val="45"/>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单位</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op w:val="single" w:color="000000" w:sz="12" w:space="0"/>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1</w:t>
                  </w:r>
                </w:p>
              </w:tc>
              <w:tc>
                <w:tcPr>
                  <w:tcW w:w="1126" w:type="pct"/>
                  <w:vMerge w:val="restart"/>
                  <w:tcBorders>
                    <w:top w:val="single" w:color="000000" w:sz="12" w:space="0"/>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SO</w:t>
                  </w:r>
                  <w:r>
                    <w:rPr>
                      <w:color w:val="000000" w:themeColor="text1"/>
                      <w:vertAlign w:val="subscript"/>
                      <w14:textFill>
                        <w14:solidFill>
                          <w14:schemeClr w14:val="tx1"/>
                        </w14:solidFill>
                      </w14:textFill>
                    </w:rPr>
                    <w:t>2</w:t>
                  </w:r>
                </w:p>
              </w:tc>
              <w:tc>
                <w:tcPr>
                  <w:tcW w:w="1385" w:type="pct"/>
                  <w:tcBorders>
                    <w:top w:val="single" w:color="000000" w:sz="12" w:space="0"/>
                    <w:tl2br w:val="nil"/>
                    <w:tr2bl w:val="nil"/>
                  </w:tcBorders>
                  <w:noWrap w:val="0"/>
                  <w:vAlign w:val="center"/>
                </w:tcPr>
                <w:p>
                  <w:pPr>
                    <w:pStyle w:val="45"/>
                    <w:rPr>
                      <w:color w:val="000000" w:themeColor="text1"/>
                      <w14:textFill>
                        <w14:solidFill>
                          <w14:schemeClr w14:val="tx1"/>
                        </w14:solidFill>
                      </w14:textFill>
                    </w:rPr>
                  </w:pPr>
                  <w:r>
                    <w:rPr>
                      <w:rFonts w:hint="eastAsia"/>
                      <w:color w:val="000000" w:themeColor="text1"/>
                      <w14:textFill>
                        <w14:solidFill>
                          <w14:schemeClr w14:val="tx1"/>
                        </w14:solidFill>
                      </w14:textFill>
                    </w:rPr>
                    <w:t>年平均</w:t>
                  </w:r>
                </w:p>
              </w:tc>
              <w:tc>
                <w:tcPr>
                  <w:tcW w:w="1385" w:type="pct"/>
                  <w:tcBorders>
                    <w:top w:val="single" w:color="000000" w:sz="12" w:space="0"/>
                    <w:tl2br w:val="nil"/>
                    <w:tr2bl w:val="nil"/>
                  </w:tcBorders>
                  <w:noWrap w:val="0"/>
                  <w:vAlign w:val="center"/>
                </w:tcPr>
                <w:p>
                  <w:pPr>
                    <w:pStyle w:val="45"/>
                    <w:rPr>
                      <w:color w:val="000000" w:themeColor="text1"/>
                      <w14:textFill>
                        <w14:solidFill>
                          <w14:schemeClr w14:val="tx1"/>
                        </w14:solidFill>
                      </w14:textFill>
                    </w:rPr>
                  </w:pPr>
                  <w:r>
                    <w:rPr>
                      <w:rFonts w:hint="eastAsia"/>
                      <w:color w:val="000000" w:themeColor="text1"/>
                      <w14:textFill>
                        <w14:solidFill>
                          <w14:schemeClr w14:val="tx1"/>
                        </w14:solidFill>
                      </w14:textFill>
                    </w:rPr>
                    <w:t>60</w:t>
                  </w:r>
                </w:p>
              </w:tc>
              <w:tc>
                <w:tcPr>
                  <w:tcW w:w="676" w:type="pct"/>
                  <w:vMerge w:val="restart"/>
                  <w:tcBorders>
                    <w:top w:val="single" w:color="000000" w:sz="12" w:space="0"/>
                    <w:tl2br w:val="nil"/>
                    <w:tr2bl w:val="nil"/>
                  </w:tcBorders>
                  <w:noWrap w:val="0"/>
                  <w:vAlign w:val="center"/>
                </w:tcPr>
                <w:p>
                  <w:pPr>
                    <w:pStyle w:val="4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微克/立方米</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1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24小时</w:t>
                  </w:r>
                  <w:r>
                    <w:rPr>
                      <w:rFonts w:hint="eastAsia"/>
                      <w:color w:val="000000" w:themeColor="text1"/>
                      <w14:textFill>
                        <w14:solidFill>
                          <w14:schemeClr w14:val="tx1"/>
                        </w14:solidFill>
                      </w14:textFill>
                    </w:rPr>
                    <w:t>平均</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150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1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1小时平均</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rFonts w:hint="eastAsia"/>
                      <w:color w:val="000000" w:themeColor="text1"/>
                      <w14:textFill>
                        <w14:solidFill>
                          <w14:schemeClr w14:val="tx1"/>
                        </w14:solidFill>
                      </w14:textFill>
                    </w:rPr>
                    <w:t>500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23" w:hRule="atLeast"/>
                <w:jc w:val="center"/>
              </w:trPr>
              <w:tc>
                <w:tcPr>
                  <w:tcW w:w="426" w:type="pct"/>
                  <w:vMerge w:val="restar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2</w:t>
                  </w:r>
                </w:p>
              </w:tc>
              <w:tc>
                <w:tcPr>
                  <w:tcW w:w="1126" w:type="pct"/>
                  <w:vMerge w:val="restar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NO</w:t>
                  </w:r>
                  <w:r>
                    <w:rPr>
                      <w:color w:val="000000" w:themeColor="text1"/>
                      <w:vertAlign w:val="subscript"/>
                      <w14:textFill>
                        <w14:solidFill>
                          <w14:schemeClr w14:val="tx1"/>
                        </w14:solidFill>
                      </w14:textFill>
                    </w:rPr>
                    <w:t>2</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rFonts w:hint="eastAsia"/>
                      <w:color w:val="000000" w:themeColor="text1"/>
                      <w14:textFill>
                        <w14:solidFill>
                          <w14:schemeClr w14:val="tx1"/>
                        </w14:solidFill>
                      </w14:textFill>
                    </w:rPr>
                    <w:t>年平均</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rFonts w:hint="eastAsia"/>
                      <w:color w:val="000000" w:themeColor="text1"/>
                      <w14:textFill>
                        <w14:solidFill>
                          <w14:schemeClr w14:val="tx1"/>
                        </w14:solidFill>
                      </w14:textFill>
                    </w:rPr>
                    <w:t>40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1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24小时平均</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rFonts w:hint="eastAsia"/>
                      <w:color w:val="000000" w:themeColor="text1"/>
                      <w14:textFill>
                        <w14:solidFill>
                          <w14:schemeClr w14:val="tx1"/>
                        </w14:solidFill>
                      </w14:textFill>
                    </w:rPr>
                    <w:t>80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1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1小时平均</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rFonts w:hint="eastAsia"/>
                      <w:color w:val="000000" w:themeColor="text1"/>
                      <w14:textFill>
                        <w14:solidFill>
                          <w14:schemeClr w14:val="tx1"/>
                        </w14:solidFill>
                      </w14:textFill>
                    </w:rPr>
                    <w:t>200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l2br w:val="nil"/>
                    <w:tr2bl w:val="nil"/>
                  </w:tcBorders>
                  <w:noWrap w:val="0"/>
                  <w:vAlign w:val="center"/>
                </w:tcPr>
                <w:p>
                  <w:pPr>
                    <w:pStyle w:val="4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p>
              </w:tc>
              <w:tc>
                <w:tcPr>
                  <w:tcW w:w="1126" w:type="pct"/>
                  <w:vMerge w:val="restar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3</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日</w:t>
                  </w:r>
                  <w:r>
                    <w:rPr>
                      <w:rFonts w:hint="eastAsia"/>
                      <w:color w:val="000000" w:themeColor="text1"/>
                      <w14:textFill>
                        <w14:solidFill>
                          <w14:schemeClr w14:val="tx1"/>
                        </w14:solidFill>
                      </w14:textFill>
                    </w:rPr>
                    <w:t>最</w:t>
                  </w:r>
                  <w:r>
                    <w:rPr>
                      <w:color w:val="000000" w:themeColor="text1"/>
                      <w14:textFill>
                        <w14:solidFill>
                          <w14:schemeClr w14:val="tx1"/>
                        </w14:solidFill>
                      </w14:textFill>
                    </w:rPr>
                    <w:t>大8小时平均</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rFonts w:hint="eastAsia"/>
                      <w:color w:val="000000" w:themeColor="text1"/>
                      <w14:textFill>
                        <w14:solidFill>
                          <w14:schemeClr w14:val="tx1"/>
                        </w14:solidFill>
                      </w14:textFill>
                    </w:rPr>
                    <w:t>160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1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1小时平均</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rFonts w:hint="eastAsia"/>
                      <w:color w:val="000000" w:themeColor="text1"/>
                      <w14:textFill>
                        <w14:solidFill>
                          <w14:schemeClr w14:val="tx1"/>
                        </w14:solidFill>
                      </w14:textFill>
                    </w:rPr>
                    <w:t>200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l2br w:val="nil"/>
                    <w:tr2bl w:val="nil"/>
                  </w:tcBorders>
                  <w:noWrap w:val="0"/>
                  <w:vAlign w:val="center"/>
                </w:tcPr>
                <w:p>
                  <w:pPr>
                    <w:pStyle w:val="4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1126" w:type="pct"/>
                  <w:vMerge w:val="restar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10</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年平均</w:t>
                  </w:r>
                </w:p>
              </w:tc>
              <w:tc>
                <w:tcPr>
                  <w:tcW w:w="1385" w:type="pct"/>
                  <w:tcBorders>
                    <w:tl2br w:val="nil"/>
                    <w:tr2bl w:val="nil"/>
                  </w:tcBorders>
                  <w:noWrap w:val="0"/>
                  <w:vAlign w:val="center"/>
                </w:tcPr>
                <w:p>
                  <w:pPr>
                    <w:pStyle w:val="4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1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24小时平均</w:t>
                  </w:r>
                </w:p>
              </w:tc>
              <w:tc>
                <w:tcPr>
                  <w:tcW w:w="1385" w:type="pct"/>
                  <w:tcBorders>
                    <w:tl2br w:val="nil"/>
                    <w:tr2bl w:val="nil"/>
                  </w:tcBorders>
                  <w:noWrap w:val="0"/>
                  <w:vAlign w:val="center"/>
                </w:tcPr>
                <w:p>
                  <w:pPr>
                    <w:pStyle w:val="4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l2br w:val="nil"/>
                    <w:tr2bl w:val="nil"/>
                  </w:tcBorders>
                  <w:noWrap w:val="0"/>
                  <w:vAlign w:val="center"/>
                </w:tcPr>
                <w:p>
                  <w:pPr>
                    <w:pStyle w:val="4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1126" w:type="pct"/>
                  <w:vMerge w:val="restar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PM</w:t>
                  </w:r>
                  <w:r>
                    <w:rPr>
                      <w:color w:val="000000" w:themeColor="text1"/>
                      <w:vertAlign w:val="subscript"/>
                      <w14:textFill>
                        <w14:solidFill>
                          <w14:schemeClr w14:val="tx1"/>
                        </w14:solidFill>
                      </w14:textFill>
                    </w:rPr>
                    <w:t>2.5</w:t>
                  </w: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年平均</w:t>
                  </w:r>
                </w:p>
              </w:tc>
              <w:tc>
                <w:tcPr>
                  <w:tcW w:w="1385" w:type="pct"/>
                  <w:tcBorders>
                    <w:tl2br w:val="nil"/>
                    <w:tr2bl w:val="nil"/>
                  </w:tcBorders>
                  <w:noWrap w:val="0"/>
                  <w:vAlign w:val="center"/>
                </w:tcPr>
                <w:p>
                  <w:pPr>
                    <w:pStyle w:val="4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1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385" w:type="pct"/>
                  <w:tcBorders>
                    <w:tl2br w:val="nil"/>
                    <w:tr2bl w:val="nil"/>
                  </w:tcBorders>
                  <w:noWrap w:val="0"/>
                  <w:vAlign w:val="center"/>
                </w:tcPr>
                <w:p>
                  <w:pPr>
                    <w:pStyle w:val="45"/>
                    <w:rPr>
                      <w:color w:val="000000" w:themeColor="text1"/>
                      <w14:textFill>
                        <w14:solidFill>
                          <w14:schemeClr w14:val="tx1"/>
                        </w14:solidFill>
                      </w14:textFill>
                    </w:rPr>
                  </w:pPr>
                  <w:r>
                    <w:rPr>
                      <w:color w:val="000000" w:themeColor="text1"/>
                      <w14:textFill>
                        <w14:solidFill>
                          <w14:schemeClr w14:val="tx1"/>
                        </w14:solidFill>
                      </w14:textFill>
                    </w:rPr>
                    <w:t>24小时平均</w:t>
                  </w:r>
                </w:p>
              </w:tc>
              <w:tc>
                <w:tcPr>
                  <w:tcW w:w="1385" w:type="pct"/>
                  <w:tcBorders>
                    <w:tl2br w:val="nil"/>
                    <w:tr2bl w:val="nil"/>
                  </w:tcBorders>
                  <w:noWrap w:val="0"/>
                  <w:vAlign w:val="center"/>
                </w:tcPr>
                <w:p>
                  <w:pPr>
                    <w:pStyle w:val="4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26" w:type="pct"/>
                  <w:vMerge w:val="restart"/>
                  <w:tcBorders>
                    <w:tl2br w:val="nil"/>
                    <w:tr2bl w:val="nil"/>
                  </w:tcBorders>
                  <w:noWrap w:val="0"/>
                  <w:vAlign w:val="center"/>
                </w:tcPr>
                <w:p>
                  <w:pPr>
                    <w:pStyle w:val="45"/>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1126" w:type="pct"/>
                  <w:vMerge w:val="restart"/>
                  <w:tcBorders>
                    <w:tl2br w:val="nil"/>
                    <w:tr2bl w:val="nil"/>
                  </w:tcBorders>
                  <w:shd w:val="clear" w:color="auto" w:fill="auto"/>
                  <w:noWrap w:val="0"/>
                  <w:vAlign w:val="center"/>
                </w:tcPr>
                <w:p>
                  <w:pPr>
                    <w:pStyle w:val="45"/>
                    <w:rPr>
                      <w:rFonts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rFonts w:hint="eastAsia"/>
                      <w:color w:val="000000" w:themeColor="text1"/>
                      <w14:textFill>
                        <w14:solidFill>
                          <w14:schemeClr w14:val="tx1"/>
                        </w14:solidFill>
                      </w14:textFill>
                    </w:rPr>
                    <w:t>CO</w:t>
                  </w:r>
                </w:p>
              </w:tc>
              <w:tc>
                <w:tcPr>
                  <w:tcW w:w="1385" w:type="pct"/>
                  <w:tcBorders>
                    <w:tl2br w:val="nil"/>
                    <w:tr2bl w:val="nil"/>
                  </w:tcBorders>
                  <w:shd w:val="clear" w:color="auto" w:fill="auto"/>
                  <w:noWrap w:val="0"/>
                  <w:vAlign w:val="center"/>
                </w:tcPr>
                <w:p>
                  <w:pPr>
                    <w:pStyle w:val="45"/>
                    <w:rPr>
                      <w:rFonts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color w:val="000000" w:themeColor="text1"/>
                      <w14:textFill>
                        <w14:solidFill>
                          <w14:schemeClr w14:val="tx1"/>
                        </w14:solidFill>
                      </w14:textFill>
                    </w:rPr>
                    <w:t>24小时平均</w:t>
                  </w:r>
                </w:p>
              </w:tc>
              <w:tc>
                <w:tcPr>
                  <w:tcW w:w="1385" w:type="pct"/>
                  <w:tcBorders>
                    <w:tl2br w:val="nil"/>
                    <w:tr2bl w:val="nil"/>
                  </w:tcBorders>
                  <w:shd w:val="clear" w:color="auto" w:fill="auto"/>
                  <w:noWrap w:val="0"/>
                  <w:vAlign w:val="center"/>
                </w:tcPr>
                <w:p>
                  <w:pPr>
                    <w:pStyle w:val="45"/>
                    <w:rPr>
                      <w:rFonts w:hint="eastAsia"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rFonts w:hint="eastAsia"/>
                      <w:color w:val="000000" w:themeColor="text1"/>
                      <w14:textFill>
                        <w14:solidFill>
                          <w14:schemeClr w14:val="tx1"/>
                        </w14:solidFill>
                      </w14:textFill>
                    </w:rPr>
                    <w:t>4</w:t>
                  </w:r>
                </w:p>
              </w:tc>
              <w:tc>
                <w:tcPr>
                  <w:tcW w:w="676" w:type="pct"/>
                  <w:vMerge w:val="restart"/>
                  <w:tcBorders>
                    <w:tl2br w:val="nil"/>
                    <w:tr2bl w:val="nil"/>
                  </w:tcBorders>
                  <w:noWrap w:val="0"/>
                  <w:vAlign w:val="center"/>
                </w:tcPr>
                <w:p>
                  <w:pPr>
                    <w:pStyle w:val="45"/>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毫克/立方米</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23" w:hRule="atLeast"/>
                <w:jc w:val="center"/>
              </w:trPr>
              <w:tc>
                <w:tcPr>
                  <w:tcW w:w="4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126" w:type="pct"/>
                  <w:vMerge w:val="continue"/>
                  <w:tcBorders>
                    <w:tl2br w:val="nil"/>
                    <w:tr2bl w:val="nil"/>
                  </w:tcBorders>
                  <w:noWrap w:val="0"/>
                  <w:vAlign w:val="center"/>
                </w:tcPr>
                <w:p>
                  <w:pPr>
                    <w:pStyle w:val="45"/>
                    <w:rPr>
                      <w:color w:val="000000" w:themeColor="text1"/>
                      <w14:textFill>
                        <w14:solidFill>
                          <w14:schemeClr w14:val="tx1"/>
                        </w14:solidFill>
                      </w14:textFill>
                    </w:rPr>
                  </w:pPr>
                </w:p>
              </w:tc>
              <w:tc>
                <w:tcPr>
                  <w:tcW w:w="1385" w:type="pct"/>
                  <w:tcBorders>
                    <w:tl2br w:val="nil"/>
                    <w:tr2bl w:val="nil"/>
                  </w:tcBorders>
                  <w:shd w:val="clear" w:color="auto" w:fill="auto"/>
                  <w:noWrap w:val="0"/>
                  <w:vAlign w:val="center"/>
                </w:tcPr>
                <w:p>
                  <w:pPr>
                    <w:pStyle w:val="45"/>
                    <w:rPr>
                      <w:rFonts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color w:val="000000" w:themeColor="text1"/>
                      <w14:textFill>
                        <w14:solidFill>
                          <w14:schemeClr w14:val="tx1"/>
                        </w14:solidFill>
                      </w14:textFill>
                    </w:rPr>
                    <w:t>1小时平均</w:t>
                  </w:r>
                </w:p>
              </w:tc>
              <w:tc>
                <w:tcPr>
                  <w:tcW w:w="1385" w:type="pct"/>
                  <w:tcBorders>
                    <w:tl2br w:val="nil"/>
                    <w:tr2bl w:val="nil"/>
                  </w:tcBorders>
                  <w:shd w:val="clear" w:color="auto" w:fill="auto"/>
                  <w:noWrap w:val="0"/>
                  <w:vAlign w:val="center"/>
                </w:tcPr>
                <w:p>
                  <w:pPr>
                    <w:pStyle w:val="45"/>
                    <w:rPr>
                      <w:rFonts w:hint="eastAsia" w:ascii="Times New Roman" w:hAnsi="Times New Roman" w:eastAsia="宋体" w:cs="Times New Roman"/>
                      <w:color w:val="000000" w:themeColor="text1"/>
                      <w:kern w:val="2"/>
                      <w:sz w:val="21"/>
                      <w:szCs w:val="24"/>
                      <w:lang w:val="zh-TW" w:eastAsia="zh-TW" w:bidi="ar-SA"/>
                      <w14:textFill>
                        <w14:solidFill>
                          <w14:schemeClr w14:val="tx1"/>
                        </w14:solidFill>
                      </w14:textFill>
                    </w:rPr>
                  </w:pPr>
                  <w:r>
                    <w:rPr>
                      <w:rFonts w:hint="eastAsia"/>
                      <w:color w:val="000000" w:themeColor="text1"/>
                      <w14:textFill>
                        <w14:solidFill>
                          <w14:schemeClr w14:val="tx1"/>
                        </w14:solidFill>
                      </w14:textFill>
                    </w:rPr>
                    <w:t>10</w:t>
                  </w:r>
                </w:p>
              </w:tc>
              <w:tc>
                <w:tcPr>
                  <w:tcW w:w="676" w:type="pct"/>
                  <w:vMerge w:val="continue"/>
                  <w:tcBorders>
                    <w:tl2br w:val="nil"/>
                    <w:tr2bl w:val="nil"/>
                  </w:tcBorders>
                  <w:noWrap w:val="0"/>
                  <w:vAlign w:val="center"/>
                </w:tcPr>
                <w:p>
                  <w:pPr>
                    <w:pStyle w:val="45"/>
                    <w:rPr>
                      <w:color w:val="000000" w:themeColor="text1"/>
                      <w14:textFill>
                        <w14:solidFill>
                          <w14:schemeClr w14:val="tx1"/>
                        </w14:solidFill>
                      </w14:textFill>
                    </w:rPr>
                  </w:pPr>
                </w:p>
              </w:tc>
            </w:tr>
          </w:tbl>
          <w:p>
            <w:pPr>
              <w:pStyle w:val="27"/>
              <w:numPr>
                <w:ilvl w:val="0"/>
                <w:numId w:val="0"/>
              </w:numPr>
              <w:bidi w:val="0"/>
              <w:ind w:leftChars="200"/>
              <w:jc w:val="both"/>
              <w:rPr>
                <w:color w:val="000000" w:themeColor="text1"/>
                <w14:textFill>
                  <w14:solidFill>
                    <w14:schemeClr w14:val="tx1"/>
                  </w14:solidFill>
                </w14:textFill>
              </w:rPr>
            </w:pPr>
            <w:r>
              <w:rPr>
                <w:rStyle w:val="82"/>
                <w:rFonts w:hint="eastAsia"/>
                <w:color w:val="000000" w:themeColor="text1"/>
                <w:lang w:eastAsia="zh-CN"/>
                <w14:textFill>
                  <w14:solidFill>
                    <w14:schemeClr w14:val="tx1"/>
                  </w14:solidFill>
                </w14:textFill>
              </w:rPr>
              <w:t>（</w:t>
            </w:r>
            <w:r>
              <w:rPr>
                <w:rStyle w:val="82"/>
                <w:rFonts w:hint="eastAsia"/>
                <w:color w:val="000000" w:themeColor="text1"/>
                <w:lang w:val="en-US" w:eastAsia="zh-CN"/>
                <w14:textFill>
                  <w14:solidFill>
                    <w14:schemeClr w14:val="tx1"/>
                  </w14:solidFill>
                </w14:textFill>
              </w:rPr>
              <w:t>2</w:t>
            </w:r>
            <w:r>
              <w:rPr>
                <w:rStyle w:val="82"/>
                <w:rFonts w:hint="eastAsia"/>
                <w:color w:val="000000" w:themeColor="text1"/>
                <w:lang w:eastAsia="zh-CN"/>
                <w14:textFill>
                  <w14:solidFill>
                    <w14:schemeClr w14:val="tx1"/>
                  </w14:solidFill>
                </w14:textFill>
              </w:rPr>
              <w:t>）</w:t>
            </w:r>
            <w:r>
              <w:rPr>
                <w:rStyle w:val="82"/>
                <w:color w:val="000000" w:themeColor="text1"/>
                <w14:textFill>
                  <w14:solidFill>
                    <w14:schemeClr w14:val="tx1"/>
                  </w14:solidFill>
                </w14:textFill>
              </w:rPr>
              <w:t>评价方法</w:t>
            </w:r>
          </w:p>
          <w:p>
            <w:pPr>
              <w:pStyle w:val="27"/>
              <w:bidi w:val="0"/>
              <w:jc w:val="both"/>
              <w:rPr>
                <w:color w:val="000000" w:themeColor="text1"/>
                <w14:textFill>
                  <w14:solidFill>
                    <w14:schemeClr w14:val="tx1"/>
                  </w14:solidFill>
                </w14:textFill>
              </w:rPr>
            </w:pPr>
            <w:r>
              <w:rPr>
                <w:color w:val="000000" w:themeColor="text1"/>
                <w14:textFill>
                  <w14:solidFill>
                    <w14:schemeClr w14:val="tx1"/>
                  </w14:solidFill>
                </w14:textFill>
              </w:rPr>
              <w:t>基本污染物按照《</w:t>
            </w:r>
            <w:r>
              <w:rPr>
                <w:rFonts w:hint="eastAsia"/>
                <w:color w:val="000000" w:themeColor="text1"/>
                <w14:textFill>
                  <w14:solidFill>
                    <w14:schemeClr w14:val="tx1"/>
                  </w14:solidFill>
                </w14:textFill>
              </w:rPr>
              <w:t>环境空气质量评价技术规范</w:t>
            </w:r>
            <w:r>
              <w:rPr>
                <w:color w:val="000000" w:themeColor="text1"/>
                <w14:textFill>
                  <w14:solidFill>
                    <w14:schemeClr w14:val="tx1"/>
                  </w14:solidFill>
                </w14:textFill>
              </w:rPr>
              <w:t>》（HJ 663-20</w:t>
            </w:r>
            <w:r>
              <w:rPr>
                <w:rFonts w:hint="eastAsia"/>
                <w:color w:val="000000" w:themeColor="text1"/>
                <w:lang w:val="en-US" w:eastAsia="zh-CN"/>
                <w14:textFill>
                  <w14:solidFill>
                    <w14:schemeClr w14:val="tx1"/>
                  </w14:solidFill>
                </w14:textFill>
              </w:rPr>
              <w:t>26</w:t>
            </w:r>
            <w:r>
              <w:rPr>
                <w:color w:val="000000" w:themeColor="text1"/>
                <w14:textFill>
                  <w14:solidFill>
                    <w14:schemeClr w14:val="tx1"/>
                  </w14:solidFill>
                </w14:textFill>
              </w:rPr>
              <w:t>）中各评价项目的年评价指标进行判定。年评价指标中的年均浓度和相应百分位数24h平均或8h平均质量浓度满足GB3095中浓度限值要求的即为达标。对于超标的污染物，计算其超标倍数和超标率。空气环境质量现状采用单项污染指数法、计算公式为：超标率=超标数据个数/总监测数据个数×100%</w:t>
            </w:r>
          </w:p>
          <w:p>
            <w:pPr>
              <w:pStyle w:val="14"/>
              <w:ind w:firstLine="0" w:firstLineChars="0"/>
              <w:jc w:val="center"/>
              <w:rPr>
                <w:color w:val="000000" w:themeColor="text1"/>
                <w14:textFill>
                  <w14:solidFill>
                    <w14:schemeClr w14:val="tx1"/>
                  </w14:solidFill>
                </w14:textFill>
              </w:rPr>
            </w:pPr>
            <w:r>
              <w:rPr>
                <w:rFonts w:cs="宋体"/>
                <w:color w:val="000000" w:themeColor="text1"/>
                <w:szCs w:val="21"/>
                <w14:textFill>
                  <w14:solidFill>
                    <w14:schemeClr w14:val="tx1"/>
                  </w14:solidFill>
                </w14:textFill>
              </w:rPr>
              <w:object>
                <v:shape id="_x0000_i1025" o:spt="75" type="#_x0000_t75" style="height:33.25pt;width:89.1pt;" o:ole="t" filled="f" o:preferrelative="t" stroked="f" coordsize="21600,21600">
                  <v:path/>
                  <v:fill on="f" focussize="0,0"/>
                  <v:stroke on="f"/>
                  <v:imagedata r:id="rId28" o:title=""/>
                  <o:lock v:ext="edit" aspectratio="t"/>
                  <w10:wrap type="none"/>
                  <w10:anchorlock/>
                </v:shape>
                <o:OLEObject Type="Embed" ProgID="Equation.AxMath" ShapeID="_x0000_i1025" DrawAspect="Content" ObjectID="_1468075725" r:id="rId27">
                  <o:LockedField>false</o:LockedField>
                </o:OLEObject>
              </w:object>
            </w:r>
          </w:p>
          <w:p>
            <w:pPr>
              <w:pStyle w:val="27"/>
              <w:bidi w:val="0"/>
              <w:jc w:val="both"/>
              <w:rPr>
                <w:color w:val="000000" w:themeColor="text1"/>
                <w14:textFill>
                  <w14:solidFill>
                    <w14:schemeClr w14:val="tx1"/>
                  </w14:solidFill>
                </w14:textFill>
              </w:rPr>
            </w:pPr>
            <w:r>
              <w:rPr>
                <w:color w:val="000000" w:themeColor="text1"/>
                <w14:textFill>
                  <w14:solidFill>
                    <w14:schemeClr w14:val="tx1"/>
                  </w14:solidFill>
                </w14:textFill>
              </w:rPr>
              <w:t>式中：P</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—第i个污染物的最大浓度占标率（无量纲）；</w:t>
            </w:r>
          </w:p>
          <w:p>
            <w:pPr>
              <w:pStyle w:val="27"/>
              <w:bidi w:val="0"/>
              <w:jc w:val="both"/>
              <w:rPr>
                <w:color w:val="000000" w:themeColor="text1"/>
                <w14:textFill>
                  <w14:solidFill>
                    <w14:schemeClr w14:val="tx1"/>
                  </w14:solidFill>
                </w14:textFill>
              </w:rPr>
            </w:pPr>
            <w:r>
              <w:rPr>
                <w:color w:val="000000" w:themeColor="text1"/>
                <w14:textFill>
                  <w14:solidFill>
                    <w14:schemeClr w14:val="tx1"/>
                  </w14:solidFill>
                </w14:textFill>
              </w:rPr>
              <w:t xml:space="preserve">      C</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—第i个污染物的最大浓度（</w:t>
            </w:r>
            <w:r>
              <w:rPr>
                <w:rFonts w:hint="eastAsia"/>
                <w:color w:val="000000" w:themeColor="text1"/>
                <w:lang w:val="en-US" w:eastAsia="zh-CN"/>
                <w14:textFill>
                  <w14:solidFill>
                    <w14:schemeClr w14:val="tx1"/>
                  </w14:solidFill>
                </w14:textFill>
              </w:rPr>
              <w:t>微克/立方米</w:t>
            </w:r>
            <w:r>
              <w:rPr>
                <w:color w:val="000000" w:themeColor="text1"/>
                <w14:textFill>
                  <w14:solidFill>
                    <w14:schemeClr w14:val="tx1"/>
                  </w14:solidFill>
                </w14:textFill>
              </w:rPr>
              <w:t>）；</w:t>
            </w:r>
          </w:p>
          <w:p>
            <w:pPr>
              <w:pStyle w:val="27"/>
              <w:bidi w:val="0"/>
              <w:ind w:firstLine="1200" w:firstLineChars="500"/>
              <w:jc w:val="both"/>
              <w:rPr>
                <w:color w:val="000000" w:themeColor="text1"/>
                <w14:textFill>
                  <w14:solidFill>
                    <w14:schemeClr w14:val="tx1"/>
                  </w14:solidFill>
                </w14:textFill>
              </w:rPr>
            </w:pPr>
            <w:r>
              <w:rPr>
                <w:color w:val="000000" w:themeColor="text1"/>
                <w14:textFill>
                  <w14:solidFill>
                    <w14:schemeClr w14:val="tx1"/>
                  </w14:solidFill>
                </w14:textFill>
              </w:rPr>
              <w:t>C</w:t>
            </w:r>
            <w:r>
              <w:rPr>
                <w:color w:val="000000" w:themeColor="text1"/>
                <w:vertAlign w:val="subscript"/>
                <w14:textFill>
                  <w14:solidFill>
                    <w14:schemeClr w14:val="tx1"/>
                  </w14:solidFill>
                </w14:textFill>
              </w:rPr>
              <w:t>oi</w:t>
            </w:r>
            <w:r>
              <w:rPr>
                <w:color w:val="000000" w:themeColor="text1"/>
                <w14:textFill>
                  <w14:solidFill>
                    <w14:schemeClr w14:val="tx1"/>
                  </w14:solidFill>
                </w14:textFill>
              </w:rPr>
              <w:t>—第i个污染物的环境空气质量浓度标准（</w:t>
            </w:r>
            <w:r>
              <w:rPr>
                <w:rFonts w:hint="eastAsia"/>
                <w:color w:val="000000" w:themeColor="text1"/>
                <w:lang w:val="en-US" w:eastAsia="zh-CN"/>
                <w14:textFill>
                  <w14:solidFill>
                    <w14:schemeClr w14:val="tx1"/>
                  </w14:solidFill>
                </w14:textFill>
              </w:rPr>
              <w:t>微克/立方米</w:t>
            </w:r>
            <w:r>
              <w:rPr>
                <w:color w:val="000000" w:themeColor="text1"/>
                <w14:textFill>
                  <w14:solidFill>
                    <w14:schemeClr w14:val="tx1"/>
                  </w14:solidFill>
                </w14:textFill>
              </w:rPr>
              <w:t>）。</w:t>
            </w:r>
          </w:p>
          <w:p>
            <w:pPr>
              <w:pStyle w:val="27"/>
              <w:bidi w:val="0"/>
              <w:jc w:val="both"/>
              <w:rPr>
                <w:color w:val="000000" w:themeColor="text1"/>
                <w14:textFill>
                  <w14:solidFill>
                    <w14:schemeClr w14:val="tx1"/>
                  </w14:solidFill>
                </w14:textFill>
              </w:rPr>
            </w:pPr>
            <w:r>
              <w:rPr>
                <w:color w:val="000000" w:themeColor="text1"/>
                <w14:textFill>
                  <w14:solidFill>
                    <w14:schemeClr w14:val="tx1"/>
                  </w14:solidFill>
                </w14:textFill>
              </w:rPr>
              <w:t>当P</w:t>
            </w:r>
            <w:r>
              <w:rPr>
                <w:color w:val="000000" w:themeColor="text1"/>
                <w:vertAlign w:val="subscript"/>
                <w14:textFill>
                  <w14:solidFill>
                    <w14:schemeClr w14:val="tx1"/>
                  </w14:solidFill>
                </w14:textFill>
              </w:rPr>
              <w:t>i</w:t>
            </w:r>
            <w:r>
              <w:rPr>
                <w:color w:val="000000" w:themeColor="text1"/>
                <w14:textFill>
                  <w14:solidFill>
                    <w14:schemeClr w14:val="tx1"/>
                  </w14:solidFill>
                </w14:textFill>
              </w:rPr>
              <w:t>＞1时，说明环境中i污染物含量超过标准值，当Pi≤1时，则说明i污染物符合标准。某污染物的Pi值越大，则污染相对越严重。</w:t>
            </w:r>
          </w:p>
          <w:p>
            <w:pPr>
              <w:pStyle w:val="27"/>
              <w:numPr>
                <w:ilvl w:val="0"/>
                <w:numId w:val="0"/>
              </w:numPr>
              <w:bidi w:val="0"/>
              <w:ind w:leftChars="200"/>
              <w:jc w:val="both"/>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基本污染物监测及评价</w:t>
            </w:r>
          </w:p>
          <w:p>
            <w:pPr>
              <w:pStyle w:val="27"/>
              <w:bidi w:val="0"/>
              <w:jc w:val="both"/>
              <w:rPr>
                <w:rFonts w:hint="eastAsia"/>
                <w:color w:val="000000" w:themeColor="text1"/>
                <w:lang w:val="en-US" w:eastAsia="zh-CN"/>
                <w14:textFill>
                  <w14:solidFill>
                    <w14:schemeClr w14:val="tx1"/>
                  </w14:solidFill>
                </w14:textFill>
              </w:rPr>
            </w:pPr>
            <w:r>
              <w:rPr>
                <w:color w:val="000000" w:themeColor="text1"/>
                <w:szCs w:val="24"/>
                <w14:textFill>
                  <w14:solidFill>
                    <w14:schemeClr w14:val="tx1"/>
                  </w14:solidFill>
                </w14:textFill>
              </w:rPr>
              <w:t>基本污染物环境空气质量现状评价见表3-</w:t>
            </w:r>
            <w:r>
              <w:rPr>
                <w:rFonts w:hint="eastAsia"/>
                <w:color w:val="000000" w:themeColor="text1"/>
                <w:szCs w:val="24"/>
                <w14:textFill>
                  <w14:solidFill>
                    <w14:schemeClr w14:val="tx1"/>
                  </w14:solidFill>
                </w14:textFill>
              </w:rPr>
              <w:t>2</w:t>
            </w:r>
            <w:r>
              <w:rPr>
                <w:color w:val="000000" w:themeColor="text1"/>
                <w:szCs w:val="24"/>
                <w14:textFill>
                  <w14:solidFill>
                    <w14:schemeClr w14:val="tx1"/>
                  </w14:solidFill>
                </w14:textFill>
              </w:rPr>
              <w:t>。</w:t>
            </w:r>
          </w:p>
          <w:p>
            <w:pPr>
              <w:pStyle w:val="44"/>
              <w:bidi w:val="0"/>
              <w:spacing w:line="240" w:lineRule="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表3-2</w:t>
            </w:r>
            <w:r>
              <w:rPr>
                <w:rFonts w:hint="default"/>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 xml:space="preserve">  区域环境空气质量现状评价结果一览表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54"/>
              <w:gridCol w:w="2039"/>
              <w:gridCol w:w="1261"/>
              <w:gridCol w:w="1270"/>
              <w:gridCol w:w="1519"/>
              <w:gridCol w:w="93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426" w:type="pct"/>
                  <w:tcBorders>
                    <w:bottom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w:t>
                  </w:r>
                </w:p>
              </w:tc>
              <w:tc>
                <w:tcPr>
                  <w:tcW w:w="1327" w:type="pct"/>
                  <w:tcBorders>
                    <w:bottom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eastAsia="宋体" w:cs="Times New Roman"/>
                      <w:b/>
                      <w:bCs/>
                      <w:color w:val="000000" w:themeColor="text1"/>
                      <w:sz w:val="21"/>
                      <w:szCs w:val="21"/>
                      <w:lang w:val="en-US" w:eastAsia="zh-CN"/>
                      <w14:textFill>
                        <w14:solidFill>
                          <w14:schemeClr w14:val="tx1"/>
                        </w14:solidFill>
                      </w14:textFill>
                    </w:rPr>
                    <w:t>年评价指标</w:t>
                  </w:r>
                </w:p>
              </w:tc>
              <w:tc>
                <w:tcPr>
                  <w:tcW w:w="820" w:type="pct"/>
                  <w:tcBorders>
                    <w:bottom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现状浓度</w:t>
                  </w:r>
                </w:p>
                <w:p>
                  <w:pPr>
                    <w:jc w:val="center"/>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r>
                    <w:rPr>
                      <w:rFonts w:hint="eastAsia" w:cs="Times New Roman"/>
                      <w:b/>
                      <w:bCs/>
                      <w:color w:val="000000" w:themeColor="text1"/>
                      <w:sz w:val="21"/>
                      <w:szCs w:val="21"/>
                      <w:lang w:val="en-US" w:eastAsia="zh-CN"/>
                      <w14:textFill>
                        <w14:solidFill>
                          <w14:schemeClr w14:val="tx1"/>
                        </w14:solidFill>
                      </w14:textFill>
                    </w:rPr>
                    <w:t>微克/立方米</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p>
              </w:tc>
              <w:tc>
                <w:tcPr>
                  <w:tcW w:w="826" w:type="pct"/>
                  <w:tcBorders>
                    <w:bottom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标准值</w:t>
                  </w:r>
                </w:p>
                <w:p>
                  <w:pPr>
                    <w:pStyle w:val="57"/>
                    <w:ind w:left="0" w:leftChars="0" w:firstLine="0" w:firstLineChars="0"/>
                    <w:jc w:val="center"/>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微克/立方米</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w:t>
                  </w:r>
                </w:p>
              </w:tc>
              <w:tc>
                <w:tcPr>
                  <w:tcW w:w="988" w:type="pct"/>
                  <w:tcBorders>
                    <w:bottom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占标率（%）</w:t>
                  </w:r>
                </w:p>
              </w:tc>
              <w:tc>
                <w:tcPr>
                  <w:tcW w:w="610" w:type="pct"/>
                  <w:tcBorders>
                    <w:bottom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w:t>
                  </w:r>
                </w:p>
                <w:p>
                  <w:pPr>
                    <w:pStyle w:val="57"/>
                    <w:ind w:left="0" w:leftChars="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91" w:hRule="atLeast"/>
                <w:jc w:val="center"/>
              </w:trPr>
              <w:tc>
                <w:tcPr>
                  <w:tcW w:w="426" w:type="pct"/>
                  <w:tcBorders>
                    <w:top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SO</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2</w:t>
                  </w:r>
                </w:p>
              </w:tc>
              <w:tc>
                <w:tcPr>
                  <w:tcW w:w="1327" w:type="pct"/>
                  <w:tcBorders>
                    <w:top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年平均</w:t>
                  </w:r>
                </w:p>
              </w:tc>
              <w:tc>
                <w:tcPr>
                  <w:tcW w:w="820" w:type="pct"/>
                  <w:tcBorders>
                    <w:top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7</w:t>
                  </w:r>
                </w:p>
              </w:tc>
              <w:tc>
                <w:tcPr>
                  <w:tcW w:w="826" w:type="pct"/>
                  <w:tcBorders>
                    <w:top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60</w:t>
                  </w:r>
                </w:p>
              </w:tc>
              <w:tc>
                <w:tcPr>
                  <w:tcW w:w="988" w:type="pct"/>
                  <w:tcBorders>
                    <w:top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11.7</w:t>
                  </w:r>
                </w:p>
              </w:tc>
              <w:tc>
                <w:tcPr>
                  <w:tcW w:w="610" w:type="pct"/>
                  <w:tcBorders>
                    <w:top w:val="single" w:color="auto" w:sz="12" w:space="0"/>
                  </w:tcBorders>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1" w:hRule="atLeast"/>
                <w:jc w:val="center"/>
              </w:trPr>
              <w:tc>
                <w:tcPr>
                  <w:tcW w:w="426"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NO</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2</w:t>
                  </w:r>
                </w:p>
              </w:tc>
              <w:tc>
                <w:tcPr>
                  <w:tcW w:w="1327"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年平均</w:t>
                  </w:r>
                </w:p>
              </w:tc>
              <w:tc>
                <w:tcPr>
                  <w:tcW w:w="82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30</w:t>
                  </w:r>
                </w:p>
              </w:tc>
              <w:tc>
                <w:tcPr>
                  <w:tcW w:w="826"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40</w:t>
                  </w:r>
                </w:p>
              </w:tc>
              <w:tc>
                <w:tcPr>
                  <w:tcW w:w="988"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75.0</w:t>
                  </w:r>
                </w:p>
              </w:tc>
              <w:tc>
                <w:tcPr>
                  <w:tcW w:w="61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08" w:hRule="atLeast"/>
                <w:jc w:val="center"/>
              </w:trPr>
              <w:tc>
                <w:tcPr>
                  <w:tcW w:w="426"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PM</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10</w:t>
                  </w:r>
                </w:p>
              </w:tc>
              <w:tc>
                <w:tcPr>
                  <w:tcW w:w="1327"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年平均</w:t>
                  </w:r>
                </w:p>
              </w:tc>
              <w:tc>
                <w:tcPr>
                  <w:tcW w:w="82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70</w:t>
                  </w:r>
                </w:p>
              </w:tc>
              <w:tc>
                <w:tcPr>
                  <w:tcW w:w="826"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60</w:t>
                  </w:r>
                </w:p>
              </w:tc>
              <w:tc>
                <w:tcPr>
                  <w:tcW w:w="988"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116.7</w:t>
                  </w:r>
                </w:p>
              </w:tc>
              <w:tc>
                <w:tcPr>
                  <w:tcW w:w="61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超标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74" w:hRule="atLeast"/>
                <w:jc w:val="center"/>
              </w:trPr>
              <w:tc>
                <w:tcPr>
                  <w:tcW w:w="426"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PM</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2.5</w:t>
                  </w:r>
                </w:p>
              </w:tc>
              <w:tc>
                <w:tcPr>
                  <w:tcW w:w="1327"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年平均</w:t>
                  </w:r>
                </w:p>
              </w:tc>
              <w:tc>
                <w:tcPr>
                  <w:tcW w:w="82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40</w:t>
                  </w:r>
                </w:p>
              </w:tc>
              <w:tc>
                <w:tcPr>
                  <w:tcW w:w="826" w:type="pct"/>
                  <w:noWrap w:val="0"/>
                  <w:vAlign w:val="center"/>
                </w:tcPr>
                <w:p>
                  <w:pPr>
                    <w:pStyle w:val="57"/>
                    <w:ind w:left="0" w:leftChars="0" w:firstLine="0" w:firstLineChars="0"/>
                    <w:jc w:val="cente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w:t>
                  </w:r>
                  <w:r>
                    <w:rPr>
                      <w:rFonts w:hint="eastAsia" w:ascii="Times New Roman" w:eastAsia="宋体" w:cs="Times New Roman"/>
                      <w:b w:val="0"/>
                      <w:bCs w:val="0"/>
                      <w:color w:val="000000" w:themeColor="text1"/>
                      <w:sz w:val="21"/>
                      <w:szCs w:val="21"/>
                      <w:lang w:val="en-US" w:eastAsia="zh-CN"/>
                      <w14:textFill>
                        <w14:solidFill>
                          <w14:schemeClr w14:val="tx1"/>
                        </w14:solidFill>
                      </w14:textFill>
                    </w:rPr>
                    <w:t>0</w:t>
                  </w:r>
                </w:p>
              </w:tc>
              <w:tc>
                <w:tcPr>
                  <w:tcW w:w="988"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133.3</w:t>
                  </w:r>
                </w:p>
              </w:tc>
              <w:tc>
                <w:tcPr>
                  <w:tcW w:w="61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超标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426"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CO</w:t>
                  </w:r>
                </w:p>
              </w:tc>
              <w:tc>
                <w:tcPr>
                  <w:tcW w:w="1327"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24小时平均第95百分位数</w:t>
                  </w:r>
                </w:p>
              </w:tc>
              <w:tc>
                <w:tcPr>
                  <w:tcW w:w="82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1800</w:t>
                  </w:r>
                </w:p>
              </w:tc>
              <w:tc>
                <w:tcPr>
                  <w:tcW w:w="826"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14:textFill>
                        <w14:solidFill>
                          <w14:schemeClr w14:val="tx1"/>
                        </w14:solidFill>
                      </w14:textFill>
                    </w:rPr>
                  </w:pPr>
                  <w:r>
                    <w:rPr>
                      <w:rFonts w:hint="eastAsia" w:ascii="Times New Roman" w:eastAsia="宋体" w:cs="Times New Roman"/>
                      <w:b w:val="0"/>
                      <w:bCs w:val="0"/>
                      <w:color w:val="000000" w:themeColor="text1"/>
                      <w:kern w:val="2"/>
                      <w:sz w:val="21"/>
                      <w:szCs w:val="21"/>
                      <w:highlight w:val="none"/>
                      <w:vertAlign w:val="baseline"/>
                      <w:lang w:val="en-US" w:eastAsia="zh-CN"/>
                      <w14:textFill>
                        <w14:solidFill>
                          <w14:schemeClr w14:val="tx1"/>
                        </w14:solidFill>
                      </w14:textFill>
                    </w:rPr>
                    <w:t>4000</w:t>
                  </w:r>
                </w:p>
              </w:tc>
              <w:tc>
                <w:tcPr>
                  <w:tcW w:w="988"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45.0</w:t>
                  </w:r>
                </w:p>
              </w:tc>
              <w:tc>
                <w:tcPr>
                  <w:tcW w:w="61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426"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O</w:t>
                  </w:r>
                  <w:r>
                    <w:rPr>
                      <w:rFonts w:hint="default" w:ascii="Times New Roman" w:hAnsi="Times New Roman" w:eastAsia="宋体" w:cs="Times New Roman"/>
                      <w:b w:val="0"/>
                      <w:bCs w:val="0"/>
                      <w:color w:val="000000" w:themeColor="text1"/>
                      <w:sz w:val="21"/>
                      <w:szCs w:val="21"/>
                      <w:vertAlign w:val="subscript"/>
                      <w14:textFill>
                        <w14:solidFill>
                          <w14:schemeClr w14:val="tx1"/>
                        </w14:solidFill>
                      </w14:textFill>
                    </w:rPr>
                    <w:t>3</w:t>
                  </w:r>
                </w:p>
              </w:tc>
              <w:tc>
                <w:tcPr>
                  <w:tcW w:w="1327"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8小时平均第90百分位数</w:t>
                  </w:r>
                </w:p>
              </w:tc>
              <w:tc>
                <w:tcPr>
                  <w:tcW w:w="82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133</w:t>
                  </w:r>
                </w:p>
              </w:tc>
              <w:tc>
                <w:tcPr>
                  <w:tcW w:w="826"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160</w:t>
                  </w:r>
                </w:p>
              </w:tc>
              <w:tc>
                <w:tcPr>
                  <w:tcW w:w="988"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ascii="Times New Roman" w:eastAsia="宋体" w:cs="Times New Roman"/>
                      <w:b w:val="0"/>
                      <w:bCs w:val="0"/>
                      <w:color w:val="000000" w:themeColor="text1"/>
                      <w:sz w:val="21"/>
                      <w:szCs w:val="21"/>
                      <w:lang w:val="en-US" w:eastAsia="zh-CN"/>
                      <w14:textFill>
                        <w14:solidFill>
                          <w14:schemeClr w14:val="tx1"/>
                        </w14:solidFill>
                      </w14:textFill>
                    </w:rPr>
                    <w:t>80.1</w:t>
                  </w:r>
                </w:p>
              </w:tc>
              <w:tc>
                <w:tcPr>
                  <w:tcW w:w="610" w:type="pct"/>
                  <w:noWrap w:val="0"/>
                  <w:vAlign w:val="center"/>
                </w:tcPr>
                <w:p>
                  <w:pPr>
                    <w:pStyle w:val="57"/>
                    <w:ind w:left="0" w:leftChars="0" w:firstLine="0" w:firstLineChars="0"/>
                    <w:jc w:val="center"/>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达标</w:t>
                  </w:r>
                </w:p>
              </w:tc>
            </w:tr>
          </w:tbl>
          <w:p>
            <w:pPr>
              <w:pStyle w:val="14"/>
              <w:keepNext w:val="0"/>
              <w:keepLines w:val="0"/>
              <w:pageBreakBefore w:val="0"/>
              <w:widowControl/>
              <w:kinsoku/>
              <w:wordWrap/>
              <w:overflowPunct/>
              <w:topLinePunct w:val="0"/>
              <w:autoSpaceDE/>
              <w:autoSpaceDN/>
              <w:bidi w:val="0"/>
              <w:adjustRightInd/>
              <w:snapToGrid/>
              <w:spacing w:before="0" w:after="0" w:line="520" w:lineRule="exact"/>
              <w:ind w:right="0" w:firstLine="480" w:firstLineChars="200"/>
              <w:jc w:val="both"/>
              <w:textAlignment w:val="auto"/>
              <w:rPr>
                <w:rFonts w:hint="eastAsia" w:ascii="Times New Roman" w:hAnsi="Times New Roman" w:cs="Times New Roman"/>
                <w:b w:val="0"/>
                <w:bCs/>
                <w:color w:val="000000" w:themeColor="text1"/>
                <w:kern w:val="0"/>
                <w:sz w:val="24"/>
                <w:szCs w:val="24"/>
                <w:highlight w:val="none"/>
                <w:lang w:val="en-US" w:eastAsia="zh-CN"/>
                <w14:textFill>
                  <w14:solidFill>
                    <w14:schemeClr w14:val="tx1"/>
                  </w14:solidFill>
                </w14:textFill>
              </w:rPr>
            </w:pPr>
            <w:r>
              <w:rPr>
                <w:b w:val="0"/>
                <w:bCs/>
                <w:color w:val="000000" w:themeColor="text1"/>
                <w:kern w:val="2"/>
                <w:sz w:val="24"/>
                <w:szCs w:val="24"/>
                <w14:textFill>
                  <w14:solidFill>
                    <w14:schemeClr w14:val="tx1"/>
                  </w14:solidFill>
                </w14:textFill>
              </w:rPr>
              <w:t>由上表可知，本项目所在区域SO</w:t>
            </w:r>
            <w:r>
              <w:rPr>
                <w:b w:val="0"/>
                <w:bCs/>
                <w:color w:val="000000" w:themeColor="text1"/>
                <w:kern w:val="2"/>
                <w:sz w:val="24"/>
                <w:szCs w:val="24"/>
                <w:vertAlign w:val="subscript"/>
                <w14:textFill>
                  <w14:solidFill>
                    <w14:schemeClr w14:val="tx1"/>
                  </w14:solidFill>
                </w14:textFill>
              </w:rPr>
              <w:t>2</w:t>
            </w:r>
            <w:r>
              <w:rPr>
                <w:b w:val="0"/>
                <w:bCs/>
                <w:color w:val="000000" w:themeColor="text1"/>
                <w:kern w:val="2"/>
                <w:sz w:val="24"/>
                <w:szCs w:val="24"/>
                <w14:textFill>
                  <w14:solidFill>
                    <w14:schemeClr w14:val="tx1"/>
                  </w14:solidFill>
                </w14:textFill>
              </w:rPr>
              <w:t>、NO</w:t>
            </w:r>
            <w:r>
              <w:rPr>
                <w:b w:val="0"/>
                <w:bCs/>
                <w:color w:val="000000" w:themeColor="text1"/>
                <w:kern w:val="2"/>
                <w:sz w:val="24"/>
                <w:szCs w:val="24"/>
                <w:vertAlign w:val="subscript"/>
                <w14:textFill>
                  <w14:solidFill>
                    <w14:schemeClr w14:val="tx1"/>
                  </w14:solidFill>
                </w14:textFill>
              </w:rPr>
              <w:t>2</w:t>
            </w:r>
            <w:r>
              <w:rPr>
                <w:b w:val="0"/>
                <w:bCs/>
                <w:color w:val="000000" w:themeColor="text1"/>
                <w:kern w:val="2"/>
                <w:sz w:val="24"/>
                <w:szCs w:val="24"/>
                <w14:textFill>
                  <w14:solidFill>
                    <w14:schemeClr w14:val="tx1"/>
                  </w14:solidFill>
                </w14:textFill>
              </w:rPr>
              <w:t>、CO、O</w:t>
            </w:r>
            <w:r>
              <w:rPr>
                <w:rFonts w:hint="eastAsia"/>
                <w:b w:val="0"/>
                <w:bCs/>
                <w:color w:val="000000" w:themeColor="text1"/>
                <w:kern w:val="2"/>
                <w:sz w:val="24"/>
                <w:szCs w:val="24"/>
                <w:vertAlign w:val="subscript"/>
                <w:lang w:val="en-US" w:eastAsia="zh-CN"/>
                <w14:textFill>
                  <w14:solidFill>
                    <w14:schemeClr w14:val="tx1"/>
                  </w14:solidFill>
                </w14:textFill>
              </w:rPr>
              <w:t>3</w:t>
            </w:r>
            <w:r>
              <w:rPr>
                <w:b w:val="0"/>
                <w:bCs/>
                <w:color w:val="000000" w:themeColor="text1"/>
                <w:kern w:val="2"/>
                <w:sz w:val="24"/>
                <w:szCs w:val="24"/>
                <w14:textFill>
                  <w14:solidFill>
                    <w14:schemeClr w14:val="tx1"/>
                  </w14:solidFill>
                </w14:textFill>
              </w:rPr>
              <w:t>的浓度均可满足</w:t>
            </w:r>
            <w:r>
              <w:rPr>
                <w:b w:val="0"/>
                <w:bCs/>
                <w:color w:val="000000" w:themeColor="text1"/>
                <w:sz w:val="24"/>
                <w14:textFill>
                  <w14:solidFill>
                    <w14:schemeClr w14:val="tx1"/>
                  </w14:solidFill>
                </w14:textFill>
              </w:rPr>
              <w:t>《环境空气质量标准》（GB3095-20</w:t>
            </w:r>
            <w:r>
              <w:rPr>
                <w:rFonts w:hint="eastAsia"/>
                <w:b w:val="0"/>
                <w:bCs/>
                <w:color w:val="000000" w:themeColor="text1"/>
                <w:sz w:val="24"/>
                <w:lang w:val="en-US" w:eastAsia="zh-CN"/>
                <w14:textFill>
                  <w14:solidFill>
                    <w14:schemeClr w14:val="tx1"/>
                  </w14:solidFill>
                </w14:textFill>
              </w:rPr>
              <w:t>26</w:t>
            </w:r>
            <w:r>
              <w:rPr>
                <w:b w:val="0"/>
                <w:bCs/>
                <w:color w:val="000000" w:themeColor="text1"/>
                <w:sz w:val="24"/>
                <w14:textFill>
                  <w14:solidFill>
                    <w14:schemeClr w14:val="tx1"/>
                  </w14:solidFill>
                </w14:textFill>
              </w:rPr>
              <w:t>）</w:t>
            </w:r>
            <w:r>
              <w:rPr>
                <w:rFonts w:hint="eastAsia"/>
                <w:b w:val="0"/>
                <w:bCs/>
                <w:color w:val="000000" w:themeColor="text1"/>
                <w:sz w:val="24"/>
                <w:lang w:val="en-US" w:eastAsia="zh-CN"/>
                <w14:textFill>
                  <w14:solidFill>
                    <w14:schemeClr w14:val="tx1"/>
                  </w14:solidFill>
                </w14:textFill>
              </w:rPr>
              <w:t>中过渡阶段浓度限值的</w:t>
            </w:r>
            <w:r>
              <w:rPr>
                <w:b w:val="0"/>
                <w:bCs/>
                <w:color w:val="000000" w:themeColor="text1"/>
                <w:sz w:val="24"/>
                <w14:textFill>
                  <w14:solidFill>
                    <w14:schemeClr w14:val="tx1"/>
                  </w14:solidFill>
                </w14:textFill>
              </w:rPr>
              <w:t>二级标</w:t>
            </w:r>
            <w:r>
              <w:rPr>
                <w:rFonts w:hint="eastAsia"/>
                <w:b w:val="0"/>
                <w:bCs/>
                <w:color w:val="000000" w:themeColor="text1"/>
                <w:sz w:val="24"/>
                <w:lang w:val="en-US" w:eastAsia="zh-CN"/>
                <w14:textFill>
                  <w14:solidFill>
                    <w14:schemeClr w14:val="tx1"/>
                  </w14:solidFill>
                </w14:textFill>
              </w:rPr>
              <w:t>准</w:t>
            </w:r>
            <w:r>
              <w:rPr>
                <w:b w:val="0"/>
                <w:bCs/>
                <w:color w:val="000000" w:themeColor="text1"/>
                <w:kern w:val="2"/>
                <w:sz w:val="24"/>
                <w:szCs w:val="24"/>
                <w14:textFill>
                  <w14:solidFill>
                    <w14:schemeClr w14:val="tx1"/>
                  </w14:solidFill>
                </w14:textFill>
              </w:rPr>
              <w:t>，PM</w:t>
            </w:r>
            <w:r>
              <w:rPr>
                <w:rFonts w:hint="eastAsia"/>
                <w:b w:val="0"/>
                <w:bCs/>
                <w:color w:val="000000" w:themeColor="text1"/>
                <w:kern w:val="2"/>
                <w:sz w:val="24"/>
                <w:szCs w:val="24"/>
                <w:vertAlign w:val="subscript"/>
                <w:lang w:val="en-US" w:eastAsia="zh-CN"/>
                <w14:textFill>
                  <w14:solidFill>
                    <w14:schemeClr w14:val="tx1"/>
                  </w14:solidFill>
                </w14:textFill>
              </w:rPr>
              <w:t>10</w:t>
            </w:r>
            <w:r>
              <w:rPr>
                <w:rFonts w:hint="eastAsia"/>
                <w:b w:val="0"/>
                <w:bCs/>
                <w:color w:val="000000" w:themeColor="text1"/>
                <w:kern w:val="2"/>
                <w:sz w:val="24"/>
                <w:szCs w:val="24"/>
                <w:lang w:val="en-US" w:eastAsia="zh-CN"/>
                <w14:textFill>
                  <w14:solidFill>
                    <w14:schemeClr w14:val="tx1"/>
                  </w14:solidFill>
                </w14:textFill>
              </w:rPr>
              <w:t>、</w:t>
            </w:r>
            <w:r>
              <w:rPr>
                <w:b w:val="0"/>
                <w:bCs/>
                <w:color w:val="000000" w:themeColor="text1"/>
                <w:kern w:val="2"/>
                <w:sz w:val="24"/>
                <w:szCs w:val="24"/>
                <w14:textFill>
                  <w14:solidFill>
                    <w14:schemeClr w14:val="tx1"/>
                  </w14:solidFill>
                </w14:textFill>
              </w:rPr>
              <w:t>PM</w:t>
            </w:r>
            <w:r>
              <w:rPr>
                <w:b w:val="0"/>
                <w:bCs/>
                <w:color w:val="000000" w:themeColor="text1"/>
                <w:kern w:val="2"/>
                <w:sz w:val="24"/>
                <w:szCs w:val="24"/>
                <w:vertAlign w:val="subscript"/>
                <w14:textFill>
                  <w14:solidFill>
                    <w14:schemeClr w14:val="tx1"/>
                  </w14:solidFill>
                </w14:textFill>
              </w:rPr>
              <w:t>2.5</w:t>
            </w:r>
            <w:r>
              <w:rPr>
                <w:b w:val="0"/>
                <w:bCs/>
                <w:color w:val="000000" w:themeColor="text1"/>
                <w:kern w:val="2"/>
                <w:sz w:val="24"/>
                <w:szCs w:val="24"/>
                <w14:textFill>
                  <w14:solidFill>
                    <w14:schemeClr w14:val="tx1"/>
                  </w14:solidFill>
                </w14:textFill>
              </w:rPr>
              <w:t>浓度超过</w:t>
            </w:r>
            <w:r>
              <w:rPr>
                <w:b w:val="0"/>
                <w:bCs/>
                <w:color w:val="000000" w:themeColor="text1"/>
                <w:sz w:val="24"/>
                <w14:textFill>
                  <w14:solidFill>
                    <w14:schemeClr w14:val="tx1"/>
                  </w14:solidFill>
                </w14:textFill>
              </w:rPr>
              <w:t>《环境空气质量标准》（GB3095-20</w:t>
            </w:r>
            <w:r>
              <w:rPr>
                <w:rFonts w:hint="eastAsia"/>
                <w:b w:val="0"/>
                <w:bCs/>
                <w:color w:val="000000" w:themeColor="text1"/>
                <w:sz w:val="24"/>
                <w:lang w:val="en-US" w:eastAsia="zh-CN"/>
                <w14:textFill>
                  <w14:solidFill>
                    <w14:schemeClr w14:val="tx1"/>
                  </w14:solidFill>
                </w14:textFill>
              </w:rPr>
              <w:t>26</w:t>
            </w:r>
            <w:r>
              <w:rPr>
                <w:b w:val="0"/>
                <w:bCs/>
                <w:color w:val="000000" w:themeColor="text1"/>
                <w:sz w:val="24"/>
                <w14:textFill>
                  <w14:solidFill>
                    <w14:schemeClr w14:val="tx1"/>
                  </w14:solidFill>
                </w14:textFill>
              </w:rPr>
              <w:t>）</w:t>
            </w:r>
            <w:r>
              <w:rPr>
                <w:rFonts w:hint="eastAsia"/>
                <w:b w:val="0"/>
                <w:bCs/>
                <w:color w:val="000000" w:themeColor="text1"/>
                <w:sz w:val="24"/>
                <w:lang w:val="en-US" w:eastAsia="zh-CN"/>
                <w14:textFill>
                  <w14:solidFill>
                    <w14:schemeClr w14:val="tx1"/>
                  </w14:solidFill>
                </w14:textFill>
              </w:rPr>
              <w:t>中过渡阶段浓度限值的</w:t>
            </w:r>
            <w:r>
              <w:rPr>
                <w:b w:val="0"/>
                <w:bCs/>
                <w:color w:val="000000" w:themeColor="text1"/>
                <w:sz w:val="24"/>
                <w14:textFill>
                  <w14:solidFill>
                    <w14:schemeClr w14:val="tx1"/>
                  </w14:solidFill>
                </w14:textFill>
              </w:rPr>
              <w:t>二级标</w:t>
            </w:r>
            <w:r>
              <w:rPr>
                <w:rFonts w:hint="eastAsia"/>
                <w:b w:val="0"/>
                <w:bCs/>
                <w:color w:val="000000" w:themeColor="text1"/>
                <w:sz w:val="24"/>
                <w:lang w:val="en-US" w:eastAsia="zh-CN"/>
                <w14:textFill>
                  <w14:solidFill>
                    <w14:schemeClr w14:val="tx1"/>
                  </w14:solidFill>
                </w14:textFill>
              </w:rPr>
              <w:t>准</w:t>
            </w:r>
            <w:r>
              <w:rPr>
                <w:rFonts w:hint="eastAsia"/>
                <w:b w:val="0"/>
                <w:bCs/>
                <w:color w:val="000000" w:themeColor="text1"/>
                <w:kern w:val="2"/>
                <w:sz w:val="24"/>
                <w:szCs w:val="24"/>
                <w:lang w:eastAsia="zh-CN"/>
                <w14:textFill>
                  <w14:solidFill>
                    <w14:schemeClr w14:val="tx1"/>
                  </w14:solidFill>
                </w14:textFill>
              </w:rPr>
              <w:t>，</w:t>
            </w:r>
            <w:r>
              <w:rPr>
                <w:rFonts w:hint="eastAsia" w:ascii="Times New Roman" w:hAnsi="Times New Roman" w:cs="Times New Roman"/>
                <w:b w:val="0"/>
                <w:bCs/>
                <w:color w:val="000000" w:themeColor="text1"/>
                <w:kern w:val="0"/>
                <w:sz w:val="24"/>
                <w:szCs w:val="24"/>
                <w:highlight w:val="none"/>
                <w:lang w:val="en-US" w:eastAsia="zh-CN"/>
                <w14:textFill>
                  <w14:solidFill>
                    <w14:schemeClr w14:val="tx1"/>
                  </w14:solidFill>
                </w14:textFill>
              </w:rPr>
              <w:t>超标原因主要是因为新疆气候干燥，浮尘天气等因素影响。因此，项目所在区域为不达标区。</w:t>
            </w:r>
          </w:p>
          <w:p>
            <w:pPr>
              <w:pStyle w:val="8"/>
              <w:numPr>
                <w:ilvl w:val="0"/>
                <w:numId w:val="0"/>
              </w:numPr>
              <w:ind w:leftChars="0"/>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1.2 其他污染物环境质量现状</w:t>
            </w:r>
          </w:p>
          <w:p>
            <w:pPr>
              <w:pStyle w:val="94"/>
              <w:keepNext w:val="0"/>
              <w:keepLines w:val="0"/>
              <w:pageBreakBefore w:val="0"/>
              <w:tabs>
                <w:tab w:val="left" w:pos="642"/>
              </w:tabs>
              <w:kinsoku/>
              <w:wordWrap/>
              <w:overflowPunct/>
              <w:topLinePunct w:val="0"/>
              <w:autoSpaceDE/>
              <w:autoSpaceDN/>
              <w:bidi w:val="0"/>
              <w:adjustRightInd/>
              <w:spacing w:line="360" w:lineRule="auto"/>
              <w:ind w:left="0" w:leftChars="0" w:firstLine="480" w:firstLineChars="200"/>
              <w:jc w:val="both"/>
              <w:textAlignment w:val="auto"/>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pPr>
            <w:r>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t>根据《建设项目环境影响报告表编制技术指南</w:t>
            </w:r>
            <w:r>
              <w:rPr>
                <w:rFonts w:hint="eastAsia" w:ascii="Times New Roman" w:hAnsi="Times New Roman" w:cs="Times New Roman"/>
                <w:b w:val="0"/>
                <w:bCs/>
                <w:color w:val="000000" w:themeColor="text1"/>
                <w:sz w:val="24"/>
                <w:szCs w:val="24"/>
                <w:u w:val="none" w:color="auto"/>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t>污染影响类</w:t>
            </w:r>
            <w:r>
              <w:rPr>
                <w:rFonts w:hint="eastAsia" w:ascii="Times New Roman" w:hAnsi="Times New Roman" w:cs="Times New Roman"/>
                <w:b w:val="0"/>
                <w:bCs/>
                <w:color w:val="000000" w:themeColor="text1"/>
                <w:sz w:val="24"/>
                <w:szCs w:val="24"/>
                <w:u w:val="none" w:color="auto"/>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t>试行</w:t>
            </w:r>
            <w:r>
              <w:rPr>
                <w:rFonts w:hint="eastAsia" w:ascii="Times New Roman" w:hAnsi="Times New Roman" w:cs="Times New Roman"/>
                <w:b w:val="0"/>
                <w:bCs/>
                <w:color w:val="000000" w:themeColor="text1"/>
                <w:sz w:val="24"/>
                <w:szCs w:val="24"/>
                <w:u w:val="none" w:color="auto"/>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t>》，</w:t>
            </w:r>
            <w:r>
              <w:rPr>
                <w:rFonts w:hint="default" w:ascii="Times New Roman" w:hAnsi="Times New Roman" w:eastAsia="宋体" w:cs="Times New Roman"/>
                <w:b w:val="0"/>
                <w:bCs/>
                <w:color w:val="000000" w:themeColor="text1"/>
                <w:sz w:val="24"/>
                <w:szCs w:val="24"/>
                <w:u w:val="none" w:color="auto"/>
                <w:lang w:val="en-US" w:eastAsia="zh-CN"/>
                <w14:textFill>
                  <w14:solidFill>
                    <w14:schemeClr w14:val="tx1"/>
                  </w14:solidFill>
                </w14:textFill>
              </w:rPr>
              <w:t>本项目特征污染物为TSP</w:t>
            </w:r>
            <w:r>
              <w:rPr>
                <w:rFonts w:hint="eastAsia" w:ascii="Times New Roman" w:hAnsi="Times New Roman" w:cs="Times New Roman"/>
                <w:b w:val="0"/>
                <w:bCs/>
                <w:color w:val="000000" w:themeColor="text1"/>
                <w:sz w:val="24"/>
                <w:szCs w:val="24"/>
                <w:u w:val="none" w:color="auto"/>
                <w:lang w:val="en-US" w:eastAsia="zh-CN"/>
                <w14:textFill>
                  <w14:solidFill>
                    <w14:schemeClr w14:val="tx1"/>
                  </w14:solidFill>
                </w14:textFill>
              </w:rPr>
              <w:t>、非甲烷总烃</w:t>
            </w:r>
            <w:r>
              <w:rPr>
                <w:rFonts w:hint="default" w:ascii="Times New Roman" w:hAnsi="Times New Roman" w:eastAsia="宋体" w:cs="Times New Roman"/>
                <w:b w:val="0"/>
                <w:bCs/>
                <w:color w:val="000000" w:themeColor="text1"/>
                <w:sz w:val="24"/>
                <w:szCs w:val="24"/>
                <w:u w:val="none" w:color="auto"/>
                <w:lang w:val="en-US" w:eastAsia="zh-CN"/>
                <w14:textFill>
                  <w14:solidFill>
                    <w14:schemeClr w14:val="tx1"/>
                  </w14:solidFill>
                </w14:textFill>
              </w:rPr>
              <w:t>，本次评价引用《昌吉疆拓生物新材料有限公司年产1500 吨生物降解高分子材料项目》中新疆环疆绿源环保科技有限公司</w:t>
            </w:r>
            <w:r>
              <w:rPr>
                <w:rFonts w:hint="eastAsia" w:ascii="Times New Roman" w:hAnsi="Times New Roman" w:cs="Times New Roman"/>
                <w:b w:val="0"/>
                <w:bCs/>
                <w:color w:val="000000" w:themeColor="text1"/>
                <w:sz w:val="24"/>
                <w:szCs w:val="24"/>
                <w:u w:val="none" w:color="auto"/>
                <w:lang w:val="en-US" w:eastAsia="zh-CN"/>
                <w14:textFill>
                  <w14:solidFill>
                    <w14:schemeClr w14:val="tx1"/>
                  </w14:solidFill>
                </w14:textFill>
              </w:rPr>
              <w:t>对</w:t>
            </w:r>
            <w:r>
              <w:rPr>
                <w:rFonts w:hint="default" w:ascii="Times New Roman" w:hAnsi="Times New Roman" w:eastAsia="宋体" w:cs="Times New Roman"/>
                <w:b w:val="0"/>
                <w:bCs/>
                <w:color w:val="000000" w:themeColor="text1"/>
                <w:sz w:val="24"/>
                <w:szCs w:val="24"/>
                <w:u w:val="none" w:color="auto"/>
                <w:lang w:val="en-US" w:eastAsia="zh-CN"/>
                <w14:textFill>
                  <w14:solidFill>
                    <w14:schemeClr w14:val="tx1"/>
                  </w14:solidFill>
                </w14:textFill>
              </w:rPr>
              <w:t>项目区的监测数据，监测点位于项目区西北处3.7</w:t>
            </w:r>
            <w:r>
              <w:rPr>
                <w:rFonts w:hint="eastAsia" w:ascii="Times New Roman" w:hAnsi="Times New Roman" w:cs="Times New Roman"/>
                <w:b w:val="0"/>
                <w:bCs/>
                <w:color w:val="000000" w:themeColor="text1"/>
                <w:sz w:val="24"/>
                <w:szCs w:val="24"/>
                <w:u w:val="none" w:color="auto"/>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4"/>
                <w:szCs w:val="24"/>
                <w:u w:val="none" w:color="auto"/>
                <w:lang w:val="en-US" w:eastAsia="zh-CN"/>
                <w14:textFill>
                  <w14:solidFill>
                    <w14:schemeClr w14:val="tx1"/>
                  </w14:solidFill>
                </w14:textFill>
              </w:rPr>
              <w:t>km处，监测时间为2023年</w:t>
            </w:r>
            <w:r>
              <w:rPr>
                <w:rFonts w:hint="eastAsia" w:ascii="Times New Roman" w:hAnsi="Times New Roman" w:cs="Times New Roman"/>
                <w:b w:val="0"/>
                <w:bCs/>
                <w:color w:val="000000" w:themeColor="text1"/>
                <w:sz w:val="24"/>
                <w:szCs w:val="24"/>
                <w:u w:val="none" w:color="auto"/>
                <w:lang w:val="en-US" w:eastAsia="zh-CN"/>
                <w14:textFill>
                  <w14:solidFill>
                    <w14:schemeClr w14:val="tx1"/>
                  </w14:solidFill>
                </w14:textFill>
              </w:rPr>
              <w:t>10</w:t>
            </w:r>
            <w:r>
              <w:rPr>
                <w:rFonts w:hint="default" w:ascii="Times New Roman" w:hAnsi="Times New Roman" w:eastAsia="宋体" w:cs="Times New Roman"/>
                <w:b w:val="0"/>
                <w:bCs/>
                <w:color w:val="000000" w:themeColor="text1"/>
                <w:sz w:val="24"/>
                <w:szCs w:val="24"/>
                <w:u w:val="none" w:color="auto"/>
                <w:lang w:val="en-US" w:eastAsia="zh-CN"/>
                <w14:textFill>
                  <w14:solidFill>
                    <w14:schemeClr w14:val="tx1"/>
                  </w14:solidFill>
                </w14:textFill>
              </w:rPr>
              <w:t>月2</w:t>
            </w:r>
            <w:r>
              <w:rPr>
                <w:rFonts w:hint="eastAsia" w:ascii="Times New Roman" w:hAnsi="Times New Roman" w:cs="Times New Roman"/>
                <w:b w:val="0"/>
                <w:bCs/>
                <w:color w:val="000000" w:themeColor="text1"/>
                <w:sz w:val="24"/>
                <w:szCs w:val="24"/>
                <w:u w:val="none" w:color="auto"/>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4"/>
                <w:szCs w:val="24"/>
                <w:u w:val="none" w:color="auto"/>
                <w:lang w:val="en-US" w:eastAsia="zh-CN"/>
                <w14:textFill>
                  <w14:solidFill>
                    <w14:schemeClr w14:val="tx1"/>
                  </w14:solidFill>
                </w14:textFill>
              </w:rPr>
              <w:t>日-202</w:t>
            </w:r>
            <w:r>
              <w:rPr>
                <w:rFonts w:hint="eastAsia" w:ascii="Times New Roman" w:hAnsi="Times New Roman" w:cs="Times New Roman"/>
                <w:b w:val="0"/>
                <w:bCs/>
                <w:color w:val="000000" w:themeColor="text1"/>
                <w:sz w:val="24"/>
                <w:szCs w:val="24"/>
                <w:u w:val="none" w:color="auto"/>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u w:val="none" w:color="auto"/>
                <w:lang w:val="en-US" w:eastAsia="zh-CN"/>
                <w14:textFill>
                  <w14:solidFill>
                    <w14:schemeClr w14:val="tx1"/>
                  </w14:solidFill>
                </w14:textFill>
              </w:rPr>
              <w:t>年</w:t>
            </w:r>
            <w:r>
              <w:rPr>
                <w:rFonts w:hint="eastAsia" w:ascii="Times New Roman" w:hAnsi="Times New Roman" w:cs="Times New Roman"/>
                <w:b w:val="0"/>
                <w:bCs/>
                <w:color w:val="000000" w:themeColor="text1"/>
                <w:sz w:val="24"/>
                <w:szCs w:val="24"/>
                <w:u w:val="none" w:color="auto"/>
                <w:lang w:val="en-US" w:eastAsia="zh-CN"/>
                <w14:textFill>
                  <w14:solidFill>
                    <w14:schemeClr w14:val="tx1"/>
                  </w14:solidFill>
                </w14:textFill>
              </w:rPr>
              <w:t>10</w:t>
            </w:r>
            <w:r>
              <w:rPr>
                <w:rFonts w:hint="default" w:ascii="Times New Roman" w:hAnsi="Times New Roman" w:eastAsia="宋体" w:cs="Times New Roman"/>
                <w:b w:val="0"/>
                <w:bCs/>
                <w:color w:val="000000" w:themeColor="text1"/>
                <w:sz w:val="24"/>
                <w:szCs w:val="24"/>
                <w:u w:val="none" w:color="auto"/>
                <w:lang w:val="en-US" w:eastAsia="zh-CN"/>
                <w14:textFill>
                  <w14:solidFill>
                    <w14:schemeClr w14:val="tx1"/>
                  </w14:solidFill>
                </w14:textFill>
              </w:rPr>
              <w:t>月28日</w:t>
            </w:r>
            <w:r>
              <w:rPr>
                <w:rFonts w:hint="eastAsia" w:ascii="Times New Roman" w:hAnsi="Times New Roman" w:eastAsia="宋体" w:cs="Times New Roman"/>
                <w:b w:val="0"/>
                <w:bCs/>
                <w:color w:val="000000" w:themeColor="text1"/>
                <w:sz w:val="24"/>
                <w:szCs w:val="24"/>
                <w:u w:val="none" w:color="auto"/>
                <w:lang w:val="en-US" w:eastAsia="zh-CN"/>
                <w14:textFill>
                  <w14:solidFill>
                    <w14:schemeClr w14:val="tx1"/>
                  </w14:solidFill>
                </w14:textFill>
              </w:rPr>
              <w:t>。</w:t>
            </w:r>
          </w:p>
          <w:p>
            <w:pPr>
              <w:pStyle w:val="94"/>
              <w:keepNext w:val="0"/>
              <w:keepLines w:val="0"/>
              <w:pageBreakBefore w:val="0"/>
              <w:tabs>
                <w:tab w:val="left" w:pos="642"/>
              </w:tabs>
              <w:kinsoku/>
              <w:wordWrap/>
              <w:overflowPunct/>
              <w:topLinePunct w:val="0"/>
              <w:autoSpaceDE/>
              <w:autoSpaceDN/>
              <w:bidi w:val="0"/>
              <w:adjustRightInd/>
              <w:spacing w:line="360" w:lineRule="auto"/>
              <w:ind w:left="0" w:leftChars="0" w:firstLine="480" w:firstLineChars="200"/>
              <w:jc w:val="both"/>
              <w:textAlignment w:val="auto"/>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pPr>
            <w:r>
              <w:rPr>
                <w:rFonts w:hint="eastAsia" w:ascii="Times New Roman" w:hAnsi="Times New Roman" w:cs="Times New Roman"/>
                <w:b w:val="0"/>
                <w:bCs/>
                <w:color w:val="000000" w:themeColor="text1"/>
                <w:sz w:val="24"/>
                <w:szCs w:val="24"/>
                <w:u w:val="none" w:color="auto"/>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t>1</w:t>
            </w:r>
            <w:r>
              <w:rPr>
                <w:rFonts w:hint="eastAsia" w:ascii="Times New Roman" w:hAnsi="Times New Roman" w:cs="Times New Roman"/>
                <w:b w:val="0"/>
                <w:bCs/>
                <w:color w:val="000000" w:themeColor="text1"/>
                <w:sz w:val="24"/>
                <w:szCs w:val="24"/>
                <w:u w:val="none" w:color="auto"/>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t>监测项目及频率</w:t>
            </w:r>
          </w:p>
          <w:p>
            <w:pPr>
              <w:pStyle w:val="94"/>
              <w:keepNext w:val="0"/>
              <w:keepLines w:val="0"/>
              <w:pageBreakBefore w:val="0"/>
              <w:tabs>
                <w:tab w:val="left" w:pos="642"/>
              </w:tabs>
              <w:kinsoku/>
              <w:wordWrap/>
              <w:overflowPunct/>
              <w:topLinePunct w:val="0"/>
              <w:autoSpaceDE/>
              <w:autoSpaceDN/>
              <w:bidi w:val="0"/>
              <w:adjustRightInd/>
              <w:spacing w:line="360" w:lineRule="auto"/>
              <w:ind w:left="0" w:leftChars="0" w:firstLine="480" w:firstLineChars="200"/>
              <w:jc w:val="both"/>
              <w:textAlignment w:val="auto"/>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pPr>
            <w:r>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t>监测项目：TSP</w:t>
            </w:r>
            <w:r>
              <w:rPr>
                <w:rFonts w:hint="eastAsia" w:ascii="Times New Roman" w:hAnsi="Times New Roman" w:cs="Times New Roman"/>
                <w:b w:val="0"/>
                <w:bCs/>
                <w:color w:val="000000" w:themeColor="text1"/>
                <w:sz w:val="24"/>
                <w:szCs w:val="24"/>
                <w:u w:val="none" w:color="auto"/>
                <w:lang w:eastAsia="zh-CN"/>
                <w14:textFill>
                  <w14:solidFill>
                    <w14:schemeClr w14:val="tx1"/>
                  </w14:solidFill>
                </w14:textFill>
              </w:rPr>
              <w:t>、</w:t>
            </w:r>
            <w:r>
              <w:rPr>
                <w:rFonts w:hint="eastAsia" w:ascii="Times New Roman" w:hAnsi="Times New Roman" w:cs="Times New Roman"/>
                <w:b w:val="0"/>
                <w:bCs/>
                <w:color w:val="000000" w:themeColor="text1"/>
                <w:sz w:val="24"/>
                <w:szCs w:val="24"/>
                <w:u w:val="none" w:color="auto"/>
                <w:lang w:val="en-US" w:eastAsia="zh-CN"/>
                <w14:textFill>
                  <w14:solidFill>
                    <w14:schemeClr w14:val="tx1"/>
                  </w14:solidFill>
                </w14:textFill>
              </w:rPr>
              <w:t>非甲烷总烃</w:t>
            </w:r>
            <w:r>
              <w:rPr>
                <w:rFonts w:hint="default" w:ascii="Times New Roman" w:hAnsi="Times New Roman" w:eastAsia="宋体" w:cs="Times New Roman"/>
                <w:b w:val="0"/>
                <w:bCs/>
                <w:color w:val="000000" w:themeColor="text1"/>
                <w:sz w:val="24"/>
                <w:szCs w:val="24"/>
                <w:u w:val="none" w:color="auto"/>
                <w14:textFill>
                  <w14:solidFill>
                    <w14:schemeClr w14:val="tx1"/>
                  </w14:solidFill>
                </w14:textFill>
              </w:rPr>
              <w:t>。</w:t>
            </w:r>
          </w:p>
          <w:p>
            <w:pPr>
              <w:pStyle w:val="17"/>
              <w:topLinePunct/>
              <w:spacing w:line="360" w:lineRule="auto"/>
              <w:ind w:firstLine="480"/>
              <w:jc w:val="both"/>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highlight w:val="none"/>
                <w14:textFill>
                  <w14:solidFill>
                    <w14:schemeClr w14:val="tx1"/>
                  </w14:solidFill>
                </w14:textFill>
              </w:rPr>
              <w:t>监测频率：连续</w:t>
            </w:r>
            <w:r>
              <w:rPr>
                <w:rFonts w:hint="eastAsia" w:hAnsi="Times New Roman" w:cs="Times New Roman"/>
                <w:b w:val="0"/>
                <w:bCs w:val="0"/>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天监测。</w:t>
            </w:r>
          </w:p>
          <w:p>
            <w:pPr>
              <w:pStyle w:val="17"/>
              <w:topLinePunct/>
              <w:spacing w:line="360" w:lineRule="auto"/>
              <w:ind w:firstLine="480"/>
              <w:jc w:val="both"/>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eastAsia" w:hAnsi="Times New Roman"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2</w:t>
            </w:r>
            <w:r>
              <w:rPr>
                <w:rFonts w:hint="eastAsia" w:hAnsi="Times New Roman"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监测分析方法</w:t>
            </w:r>
          </w:p>
          <w:p>
            <w:pPr>
              <w:pStyle w:val="17"/>
              <w:topLinePunct/>
              <w:spacing w:line="360" w:lineRule="auto"/>
              <w:ind w:firstLine="480"/>
              <w:jc w:val="both"/>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highlight w:val="none"/>
                <w14:textFill>
                  <w14:solidFill>
                    <w14:schemeClr w14:val="tx1"/>
                  </w14:solidFill>
                </w14:textFill>
              </w:rPr>
              <w:t>分析方法按照《环境空气质量手工监测技术规范》</w:t>
            </w:r>
            <w:r>
              <w:rPr>
                <w:rFonts w:hint="eastAsia" w:hAnsi="Times New Roman" w:cs="Times New Roman"/>
                <w:b w:val="0"/>
                <w:bCs w:val="0"/>
                <w:color w:val="000000" w:themeColor="text1"/>
                <w:sz w:val="24"/>
                <w:highlight w:val="none"/>
                <w:lang w:eastAsia="zh-CN"/>
                <w14:textFill>
                  <w14:solidFill>
                    <w14:schemeClr w14:val="tx1"/>
                  </w14:solidFill>
                </w14:textFill>
              </w:rPr>
              <w:t>（HJ 194-2017）</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中有关规定进行监测。</w:t>
            </w:r>
          </w:p>
          <w:p>
            <w:pPr>
              <w:pStyle w:val="17"/>
              <w:topLinePunct/>
              <w:spacing w:line="360" w:lineRule="auto"/>
              <w:ind w:firstLine="480"/>
              <w:jc w:val="both"/>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eastAsia" w:hAnsi="Times New Roman"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3</w:t>
            </w:r>
            <w:r>
              <w:rPr>
                <w:rFonts w:hint="eastAsia" w:hAnsi="Times New Roman"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评价标准</w:t>
            </w:r>
          </w:p>
          <w:p>
            <w:pPr>
              <w:pStyle w:val="17"/>
              <w:topLinePunct/>
              <w:spacing w:line="360" w:lineRule="auto"/>
              <w:ind w:firstLine="480"/>
              <w:jc w:val="both"/>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highlight w:val="none"/>
                <w14:textFill>
                  <w14:solidFill>
                    <w14:schemeClr w14:val="tx1"/>
                  </w14:solidFill>
                </w14:textFill>
              </w:rPr>
              <w:t>本次评价执行《环境空气质量标准》（GB3095-20</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26</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中过渡阶段浓度限值的</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二级标</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准</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w:t>
            </w:r>
            <w:r>
              <w:rPr>
                <w:rFonts w:hint="default" w:ascii="Times New Roman" w:hAnsi="Times New Roman" w:cs="Times New Roman"/>
                <w:b w:val="0"/>
                <w:bCs w:val="0"/>
                <w:color w:val="000000" w:themeColor="text1"/>
                <w:sz w:val="24"/>
                <w:highlight w:val="none"/>
                <w:lang w:eastAsia="zh-CN"/>
                <w14:textFill>
                  <w14:solidFill>
                    <w14:schemeClr w14:val="tx1"/>
                  </w14:solidFill>
                </w14:textFill>
              </w:rPr>
              <w:t>标准值</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详见表3-</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w:t>
            </w:r>
          </w:p>
          <w:p>
            <w:pPr>
              <w:adjustRightInd w:val="0"/>
              <w:snapToGrid w:val="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snapToGrid w:val="0"/>
                <w:color w:val="000000" w:themeColor="text1"/>
                <w:sz w:val="21"/>
                <w:szCs w:val="21"/>
                <w:highlight w:val="none"/>
                <w14:textFill>
                  <w14:solidFill>
                    <w14:schemeClr w14:val="tx1"/>
                  </w14:solidFill>
                </w14:textFill>
              </w:rPr>
              <w:t>表3-</w:t>
            </w:r>
            <w:r>
              <w:rPr>
                <w:rFonts w:hint="default" w:ascii="Times New Roman" w:hAnsi="Times New Roman" w:cs="Times New Roman"/>
                <w:b/>
                <w:bCs/>
                <w:snapToGrid w:val="0"/>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bCs/>
                <w:snapToGrid w:val="0"/>
                <w:color w:val="000000" w:themeColor="text1"/>
                <w:sz w:val="21"/>
                <w:szCs w:val="21"/>
                <w:highlight w:val="none"/>
                <w14:textFill>
                  <w14:solidFill>
                    <w14:schemeClr w14:val="tx1"/>
                  </w14:solidFill>
                </w14:textFill>
              </w:rPr>
              <w:t xml:space="preserve">   环境空气质量标准</w:t>
            </w:r>
          </w:p>
          <w:tbl>
            <w:tblPr>
              <w:tblStyle w:val="32"/>
              <w:tblW w:w="4999"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35"/>
              <w:gridCol w:w="1970"/>
              <w:gridCol w:w="4577"/>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39" w:type="pct"/>
                  <w:tcBorders>
                    <w:top w:val="single" w:color="000000" w:sz="12" w:space="0"/>
                    <w:bottom w:val="single" w:color="000000" w:sz="12" w:space="0"/>
                  </w:tcBorders>
                  <w:vAlign w:val="center"/>
                </w:tcPr>
                <w:p>
                  <w:pPr>
                    <w:adjustRightInd w:val="0"/>
                    <w:snapToGrid w:val="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1282" w:type="pct"/>
                  <w:tcBorders>
                    <w:top w:val="single" w:color="000000" w:sz="12" w:space="0"/>
                    <w:bottom w:val="single" w:color="000000" w:sz="12" w:space="0"/>
                  </w:tcBorders>
                  <w:vAlign w:val="center"/>
                </w:tcPr>
                <w:p>
                  <w:pPr>
                    <w:adjustRightInd w:val="0"/>
                    <w:snapToGrid w:val="0"/>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限值</w:t>
                  </w:r>
                </w:p>
              </w:tc>
              <w:tc>
                <w:tcPr>
                  <w:tcW w:w="2978" w:type="pct"/>
                  <w:tcBorders>
                    <w:top w:val="single" w:color="000000" w:sz="12" w:space="0"/>
                    <w:bottom w:val="single" w:color="000000" w:sz="12" w:space="0"/>
                  </w:tcBorders>
                  <w:vAlign w:val="center"/>
                </w:tcPr>
                <w:p>
                  <w:pPr>
                    <w:adjustRightInd w:val="0"/>
                    <w:snapToGrid w:val="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标准来源</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39" w:type="pct"/>
                  <w:tcBorders>
                    <w:top w:val="single" w:color="000000" w:sz="12" w:space="0"/>
                    <w:bottom w:val="single" w:color="000000" w:sz="12" w:space="0"/>
                  </w:tcBorders>
                  <w:vAlign w:val="center"/>
                </w:tcPr>
                <w:p>
                  <w:pPr>
                    <w:adjustRightInd w:val="0"/>
                    <w:snapToGrid w:val="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TSP</w:t>
                  </w:r>
                </w:p>
              </w:tc>
              <w:tc>
                <w:tcPr>
                  <w:tcW w:w="1282" w:type="pct"/>
                  <w:tcBorders>
                    <w:top w:val="single" w:color="000000" w:sz="12" w:space="0"/>
                    <w:bottom w:val="single" w:color="000000" w:sz="12" w:space="0"/>
                  </w:tcBorders>
                  <w:vAlign w:val="center"/>
                </w:tcPr>
                <w:p>
                  <w:pPr>
                    <w:adjustRightInd w:val="0"/>
                    <w:snapToGrid w:val="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0.3mg/m</w:t>
                  </w:r>
                  <w:r>
                    <w:rPr>
                      <w:rFonts w:hint="default" w:ascii="Times New Roman" w:hAnsi="Times New Roman" w:cs="Times New Roman"/>
                      <w:b w:val="0"/>
                      <w:bCs w:val="0"/>
                      <w:color w:val="000000" w:themeColor="text1"/>
                      <w:sz w:val="21"/>
                      <w:szCs w:val="21"/>
                      <w:highlight w:val="none"/>
                      <w:vertAlign w:val="superscript"/>
                      <w14:textFill>
                        <w14:solidFill>
                          <w14:schemeClr w14:val="tx1"/>
                        </w14:solidFill>
                      </w14:textFill>
                    </w:rPr>
                    <w:t>3</w:t>
                  </w:r>
                </w:p>
              </w:tc>
              <w:tc>
                <w:tcPr>
                  <w:tcW w:w="2978" w:type="pct"/>
                  <w:tcBorders>
                    <w:top w:val="single" w:color="000000" w:sz="12" w:space="0"/>
                    <w:bottom w:val="single" w:color="000000" w:sz="12" w:space="0"/>
                  </w:tcBorders>
                  <w:vAlign w:val="center"/>
                </w:tcPr>
                <w:p>
                  <w:pPr>
                    <w:adjustRightInd w:val="0"/>
                    <w:snapToGrid w:val="0"/>
                    <w:jc w:val="cente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《环境空气质量标准》（GB3095-20</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26</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中过渡阶段浓度限值的</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二级标</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准</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739" w:type="pct"/>
                  <w:tcBorders>
                    <w:top w:val="single" w:color="000000" w:sz="12" w:space="0"/>
                    <w:bottom w:val="single" w:color="000000" w:sz="12" w:space="0"/>
                  </w:tcBorders>
                  <w:vAlign w:val="center"/>
                </w:tcPr>
                <w:p>
                  <w:pPr>
                    <w:adjustRightInd w:val="0"/>
                    <w:snapToGrid w:val="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非甲烷总烃</w:t>
                  </w:r>
                </w:p>
              </w:tc>
              <w:tc>
                <w:tcPr>
                  <w:tcW w:w="1282" w:type="pct"/>
                  <w:tcBorders>
                    <w:top w:val="single" w:color="000000" w:sz="12" w:space="0"/>
                    <w:bottom w:val="single" w:color="000000" w:sz="12" w:space="0"/>
                  </w:tcBorders>
                  <w:vAlign w:val="center"/>
                </w:tcPr>
                <w:p>
                  <w:pPr>
                    <w:adjustRightInd w:val="0"/>
                    <w:snapToGrid w:val="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w:t>
                  </w:r>
                  <w:r>
                    <w:rPr>
                      <w:rFonts w:hint="default" w:ascii="Times New Roman" w:hAnsi="Times New Roman" w:cs="Times New Roman"/>
                      <w:b w:val="0"/>
                      <w:bCs w:val="0"/>
                      <w:color w:val="000000" w:themeColor="text1"/>
                      <w:sz w:val="21"/>
                      <w:szCs w:val="21"/>
                      <w:highlight w:val="none"/>
                      <w14:textFill>
                        <w14:solidFill>
                          <w14:schemeClr w14:val="tx1"/>
                        </w14:solidFill>
                      </w14:textFill>
                    </w:rPr>
                    <w:t>mg/m</w:t>
                  </w:r>
                  <w:r>
                    <w:rPr>
                      <w:rFonts w:hint="default" w:ascii="Times New Roman" w:hAnsi="Times New Roman" w:cs="Times New Roman"/>
                      <w:b w:val="0"/>
                      <w:bCs w:val="0"/>
                      <w:color w:val="000000" w:themeColor="text1"/>
                      <w:sz w:val="21"/>
                      <w:szCs w:val="21"/>
                      <w:highlight w:val="none"/>
                      <w:vertAlign w:val="superscript"/>
                      <w14:textFill>
                        <w14:solidFill>
                          <w14:schemeClr w14:val="tx1"/>
                        </w14:solidFill>
                      </w14:textFill>
                    </w:rPr>
                    <w:t>3</w:t>
                  </w:r>
                </w:p>
              </w:tc>
              <w:tc>
                <w:tcPr>
                  <w:tcW w:w="2978" w:type="pct"/>
                  <w:tcBorders>
                    <w:top w:val="single" w:color="000000" w:sz="12" w:space="0"/>
                    <w:bottom w:val="single" w:color="000000" w:sz="12" w:space="0"/>
                  </w:tcBorders>
                  <w:vAlign w:val="center"/>
                </w:tcPr>
                <w:p>
                  <w:pPr>
                    <w:adjustRightInd w:val="0"/>
                    <w:snapToGrid w:val="0"/>
                    <w:jc w:val="cente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《大气污染物综合排放标准详解》中限值要求</w:t>
                  </w:r>
                </w:p>
              </w:tc>
            </w:tr>
          </w:tbl>
          <w:p>
            <w:pPr>
              <w:pStyle w:val="17"/>
              <w:keepNext w:val="0"/>
              <w:keepLines w:val="0"/>
              <w:pageBreakBefore w:val="0"/>
              <w:widowControl w:val="0"/>
              <w:kinsoku/>
              <w:wordWrap/>
              <w:overflowPunct/>
              <w:topLinePunct/>
              <w:autoSpaceDE/>
              <w:autoSpaceDN/>
              <w:bidi w:val="0"/>
              <w:adjustRightInd/>
              <w:snapToGrid/>
              <w:spacing w:line="440" w:lineRule="exact"/>
              <w:ind w:firstLine="482"/>
              <w:jc w:val="both"/>
              <w:textAlignment w:val="auto"/>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eastAsia" w:hAnsi="Times New Roman"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4</w:t>
            </w:r>
            <w:r>
              <w:rPr>
                <w:rFonts w:hint="eastAsia" w:hAnsi="Times New Roman" w:cs="Times New Roman"/>
                <w:b w:val="0"/>
                <w:bCs w:val="0"/>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评价结果</w:t>
            </w:r>
          </w:p>
          <w:p>
            <w:pPr>
              <w:pStyle w:val="17"/>
              <w:topLinePunct/>
              <w:spacing w:line="360" w:lineRule="auto"/>
              <w:ind w:firstLine="480"/>
              <w:jc w:val="both"/>
              <w:rPr>
                <w:rFonts w:hint="default" w:ascii="Times New Roman" w:hAnsi="Times New Roman" w:eastAsia="宋体" w:cs="Times New Roman"/>
                <w:b w:val="0"/>
                <w:bCs w:val="0"/>
                <w:color w:val="000000" w:themeColor="text1"/>
                <w:sz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highlight w:val="none"/>
                <w14:textFill>
                  <w14:solidFill>
                    <w14:schemeClr w14:val="tx1"/>
                  </w14:solidFill>
                </w14:textFill>
              </w:rPr>
              <w:t>监测及评价结果统计，详见表3-</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w:t>
            </w:r>
          </w:p>
          <w:p>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表3-</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bCs/>
                <w:color w:val="000000" w:themeColor="text1"/>
                <w:sz w:val="21"/>
                <w:szCs w:val="21"/>
                <w:highlight w:val="none"/>
                <w14:textFill>
                  <w14:solidFill>
                    <w14:schemeClr w14:val="tx1"/>
                  </w14:solidFill>
                </w14:textFill>
              </w:rPr>
              <w:t xml:space="preserve">   环境空气质量结果汇总表</w:t>
            </w:r>
            <w:r>
              <w:rPr>
                <w:rFonts w:hint="eastAsia"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b/>
                <w:bCs/>
                <w:color w:val="000000" w:themeColor="text1"/>
                <w:sz w:val="21"/>
                <w:szCs w:val="21"/>
                <w:highlight w:val="none"/>
                <w14:textFill>
                  <w14:solidFill>
                    <w14:schemeClr w14:val="tx1"/>
                  </w14:solidFill>
                </w14:textFill>
              </w:rPr>
              <w:t>单位：mg/m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p>
          <w:tbl>
            <w:tblPr>
              <w:tblStyle w:val="32"/>
              <w:tblW w:w="0" w:type="auto"/>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23"/>
              <w:gridCol w:w="1161"/>
              <w:gridCol w:w="1021"/>
              <w:gridCol w:w="891"/>
              <w:gridCol w:w="891"/>
              <w:gridCol w:w="975"/>
              <w:gridCol w:w="734"/>
              <w:gridCol w:w="788"/>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9" w:hRule="atLeast"/>
                <w:jc w:val="center"/>
              </w:trPr>
              <w:tc>
                <w:tcPr>
                  <w:tcW w:w="1223" w:type="dxa"/>
                  <w:vMerge w:val="restart"/>
                  <w:tcBorders>
                    <w:top w:val="single" w:color="000000" w:sz="12" w:space="0"/>
                  </w:tcBorders>
                  <w:vAlign w:val="center"/>
                </w:tcPr>
                <w:p>
                  <w:pPr>
                    <w:pStyle w:val="14"/>
                    <w:spacing w:after="0"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监测点位</w:t>
                  </w:r>
                </w:p>
              </w:tc>
              <w:tc>
                <w:tcPr>
                  <w:tcW w:w="1161" w:type="dxa"/>
                  <w:vMerge w:val="restart"/>
                  <w:tcBorders>
                    <w:top w:val="single" w:color="000000" w:sz="12" w:space="0"/>
                  </w:tcBorders>
                  <w:vAlign w:val="center"/>
                </w:tcPr>
                <w:p>
                  <w:pPr>
                    <w:pStyle w:val="14"/>
                    <w:spacing w:after="0"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采样时间</w:t>
                  </w:r>
                </w:p>
              </w:tc>
              <w:tc>
                <w:tcPr>
                  <w:tcW w:w="1021" w:type="dxa"/>
                  <w:tcBorders>
                    <w:top w:val="single" w:color="000000" w:sz="12" w:space="0"/>
                  </w:tcBorders>
                  <w:shd w:val="clear" w:color="auto" w:fill="auto"/>
                  <w:vAlign w:val="center"/>
                </w:tcPr>
                <w:p>
                  <w:pPr>
                    <w:pStyle w:val="14"/>
                    <w:spacing w:after="0" w:line="240" w:lineRule="auto"/>
                    <w:ind w:right="113" w:rightChars="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检测结果</w:t>
                  </w:r>
                </w:p>
              </w:tc>
              <w:tc>
                <w:tcPr>
                  <w:tcW w:w="891" w:type="dxa"/>
                  <w:tcBorders>
                    <w:top w:val="single" w:color="000000" w:sz="12" w:space="0"/>
                  </w:tcBorders>
                  <w:shd w:val="clear" w:color="auto" w:fill="auto"/>
                  <w:vAlign w:val="center"/>
                </w:tcPr>
                <w:p>
                  <w:pPr>
                    <w:pStyle w:val="14"/>
                    <w:spacing w:after="0" w:line="240" w:lineRule="auto"/>
                    <w:ind w:right="113" w:rightChars="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标准值</w:t>
                  </w:r>
                </w:p>
              </w:tc>
              <w:tc>
                <w:tcPr>
                  <w:tcW w:w="891" w:type="dxa"/>
                  <w:tcBorders>
                    <w:top w:val="single" w:color="000000" w:sz="12" w:space="0"/>
                  </w:tcBorders>
                  <w:shd w:val="clear" w:color="auto" w:fill="auto"/>
                  <w:vAlign w:val="center"/>
                </w:tcPr>
                <w:p>
                  <w:pPr>
                    <w:pStyle w:val="14"/>
                    <w:spacing w:after="0" w:line="240" w:lineRule="auto"/>
                    <w:ind w:right="113" w:rightChars="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占标率</w:t>
                  </w:r>
                  <w:r>
                    <w:rPr>
                      <w:rFonts w:hint="eastAsia" w:cs="Times New Roman"/>
                      <w:b/>
                      <w:bCs/>
                      <w:color w:val="000000" w:themeColor="text1"/>
                      <w:sz w:val="21"/>
                      <w:szCs w:val="21"/>
                      <w:highlight w:val="none"/>
                      <w:lang w:eastAsia="zh-CN"/>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w:t>
                  </w:r>
                  <w:r>
                    <w:rPr>
                      <w:rFonts w:hint="eastAsia" w:cs="Times New Roman"/>
                      <w:b/>
                      <w:bCs/>
                      <w:color w:val="000000" w:themeColor="text1"/>
                      <w:sz w:val="21"/>
                      <w:szCs w:val="21"/>
                      <w:highlight w:val="none"/>
                      <w:lang w:eastAsia="zh-CN"/>
                      <w14:textFill>
                        <w14:solidFill>
                          <w14:schemeClr w14:val="tx1"/>
                        </w14:solidFill>
                      </w14:textFill>
                    </w:rPr>
                    <w:t>）</w:t>
                  </w:r>
                </w:p>
              </w:tc>
              <w:tc>
                <w:tcPr>
                  <w:tcW w:w="975" w:type="dxa"/>
                  <w:tcBorders>
                    <w:top w:val="single" w:color="000000" w:sz="12" w:space="0"/>
                  </w:tcBorders>
                  <w:vAlign w:val="center"/>
                </w:tcPr>
                <w:p>
                  <w:pPr>
                    <w:pStyle w:val="14"/>
                    <w:spacing w:after="0"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检测结果</w:t>
                  </w:r>
                </w:p>
              </w:tc>
              <w:tc>
                <w:tcPr>
                  <w:tcW w:w="734" w:type="dxa"/>
                  <w:tcBorders>
                    <w:top w:val="single" w:color="000000" w:sz="12" w:space="0"/>
                  </w:tcBorders>
                  <w:vAlign w:val="center"/>
                </w:tcPr>
                <w:p>
                  <w:pPr>
                    <w:pStyle w:val="14"/>
                    <w:spacing w:after="0"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标准值</w:t>
                  </w:r>
                </w:p>
              </w:tc>
              <w:tc>
                <w:tcPr>
                  <w:tcW w:w="788" w:type="dxa"/>
                  <w:tcBorders>
                    <w:top w:val="single" w:color="000000" w:sz="12" w:space="0"/>
                  </w:tcBorders>
                  <w:vAlign w:val="center"/>
                </w:tcPr>
                <w:p>
                  <w:pPr>
                    <w:pStyle w:val="14"/>
                    <w:spacing w:after="0" w:line="240" w:lineRule="auto"/>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占标率</w:t>
                  </w:r>
                  <w:r>
                    <w:rPr>
                      <w:rFonts w:hint="eastAsia" w:cs="Times New Roman"/>
                      <w:b/>
                      <w:bCs/>
                      <w:color w:val="000000" w:themeColor="text1"/>
                      <w:sz w:val="21"/>
                      <w:szCs w:val="21"/>
                      <w:highlight w:val="none"/>
                      <w:lang w:eastAsia="zh-CN"/>
                      <w14:textFill>
                        <w14:solidFill>
                          <w14:schemeClr w14:val="tx1"/>
                        </w14:solidFill>
                      </w14:textFill>
                    </w:rPr>
                    <w:t>（</w:t>
                  </w:r>
                  <w:r>
                    <w:rPr>
                      <w:rFonts w:hint="eastAsia" w:cs="Times New Roman"/>
                      <w:b/>
                      <w:bCs/>
                      <w:color w:val="000000" w:themeColor="text1"/>
                      <w:sz w:val="21"/>
                      <w:szCs w:val="21"/>
                      <w:highlight w:val="none"/>
                      <w:lang w:val="en-US" w:eastAsia="zh-CN"/>
                      <w14:textFill>
                        <w14:solidFill>
                          <w14:schemeClr w14:val="tx1"/>
                        </w14:solidFill>
                      </w14:textFill>
                    </w:rPr>
                    <w:t>%</w:t>
                  </w:r>
                  <w:r>
                    <w:rPr>
                      <w:rFonts w:hint="eastAsia" w:cs="Times New Roman"/>
                      <w:b/>
                      <w:bCs/>
                      <w:color w:val="000000" w:themeColor="text1"/>
                      <w:sz w:val="21"/>
                      <w:szCs w:val="21"/>
                      <w:highlight w:val="none"/>
                      <w:lang w:eastAsia="zh-CN"/>
                      <w14:textFill>
                        <w14:solidFill>
                          <w14:schemeClr w14:val="tx1"/>
                        </w14:solidFill>
                      </w14:textFill>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20" w:hRule="atLeast"/>
                <w:jc w:val="center"/>
              </w:trPr>
              <w:tc>
                <w:tcPr>
                  <w:tcW w:w="1223" w:type="dxa"/>
                  <w:vMerge w:val="continue"/>
                  <w:tcBorders>
                    <w:bottom w:val="single" w:color="000000" w:sz="12" w:space="0"/>
                  </w:tcBorders>
                  <w:vAlign w:val="center"/>
                </w:tcPr>
                <w:p>
                  <w:pPr>
                    <w:pStyle w:val="14"/>
                    <w:spacing w:after="0"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1161" w:type="dxa"/>
                  <w:vMerge w:val="continue"/>
                  <w:tcBorders>
                    <w:bottom w:val="single" w:color="000000" w:sz="12" w:space="0"/>
                  </w:tcBorders>
                  <w:vAlign w:val="center"/>
                </w:tcPr>
                <w:p>
                  <w:pPr>
                    <w:pStyle w:val="14"/>
                    <w:spacing w:after="0"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2803" w:type="dxa"/>
                  <w:gridSpan w:val="3"/>
                  <w:tcBorders>
                    <w:bottom w:val="single" w:color="000000" w:sz="12" w:space="0"/>
                  </w:tcBorders>
                  <w:vAlign w:val="center"/>
                </w:tcPr>
                <w:p>
                  <w:pPr>
                    <w:pStyle w:val="14"/>
                    <w:spacing w:after="0"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非甲烷总烃</w:t>
                  </w:r>
                </w:p>
              </w:tc>
              <w:tc>
                <w:tcPr>
                  <w:tcW w:w="2497" w:type="dxa"/>
                  <w:gridSpan w:val="3"/>
                  <w:tcBorders>
                    <w:bottom w:val="single" w:color="000000" w:sz="12" w:space="0"/>
                  </w:tcBorders>
                  <w:vAlign w:val="center"/>
                </w:tcPr>
                <w:p>
                  <w:pPr>
                    <w:pStyle w:val="14"/>
                    <w:spacing w:after="0" w:line="240" w:lineRule="auto"/>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TSP</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1223" w:type="dxa"/>
                  <w:vMerge w:val="restart"/>
                  <w:tcBorders>
                    <w:top w:val="single" w:color="000000" w:sz="12" w:space="0"/>
                  </w:tcBorders>
                  <w:vAlign w:val="center"/>
                </w:tcPr>
                <w:p>
                  <w:pPr>
                    <w:pStyle w:val="14"/>
                    <w:spacing w:after="0" w:line="240" w:lineRule="auto"/>
                    <w:jc w:val="cente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项目区</w:t>
                  </w:r>
                  <w:r>
                    <w:rPr>
                      <w:rFonts w:hint="eastAsia" w:cs="Times New Roman"/>
                      <w:b w:val="0"/>
                      <w:bCs w:val="0"/>
                      <w:color w:val="000000" w:themeColor="text1"/>
                      <w:sz w:val="21"/>
                      <w:szCs w:val="21"/>
                      <w:highlight w:val="none"/>
                      <w:lang w:val="en-US" w:eastAsia="zh-CN"/>
                      <w14:textFill>
                        <w14:solidFill>
                          <w14:schemeClr w14:val="tx1"/>
                        </w14:solidFill>
                      </w14:textFill>
                    </w:rPr>
                    <w:t>西北侧3.757</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km处</w:t>
                  </w:r>
                </w:p>
              </w:tc>
              <w:tc>
                <w:tcPr>
                  <w:tcW w:w="116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2023.10.26</w:t>
                  </w:r>
                </w:p>
              </w:tc>
              <w:tc>
                <w:tcPr>
                  <w:tcW w:w="102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0.89-0.98</w:t>
                  </w:r>
                </w:p>
              </w:tc>
              <w:tc>
                <w:tcPr>
                  <w:tcW w:w="89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w:t>
                  </w:r>
                </w:p>
              </w:tc>
              <w:tc>
                <w:tcPr>
                  <w:tcW w:w="89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49.0</w:t>
                  </w:r>
                </w:p>
              </w:tc>
              <w:tc>
                <w:tcPr>
                  <w:tcW w:w="975"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0.120</w:t>
                  </w:r>
                </w:p>
              </w:tc>
              <w:tc>
                <w:tcPr>
                  <w:tcW w:w="734" w:type="dxa"/>
                  <w:tcBorders>
                    <w:top w:val="single" w:color="000000" w:sz="12" w:space="0"/>
                    <w:bottom w:val="single" w:color="000000" w:sz="12" w:space="0"/>
                  </w:tcBorders>
                  <w:vAlign w:val="center"/>
                </w:tcPr>
                <w:p>
                  <w:pPr>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0.3</w:t>
                  </w:r>
                </w:p>
              </w:tc>
              <w:tc>
                <w:tcPr>
                  <w:tcW w:w="788"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1223" w:type="dxa"/>
                  <w:vMerge w:val="continue"/>
                  <w:vAlign w:val="center"/>
                </w:tcPr>
                <w:p>
                  <w:pPr>
                    <w:pStyle w:val="14"/>
                    <w:spacing w:after="0"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1161" w:type="dxa"/>
                  <w:tcBorders>
                    <w:top w:val="single" w:color="000000" w:sz="12" w:space="0"/>
                    <w:bottom w:val="single" w:color="000000" w:sz="12" w:space="0"/>
                  </w:tcBorders>
                  <w:vAlign w:val="center"/>
                </w:tcPr>
                <w:p>
                  <w:pPr>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2023.10.27</w:t>
                  </w:r>
                </w:p>
              </w:tc>
              <w:tc>
                <w:tcPr>
                  <w:tcW w:w="102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0.95-1.04</w:t>
                  </w:r>
                </w:p>
              </w:tc>
              <w:tc>
                <w:tcPr>
                  <w:tcW w:w="89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w:t>
                  </w:r>
                </w:p>
              </w:tc>
              <w:tc>
                <w:tcPr>
                  <w:tcW w:w="89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52.0</w:t>
                  </w:r>
                </w:p>
              </w:tc>
              <w:tc>
                <w:tcPr>
                  <w:tcW w:w="975"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0.136</w:t>
                  </w:r>
                </w:p>
              </w:tc>
              <w:tc>
                <w:tcPr>
                  <w:tcW w:w="734"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0.3</w:t>
                  </w:r>
                </w:p>
              </w:tc>
              <w:tc>
                <w:tcPr>
                  <w:tcW w:w="788" w:type="dxa"/>
                  <w:tcBorders>
                    <w:top w:val="single" w:color="000000" w:sz="12" w:space="0"/>
                    <w:bottom w:val="single" w:color="000000" w:sz="12" w:space="0"/>
                  </w:tcBorders>
                  <w:vAlign w:val="center"/>
                </w:tcPr>
                <w:p>
                  <w:pPr>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45.3</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1223" w:type="dxa"/>
                  <w:vMerge w:val="continue"/>
                  <w:tcBorders>
                    <w:bottom w:val="single" w:color="000000" w:sz="12" w:space="0"/>
                  </w:tcBorders>
                  <w:vAlign w:val="center"/>
                </w:tcPr>
                <w:p>
                  <w:pPr>
                    <w:pStyle w:val="14"/>
                    <w:spacing w:after="0" w:line="240" w:lineRule="auto"/>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1161" w:type="dxa"/>
                  <w:tcBorders>
                    <w:top w:val="single" w:color="000000" w:sz="12" w:space="0"/>
                    <w:bottom w:val="single" w:color="000000" w:sz="12" w:space="0"/>
                  </w:tcBorders>
                  <w:vAlign w:val="center"/>
                </w:tcPr>
                <w:p>
                  <w:pPr>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2023.10.28</w:t>
                  </w:r>
                </w:p>
              </w:tc>
              <w:tc>
                <w:tcPr>
                  <w:tcW w:w="102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0.84-0.96</w:t>
                  </w:r>
                </w:p>
              </w:tc>
              <w:tc>
                <w:tcPr>
                  <w:tcW w:w="89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w:t>
                  </w:r>
                </w:p>
              </w:tc>
              <w:tc>
                <w:tcPr>
                  <w:tcW w:w="891"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48.0</w:t>
                  </w:r>
                </w:p>
              </w:tc>
              <w:tc>
                <w:tcPr>
                  <w:tcW w:w="975"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0.110</w:t>
                  </w:r>
                </w:p>
              </w:tc>
              <w:tc>
                <w:tcPr>
                  <w:tcW w:w="734" w:type="dxa"/>
                  <w:tcBorders>
                    <w:top w:val="single" w:color="000000" w:sz="12" w:space="0"/>
                    <w:bottom w:val="single" w:color="000000" w:sz="12" w:space="0"/>
                  </w:tcBorders>
                  <w:vAlign w:val="center"/>
                </w:tcPr>
                <w:p>
                  <w:pPr>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0.3</w:t>
                  </w:r>
                </w:p>
              </w:tc>
              <w:tc>
                <w:tcPr>
                  <w:tcW w:w="788" w:type="dxa"/>
                  <w:tcBorders>
                    <w:top w:val="single" w:color="000000" w:sz="12" w:space="0"/>
                    <w:bottom w:val="single" w:color="000000" w:sz="12" w:space="0"/>
                  </w:tcBorders>
                  <w:vAlign w:val="center"/>
                </w:tcPr>
                <w:p>
                  <w:pPr>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36.7</w:t>
                  </w:r>
                </w:p>
              </w:tc>
            </w:tr>
          </w:tbl>
          <w:p>
            <w:pPr>
              <w:pStyle w:val="27"/>
              <w:ind w:firstLine="480"/>
              <w:jc w:val="both"/>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由上述列表可知，项目区TSP满足《环境空气质量标准》（GB3095-2026）中过渡阶段浓度限值的二级标准</w:t>
            </w:r>
            <w:r>
              <w:rPr>
                <w:rFonts w:hint="eastAsia"/>
                <w:color w:val="000000" w:themeColor="text1"/>
                <w:lang w:val="en-US" w:eastAsia="zh-CN"/>
                <w14:textFill>
                  <w14:solidFill>
                    <w14:schemeClr w14:val="tx1"/>
                  </w14:solidFill>
                </w14:textFill>
              </w:rPr>
              <w:t>，非甲烷总烃浓度可以满足《大气污染物综合排放标准详解》中限值要求。</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 地表水环境质量现状调查与评价</w:t>
            </w:r>
          </w:p>
          <w:p>
            <w:pPr>
              <w:pStyle w:val="27"/>
              <w:ind w:firstLine="480"/>
              <w:jc w:val="both"/>
              <w:rPr>
                <w:rFonts w:hint="default" w:ascii="Times New Roman" w:hAnsi="Times New Roman" w:eastAsia="宋体" w:cs="Times New Roman"/>
                <w:b w:val="0"/>
                <w:bCs/>
                <w:color w:val="000000" w:themeColor="text1"/>
                <w:kern w:val="2"/>
                <w:sz w:val="24"/>
                <w:szCs w:val="24"/>
                <w:u w:val="none" w:color="auto"/>
                <w:lang w:val="zh-CN" w:eastAsia="zh-CN" w:bidi="zh-CN"/>
                <w14:textFill>
                  <w14:solidFill>
                    <w14:schemeClr w14:val="tx1"/>
                  </w14:solidFill>
                </w14:textFill>
              </w:rPr>
            </w:pPr>
            <w:r>
              <w:rPr>
                <w:rFonts w:hint="default" w:ascii="Times New Roman" w:hAnsi="Times New Roman" w:eastAsia="宋体" w:cs="Times New Roman"/>
                <w:b w:val="0"/>
                <w:bCs/>
                <w:color w:val="000000" w:themeColor="text1"/>
                <w:kern w:val="2"/>
                <w:sz w:val="24"/>
                <w:szCs w:val="24"/>
                <w:u w:val="none" w:color="auto"/>
                <w:lang w:val="zh-CN" w:eastAsia="zh-CN" w:bidi="zh-CN"/>
                <w14:textFill>
                  <w14:solidFill>
                    <w14:schemeClr w14:val="tx1"/>
                  </w14:solidFill>
                </w14:textFill>
              </w:rPr>
              <w:t>根据《建设项目环境影响报告表编制技术指南（污染影响类）（试行）》的要求，“地表水环境质量现状引用与建设项目距离近的有效数据，包括近3 年的规划环境影响评价的监测数据，所在流域控制单元内国家、地方控制断面监测数据，生态环境主管部门发布的水环境质量数据或地表水达标情况的结论”。</w:t>
            </w:r>
          </w:p>
          <w:p>
            <w:pPr>
              <w:pStyle w:val="27"/>
              <w:ind w:firstLine="480"/>
              <w:jc w:val="both"/>
              <w:rPr>
                <w:rFonts w:hint="default" w:ascii="Times New Roman" w:hAnsi="Times New Roman" w:eastAsia="宋体" w:cs="Times New Roman"/>
                <w:b w:val="0"/>
                <w:bCs/>
                <w:color w:val="000000" w:themeColor="text1"/>
                <w:kern w:val="2"/>
                <w:sz w:val="24"/>
                <w:szCs w:val="24"/>
                <w:u w:val="none" w:color="auto"/>
                <w:lang w:val="zh-CN" w:eastAsia="zh-CN" w:bidi="zh-CN"/>
                <w14:textFill>
                  <w14:solidFill>
                    <w14:schemeClr w14:val="tx1"/>
                  </w14:solidFill>
                </w14:textFill>
              </w:rPr>
            </w:pPr>
            <w:r>
              <w:rPr>
                <w:rFonts w:hint="default" w:ascii="Times New Roman" w:hAnsi="Times New Roman" w:eastAsia="宋体" w:cs="Times New Roman"/>
                <w:b w:val="0"/>
                <w:bCs/>
                <w:color w:val="000000" w:themeColor="text1"/>
                <w:kern w:val="2"/>
                <w:sz w:val="24"/>
                <w:szCs w:val="24"/>
                <w:u w:val="none" w:color="auto"/>
                <w:lang w:val="zh-CN" w:eastAsia="zh-CN" w:bidi="zh-CN"/>
                <w14:textFill>
                  <w14:solidFill>
                    <w14:schemeClr w14:val="tx1"/>
                  </w14:solidFill>
                </w14:textFill>
              </w:rPr>
              <w:t>2025 年区域水环境质量：根据2026 年6 月昌吉州人民政府新闻办公室发布的《昌吉州生态环境质量状况》通报，2025 年昌吉州水环境质量持续保持优良水平。全州9 条河流17 个监测断面、2 个湖库5 个监测断面、13 个县级及以上集中式饮用水水源地水质全部达到或优于Ⅲ类标准，水环境治理优良率达100%；地下水国控点位均达到Ⅲ类及以上，无劣Ⅴ类断面，河湖水生态环境持续向好</w:t>
            </w:r>
            <w:r>
              <w:rPr>
                <w:rFonts w:hint="eastAsia" w:cs="Times New Roman"/>
                <w:b w:val="0"/>
                <w:bCs/>
                <w:color w:val="000000" w:themeColor="text1"/>
                <w:kern w:val="2"/>
                <w:sz w:val="24"/>
                <w:szCs w:val="24"/>
                <w:u w:val="none" w:color="auto"/>
                <w:lang w:val="zh-CN" w:eastAsia="zh-CN" w:bidi="zh-CN"/>
                <w14:textFill>
                  <w14:solidFill>
                    <w14:schemeClr w14:val="tx1"/>
                  </w14:solidFill>
                </w14:textFill>
              </w:rPr>
              <w:t>。</w:t>
            </w:r>
          </w:p>
          <w:p>
            <w:pPr>
              <w:pStyle w:val="27"/>
              <w:ind w:firstLine="480"/>
              <w:jc w:val="both"/>
              <w:rPr>
                <w:rFonts w:hint="default" w:ascii="Times New Roman" w:hAnsi="Times New Roman" w:eastAsia="宋体" w:cs="Times New Roman"/>
                <w:b w:val="0"/>
                <w:bCs/>
                <w:color w:val="000000" w:themeColor="text1"/>
                <w:kern w:val="2"/>
                <w:sz w:val="24"/>
                <w:szCs w:val="24"/>
                <w:u w:val="none" w:color="auto"/>
                <w:lang w:val="zh-CN" w:eastAsia="zh-CN" w:bidi="zh-CN"/>
                <w14:textFill>
                  <w14:solidFill>
                    <w14:schemeClr w14:val="tx1"/>
                  </w14:solidFill>
                </w14:textFill>
              </w:rPr>
            </w:pPr>
            <w:r>
              <w:rPr>
                <w:rFonts w:hint="default" w:ascii="Times New Roman" w:hAnsi="Times New Roman" w:eastAsia="宋体" w:cs="Times New Roman"/>
                <w:b w:val="0"/>
                <w:bCs/>
                <w:color w:val="000000" w:themeColor="text1"/>
                <w:kern w:val="2"/>
                <w:sz w:val="24"/>
                <w:szCs w:val="24"/>
                <w:u w:val="none" w:color="auto"/>
                <w:lang w:val="zh-CN" w:eastAsia="zh-CN" w:bidi="zh-CN"/>
                <w14:textFill>
                  <w14:solidFill>
                    <w14:schemeClr w14:val="tx1"/>
                  </w14:solidFill>
                </w14:textFill>
              </w:rPr>
              <w:t>本项目运营期生产废水主要为冷却循环用水，冷却水循环使用不外排；生活污水经园区下水管网，最终由园区污水处理厂处理，本项目废水不与地表水体发生直接联系</w:t>
            </w:r>
            <w:r>
              <w:rPr>
                <w:rFonts w:hint="eastAsia" w:cs="Times New Roman"/>
                <w:b w:val="0"/>
                <w:bCs/>
                <w:color w:val="000000" w:themeColor="text1"/>
                <w:kern w:val="2"/>
                <w:sz w:val="24"/>
                <w:szCs w:val="24"/>
                <w:u w:val="none" w:color="auto"/>
                <w:lang w:val="zh-CN" w:eastAsia="zh-CN" w:bidi="zh-CN"/>
                <w14:textFill>
                  <w14:solidFill>
                    <w14:schemeClr w14:val="tx1"/>
                  </w14:solidFill>
                </w14:textFill>
              </w:rPr>
              <w:t>。</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3 声环境质量现状及分析</w:t>
            </w:r>
          </w:p>
          <w:p>
            <w:pPr>
              <w:pStyle w:val="27"/>
              <w:ind w:firstLine="480"/>
              <w:jc w:val="both"/>
              <w:rPr>
                <w:rFonts w:hint="default" w:eastAsia="宋体"/>
                <w:color w:val="000000" w:themeColor="text1"/>
                <w:lang w:val="en-US" w:eastAsia="zh-CN"/>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根据《建设项目环境影响报告表编制技术指南（污染影响类）</w:t>
            </w:r>
            <w:r>
              <w:rPr>
                <w:rFonts w:hint="eastAsia" w:cs="Times New Roman"/>
                <w:b w:val="0"/>
                <w:color w:val="000000" w:themeColor="text1"/>
                <w:kern w:val="2"/>
                <w:sz w:val="24"/>
                <w:szCs w:val="24"/>
                <w:lang w:val="en-US" w:eastAsia="zh-CN" w:bidi="ar-SA"/>
                <w14:textFill>
                  <w14:solidFill>
                    <w14:schemeClr w14:val="tx1"/>
                  </w14:solidFill>
                </w14:textFill>
              </w:rPr>
              <w:t>（试行）》</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中区域环境质量现状评价要求，本项目厂界外周边50m范围内无声环境保护目标，因此，可不开展声环境现状调查与评价</w:t>
            </w:r>
            <w:r>
              <w:rPr>
                <w:rFonts w:hint="eastAsia"/>
                <w:color w:val="000000" w:themeColor="text1"/>
                <w:lang w:val="en-US" w:eastAsia="zh-CN"/>
                <w14:textFill>
                  <w14:solidFill>
                    <w14:schemeClr w14:val="tx1"/>
                  </w14:solidFill>
                </w14:textFill>
              </w:rPr>
              <w:t>。</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4 生态环境</w:t>
            </w:r>
          </w:p>
          <w:p>
            <w:pPr>
              <w:pStyle w:val="27"/>
              <w:bidi w:val="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《建设项目环境影响报告表编制技术指南（污染影响类）</w:t>
            </w:r>
            <w:r>
              <w:rPr>
                <w:rFonts w:hint="eastAsia" w:cs="Times New Roman"/>
                <w:b w:val="0"/>
                <w:color w:val="000000" w:themeColor="text1"/>
                <w:kern w:val="2"/>
                <w:sz w:val="24"/>
                <w:szCs w:val="24"/>
                <w:lang w:val="en-US" w:eastAsia="zh-CN" w:bidi="ar-SA"/>
                <w14:textFill>
                  <w14:solidFill>
                    <w14:schemeClr w14:val="tx1"/>
                  </w14:solidFill>
                </w14:textFill>
              </w:rPr>
              <w:t>（试行）》</w:t>
            </w:r>
            <w:r>
              <w:rPr>
                <w:rFonts w:hint="eastAsia"/>
                <w:color w:val="000000" w:themeColor="text1"/>
                <w:lang w:val="en-US" w:eastAsia="zh-CN"/>
                <w14:textFill>
                  <w14:solidFill>
                    <w14:schemeClr w14:val="tx1"/>
                  </w14:solidFill>
                </w14:textFill>
              </w:rPr>
              <w:t>，本项目位于新疆昌吉国家高新技术产业开发区经一路和创业大道交汇处特变电工智能电缆产业园内，用地属于工业用地，且不新增用地，无珍稀濒危物种、自然保护区、风景名胜区等生态环境保护目标，不属于生态敏感区，本次评价不开展生态环境现状调查</w:t>
            </w:r>
            <w:r>
              <w:rPr>
                <w:rFonts w:hint="eastAsia"/>
                <w:color w:val="000000" w:themeColor="text1"/>
                <w:lang w:eastAsia="zh-CN"/>
                <w14:textFill>
                  <w14:solidFill>
                    <w14:schemeClr w14:val="tx1"/>
                  </w14:solidFill>
                </w14:textFill>
              </w:rPr>
              <w:t>。</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地下水、土壤环境</w:t>
            </w:r>
          </w:p>
          <w:p>
            <w:pPr>
              <w:pStyle w:val="27"/>
              <w:ind w:firstLine="480"/>
              <w:jc w:val="both"/>
              <w:rPr>
                <w:rFonts w:hint="default" w:ascii="Times New Roman" w:hAnsi="Times New Roman" w:eastAsia="宋体" w:cstheme="minorBidi"/>
                <w:b/>
                <w:color w:val="000000" w:themeColor="text1"/>
                <w:kern w:val="2"/>
                <w:sz w:val="24"/>
                <w:szCs w:val="24"/>
                <w:lang w:val="en-US" w:eastAsia="zh-CN" w:bidi="ar-SA"/>
                <w14:textFill>
                  <w14:solidFill>
                    <w14:schemeClr w14:val="tx1"/>
                  </w14:solidFill>
                </w14:textFill>
              </w:rPr>
            </w:pPr>
            <w:r>
              <w:rPr>
                <w:rFonts w:hint="eastAsia"/>
                <w:color w:val="000000" w:themeColor="text1"/>
                <w14:textFill>
                  <w14:solidFill>
                    <w14:schemeClr w14:val="tx1"/>
                  </w14:solidFill>
                </w14:textFill>
              </w:rPr>
              <w:t>根据</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《建设项目环境影响报告表编制技术指南（污染影响类）</w:t>
            </w:r>
            <w:r>
              <w:rPr>
                <w:rFonts w:hint="eastAsia" w:cs="Times New Roman"/>
                <w:b w:val="0"/>
                <w:color w:val="000000" w:themeColor="text1"/>
                <w:kern w:val="2"/>
                <w:sz w:val="24"/>
                <w:szCs w:val="24"/>
                <w:lang w:val="en-US" w:eastAsia="zh-CN" w:bidi="ar-SA"/>
                <w14:textFill>
                  <w14:solidFill>
                    <w14:schemeClr w14:val="tx1"/>
                  </w14:solidFill>
                </w14:textFill>
              </w:rPr>
              <w:t>（试行）》</w:t>
            </w:r>
            <w:r>
              <w:rPr>
                <w:rFonts w:hint="eastAsia"/>
                <w:color w:val="000000" w:themeColor="text1"/>
                <w14:textFill>
                  <w14:solidFill>
                    <w14:schemeClr w14:val="tx1"/>
                  </w14:solidFill>
                </w14:textFill>
              </w:rPr>
              <w:t>，地下水、土壤环境原则上不开展环境质量现状调查，建设项目存在地下水环境、土壤环境污染途径的</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应结合污染源、保护目标分布情况开展现状调查以留作背景值。</w:t>
            </w:r>
            <w:r>
              <w:rPr>
                <w:rFonts w:hint="eastAsia"/>
                <w:color w:val="000000" w:themeColor="text1"/>
                <w:lang w:val="en-US" w:eastAsia="zh-CN"/>
                <w14:textFill>
                  <w14:solidFill>
                    <w14:schemeClr w14:val="tx1"/>
                  </w14:solidFill>
                </w14:textFill>
              </w:rPr>
              <w:t>本项目不使用含有毒有害、含重金属的原辅材料。本项目大气污染因子主要是颗粒物、二氧化硫、氮氧化物、非甲烷总烃，为非持久性污染物，同时按照规范和要求，基本不存在裸露的土壤地面，可有效阻断污染物入渗土壤的途径，正常工况下不会对地下水、土壤环境造成显著不良影响。故不存在土壤、地下水环境污染途径，可不开展土壤环境质量现状调查</w:t>
            </w:r>
            <w:r>
              <w:rPr>
                <w:rFonts w:hint="eastAsia"/>
                <w:color w:val="000000" w:themeColor="text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56" w:hRule="atLeast"/>
          <w:jc w:val="center"/>
        </w:trPr>
        <w:tc>
          <w:tcPr>
            <w:tcW w:w="622" w:type="dxa"/>
            <w:tcBorders>
              <w:tl2br w:val="nil"/>
              <w:tr2bl w:val="nil"/>
            </w:tcBorders>
            <w:vAlign w:val="center"/>
          </w:tcPr>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环境</w:t>
            </w:r>
          </w:p>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保护</w:t>
            </w:r>
          </w:p>
          <w:p>
            <w:pPr>
              <w:jc w:val="center"/>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目标</w:t>
            </w:r>
          </w:p>
        </w:tc>
        <w:tc>
          <w:tcPr>
            <w:tcW w:w="7900" w:type="dxa"/>
            <w:tcBorders>
              <w:tl2br w:val="nil"/>
              <w:tr2bl w:val="nil"/>
            </w:tcBorders>
          </w:tcPr>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大气环境</w:t>
            </w:r>
          </w:p>
          <w:p>
            <w:pPr>
              <w:pStyle w:val="27"/>
              <w:ind w:firstLine="480"/>
              <w:jc w:val="both"/>
              <w:rPr>
                <w:rFonts w:hint="eastAsia"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根据《环境空气质量标准》（GB3095-20</w:t>
            </w:r>
            <w:r>
              <w:rPr>
                <w:rFonts w:hint="eastAsia" w:cs="Times New Roman"/>
                <w:color w:val="000000" w:themeColor="text1"/>
                <w:lang w:val="en-US" w:eastAsia="zh-CN"/>
                <w14:textFill>
                  <w14:solidFill>
                    <w14:schemeClr w14:val="tx1"/>
                  </w14:solidFill>
                </w14:textFill>
              </w:rPr>
              <w:t>26</w:t>
            </w:r>
            <w:r>
              <w:rPr>
                <w:rFonts w:hint="default" w:cs="Times New Roman"/>
                <w:color w:val="000000" w:themeColor="text1"/>
                <w:lang w:val="en-US" w:eastAsia="zh-CN"/>
                <w14:textFill>
                  <w14:solidFill>
                    <w14:schemeClr w14:val="tx1"/>
                  </w14:solidFill>
                </w14:textFill>
              </w:rPr>
              <w:t>）中过渡阶段浓度限值的二级标准保护要求，项目场地厂界外500米范围内无自然保护区、风景名胜区、居住区、文化区和农村地区中人群较集中的区域等保护目标，无敏感目标</w:t>
            </w:r>
            <w:r>
              <w:rPr>
                <w:rFonts w:hint="eastAsia" w:cs="Times New Roman"/>
                <w:color w:val="000000" w:themeColor="text1"/>
                <w:lang w:val="en-US" w:eastAsia="zh-CN"/>
                <w14:textFill>
                  <w14:solidFill>
                    <w14:schemeClr w14:val="tx1"/>
                  </w14:solidFill>
                </w14:textFill>
              </w:rPr>
              <w:t>。</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声环境</w:t>
            </w:r>
          </w:p>
          <w:p>
            <w:pPr>
              <w:pStyle w:val="27"/>
              <w:ind w:firstLine="48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根据《声环境质量标准》（GB3096-2008）中的</w:t>
            </w:r>
            <w:r>
              <w:rPr>
                <w:rFonts w:hint="eastAsia" w:cs="Times New Roman"/>
                <w:color w:val="000000" w:themeColor="text1"/>
                <w:sz w:val="24"/>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类标准保护要求，项目周边为企业，项目场地厂界外50米范围内无声环境保护目标</w:t>
            </w:r>
            <w:r>
              <w:rPr>
                <w:rFonts w:hint="eastAsia" w:cs="Times New Roman"/>
                <w:color w:val="000000" w:themeColor="text1"/>
                <w:sz w:val="24"/>
                <w:lang w:val="en-US" w:eastAsia="zh-CN"/>
                <w14:textFill>
                  <w14:solidFill>
                    <w14:schemeClr w14:val="tx1"/>
                  </w14:solidFill>
                </w14:textFill>
              </w:rPr>
              <w:t>。</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地下水环境</w:t>
            </w:r>
          </w:p>
          <w:p>
            <w:pPr>
              <w:pStyle w:val="27"/>
              <w:ind w:firstLine="480"/>
              <w:jc w:val="both"/>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本项目厂界外500米范围内无地下水集中式饮用水水源和热水、矿泉水、温泉等特殊地下水资源</w:t>
            </w:r>
            <w:r>
              <w:rPr>
                <w:rFonts w:hint="eastAsia"/>
                <w:color w:val="000000" w:themeColor="text1"/>
                <w:lang w:eastAsia="zh-CN"/>
                <w14:textFill>
                  <w14:solidFill>
                    <w14:schemeClr w14:val="tx1"/>
                  </w14:solidFill>
                </w14:textFill>
              </w:rPr>
              <w:t>。</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生态环境</w:t>
            </w:r>
          </w:p>
          <w:p>
            <w:pPr>
              <w:pStyle w:val="27"/>
              <w:ind w:firstLine="480"/>
              <w:jc w:val="both"/>
              <w:rPr>
                <w:color w:val="000000" w:themeColor="text1"/>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本项目位于</w:t>
            </w:r>
            <w:r>
              <w:rPr>
                <w:rFonts w:hint="eastAsia"/>
                <w:color w:val="000000" w:themeColor="text1"/>
                <w:lang w:val="en-US" w:eastAsia="zh-CN"/>
                <w14:textFill>
                  <w14:solidFill>
                    <w14:schemeClr w14:val="tx1"/>
                  </w14:solidFill>
                </w14:textFill>
              </w:rPr>
              <w:t>新疆昌吉国家高新技术产业开发区经一路和创业大道交汇处特变电工智能电缆产业园内</w:t>
            </w:r>
            <w:r>
              <w:rPr>
                <w:rFonts w:hint="default" w:ascii="Times New Roman" w:hAnsi="Times New Roman" w:eastAsia="宋体" w:cs="Times New Roman"/>
                <w:color w:val="000000" w:themeColor="text1"/>
                <w:sz w:val="24"/>
                <w14:textFill>
                  <w14:solidFill>
                    <w14:schemeClr w14:val="tx1"/>
                  </w14:solidFill>
                </w14:textFill>
              </w:rPr>
              <w:t>，项目选址占地为工业用地，项目周边均为企业，项目周边无居民区，水源保护地等敏感目标。根据《建设项目环境影响报告表编制技术指南》（污染影响类），项目占地场地厂界外500m范围内无敏感目标</w:t>
            </w:r>
            <w:r>
              <w:rPr>
                <w:rFonts w:hint="eastAsia"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周围无生态环境保护目标</w:t>
            </w:r>
            <w:r>
              <w:rPr>
                <w:rFonts w:hint="eastAsia"/>
                <w:color w:val="000000" w:themeColor="text1"/>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22" w:type="dxa"/>
            <w:tcBorders>
              <w:tl2br w:val="nil"/>
              <w:tr2bl w:val="nil"/>
            </w:tcBorders>
            <w:vAlign w:val="center"/>
          </w:tcPr>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污染</w:t>
            </w:r>
          </w:p>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物排</w:t>
            </w:r>
          </w:p>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放控</w:t>
            </w:r>
          </w:p>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制标</w:t>
            </w:r>
          </w:p>
          <w:p>
            <w:pPr>
              <w:jc w:val="center"/>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准</w:t>
            </w:r>
          </w:p>
        </w:tc>
        <w:tc>
          <w:tcPr>
            <w:tcW w:w="7900" w:type="dxa"/>
            <w:tcBorders>
              <w:tl2br w:val="nil"/>
              <w:tr2bl w:val="nil"/>
            </w:tcBorders>
          </w:tcPr>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大气污染物排放标准</w:t>
            </w:r>
          </w:p>
          <w:p>
            <w:pPr>
              <w:pStyle w:val="27"/>
              <w:ind w:firstLine="480"/>
              <w:jc w:val="both"/>
              <w:rPr>
                <w:rFonts w:hint="eastAsia"/>
                <w:color w:val="000000" w:themeColor="text1"/>
                <w14:textFill>
                  <w14:solidFill>
                    <w14:schemeClr w14:val="tx1"/>
                  </w14:solidFill>
                </w14:textFill>
              </w:rPr>
            </w:pPr>
            <w:r>
              <w:rPr>
                <w:rFonts w:hint="default"/>
                <w:color w:val="000000" w:themeColor="text1"/>
                <w:lang w:val="en-US" w:eastAsia="zh-CN"/>
                <w14:textFill>
                  <w14:solidFill>
                    <w14:schemeClr w14:val="tx1"/>
                  </w14:solidFill>
                </w14:textFill>
              </w:rPr>
              <w:t>项目施工期产生的废气主要为车辆运输扬尘等</w:t>
            </w:r>
            <w:r>
              <w:rPr>
                <w:rFonts w:hint="default"/>
                <w:color w:val="000000" w:themeColor="text1"/>
                <w14:textFill>
                  <w14:solidFill>
                    <w14:schemeClr w14:val="tx1"/>
                  </w14:solidFill>
                </w14:textFill>
              </w:rPr>
              <w:t>，见表3-</w:t>
            </w:r>
            <w:r>
              <w:rPr>
                <w:rFonts w:hint="default"/>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w:t>
            </w:r>
          </w:p>
          <w:p>
            <w:pPr>
              <w:pStyle w:val="44"/>
              <w:spacing w:line="240" w:lineRule="auto"/>
              <w:rPr>
                <w:rFonts w:hint="eastAsia"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表3-</w:t>
            </w:r>
            <w:r>
              <w:rPr>
                <w:rFonts w:hint="eastAsia"/>
                <w:color w:val="000000" w:themeColor="text1"/>
                <w:sz w:val="21"/>
                <w:szCs w:val="21"/>
                <w:lang w:val="en-US" w:eastAsia="zh-CN"/>
                <w14:textFill>
                  <w14:solidFill>
                    <w14:schemeClr w14:val="tx1"/>
                  </w14:solidFill>
                </w14:textFill>
              </w:rPr>
              <w:t>5</w:t>
            </w:r>
            <w:r>
              <w:rPr>
                <w:rFonts w:hint="eastAsia" w:ascii="Times New Roman" w:hAnsi="Times New Roman" w:eastAsia="宋体"/>
                <w:color w:val="000000" w:themeColor="text1"/>
                <w:sz w:val="21"/>
                <w:szCs w:val="21"/>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施工期</w:t>
            </w:r>
            <w:r>
              <w:rPr>
                <w:rFonts w:hint="eastAsia" w:ascii="Times New Roman" w:hAnsi="Times New Roman" w:eastAsia="宋体"/>
                <w:color w:val="000000" w:themeColor="text1"/>
                <w:sz w:val="21"/>
                <w:szCs w:val="21"/>
                <w14:textFill>
                  <w14:solidFill>
                    <w14:schemeClr w14:val="tx1"/>
                  </w14:solidFill>
                </w14:textFill>
              </w:rPr>
              <w:t>大气污染物排放标准</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30"/>
              <w:gridCol w:w="464"/>
              <w:gridCol w:w="704"/>
              <w:gridCol w:w="1088"/>
              <w:gridCol w:w="1530"/>
              <w:gridCol w:w="2918"/>
              <w:gridCol w:w="7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54" w:hRule="atLeast"/>
                <w:tblHeader/>
                <w:jc w:val="center"/>
              </w:trPr>
              <w:tc>
                <w:tcPr>
                  <w:tcW w:w="150"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序号</w:t>
                  </w:r>
                </w:p>
              </w:tc>
              <w:tc>
                <w:tcPr>
                  <w:tcW w:w="302"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时期</w:t>
                  </w:r>
                </w:p>
              </w:tc>
              <w:tc>
                <w:tcPr>
                  <w:tcW w:w="458"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cs="Times New Roman"/>
                      <w:b/>
                      <w:bCs/>
                      <w:color w:val="000000" w:themeColor="text1"/>
                      <w:kern w:val="0"/>
                      <w:sz w:val="21"/>
                      <w:szCs w:val="21"/>
                      <w:highlight w:val="none"/>
                      <w:lang w:val="en-US" w:eastAsia="zh-CN"/>
                      <w14:textFill>
                        <w14:solidFill>
                          <w14:schemeClr w14:val="tx1"/>
                        </w14:solidFill>
                      </w14:textFill>
                    </w:rPr>
                    <w:t>排放形式</w:t>
                  </w:r>
                </w:p>
              </w:tc>
              <w:tc>
                <w:tcPr>
                  <w:tcW w:w="708"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污染物</w:t>
                  </w:r>
                </w:p>
              </w:tc>
              <w:tc>
                <w:tcPr>
                  <w:tcW w:w="995"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标准值</w:t>
                  </w:r>
                </w:p>
              </w:tc>
              <w:tc>
                <w:tcPr>
                  <w:tcW w:w="1898"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标准来源</w:t>
                  </w:r>
                </w:p>
              </w:tc>
              <w:tc>
                <w:tcPr>
                  <w:tcW w:w="486"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cs="Times New Roman"/>
                      <w:b/>
                      <w:bCs/>
                      <w:color w:val="000000" w:themeColor="text1"/>
                      <w:kern w:val="0"/>
                      <w:sz w:val="21"/>
                      <w:szCs w:val="21"/>
                      <w:highlight w:val="none"/>
                      <w:lang w:val="en-US" w:eastAsia="zh-CN"/>
                      <w14:textFill>
                        <w14:solidFill>
                          <w14:schemeClr w14:val="tx1"/>
                        </w14:solidFill>
                      </w14:textFill>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50"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w:t>
                  </w:r>
                </w:p>
              </w:tc>
              <w:tc>
                <w:tcPr>
                  <w:tcW w:w="302"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施工期</w:t>
                  </w:r>
                </w:p>
              </w:tc>
              <w:tc>
                <w:tcPr>
                  <w:tcW w:w="458"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无组织</w:t>
                  </w:r>
                </w:p>
              </w:tc>
              <w:tc>
                <w:tcPr>
                  <w:tcW w:w="708"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颗粒物</w:t>
                  </w:r>
                </w:p>
              </w:tc>
              <w:tc>
                <w:tcPr>
                  <w:tcW w:w="995"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1.0mg/m</w:t>
                  </w:r>
                  <w:r>
                    <w:rPr>
                      <w:rFonts w:hint="default" w:ascii="Times New Roman" w:hAnsi="Times New Roman" w:eastAsia="宋体" w:cs="Times New Roman"/>
                      <w:b w:val="0"/>
                      <w:bCs w:val="0"/>
                      <w:color w:val="000000" w:themeColor="text1"/>
                      <w:kern w:val="0"/>
                      <w:sz w:val="21"/>
                      <w:szCs w:val="21"/>
                      <w:highlight w:val="none"/>
                      <w:vertAlign w:val="superscript"/>
                      <w:lang w:val="en-US" w:eastAsia="zh-CN"/>
                      <w14:textFill>
                        <w14:solidFill>
                          <w14:schemeClr w14:val="tx1"/>
                        </w14:solidFill>
                      </w14:textFill>
                    </w:rPr>
                    <w:t>3</w:t>
                  </w:r>
                </w:p>
              </w:tc>
              <w:tc>
                <w:tcPr>
                  <w:tcW w:w="1898"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《大气污染物综合排放标准》</w:t>
                  </w:r>
                  <w:r>
                    <w:rPr>
                      <w:rFonts w:hint="eastAsia" w:cs="Times New Roman"/>
                      <w:b w:val="0"/>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GB16297-1996</w:t>
                  </w:r>
                  <w:r>
                    <w:rPr>
                      <w:rFonts w:hint="eastAsia" w:cs="Times New Roman"/>
                      <w:b w:val="0"/>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表2</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中的限值</w:t>
                  </w:r>
                </w:p>
              </w:tc>
              <w:tc>
                <w:tcPr>
                  <w:tcW w:w="486"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w:t>
                  </w:r>
                </w:p>
              </w:tc>
            </w:tr>
          </w:tbl>
          <w:p>
            <w:pPr>
              <w:pStyle w:val="27"/>
              <w:ind w:firstLine="480"/>
              <w:jc w:val="both"/>
              <w:rPr>
                <w:rFonts w:hint="eastAsia"/>
                <w:color w:val="000000" w:themeColor="text1"/>
                <w14:textFill>
                  <w14:solidFill>
                    <w14:schemeClr w14:val="tx1"/>
                  </w14:solidFill>
                </w14:textFill>
              </w:rPr>
            </w:pPr>
            <w:r>
              <w:rPr>
                <w:rFonts w:hint="default"/>
                <w:color w:val="000000" w:themeColor="text1"/>
                <w:lang w:val="en-US" w:eastAsia="zh-CN"/>
                <w14:textFill>
                  <w14:solidFill>
                    <w14:schemeClr w14:val="tx1"/>
                  </w14:solidFill>
                </w14:textFill>
              </w:rPr>
              <w:t>项目运营期产生的</w:t>
            </w:r>
            <w:r>
              <w:rPr>
                <w:rFonts w:hint="eastAsia"/>
                <w:color w:val="000000" w:themeColor="text1"/>
                <w:lang w:val="en-US" w:eastAsia="zh-CN"/>
                <w14:textFill>
                  <w14:solidFill>
                    <w14:schemeClr w14:val="tx1"/>
                  </w14:solidFill>
                </w14:textFill>
              </w:rPr>
              <w:t>有组织</w:t>
            </w:r>
            <w:r>
              <w:rPr>
                <w:rFonts w:hint="default"/>
                <w:color w:val="000000" w:themeColor="text1"/>
                <w:lang w:val="en-US" w:eastAsia="zh-CN"/>
                <w14:textFill>
                  <w14:solidFill>
                    <w14:schemeClr w14:val="tx1"/>
                  </w14:solidFill>
                </w14:textFill>
              </w:rPr>
              <w:t>废气为熔铝炉、保温炉炉膛废气及熔铝炉、保温炉天然气燃烧废气、轧机工序废气、挤塑工序废气</w:t>
            </w:r>
            <w:r>
              <w:rPr>
                <w:rFonts w:hint="default"/>
                <w:color w:val="000000" w:themeColor="text1"/>
                <w14:textFill>
                  <w14:solidFill>
                    <w14:schemeClr w14:val="tx1"/>
                  </w14:solidFill>
                </w14:textFill>
              </w:rPr>
              <w:t>，见表3-</w:t>
            </w:r>
            <w:r>
              <w:rPr>
                <w:rFonts w:hint="eastAsia"/>
                <w:color w:val="000000" w:themeColor="text1"/>
                <w:lang w:val="en-US" w:eastAsia="zh-CN"/>
                <w14:textFill>
                  <w14:solidFill>
                    <w14:schemeClr w14:val="tx1"/>
                  </w14:solidFill>
                </w14:textFill>
              </w:rPr>
              <w:t>6。</w:t>
            </w:r>
          </w:p>
          <w:p>
            <w:pPr>
              <w:pStyle w:val="44"/>
              <w:spacing w:line="240" w:lineRule="auto"/>
              <w:rPr>
                <w:rFonts w:hint="eastAsia"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表3-</w:t>
            </w:r>
            <w:r>
              <w:rPr>
                <w:rFonts w:hint="eastAsia" w:ascii="Times New Roman" w:hAnsi="Times New Roman" w:eastAsia="宋体"/>
                <w:color w:val="000000" w:themeColor="text1"/>
                <w:sz w:val="21"/>
                <w:szCs w:val="21"/>
                <w:lang w:val="en-US" w:eastAsia="zh-CN"/>
                <w14:textFill>
                  <w14:solidFill>
                    <w14:schemeClr w14:val="tx1"/>
                  </w14:solidFill>
                </w14:textFill>
              </w:rPr>
              <w:t>6</w:t>
            </w:r>
            <w:r>
              <w:rPr>
                <w:rFonts w:hint="eastAsia" w:ascii="Times New Roman" w:hAnsi="Times New Roman" w:eastAsia="宋体"/>
                <w:color w:val="000000" w:themeColor="text1"/>
                <w:sz w:val="21"/>
                <w:szCs w:val="21"/>
                <w14:textFill>
                  <w14:solidFill>
                    <w14:schemeClr w14:val="tx1"/>
                  </w14:solidFill>
                </w14:textFill>
              </w:rPr>
              <w:t xml:space="preserve">   </w:t>
            </w:r>
            <w:r>
              <w:rPr>
                <w:rFonts w:hint="eastAsia" w:ascii="Times New Roman" w:hAnsi="Times New Roman" w:eastAsia="宋体"/>
                <w:color w:val="000000" w:themeColor="text1"/>
                <w:sz w:val="21"/>
                <w:szCs w:val="21"/>
                <w:lang w:val="en-US" w:eastAsia="zh-CN"/>
                <w14:textFill>
                  <w14:solidFill>
                    <w14:schemeClr w14:val="tx1"/>
                  </w14:solidFill>
                </w14:textFill>
              </w:rPr>
              <w:t>运营期</w:t>
            </w:r>
            <w:r>
              <w:rPr>
                <w:rFonts w:hint="eastAsia" w:ascii="Times New Roman" w:hAnsi="Times New Roman" w:eastAsia="宋体"/>
                <w:color w:val="000000" w:themeColor="text1"/>
                <w:sz w:val="21"/>
                <w:szCs w:val="21"/>
                <w14:textFill>
                  <w14:solidFill>
                    <w14:schemeClr w14:val="tx1"/>
                  </w14:solidFill>
                </w14:textFill>
              </w:rPr>
              <w:t>大气污染物排放标准</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15"/>
              <w:gridCol w:w="315"/>
              <w:gridCol w:w="621"/>
              <w:gridCol w:w="1049"/>
              <w:gridCol w:w="775"/>
              <w:gridCol w:w="555"/>
              <w:gridCol w:w="646"/>
              <w:gridCol w:w="2839"/>
              <w:gridCol w:w="66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39"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序号</w:t>
                  </w:r>
                </w:p>
              </w:tc>
              <w:tc>
                <w:tcPr>
                  <w:tcW w:w="205"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时期</w:t>
                  </w:r>
                </w:p>
              </w:tc>
              <w:tc>
                <w:tcPr>
                  <w:tcW w:w="404"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cs="Times New Roman"/>
                      <w:b/>
                      <w:bCs/>
                      <w:color w:val="000000" w:themeColor="text1"/>
                      <w:kern w:val="0"/>
                      <w:sz w:val="21"/>
                      <w:szCs w:val="21"/>
                      <w:highlight w:val="none"/>
                      <w:lang w:val="en-US" w:eastAsia="zh-CN"/>
                      <w14:textFill>
                        <w14:solidFill>
                          <w14:schemeClr w14:val="tx1"/>
                        </w14:solidFill>
                      </w14:textFill>
                    </w:rPr>
                    <w:t>排放形式</w:t>
                  </w:r>
                </w:p>
              </w:tc>
              <w:tc>
                <w:tcPr>
                  <w:tcW w:w="1187" w:type="pct"/>
                  <w:gridSpan w:val="2"/>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污染物</w:t>
                  </w:r>
                </w:p>
              </w:tc>
              <w:tc>
                <w:tcPr>
                  <w:tcW w:w="781" w:type="pct"/>
                  <w:gridSpan w:val="2"/>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标准值</w:t>
                  </w:r>
                </w:p>
              </w:tc>
              <w:tc>
                <w:tcPr>
                  <w:tcW w:w="1848"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标准来源</w:t>
                  </w:r>
                </w:p>
              </w:tc>
              <w:tc>
                <w:tcPr>
                  <w:tcW w:w="433" w:type="pct"/>
                  <w:tcBorders>
                    <w:bottom w:val="single" w:color="auto" w:sz="12"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cs="Times New Roman"/>
                      <w:b/>
                      <w:bCs/>
                      <w:color w:val="000000" w:themeColor="text1"/>
                      <w:kern w:val="0"/>
                      <w:sz w:val="21"/>
                      <w:szCs w:val="21"/>
                      <w:highlight w:val="none"/>
                      <w:lang w:val="en-US" w:eastAsia="zh-CN"/>
                      <w14:textFill>
                        <w14:solidFill>
                          <w14:schemeClr w14:val="tx1"/>
                        </w14:solidFill>
                      </w14:textFill>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39"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w:t>
                  </w:r>
                </w:p>
              </w:tc>
              <w:tc>
                <w:tcPr>
                  <w:tcW w:w="205" w:type="pct"/>
                  <w:vMerge w:val="restar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运营期</w:t>
                  </w:r>
                </w:p>
              </w:tc>
              <w:tc>
                <w:tcPr>
                  <w:tcW w:w="404" w:type="pct"/>
                  <w:vMerge w:val="restar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有组织</w:t>
                  </w:r>
                </w:p>
              </w:tc>
              <w:tc>
                <w:tcPr>
                  <w:tcW w:w="682" w:type="pct"/>
                  <w:vMerge w:val="restar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熔铝炉、保温炉炉膛废气及熔铝炉、保温炉天然气燃烧废气</w:t>
                  </w:r>
                  <w:r>
                    <w:rPr>
                      <w:rFonts w:hint="eastAsia" w:cs="Times New Roman"/>
                      <w:b w:val="0"/>
                      <w:bCs w:val="0"/>
                      <w:color w:val="000000" w:themeColor="text1"/>
                      <w:kern w:val="0"/>
                      <w:sz w:val="21"/>
                      <w:szCs w:val="21"/>
                      <w:highlight w:val="none"/>
                      <w:lang w:val="en-US" w:eastAsia="zh-CN"/>
                      <w14:textFill>
                        <w14:solidFill>
                          <w14:schemeClr w14:val="tx1"/>
                        </w14:solidFill>
                      </w14:textFill>
                    </w:rPr>
                    <w:t>（DA007）</w:t>
                  </w:r>
                </w:p>
              </w:tc>
              <w:tc>
                <w:tcPr>
                  <w:tcW w:w="504"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NO</w:t>
                  </w:r>
                  <w:r>
                    <w:rPr>
                      <w:rFonts w:hint="eastAsia" w:ascii="Times New Roman" w:hAnsi="Times New Roman" w:eastAsia="宋体" w:cs="Times New Roman"/>
                      <w:b w:val="0"/>
                      <w:bCs w:val="0"/>
                      <w:color w:val="000000" w:themeColor="text1"/>
                      <w:kern w:val="0"/>
                      <w:sz w:val="21"/>
                      <w:szCs w:val="21"/>
                      <w:highlight w:val="none"/>
                      <w:vertAlign w:val="subscript"/>
                      <w:lang w:val="en-US" w:eastAsia="zh-CN"/>
                      <w14:textFill>
                        <w14:solidFill>
                          <w14:schemeClr w14:val="tx1"/>
                        </w14:solidFill>
                      </w14:textFill>
                    </w:rPr>
                    <w:t>X</w:t>
                  </w:r>
                </w:p>
              </w:tc>
              <w:tc>
                <w:tcPr>
                  <w:tcW w:w="781" w:type="pct"/>
                  <w:gridSpan w:val="2"/>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300</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kern w:val="0"/>
                      <w:sz w:val="21"/>
                      <w:szCs w:val="21"/>
                      <w:highlight w:val="none"/>
                      <w:vertAlign w:val="superscript"/>
                      <w:lang w:val="en-US" w:eastAsia="zh-CN"/>
                      <w14:textFill>
                        <w14:solidFill>
                          <w14:schemeClr w14:val="tx1"/>
                        </w14:solidFill>
                      </w14:textFill>
                    </w:rPr>
                    <w:t>3</w:t>
                  </w:r>
                </w:p>
              </w:tc>
              <w:tc>
                <w:tcPr>
                  <w:tcW w:w="1848" w:type="pct"/>
                  <w:vMerge w:val="restar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《关于印发〈新疆维吾尔自治区工业炉窑大气污染综合治理实施方案〉的通知》（新大气发〔2019〕127 号）</w:t>
                  </w:r>
                </w:p>
              </w:tc>
              <w:tc>
                <w:tcPr>
                  <w:tcW w:w="433" w:type="pct"/>
                  <w:vMerge w:val="restar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排气筒高度</w:t>
                  </w:r>
                  <w:r>
                    <w:rPr>
                      <w:rFonts w:hint="eastAsia" w:cs="Times New Roman"/>
                      <w:b w:val="0"/>
                      <w:bCs w:val="0"/>
                      <w:color w:val="000000" w:themeColor="text1"/>
                      <w:kern w:val="0"/>
                      <w:sz w:val="21"/>
                      <w:szCs w:val="21"/>
                      <w:highlight w:val="none"/>
                      <w:lang w:val="en-US" w:eastAsia="zh-CN"/>
                      <w14:textFill>
                        <w14:solidFill>
                          <w14:schemeClr w14:val="tx1"/>
                        </w14:solidFill>
                      </w14:textFill>
                    </w:rPr>
                    <w:t>20</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 xml:space="preserve">m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39"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2</w:t>
                  </w:r>
                </w:p>
              </w:tc>
              <w:tc>
                <w:tcPr>
                  <w:tcW w:w="205"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04"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cs="Times New Roman"/>
                      <w:b w:val="0"/>
                      <w:bCs w:val="0"/>
                      <w:color w:val="000000" w:themeColor="text1"/>
                      <w:kern w:val="0"/>
                      <w:sz w:val="21"/>
                      <w:szCs w:val="21"/>
                      <w:highlight w:val="none"/>
                      <w:lang w:val="en-US" w:eastAsia="zh-CN"/>
                      <w14:textFill>
                        <w14:solidFill>
                          <w14:schemeClr w14:val="tx1"/>
                        </w14:solidFill>
                      </w14:textFill>
                    </w:rPr>
                  </w:pPr>
                </w:p>
              </w:tc>
              <w:tc>
                <w:tcPr>
                  <w:tcW w:w="682"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p>
              </w:tc>
              <w:tc>
                <w:tcPr>
                  <w:tcW w:w="504"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SO</w:t>
                  </w:r>
                  <w:r>
                    <w:rPr>
                      <w:rFonts w:hint="eastAsia" w:ascii="Times New Roman" w:hAnsi="Times New Roman" w:eastAsia="宋体" w:cs="Times New Roman"/>
                      <w:b w:val="0"/>
                      <w:bCs w:val="0"/>
                      <w:color w:val="000000" w:themeColor="text1"/>
                      <w:kern w:val="0"/>
                      <w:sz w:val="21"/>
                      <w:szCs w:val="21"/>
                      <w:highlight w:val="none"/>
                      <w:vertAlign w:val="subscript"/>
                      <w:lang w:val="en-US" w:eastAsia="zh-CN"/>
                      <w14:textFill>
                        <w14:solidFill>
                          <w14:schemeClr w14:val="tx1"/>
                        </w14:solidFill>
                      </w14:textFill>
                    </w:rPr>
                    <w:t>2</w:t>
                  </w:r>
                </w:p>
              </w:tc>
              <w:tc>
                <w:tcPr>
                  <w:tcW w:w="781" w:type="pct"/>
                  <w:gridSpan w:val="2"/>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200</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kern w:val="0"/>
                      <w:sz w:val="21"/>
                      <w:szCs w:val="21"/>
                      <w:highlight w:val="none"/>
                      <w:vertAlign w:val="superscript"/>
                      <w:lang w:val="en-US" w:eastAsia="zh-CN"/>
                      <w14:textFill>
                        <w14:solidFill>
                          <w14:schemeClr w14:val="tx1"/>
                        </w14:solidFill>
                      </w14:textFill>
                    </w:rPr>
                    <w:t>3</w:t>
                  </w:r>
                </w:p>
              </w:tc>
              <w:tc>
                <w:tcPr>
                  <w:tcW w:w="1848"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33"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39"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w:t>
                  </w:r>
                </w:p>
              </w:tc>
              <w:tc>
                <w:tcPr>
                  <w:tcW w:w="205"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04"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cs="Times New Roman"/>
                      <w:b w:val="0"/>
                      <w:bCs w:val="0"/>
                      <w:color w:val="000000" w:themeColor="text1"/>
                      <w:kern w:val="0"/>
                      <w:sz w:val="21"/>
                      <w:szCs w:val="21"/>
                      <w:highlight w:val="none"/>
                      <w:lang w:val="en-US" w:eastAsia="zh-CN"/>
                      <w14:textFill>
                        <w14:solidFill>
                          <w14:schemeClr w14:val="tx1"/>
                        </w14:solidFill>
                      </w14:textFill>
                    </w:rPr>
                  </w:pPr>
                </w:p>
              </w:tc>
              <w:tc>
                <w:tcPr>
                  <w:tcW w:w="682"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p>
              </w:tc>
              <w:tc>
                <w:tcPr>
                  <w:tcW w:w="504"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颗粒物</w:t>
                  </w:r>
                </w:p>
              </w:tc>
              <w:tc>
                <w:tcPr>
                  <w:tcW w:w="781" w:type="pct"/>
                  <w:gridSpan w:val="2"/>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30</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kern w:val="0"/>
                      <w:sz w:val="21"/>
                      <w:szCs w:val="21"/>
                      <w:highlight w:val="none"/>
                      <w:vertAlign w:val="superscript"/>
                      <w:lang w:val="en-US" w:eastAsia="zh-CN"/>
                      <w14:textFill>
                        <w14:solidFill>
                          <w14:schemeClr w14:val="tx1"/>
                        </w14:solidFill>
                      </w14:textFill>
                    </w:rPr>
                    <w:t>3</w:t>
                  </w:r>
                </w:p>
              </w:tc>
              <w:tc>
                <w:tcPr>
                  <w:tcW w:w="1848"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33"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39"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4</w:t>
                  </w:r>
                </w:p>
              </w:tc>
              <w:tc>
                <w:tcPr>
                  <w:tcW w:w="205"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04"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cs="Times New Roman"/>
                      <w:b w:val="0"/>
                      <w:bCs w:val="0"/>
                      <w:color w:val="000000" w:themeColor="text1"/>
                      <w:kern w:val="0"/>
                      <w:sz w:val="21"/>
                      <w:szCs w:val="21"/>
                      <w:highlight w:val="none"/>
                      <w:lang w:val="en-US" w:eastAsia="zh-CN"/>
                      <w14:textFill>
                        <w14:solidFill>
                          <w14:schemeClr w14:val="tx1"/>
                        </w14:solidFill>
                      </w14:textFill>
                    </w:rPr>
                  </w:pPr>
                </w:p>
              </w:tc>
              <w:tc>
                <w:tcPr>
                  <w:tcW w:w="682"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p>
              </w:tc>
              <w:tc>
                <w:tcPr>
                  <w:tcW w:w="504"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林格曼黑度</w:t>
                  </w:r>
                </w:p>
              </w:tc>
              <w:tc>
                <w:tcPr>
                  <w:tcW w:w="781" w:type="pct"/>
                  <w:gridSpan w:val="2"/>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≤1级</w:t>
                  </w:r>
                </w:p>
              </w:tc>
              <w:tc>
                <w:tcPr>
                  <w:tcW w:w="1848"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《工业炉窑大气污染物排放标准》（GB9078-1996）</w:t>
                  </w:r>
                </w:p>
              </w:tc>
              <w:tc>
                <w:tcPr>
                  <w:tcW w:w="433"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39"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5</w:t>
                  </w:r>
                </w:p>
              </w:tc>
              <w:tc>
                <w:tcPr>
                  <w:tcW w:w="205"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04"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cs="Times New Roman"/>
                      <w:b w:val="0"/>
                      <w:bCs w:val="0"/>
                      <w:color w:val="000000" w:themeColor="text1"/>
                      <w:kern w:val="0"/>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轧</w:t>
                  </w:r>
                  <w:r>
                    <w:rPr>
                      <w:rFonts w:hint="eastAsia" w:cs="Times New Roman"/>
                      <w:b w:val="0"/>
                      <w:bCs w:val="0"/>
                      <w:color w:val="000000" w:themeColor="text1"/>
                      <w:kern w:val="0"/>
                      <w:sz w:val="21"/>
                      <w:szCs w:val="21"/>
                      <w:highlight w:val="none"/>
                      <w:lang w:val="en-US" w:eastAsia="zh-CN"/>
                      <w14:textFill>
                        <w14:solidFill>
                          <w14:schemeClr w14:val="tx1"/>
                        </w14:solidFill>
                      </w14:textFill>
                    </w:rPr>
                    <w:t>机</w:t>
                  </w:r>
                  <w:r>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工序废气</w:t>
                  </w:r>
                  <w:r>
                    <w:rPr>
                      <w:rFonts w:hint="eastAsia" w:cs="Times New Roman"/>
                      <w:b w:val="0"/>
                      <w:bCs w:val="0"/>
                      <w:color w:val="000000" w:themeColor="text1"/>
                      <w:kern w:val="0"/>
                      <w:sz w:val="21"/>
                      <w:szCs w:val="21"/>
                      <w:highlight w:val="none"/>
                      <w:lang w:val="en-US" w:eastAsia="zh-CN"/>
                      <w14:textFill>
                        <w14:solidFill>
                          <w14:schemeClr w14:val="tx1"/>
                        </w14:solidFill>
                      </w14:textFill>
                    </w:rPr>
                    <w:t>（DA008）</w:t>
                  </w:r>
                </w:p>
              </w:tc>
              <w:tc>
                <w:tcPr>
                  <w:tcW w:w="504"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非甲烷总烃</w:t>
                  </w:r>
                </w:p>
              </w:tc>
              <w:tc>
                <w:tcPr>
                  <w:tcW w:w="361"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120</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kern w:val="0"/>
                      <w:sz w:val="21"/>
                      <w:szCs w:val="21"/>
                      <w:highlight w:val="none"/>
                      <w:vertAlign w:val="superscript"/>
                      <w:lang w:val="en-US" w:eastAsia="zh-CN"/>
                      <w14:textFill>
                        <w14:solidFill>
                          <w14:schemeClr w14:val="tx1"/>
                        </w14:solidFill>
                      </w14:textFill>
                    </w:rPr>
                    <w:t>3</w:t>
                  </w:r>
                </w:p>
              </w:tc>
              <w:tc>
                <w:tcPr>
                  <w:tcW w:w="420"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14.2kg/h</w:t>
                  </w:r>
                </w:p>
              </w:tc>
              <w:tc>
                <w:tcPr>
                  <w:tcW w:w="1848"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《大气污染物综合排放标准》</w:t>
                  </w:r>
                  <w:r>
                    <w:rPr>
                      <w:rFonts w:hint="eastAsia" w:cs="Times New Roman"/>
                      <w:b w:val="0"/>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GB16297-1996</w:t>
                  </w:r>
                  <w:r>
                    <w:rPr>
                      <w:rFonts w:hint="eastAsia" w:cs="Times New Roman"/>
                      <w:b w:val="0"/>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表2</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中的限值</w:t>
                  </w:r>
                </w:p>
              </w:tc>
              <w:tc>
                <w:tcPr>
                  <w:tcW w:w="433"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排气筒高度1</w:t>
                  </w:r>
                  <w:r>
                    <w:rPr>
                      <w:rFonts w:hint="eastAsia" w:cs="Times New Roman"/>
                      <w:b w:val="0"/>
                      <w:bCs w:val="0"/>
                      <w:color w:val="000000" w:themeColor="text1"/>
                      <w:kern w:val="0"/>
                      <w:sz w:val="21"/>
                      <w:szCs w:val="21"/>
                      <w:highlight w:val="none"/>
                      <w:lang w:val="en-US" w:eastAsia="zh-CN"/>
                      <w14:textFill>
                        <w14:solidFill>
                          <w14:schemeClr w14:val="tx1"/>
                        </w14:solidFill>
                      </w14:textFill>
                    </w:rPr>
                    <w:t>8</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139" w:type="pct"/>
                  <w:tcBorders>
                    <w:top w:val="single" w:color="auto" w:sz="12"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6</w:t>
                  </w:r>
                </w:p>
              </w:tc>
              <w:tc>
                <w:tcPr>
                  <w:tcW w:w="205"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04"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cs="Times New Roman"/>
                      <w:b w:val="0"/>
                      <w:bCs w:val="0"/>
                      <w:color w:val="000000" w:themeColor="text1"/>
                      <w:kern w:val="0"/>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挤塑工序废气</w:t>
                  </w:r>
                  <w:r>
                    <w:rPr>
                      <w:rFonts w:hint="eastAsia" w:cs="Times New Roman"/>
                      <w:b w:val="0"/>
                      <w:bCs w:val="0"/>
                      <w:color w:val="000000" w:themeColor="text1"/>
                      <w:kern w:val="0"/>
                      <w:sz w:val="21"/>
                      <w:szCs w:val="21"/>
                      <w:highlight w:val="none"/>
                      <w:lang w:val="en-US" w:eastAsia="zh-CN"/>
                      <w14:textFill>
                        <w14:solidFill>
                          <w14:schemeClr w14:val="tx1"/>
                        </w14:solidFill>
                      </w14:textFill>
                    </w:rPr>
                    <w:t>（DA012）</w:t>
                  </w:r>
                </w:p>
              </w:tc>
              <w:tc>
                <w:tcPr>
                  <w:tcW w:w="504"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非甲烷总烃</w:t>
                  </w:r>
                </w:p>
              </w:tc>
              <w:tc>
                <w:tcPr>
                  <w:tcW w:w="361"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60mg/m</w:t>
                  </w:r>
                  <w:r>
                    <w:rPr>
                      <w:rFonts w:hint="default" w:ascii="Times New Roman" w:hAnsi="Times New Roman" w:eastAsia="宋体" w:cs="Times New Roman"/>
                      <w:b w:val="0"/>
                      <w:bCs w:val="0"/>
                      <w:color w:val="000000" w:themeColor="text1"/>
                      <w:kern w:val="0"/>
                      <w:sz w:val="21"/>
                      <w:szCs w:val="21"/>
                      <w:highlight w:val="none"/>
                      <w:vertAlign w:val="superscript"/>
                      <w:lang w:val="en-US" w:eastAsia="zh-CN"/>
                      <w14:textFill>
                        <w14:solidFill>
                          <w14:schemeClr w14:val="tx1"/>
                        </w14:solidFill>
                      </w14:textFill>
                    </w:rPr>
                    <w:t>3</w:t>
                  </w:r>
                </w:p>
              </w:tc>
              <w:tc>
                <w:tcPr>
                  <w:tcW w:w="420" w:type="pct"/>
                  <w:tcBorders>
                    <w:top w:val="single" w:color="auto" w:sz="12"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w:t>
                  </w:r>
                </w:p>
              </w:tc>
              <w:tc>
                <w:tcPr>
                  <w:tcW w:w="1848"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《合成树脂工业污染物排放标准》（GB31572-2015</w:t>
                  </w:r>
                  <w:r>
                    <w:rPr>
                      <w:rFonts w:hint="eastAsia" w:cs="Times New Roman"/>
                      <w:b w:val="0"/>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含2024 年修改单）表5 大气污染物特别排放限值</w:t>
                  </w:r>
                </w:p>
              </w:tc>
              <w:tc>
                <w:tcPr>
                  <w:tcW w:w="433"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排气筒高度</w:t>
                  </w:r>
                  <w:r>
                    <w:rPr>
                      <w:rFonts w:hint="eastAsia" w:cs="Times New Roman"/>
                      <w:b w:val="0"/>
                      <w:bCs w:val="0"/>
                      <w:color w:val="000000" w:themeColor="text1"/>
                      <w:kern w:val="0"/>
                      <w:sz w:val="21"/>
                      <w:szCs w:val="21"/>
                      <w:highlight w:val="none"/>
                      <w:lang w:val="en-US" w:eastAsia="zh-CN"/>
                      <w14:textFill>
                        <w14:solidFill>
                          <w14:schemeClr w14:val="tx1"/>
                        </w14:solidFill>
                      </w14:textFill>
                    </w:rPr>
                    <w:t>15</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 xml:space="preserve">m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9" w:type="pc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7</w:t>
                  </w:r>
                </w:p>
              </w:tc>
              <w:tc>
                <w:tcPr>
                  <w:tcW w:w="205"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04" w:type="pct"/>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厂界</w:t>
                  </w:r>
                </w:p>
              </w:tc>
              <w:tc>
                <w:tcPr>
                  <w:tcW w:w="1187" w:type="pct"/>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颗粒物</w:t>
                  </w:r>
                </w:p>
              </w:tc>
              <w:tc>
                <w:tcPr>
                  <w:tcW w:w="781" w:type="pct"/>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1.0mg/m</w:t>
                  </w:r>
                  <w:r>
                    <w:rPr>
                      <w:rFonts w:hint="default" w:ascii="Times New Roman" w:hAnsi="Times New Roman" w:eastAsia="宋体" w:cs="Times New Roman"/>
                      <w:b w:val="0"/>
                      <w:bCs w:val="0"/>
                      <w:color w:val="000000" w:themeColor="text1"/>
                      <w:kern w:val="0"/>
                      <w:sz w:val="21"/>
                      <w:szCs w:val="21"/>
                      <w:highlight w:val="none"/>
                      <w:vertAlign w:val="superscript"/>
                      <w:lang w:val="en-US" w:eastAsia="zh-CN"/>
                      <w14:textFill>
                        <w14:solidFill>
                          <w14:schemeClr w14:val="tx1"/>
                        </w14:solidFill>
                      </w14:textFill>
                    </w:rPr>
                    <w:t>3</w:t>
                  </w:r>
                </w:p>
              </w:tc>
              <w:tc>
                <w:tcPr>
                  <w:tcW w:w="1848"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《大气污染物综合排放标准》</w:t>
                  </w:r>
                  <w:r>
                    <w:rPr>
                      <w:rFonts w:hint="eastAsia" w:cs="Times New Roman"/>
                      <w:b w:val="0"/>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GB16297-1996</w:t>
                  </w:r>
                  <w:r>
                    <w:rPr>
                      <w:rFonts w:hint="eastAsia" w:cs="Times New Roman"/>
                      <w:b w:val="0"/>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表2</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中的限值</w:t>
                  </w:r>
                </w:p>
              </w:tc>
              <w:tc>
                <w:tcPr>
                  <w:tcW w:w="433"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139" w:type="pc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8</w:t>
                  </w:r>
                </w:p>
              </w:tc>
              <w:tc>
                <w:tcPr>
                  <w:tcW w:w="205"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04"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1187" w:type="pct"/>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非甲烷总烃</w:t>
                  </w:r>
                </w:p>
              </w:tc>
              <w:tc>
                <w:tcPr>
                  <w:tcW w:w="781" w:type="pct"/>
                  <w:gridSpan w:val="2"/>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.0mg/m</w:t>
                  </w:r>
                  <w:r>
                    <w:rPr>
                      <w:rFonts w:hint="default" w:ascii="Times New Roman" w:hAnsi="Times New Roman" w:eastAsia="宋体" w:cs="Times New Roman"/>
                      <w:b w:val="0"/>
                      <w:bCs w:val="0"/>
                      <w:color w:val="000000" w:themeColor="text1"/>
                      <w:kern w:val="0"/>
                      <w:sz w:val="21"/>
                      <w:szCs w:val="21"/>
                      <w:highlight w:val="none"/>
                      <w:vertAlign w:val="superscript"/>
                      <w:lang w:val="en-US" w:eastAsia="zh-CN"/>
                      <w14:textFill>
                        <w14:solidFill>
                          <w14:schemeClr w14:val="tx1"/>
                        </w14:solidFill>
                      </w14:textFill>
                    </w:rPr>
                    <w:t>3</w:t>
                  </w:r>
                </w:p>
              </w:tc>
              <w:tc>
                <w:tcPr>
                  <w:tcW w:w="1848" w:type="pc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《合成树脂工业污染物排放</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标准》（GB31572-2015）表</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9 无组织排放限值</w:t>
                  </w:r>
                </w:p>
              </w:tc>
              <w:tc>
                <w:tcPr>
                  <w:tcW w:w="433" w:type="pc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75" w:hRule="atLeast"/>
                <w:jc w:val="center"/>
              </w:trPr>
              <w:tc>
                <w:tcPr>
                  <w:tcW w:w="139" w:type="pct"/>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9</w:t>
                  </w:r>
                </w:p>
              </w:tc>
              <w:tc>
                <w:tcPr>
                  <w:tcW w:w="205"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04" w:type="pct"/>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厂区内</w:t>
                  </w:r>
                </w:p>
              </w:tc>
              <w:tc>
                <w:tcPr>
                  <w:tcW w:w="1187" w:type="pct"/>
                  <w:gridSpan w:val="2"/>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非甲烷总烃</w:t>
                  </w:r>
                </w:p>
              </w:tc>
              <w:tc>
                <w:tcPr>
                  <w:tcW w:w="781" w:type="pct"/>
                  <w:gridSpan w:val="2"/>
                  <w:tcBorders>
                    <w:tl2br w:val="nil"/>
                    <w:tr2bl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1"/>
                      <w:szCs w:val="24"/>
                      <w:lang w:val="en-US" w:eastAsia="zh-CN" w:bidi="ar-SA"/>
                      <w14:textFill>
                        <w14:solidFill>
                          <w14:schemeClr w14:val="tx1"/>
                        </w14:solidFill>
                      </w14:textFill>
                    </w:rPr>
                    <w:t>6（监控点处1h平均浓度值）</w:t>
                  </w:r>
                </w:p>
              </w:tc>
              <w:tc>
                <w:tcPr>
                  <w:tcW w:w="1848" w:type="pct"/>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《挥发性有机物无组织排放控制标准》（GB37822-2019）中表 A.1 厂区内VOCs 无组织特别排放限值要求</w:t>
                  </w:r>
                </w:p>
              </w:tc>
              <w:tc>
                <w:tcPr>
                  <w:tcW w:w="433" w:type="pc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75" w:hRule="atLeast"/>
                <w:jc w:val="center"/>
              </w:trPr>
              <w:tc>
                <w:tcPr>
                  <w:tcW w:w="139"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color w:val="000000" w:themeColor="text1"/>
                      <w14:textFill>
                        <w14:solidFill>
                          <w14:schemeClr w14:val="tx1"/>
                        </w14:solidFill>
                      </w14:textFill>
                    </w:rPr>
                  </w:pPr>
                </w:p>
              </w:tc>
              <w:tc>
                <w:tcPr>
                  <w:tcW w:w="205"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color w:val="000000" w:themeColor="text1"/>
                      <w14:textFill>
                        <w14:solidFill>
                          <w14:schemeClr w14:val="tx1"/>
                        </w14:solidFill>
                      </w14:textFill>
                    </w:rPr>
                  </w:pPr>
                </w:p>
              </w:tc>
              <w:tc>
                <w:tcPr>
                  <w:tcW w:w="404"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color w:val="000000" w:themeColor="text1"/>
                      <w14:textFill>
                        <w14:solidFill>
                          <w14:schemeClr w14:val="tx1"/>
                        </w14:solidFill>
                      </w14:textFill>
                    </w:rPr>
                  </w:pPr>
                </w:p>
              </w:tc>
              <w:tc>
                <w:tcPr>
                  <w:tcW w:w="1187" w:type="pct"/>
                  <w:gridSpan w:val="2"/>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color w:val="000000" w:themeColor="text1"/>
                      <w14:textFill>
                        <w14:solidFill>
                          <w14:schemeClr w14:val="tx1"/>
                        </w14:solidFill>
                      </w14:textFill>
                    </w:rPr>
                  </w:pPr>
                </w:p>
              </w:tc>
              <w:tc>
                <w:tcPr>
                  <w:tcW w:w="781" w:type="pct"/>
                  <w:gridSpan w:val="2"/>
                  <w:tcBorders>
                    <w:tl2br w:val="nil"/>
                    <w:tr2bl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1"/>
                      <w:szCs w:val="24"/>
                      <w:lang w:val="en-US" w:eastAsia="zh-CN" w:bidi="ar-SA"/>
                      <w14:textFill>
                        <w14:solidFill>
                          <w14:schemeClr w14:val="tx1"/>
                        </w14:solidFill>
                      </w14:textFill>
                    </w:rPr>
                    <w:t>20（监控点处任意一次浓度值）</w:t>
                  </w:r>
                </w:p>
              </w:tc>
              <w:tc>
                <w:tcPr>
                  <w:tcW w:w="1848" w:type="pct"/>
                  <w:vMerge w:val="continue"/>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p>
              </w:tc>
              <w:tc>
                <w:tcPr>
                  <w:tcW w:w="433" w:type="pc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w:t>
                  </w:r>
                </w:p>
              </w:tc>
            </w:tr>
          </w:tbl>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 xml:space="preserve"> </w:t>
            </w:r>
            <w:r>
              <w:rPr>
                <w:rFonts w:hint="eastAsia" w:ascii="Times New Roman" w:hAnsi="Times New Roman" w:eastAsia="宋体"/>
                <w:color w:val="000000" w:themeColor="text1"/>
                <w:lang w:val="en-US" w:eastAsia="zh-CN"/>
                <w14:textFill>
                  <w14:solidFill>
                    <w14:schemeClr w14:val="tx1"/>
                  </w14:solidFill>
                </w14:textFill>
              </w:rPr>
              <w:t>噪声排放标准</w:t>
            </w:r>
          </w:p>
          <w:p>
            <w:pPr>
              <w:pStyle w:val="27"/>
              <w:ind w:firstLine="480"/>
              <w:jc w:val="both"/>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项目施工期噪声执行《建筑施工噪声排放标准》（GB 12523—2025）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中排放限值</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详见表3-7。</w:t>
            </w:r>
          </w:p>
          <w:p>
            <w:pPr>
              <w:pStyle w:val="44"/>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表3-</w:t>
            </w:r>
            <w:r>
              <w:rPr>
                <w:rFonts w:hint="eastAsia" w:cs="Times New Roman"/>
                <w:color w:val="000000" w:themeColor="text1"/>
                <w:sz w:val="21"/>
                <w:szCs w:val="21"/>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14:textFill>
                  <w14:solidFill>
                    <w14:schemeClr w14:val="tx1"/>
                  </w14:solidFill>
                </w14:textFill>
              </w:rPr>
              <w:t xml:space="preserve">   </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施工期</w:t>
            </w:r>
            <w:r>
              <w:rPr>
                <w:rFonts w:hint="default" w:ascii="Times New Roman" w:hAnsi="Times New Roman" w:eastAsia="宋体" w:cs="Times New Roman"/>
                <w:color w:val="000000" w:themeColor="text1"/>
                <w:sz w:val="21"/>
                <w:szCs w:val="21"/>
                <w14:textFill>
                  <w14:solidFill>
                    <w14:schemeClr w14:val="tx1"/>
                  </w14:solidFill>
                </w14:textFill>
              </w:rPr>
              <w:t>噪声排放限值标准</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Layout w:type="fixed"/>
              <w:tblCellMar>
                <w:top w:w="0" w:type="dxa"/>
                <w:left w:w="108" w:type="dxa"/>
                <w:bottom w:w="0" w:type="dxa"/>
                <w:right w:w="108" w:type="dxa"/>
              </w:tblCellMar>
            </w:tblPr>
            <w:tblGrid>
              <w:gridCol w:w="1612"/>
              <w:gridCol w:w="4481"/>
              <w:gridCol w:w="1588"/>
            </w:tblGrid>
            <w:tr>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jc w:val="center"/>
              </w:trPr>
              <w:tc>
                <w:tcPr>
                  <w:tcW w:w="1049" w:type="pct"/>
                  <w:tcBorders>
                    <w:bottom w:val="single" w:color="auto" w:sz="12" w:space="0"/>
                  </w:tcBorders>
                  <w:vAlign w:val="center"/>
                </w:tcPr>
                <w:p>
                  <w:pPr>
                    <w:pStyle w:val="45"/>
                    <w:widowControl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时期</w:t>
                  </w:r>
                </w:p>
              </w:tc>
              <w:tc>
                <w:tcPr>
                  <w:tcW w:w="2916" w:type="pct"/>
                  <w:tcBorders>
                    <w:bottom w:val="single" w:color="auto" w:sz="12" w:space="0"/>
                  </w:tcBorders>
                  <w:vAlign w:val="center"/>
                </w:tcPr>
                <w:p>
                  <w:pPr>
                    <w:pStyle w:val="45"/>
                    <w:widowControl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标准</w:t>
                  </w:r>
                </w:p>
              </w:tc>
              <w:tc>
                <w:tcPr>
                  <w:tcW w:w="1033" w:type="pct"/>
                  <w:tcBorders>
                    <w:bottom w:val="single" w:color="auto" w:sz="12" w:space="0"/>
                  </w:tcBorders>
                  <w:vAlign w:val="center"/>
                </w:tcPr>
                <w:p>
                  <w:pPr>
                    <w:pStyle w:val="45"/>
                    <w:widowControl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限值</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jc w:val="center"/>
              </w:trPr>
              <w:tc>
                <w:tcPr>
                  <w:tcW w:w="1049" w:type="pct"/>
                  <w:tcBorders>
                    <w:top w:val="single" w:color="auto" w:sz="12" w:space="0"/>
                    <w:tl2br w:val="nil"/>
                    <w:tr2bl w:val="nil"/>
                  </w:tcBorders>
                  <w:shd w:val="clear" w:color="auto" w:fill="auto"/>
                  <w:vAlign w:val="center"/>
                </w:tcPr>
                <w:p>
                  <w:pPr>
                    <w:pStyle w:val="47"/>
                    <w:keepNext w:val="0"/>
                    <w:keepLines w:val="0"/>
                    <w:pageBreakBefore w:val="0"/>
                    <w:widowControl w:val="0"/>
                    <w:numPr>
                      <w:ilvl w:val="0"/>
                      <w:numId w:val="0"/>
                    </w:numPr>
                    <w:suppressLineNumbers w:val="0"/>
                    <w:tabs>
                      <w:tab w:val="left" w:pos="1845"/>
                    </w:tabs>
                    <w:kinsoku/>
                    <w:overflowPunct/>
                    <w:topLinePunct w:val="0"/>
                    <w:autoSpaceDE/>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施工期</w:t>
                  </w:r>
                </w:p>
              </w:tc>
              <w:tc>
                <w:tcPr>
                  <w:tcW w:w="2916" w:type="pct"/>
                  <w:tcBorders>
                    <w:top w:val="single" w:color="auto" w:sz="12" w:space="0"/>
                    <w:tl2br w:val="nil"/>
                    <w:tr2bl w:val="nil"/>
                  </w:tcBorders>
                  <w:shd w:val="clear" w:color="auto" w:fill="auto"/>
                  <w:vAlign w:val="center"/>
                </w:tcPr>
                <w:p>
                  <w:pPr>
                    <w:pStyle w:val="47"/>
                    <w:keepNext w:val="0"/>
                    <w:keepLines w:val="0"/>
                    <w:pageBreakBefore w:val="0"/>
                    <w:widowControl w:val="0"/>
                    <w:numPr>
                      <w:ilvl w:val="0"/>
                      <w:numId w:val="0"/>
                    </w:numPr>
                    <w:suppressLineNumbers w:val="0"/>
                    <w:tabs>
                      <w:tab w:val="left" w:pos="1845"/>
                    </w:tabs>
                    <w:kinsoku/>
                    <w:wordWrap w:val="0"/>
                    <w:overflowPunct/>
                    <w:topLinePunct w:val="0"/>
                    <w:autoSpaceDE/>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《建筑施工噪声排放标准》（GB 12523—2025）中排放限值</w:t>
                  </w:r>
                </w:p>
              </w:tc>
              <w:tc>
                <w:tcPr>
                  <w:tcW w:w="1033" w:type="pct"/>
                  <w:tcBorders>
                    <w:top w:val="single" w:color="auto" w:sz="12" w:space="0"/>
                    <w:tl2br w:val="nil"/>
                    <w:tr2bl w:val="nil"/>
                  </w:tcBorders>
                  <w:shd w:val="clear" w:color="auto" w:fill="auto"/>
                  <w:vAlign w:val="center"/>
                </w:tcPr>
                <w:p>
                  <w:pPr>
                    <w:pStyle w:val="47"/>
                    <w:keepNext w:val="0"/>
                    <w:keepLines w:val="0"/>
                    <w:pageBreakBefore w:val="0"/>
                    <w:widowControl w:val="0"/>
                    <w:numPr>
                      <w:ilvl w:val="0"/>
                      <w:numId w:val="0"/>
                    </w:numPr>
                    <w:suppressLineNumbers w:val="0"/>
                    <w:tabs>
                      <w:tab w:val="left" w:pos="1845"/>
                    </w:tabs>
                    <w:kinsoku/>
                    <w:overflowPunct/>
                    <w:topLinePunct w:val="0"/>
                    <w:autoSpaceDE/>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昼间70dB（A）、夜间55dB（A）</w:t>
                  </w:r>
                </w:p>
              </w:tc>
            </w:tr>
          </w:tbl>
          <w:p>
            <w:pPr>
              <w:pStyle w:val="27"/>
              <w:ind w:firstLine="480"/>
              <w:jc w:val="both"/>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运营期噪声执行</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《工业企业厂界环境噪声排放标准》（GB12348--2008）中</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类标准</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限值，</w:t>
            </w:r>
            <w:r>
              <w:rPr>
                <w:rFonts w:hint="default" w:ascii="Times New Roman" w:hAnsi="Times New Roman" w:cs="Times New Roman"/>
                <w:color w:val="000000" w:themeColor="text1"/>
                <w14:textFill>
                  <w14:solidFill>
                    <w14:schemeClr w14:val="tx1"/>
                  </w14:solidFill>
                </w14:textFill>
              </w:rPr>
              <w:t>噪声限值见表3-</w:t>
            </w:r>
            <w:r>
              <w:rPr>
                <w:rFonts w:hint="eastAsia"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t>。</w:t>
            </w:r>
          </w:p>
          <w:p>
            <w:pPr>
              <w:pStyle w:val="44"/>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表3-</w:t>
            </w:r>
            <w:r>
              <w:rPr>
                <w:rFonts w:hint="eastAsia" w:cs="Times New Roman"/>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14:textFill>
                  <w14:solidFill>
                    <w14:schemeClr w14:val="tx1"/>
                  </w14:solidFill>
                </w14:textFill>
              </w:rPr>
              <w:t xml:space="preserve">   噪声排放限值标准</w:t>
            </w:r>
          </w:p>
          <w:tbl>
            <w:tblPr>
              <w:tblStyle w:val="33"/>
              <w:tblW w:w="4998" w:type="pct"/>
              <w:jc w:val="center"/>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Layout w:type="fixed"/>
              <w:tblCellMar>
                <w:top w:w="0" w:type="dxa"/>
                <w:left w:w="108" w:type="dxa"/>
                <w:bottom w:w="0" w:type="dxa"/>
                <w:right w:w="108" w:type="dxa"/>
              </w:tblCellMar>
            </w:tblPr>
            <w:tblGrid>
              <w:gridCol w:w="1612"/>
              <w:gridCol w:w="4481"/>
              <w:gridCol w:w="1588"/>
            </w:tblGrid>
            <w:tr>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jc w:val="center"/>
              </w:trPr>
              <w:tc>
                <w:tcPr>
                  <w:tcW w:w="1049" w:type="pct"/>
                  <w:tcBorders>
                    <w:bottom w:val="single" w:color="auto" w:sz="12" w:space="0"/>
                  </w:tcBorders>
                  <w:vAlign w:val="center"/>
                </w:tcPr>
                <w:p>
                  <w:pPr>
                    <w:pStyle w:val="45"/>
                    <w:widowControl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时期</w:t>
                  </w:r>
                </w:p>
              </w:tc>
              <w:tc>
                <w:tcPr>
                  <w:tcW w:w="2916" w:type="pct"/>
                  <w:tcBorders>
                    <w:bottom w:val="single" w:color="auto" w:sz="12" w:space="0"/>
                  </w:tcBorders>
                  <w:vAlign w:val="center"/>
                </w:tcPr>
                <w:p>
                  <w:pPr>
                    <w:pStyle w:val="45"/>
                    <w:widowControl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标准</w:t>
                  </w:r>
                </w:p>
              </w:tc>
              <w:tc>
                <w:tcPr>
                  <w:tcW w:w="1033" w:type="pct"/>
                  <w:tcBorders>
                    <w:bottom w:val="single" w:color="auto" w:sz="12" w:space="0"/>
                  </w:tcBorders>
                  <w:vAlign w:val="center"/>
                </w:tcPr>
                <w:p>
                  <w:pPr>
                    <w:pStyle w:val="45"/>
                    <w:widowControl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限值</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jc w:val="center"/>
              </w:trPr>
              <w:tc>
                <w:tcPr>
                  <w:tcW w:w="1049" w:type="pct"/>
                  <w:tcBorders>
                    <w:tl2br w:val="nil"/>
                    <w:tr2bl w:val="nil"/>
                  </w:tcBorders>
                  <w:vAlign w:val="center"/>
                </w:tcPr>
                <w:p>
                  <w:pPr>
                    <w:pStyle w:val="45"/>
                    <w:widowControl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运营期</w:t>
                  </w:r>
                </w:p>
              </w:tc>
              <w:tc>
                <w:tcPr>
                  <w:tcW w:w="2916" w:type="pct"/>
                  <w:tcBorders>
                    <w:tl2br w:val="nil"/>
                    <w:tr2bl w:val="nil"/>
                  </w:tcBorders>
                  <w:vAlign w:val="center"/>
                </w:tcPr>
                <w:p>
                  <w:pPr>
                    <w:pStyle w:val="45"/>
                    <w:widowControl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《工业企业厂界环境噪声排放标准》（GB12348-2008）</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类</w:t>
                  </w:r>
                </w:p>
              </w:tc>
              <w:tc>
                <w:tcPr>
                  <w:tcW w:w="1033" w:type="pct"/>
                  <w:tcBorders>
                    <w:tl2br w:val="nil"/>
                    <w:tr2bl w:val="nil"/>
                  </w:tcBorders>
                  <w:vAlign w:val="center"/>
                </w:tcPr>
                <w:p>
                  <w:pPr>
                    <w:pStyle w:val="45"/>
                    <w:widowControl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昼间6</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dB（A）、夜间5</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dB（A）</w:t>
                  </w:r>
                </w:p>
              </w:tc>
            </w:tr>
          </w:tbl>
          <w:p>
            <w:pPr>
              <w:pStyle w:val="8"/>
              <w:jc w:val="both"/>
              <w:outlineLvl w:val="2"/>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 废水排放标准</w:t>
            </w:r>
          </w:p>
          <w:p>
            <w:pPr>
              <w:adjustRightInd w:val="0"/>
              <w:snapToGrid w:val="0"/>
              <w:spacing w:line="360" w:lineRule="auto"/>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eastAsia" w:cs="Times New Roman"/>
                <w:b w:val="0"/>
                <w:color w:val="000000" w:themeColor="text1"/>
                <w:kern w:val="2"/>
                <w:sz w:val="24"/>
                <w:szCs w:val="24"/>
                <w:lang w:val="en-US" w:eastAsia="zh-CN" w:bidi="ar-SA"/>
                <w14:textFill>
                  <w14:solidFill>
                    <w14:schemeClr w14:val="tx1"/>
                  </w14:solidFill>
                </w14:textFill>
              </w:rPr>
              <w:t>本项目生产废水循环使用不外排，生活污水排入市政管网，执行《污水综合排放标准》（GB8978 -1996）三级标准，氨氮满足《污水排入城镇下水道水质标准》（GB/T31962 -2015）表1 中B 级标准限值</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，具体详见表3-</w:t>
            </w:r>
            <w:r>
              <w:rPr>
                <w:rFonts w:hint="eastAsia" w:cs="Times New Roman"/>
                <w:b w:val="0"/>
                <w:color w:val="000000" w:themeColor="text1"/>
                <w:kern w:val="2"/>
                <w:sz w:val="24"/>
                <w:szCs w:val="24"/>
                <w:lang w:val="en-US" w:eastAsia="zh-CN" w:bidi="ar-SA"/>
                <w14:textFill>
                  <w14:solidFill>
                    <w14:schemeClr w14:val="tx1"/>
                  </w14:solidFill>
                </w14:textFill>
              </w:rPr>
              <w:t>9</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w:t>
            </w:r>
          </w:p>
          <w:p>
            <w:pPr>
              <w:widowControl/>
              <w:adjustRightInd w:val="0"/>
              <w:snapToGrid w:val="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表3-</w:t>
            </w:r>
            <w:r>
              <w:rPr>
                <w:rFonts w:hint="eastAsia" w:cs="Times New Roman"/>
                <w:b/>
                <w:bCs/>
                <w:color w:val="000000" w:themeColor="text1"/>
                <w:sz w:val="21"/>
                <w:szCs w:val="21"/>
                <w:lang w:val="en-US" w:eastAsia="zh-CN"/>
                <w14:textFill>
                  <w14:solidFill>
                    <w14:schemeClr w14:val="tx1"/>
                  </w14:solidFill>
                </w14:textFill>
              </w:rPr>
              <w:t>9</w:t>
            </w:r>
            <w:r>
              <w:rPr>
                <w:rFonts w:hint="default" w:ascii="Times New Roman" w:hAnsi="Times New Roman" w:eastAsia="宋体" w:cs="Times New Roman"/>
                <w:b/>
                <w:bCs/>
                <w:color w:val="000000" w:themeColor="text1"/>
                <w:sz w:val="21"/>
                <w:szCs w:val="21"/>
                <w14:textFill>
                  <w14:solidFill>
                    <w14:schemeClr w14:val="tx1"/>
                  </w14:solidFill>
                </w14:textFill>
              </w:rPr>
              <w:t xml:space="preserve">   </w:t>
            </w:r>
            <w:r>
              <w:rPr>
                <w:rFonts w:hint="eastAsia" w:cs="Times New Roman"/>
                <w:b/>
                <w:bCs/>
                <w:color w:val="000000" w:themeColor="text1"/>
                <w:sz w:val="21"/>
                <w:szCs w:val="21"/>
                <w:lang w:val="en-US" w:eastAsia="zh-CN"/>
                <w14:textFill>
                  <w14:solidFill>
                    <w14:schemeClr w14:val="tx1"/>
                  </w14:solidFill>
                </w14:textFill>
              </w:rPr>
              <w:t>废水</w:t>
            </w:r>
            <w:r>
              <w:rPr>
                <w:rFonts w:hint="default" w:ascii="Times New Roman" w:hAnsi="Times New Roman" w:eastAsia="宋体" w:cs="Times New Roman"/>
                <w:b/>
                <w:bCs/>
                <w:color w:val="000000" w:themeColor="text1"/>
                <w:sz w:val="21"/>
                <w:szCs w:val="21"/>
                <w14:textFill>
                  <w14:solidFill>
                    <w14:schemeClr w14:val="tx1"/>
                  </w14:solidFill>
                </w14:textFill>
              </w:rPr>
              <w:t>排放标准</w:t>
            </w:r>
          </w:p>
          <w:tbl>
            <w:tblPr>
              <w:tblStyle w:val="3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2663"/>
              <w:gridCol w:w="340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3" w:type="pct"/>
                  <w:tcBorders>
                    <w:bottom w:val="single" w:color="auto" w:sz="12" w:space="0"/>
                  </w:tcBorders>
                </w:tcPr>
                <w:p>
                  <w:pPr>
                    <w:tabs>
                      <w:tab w:val="left" w:pos="597"/>
                      <w:tab w:val="left" w:pos="2970"/>
                    </w:tabs>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序号</w:t>
                  </w:r>
                </w:p>
              </w:tc>
              <w:tc>
                <w:tcPr>
                  <w:tcW w:w="1733" w:type="pct"/>
                  <w:tcBorders>
                    <w:bottom w:val="single" w:color="auto" w:sz="12" w:space="0"/>
                  </w:tcBorders>
                </w:tcPr>
                <w:p>
                  <w:pPr>
                    <w:tabs>
                      <w:tab w:val="left" w:pos="597"/>
                      <w:tab w:val="left" w:pos="2970"/>
                    </w:tabs>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污染物</w:t>
                  </w:r>
                </w:p>
              </w:tc>
              <w:tc>
                <w:tcPr>
                  <w:tcW w:w="2213" w:type="pct"/>
                  <w:tcBorders>
                    <w:bottom w:val="single" w:color="auto" w:sz="12" w:space="0"/>
                  </w:tcBorders>
                </w:tcPr>
                <w:p>
                  <w:pPr>
                    <w:tabs>
                      <w:tab w:val="left" w:pos="597"/>
                      <w:tab w:val="left" w:pos="2970"/>
                    </w:tabs>
                    <w:jc w:val="center"/>
                    <w:rPr>
                      <w:rFonts w:hint="eastAsia"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w:t>
                  </w:r>
                  <w:r>
                    <w:rPr>
                      <w:rFonts w:hint="eastAsia" w:cs="Times New Roman"/>
                      <w:b/>
                      <w:bCs/>
                      <w:color w:val="000000" w:themeColor="text1"/>
                      <w:sz w:val="21"/>
                      <w:szCs w:val="21"/>
                      <w:lang w:val="en-US" w:eastAsia="zh-CN"/>
                      <w14:textFill>
                        <w14:solidFill>
                          <w14:schemeClr w14:val="tx1"/>
                        </w14:solidFill>
                      </w14:textFill>
                    </w:rPr>
                    <w:t>限值</w:t>
                  </w:r>
                  <w:r>
                    <w:rPr>
                      <w:rFonts w:hint="eastAsia" w:cs="Times New Roman"/>
                      <w:b/>
                      <w:bCs/>
                      <w:color w:val="000000" w:themeColor="text1"/>
                      <w:sz w:val="21"/>
                      <w:szCs w:val="21"/>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14:textFill>
                        <w14:solidFill>
                          <w14:schemeClr w14:val="tx1"/>
                        </w14:solidFill>
                      </w14:textFill>
                    </w:rPr>
                    <w:t>mg/L</w:t>
                  </w:r>
                  <w:r>
                    <w:rPr>
                      <w:rFonts w:hint="eastAsia" w:cs="Times New Roman"/>
                      <w:b/>
                      <w:bCs/>
                      <w:color w:val="000000" w:themeColor="text1"/>
                      <w:sz w:val="21"/>
                      <w:szCs w:val="21"/>
                      <w:lang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3" w:type="pct"/>
                  <w:tcBorders>
                    <w:top w:val="single" w:color="auto" w:sz="12" w:space="0"/>
                  </w:tcBorders>
                </w:tcPr>
                <w:p>
                  <w:pPr>
                    <w:tabs>
                      <w:tab w:val="left" w:pos="597"/>
                      <w:tab w:val="left" w:pos="2970"/>
                    </w:tabs>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w:t>
                  </w:r>
                </w:p>
              </w:tc>
              <w:tc>
                <w:tcPr>
                  <w:tcW w:w="1733" w:type="pct"/>
                  <w:tcBorders>
                    <w:top w:val="single" w:color="auto" w:sz="12" w:space="0"/>
                  </w:tcBorders>
                </w:tcPr>
                <w:p>
                  <w:pPr>
                    <w:tabs>
                      <w:tab w:val="left" w:pos="597"/>
                      <w:tab w:val="left" w:pos="2970"/>
                    </w:tabs>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pH</w:t>
                  </w:r>
                </w:p>
              </w:tc>
              <w:tc>
                <w:tcPr>
                  <w:tcW w:w="2213" w:type="pct"/>
                  <w:tcBorders>
                    <w:top w:val="single" w:color="auto" w:sz="12" w:space="0"/>
                  </w:tcBorders>
                </w:tcPr>
                <w:p>
                  <w:pPr>
                    <w:tabs>
                      <w:tab w:val="left" w:pos="597"/>
                      <w:tab w:val="left" w:pos="2970"/>
                    </w:tabs>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6-9（无量纲）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3" w:type="pct"/>
                  <w:tcBorders>
                    <w:top w:val="single" w:color="auto" w:sz="12" w:space="0"/>
                  </w:tcBorders>
                  <w:shd w:val="clear" w:color="auto" w:fill="auto"/>
                  <w:vAlign w:val="top"/>
                </w:tcPr>
                <w:p>
                  <w:pPr>
                    <w:tabs>
                      <w:tab w:val="left" w:pos="597"/>
                      <w:tab w:val="left" w:pos="2970"/>
                    </w:tabs>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w:t>
                  </w:r>
                </w:p>
              </w:tc>
              <w:tc>
                <w:tcPr>
                  <w:tcW w:w="1733" w:type="pct"/>
                  <w:tcBorders>
                    <w:top w:val="single" w:color="auto" w:sz="12" w:space="0"/>
                  </w:tcBorders>
                  <w:shd w:val="clear" w:color="auto" w:fill="auto"/>
                  <w:vAlign w:val="top"/>
                </w:tcPr>
                <w:p>
                  <w:pPr>
                    <w:tabs>
                      <w:tab w:val="left" w:pos="597"/>
                      <w:tab w:val="left" w:pos="2970"/>
                    </w:tabs>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SS</w:t>
                  </w:r>
                </w:p>
              </w:tc>
              <w:tc>
                <w:tcPr>
                  <w:tcW w:w="2213" w:type="pct"/>
                  <w:tcBorders>
                    <w:top w:val="single" w:color="auto" w:sz="12" w:space="0"/>
                  </w:tcBorders>
                  <w:shd w:val="clear" w:color="auto" w:fill="auto"/>
                  <w:vAlign w:val="top"/>
                </w:tcPr>
                <w:p>
                  <w:pPr>
                    <w:tabs>
                      <w:tab w:val="left" w:pos="597"/>
                      <w:tab w:val="left" w:pos="2970"/>
                    </w:tabs>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400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3" w:type="pct"/>
                  <w:shd w:val="clear" w:color="auto" w:fill="auto"/>
                  <w:vAlign w:val="top"/>
                </w:tcPr>
                <w:p>
                  <w:pPr>
                    <w:tabs>
                      <w:tab w:val="left" w:pos="597"/>
                      <w:tab w:val="left" w:pos="2970"/>
                    </w:tabs>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lang w:val="en-US" w:eastAsia="zh-CN" w:bidi="ar-SA"/>
                      <w14:textFill>
                        <w14:solidFill>
                          <w14:schemeClr w14:val="tx1"/>
                        </w14:solidFill>
                      </w14:textFill>
                    </w:rPr>
                    <w:t>3</w:t>
                  </w:r>
                </w:p>
              </w:tc>
              <w:tc>
                <w:tcPr>
                  <w:tcW w:w="1733" w:type="pct"/>
                </w:tcPr>
                <w:p>
                  <w:pPr>
                    <w:tabs>
                      <w:tab w:val="left" w:pos="597"/>
                      <w:tab w:val="left" w:pos="2970"/>
                    </w:tabs>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COD</w:t>
                  </w:r>
                  <w:r>
                    <w:rPr>
                      <w:rFonts w:hint="eastAsia" w:cs="Times New Roman"/>
                      <w:b w:val="0"/>
                      <w:bCs/>
                      <w:color w:val="000000" w:themeColor="text1"/>
                      <w:sz w:val="21"/>
                      <w:szCs w:val="21"/>
                      <w:lang w:val="en-US" w:eastAsia="zh-CN"/>
                      <w14:textFill>
                        <w14:solidFill>
                          <w14:schemeClr w14:val="tx1"/>
                        </w14:solidFill>
                      </w14:textFill>
                    </w:rPr>
                    <w:t>cr</w:t>
                  </w:r>
                </w:p>
              </w:tc>
              <w:tc>
                <w:tcPr>
                  <w:tcW w:w="2213" w:type="pct"/>
                </w:tcPr>
                <w:p>
                  <w:pPr>
                    <w:tabs>
                      <w:tab w:val="left" w:pos="597"/>
                      <w:tab w:val="left" w:pos="2970"/>
                    </w:tabs>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500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3" w:type="pct"/>
                  <w:shd w:val="clear" w:color="auto" w:fill="auto"/>
                  <w:vAlign w:val="top"/>
                </w:tcPr>
                <w:p>
                  <w:pPr>
                    <w:tabs>
                      <w:tab w:val="left" w:pos="597"/>
                      <w:tab w:val="left" w:pos="2970"/>
                    </w:tabs>
                    <w:jc w:val="cente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w:t>
                  </w:r>
                </w:p>
              </w:tc>
              <w:tc>
                <w:tcPr>
                  <w:tcW w:w="1733" w:type="pct"/>
                </w:tcPr>
                <w:p>
                  <w:pPr>
                    <w:tabs>
                      <w:tab w:val="left" w:pos="597"/>
                      <w:tab w:val="left" w:pos="2970"/>
                    </w:tabs>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 xml:space="preserve">五日生化需氧量 </w:t>
                  </w:r>
                </w:p>
              </w:tc>
              <w:tc>
                <w:tcPr>
                  <w:tcW w:w="2213" w:type="pct"/>
                </w:tcPr>
                <w:p>
                  <w:pPr>
                    <w:tabs>
                      <w:tab w:val="left" w:pos="597"/>
                      <w:tab w:val="left" w:pos="2970"/>
                    </w:tabs>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300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3" w:type="pct"/>
                  <w:shd w:val="clear" w:color="auto" w:fill="auto"/>
                  <w:vAlign w:val="top"/>
                </w:tcPr>
                <w:p>
                  <w:pPr>
                    <w:tabs>
                      <w:tab w:val="left" w:pos="597"/>
                      <w:tab w:val="left" w:pos="2970"/>
                    </w:tabs>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lang w:val="en-US" w:eastAsia="zh-CN" w:bidi="ar-SA"/>
                      <w14:textFill>
                        <w14:solidFill>
                          <w14:schemeClr w14:val="tx1"/>
                        </w14:solidFill>
                      </w14:textFill>
                    </w:rPr>
                    <w:t>5</w:t>
                  </w:r>
                </w:p>
              </w:tc>
              <w:tc>
                <w:tcPr>
                  <w:tcW w:w="1733" w:type="pct"/>
                </w:tcPr>
                <w:p>
                  <w:pPr>
                    <w:tabs>
                      <w:tab w:val="left" w:pos="597"/>
                      <w:tab w:val="left" w:pos="2970"/>
                    </w:tabs>
                    <w:jc w:val="center"/>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氨氮</w:t>
                  </w:r>
                </w:p>
              </w:tc>
              <w:tc>
                <w:tcPr>
                  <w:tcW w:w="2213" w:type="pct"/>
                </w:tcPr>
                <w:p>
                  <w:pPr>
                    <w:tabs>
                      <w:tab w:val="left" w:pos="597"/>
                      <w:tab w:val="left" w:pos="2970"/>
                    </w:tabs>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3" w:type="pct"/>
                  <w:shd w:val="clear" w:color="auto" w:fill="auto"/>
                  <w:vAlign w:val="top"/>
                </w:tcPr>
                <w:p>
                  <w:pPr>
                    <w:tabs>
                      <w:tab w:val="left" w:pos="597"/>
                      <w:tab w:val="left" w:pos="2970"/>
                    </w:tabs>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kern w:val="2"/>
                      <w:sz w:val="21"/>
                      <w:szCs w:val="21"/>
                      <w:lang w:val="en-US" w:eastAsia="zh-CN" w:bidi="ar-SA"/>
                      <w14:textFill>
                        <w14:solidFill>
                          <w14:schemeClr w14:val="tx1"/>
                        </w14:solidFill>
                      </w14:textFill>
                    </w:rPr>
                    <w:t>6</w:t>
                  </w:r>
                </w:p>
              </w:tc>
              <w:tc>
                <w:tcPr>
                  <w:tcW w:w="1733" w:type="pct"/>
                </w:tcPr>
                <w:p>
                  <w:pPr>
                    <w:tabs>
                      <w:tab w:val="left" w:pos="597"/>
                      <w:tab w:val="left" w:pos="2970"/>
                    </w:tabs>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动植物油</w:t>
                  </w:r>
                </w:p>
              </w:tc>
              <w:tc>
                <w:tcPr>
                  <w:tcW w:w="2213" w:type="pct"/>
                </w:tcPr>
                <w:p>
                  <w:pPr>
                    <w:tabs>
                      <w:tab w:val="left" w:pos="597"/>
                      <w:tab w:val="left" w:pos="2970"/>
                    </w:tabs>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100</w:t>
                  </w:r>
                </w:p>
              </w:tc>
            </w:tr>
          </w:tbl>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4 </w:t>
            </w:r>
            <w:r>
              <w:rPr>
                <w:rFonts w:hint="eastAsia" w:ascii="Times New Roman" w:hAnsi="Times New Roman" w:eastAsia="宋体"/>
                <w:color w:val="000000" w:themeColor="text1"/>
                <w:lang w:val="en-US" w:eastAsia="zh-CN"/>
                <w14:textFill>
                  <w14:solidFill>
                    <w14:schemeClr w14:val="tx1"/>
                  </w14:solidFill>
                </w14:textFill>
              </w:rPr>
              <w:t>固体废物控制标准</w:t>
            </w:r>
          </w:p>
          <w:p>
            <w:pPr>
              <w:pStyle w:val="27"/>
              <w:ind w:firstLine="480"/>
              <w:jc w:val="both"/>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本项目一般固体废物执行《一般工业固体废物贮存和填埋污染控制标准》（GB 18599-2020）相关规定。</w:t>
            </w:r>
            <w:r>
              <w:rPr>
                <w:rFonts w:hint="default" w:ascii="Times New Roman" w:hAnsi="Times New Roman" w:eastAsia="宋体" w:cs="Times New Roman"/>
                <w:color w:val="000000" w:themeColor="text1"/>
                <w:sz w:val="24"/>
                <w14:textFill>
                  <w14:solidFill>
                    <w14:schemeClr w14:val="tx1"/>
                  </w14:solidFill>
                </w14:textFill>
              </w:rPr>
              <w:t>危险废物执行《危险废物贮存污染控制标准》</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GB</w:t>
            </w:r>
            <w:r>
              <w:rPr>
                <w:rFonts w:hint="eastAsia" w:cs="Times New Roman"/>
                <w:color w:val="000000" w:themeColor="text1"/>
                <w:sz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14:textFill>
                  <w14:solidFill>
                    <w14:schemeClr w14:val="tx1"/>
                  </w14:solidFill>
                </w14:textFill>
              </w:rPr>
              <w:t>18597-2023</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22" w:type="dxa"/>
            <w:tcBorders>
              <w:tl2br w:val="nil"/>
              <w:tr2bl w:val="nil"/>
            </w:tcBorders>
            <w:vAlign w:val="center"/>
          </w:tcPr>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总量</w:t>
            </w:r>
          </w:p>
          <w:p>
            <w:pPr>
              <w:jc w:val="center"/>
              <w:rPr>
                <w:rFonts w:ascii="宋体" w:hAnsi="宋体" w:cs="宋体"/>
                <w:b w:val="0"/>
                <w:bCs/>
                <w:color w:val="000000" w:themeColor="text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控制</w:t>
            </w:r>
          </w:p>
          <w:p>
            <w:pPr>
              <w:jc w:val="center"/>
              <w:rPr>
                <w:color w:val="000000" w:themeColor="text1"/>
                <w14:textFill>
                  <w14:solidFill>
                    <w14:schemeClr w14:val="tx1"/>
                  </w14:solidFill>
                </w14:textFill>
              </w:rPr>
            </w:pPr>
            <w:r>
              <w:rPr>
                <w:rFonts w:hint="eastAsia"/>
                <w:b w:val="0"/>
                <w:bCs/>
                <w:color w:val="000000" w:themeColor="text1"/>
                <w14:textFill>
                  <w14:solidFill>
                    <w14:schemeClr w14:val="tx1"/>
                  </w14:solidFill>
                </w14:textFill>
              </w:rPr>
              <w:t>指标</w:t>
            </w:r>
          </w:p>
        </w:tc>
        <w:tc>
          <w:tcPr>
            <w:tcW w:w="7900" w:type="dxa"/>
            <w:tcBorders>
              <w:tl2br w:val="nil"/>
              <w:tr2bl w:val="nil"/>
            </w:tcBorders>
            <w:vAlign w:val="center"/>
          </w:tcPr>
          <w:p>
            <w:pPr>
              <w:pStyle w:val="27"/>
              <w:ind w:firstLine="48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根据《新疆生态环境保护“十四五”规划》，自治区主要对氮氧化物（NOx）、挥发性有机物（VOCs）、化学需氧量（COD）、氨氮（NH₃-N） 四种主要污染物实行总量控制。结合本项目排污特征（仅排放生活污水，不涉及COD和氨氮总量控制），确定本项目大气污染物总量控制因子为挥发性有机物（VOCs）和氮氧化物（NOx）。</w:t>
            </w:r>
          </w:p>
          <w:p>
            <w:pPr>
              <w:pStyle w:val="27"/>
              <w:ind w:firstLine="48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根据《昌吉回族自治州生态环境分区管控动态更新成果（2023版）》，“乌—昌—石”区域PM</w:t>
            </w:r>
            <w:r>
              <w:rPr>
                <w:rFonts w:hint="eastAsia"/>
                <w:color w:val="000000" w:themeColor="text1"/>
                <w:vertAlign w:val="subscript"/>
                <w:lang w:val="en-US" w:eastAsia="zh-CN"/>
                <w14:textFill>
                  <w14:solidFill>
                    <w14:schemeClr w14:val="tx1"/>
                  </w14:solidFill>
                </w14:textFill>
              </w:rPr>
              <w:t>2.5</w:t>
            </w:r>
            <w:r>
              <w:rPr>
                <w:rFonts w:hint="eastAsia"/>
                <w:color w:val="000000" w:themeColor="text1"/>
                <w:lang w:val="en-US" w:eastAsia="zh-CN"/>
                <w14:textFill>
                  <w14:solidFill>
                    <w14:schemeClr w14:val="tx1"/>
                  </w14:solidFill>
                </w14:textFill>
              </w:rPr>
              <w:t>年平均浓度不达标，颗粒物（烟粉尘）亦纳入区域倍量替代管理。因此，颗粒物作为区域特征污染物亦应纳入总量管理。</w:t>
            </w:r>
          </w:p>
          <w:p>
            <w:pPr>
              <w:pStyle w:val="27"/>
              <w:ind w:firstLine="48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特变电工智能电缆产业园建设项目（三期）环境影响报告表》及环评批复要求：颗粒物4.422t/a，氮氧化物4.73t/a，挥发性有机物3.89t/a，实行区域倍量削减，替代指标为颗粒物8.844t/a，氮氧化物9.46t/a，挥发性有机物7.78t/a。</w:t>
            </w:r>
          </w:p>
          <w:p>
            <w:pPr>
              <w:pStyle w:val="27"/>
              <w:ind w:firstLine="48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根据上文分析，本项目产品产量保持不变，但铝锭年消耗量有所增加，导致生产工序天然气耗量上升；同时，连铸连轧工序废气由无组织排放调整为有组织排放，使得废气污染物排放量相应增大。</w:t>
            </w:r>
          </w:p>
          <w:p>
            <w:pPr>
              <w:pStyle w:val="27"/>
              <w:ind w:firstLine="480"/>
              <w:jc w:val="both"/>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根据工程分析，本次变动化后排放量分别为：非甲烷总烃：4.289 t/a，颗粒物：4.422t/a，氮氧化物：5.55 t/a。项目所在区域为环境空气质量不达标区，实行区域倍量削减，替代指标非甲烷总烃：8.578 t/a，颗粒物：8.844t/a，氮氧化物：11.1 t/a。</w:t>
            </w:r>
          </w:p>
          <w:p>
            <w:pPr>
              <w:pStyle w:val="27"/>
              <w:ind w:firstLine="48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对照原有总量控制指标，本项目需新增申请总量控制指标；其中颗粒物排放量维持现状不新增，申请非甲烷总烃0.399t/a、氮氧化物 0.82t/a。 本项目位于环境空气质量不达标区域，按照要求执行区域倍量削减替代，需落实替代指标：非甲烷总烃0.798t/a，氮氧化物 1.64t/a。</w:t>
            </w: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p>
            <w:pPr>
              <w:pStyle w:val="27"/>
              <w:ind w:left="0" w:leftChars="0" w:firstLine="0" w:firstLineChars="0"/>
              <w:jc w:val="both"/>
              <w:rPr>
                <w:rFonts w:hint="eastAsia"/>
                <w:color w:val="000000" w:themeColor="text1"/>
                <w:lang w:val="en-US" w:eastAsia="zh-CN"/>
                <w14:textFill>
                  <w14:solidFill>
                    <w14:schemeClr w14:val="tx1"/>
                  </w14:solidFill>
                </w14:textFill>
              </w:rPr>
            </w:pPr>
          </w:p>
        </w:tc>
      </w:tr>
    </w:tbl>
    <w:p>
      <w:pPr>
        <w:pStyle w:val="6"/>
        <w:numPr>
          <w:ilvl w:val="0"/>
          <w:numId w:val="0"/>
        </w:numPr>
        <w:jc w:val="center"/>
        <w:rPr>
          <w:rFonts w:hint="eastAsia" w:ascii="黑体" w:hAnsi="黑体" w:eastAsia="黑体" w:cs="黑体"/>
          <w:b w:val="0"/>
          <w:bCs/>
          <w:color w:val="000000" w:themeColor="text1"/>
          <w14:textFill>
            <w14:solidFill>
              <w14:schemeClr w14:val="tx1"/>
            </w14:solidFill>
          </w14:textFill>
        </w:rPr>
      </w:pPr>
      <w:r>
        <w:rPr>
          <w:rFonts w:hint="eastAsia" w:ascii="黑体" w:hAnsi="黑体" w:eastAsia="黑体" w:cs="黑体"/>
          <w:b w:val="0"/>
          <w:bCs/>
          <w:color w:val="000000" w:themeColor="text1"/>
          <w:kern w:val="44"/>
          <w:sz w:val="30"/>
          <w:szCs w:val="24"/>
          <w:lang w:val="en-US" w:eastAsia="zh-CN" w:bidi="ar-SA"/>
          <w14:textFill>
            <w14:solidFill>
              <w14:schemeClr w14:val="tx1"/>
            </w14:solidFill>
          </w14:textFill>
        </w:rPr>
        <w:t>四、</w:t>
      </w:r>
      <w:r>
        <w:rPr>
          <w:rFonts w:hint="eastAsia" w:ascii="黑体" w:hAnsi="黑体" w:eastAsia="黑体" w:cs="黑体"/>
          <w:b w:val="0"/>
          <w:bCs/>
          <w:color w:val="000000" w:themeColor="text1"/>
          <w14:textFill>
            <w14:solidFill>
              <w14:schemeClr w14:val="tx1"/>
            </w14:solidFill>
          </w14:textFill>
        </w:rPr>
        <w:t>主要环境影响和保护措施</w:t>
      </w:r>
    </w:p>
    <w:tbl>
      <w:tblPr>
        <w:tblStyle w:val="33"/>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438"/>
        <w:gridCol w:w="808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8" w:hRule="atLeast"/>
        </w:trPr>
        <w:tc>
          <w:tcPr>
            <w:tcW w:w="437" w:type="dxa"/>
            <w:tcBorders>
              <w:tl2br w:val="nil"/>
              <w:tr2bl w:val="nil"/>
            </w:tcBorders>
            <w:vAlign w:val="center"/>
          </w:tcPr>
          <w:p>
            <w:pPr>
              <w:pStyle w:val="28"/>
              <w:adjustRightInd w:val="0"/>
              <w:snapToGrid w:val="0"/>
              <w:spacing w:before="0" w:beforeAutospacing="0" w:after="0" w:afterAutospacing="0"/>
              <w:jc w:val="center"/>
              <w:rPr>
                <w:rFonts w:hint="default" w:ascii="Times New Roman" w:hAnsi="Times New Roman" w:cs="Times New Roman"/>
                <w:b w:val="0"/>
                <w:bCs/>
                <w:color w:val="000000" w:themeColor="text1"/>
                <w:kern w:val="2"/>
                <w:szCs w:val="24"/>
                <w14:textFill>
                  <w14:solidFill>
                    <w14:schemeClr w14:val="tx1"/>
                  </w14:solidFill>
                </w14:textFill>
              </w:rPr>
            </w:pPr>
            <w:r>
              <w:rPr>
                <w:rFonts w:hint="default" w:ascii="Times New Roman" w:hAnsi="Times New Roman" w:cs="Times New Roman"/>
                <w:b w:val="0"/>
                <w:bCs/>
                <w:color w:val="000000" w:themeColor="text1"/>
                <w:kern w:val="2"/>
                <w:szCs w:val="24"/>
                <w14:textFill>
                  <w14:solidFill>
                    <w14:schemeClr w14:val="tx1"/>
                  </w14:solidFill>
                </w14:textFill>
              </w:rPr>
              <w:t>施工</w:t>
            </w:r>
          </w:p>
          <w:p>
            <w:pPr>
              <w:pStyle w:val="28"/>
              <w:adjustRightInd w:val="0"/>
              <w:snapToGrid w:val="0"/>
              <w:spacing w:before="0" w:beforeAutospacing="0" w:after="0" w:afterAutospacing="0"/>
              <w:jc w:val="center"/>
              <w:rPr>
                <w:rFonts w:hint="default" w:ascii="Times New Roman" w:hAnsi="Times New Roman" w:cs="Times New Roman"/>
                <w:b w:val="0"/>
                <w:bCs/>
                <w:color w:val="000000" w:themeColor="text1"/>
                <w:kern w:val="2"/>
                <w:szCs w:val="24"/>
                <w14:textFill>
                  <w14:solidFill>
                    <w14:schemeClr w14:val="tx1"/>
                  </w14:solidFill>
                </w14:textFill>
              </w:rPr>
            </w:pPr>
            <w:r>
              <w:rPr>
                <w:rFonts w:hint="default" w:ascii="Times New Roman" w:hAnsi="Times New Roman" w:cs="Times New Roman"/>
                <w:b w:val="0"/>
                <w:bCs/>
                <w:color w:val="000000" w:themeColor="text1"/>
                <w:kern w:val="2"/>
                <w:szCs w:val="24"/>
                <w14:textFill>
                  <w14:solidFill>
                    <w14:schemeClr w14:val="tx1"/>
                  </w14:solidFill>
                </w14:textFill>
              </w:rPr>
              <w:t>期环</w:t>
            </w:r>
          </w:p>
          <w:p>
            <w:pPr>
              <w:pStyle w:val="28"/>
              <w:adjustRightInd w:val="0"/>
              <w:snapToGrid w:val="0"/>
              <w:spacing w:before="0" w:beforeAutospacing="0" w:after="0" w:afterAutospacing="0"/>
              <w:jc w:val="center"/>
              <w:rPr>
                <w:rFonts w:hint="default" w:ascii="Times New Roman" w:hAnsi="Times New Roman" w:cs="Times New Roman"/>
                <w:b w:val="0"/>
                <w:bCs/>
                <w:color w:val="000000" w:themeColor="text1"/>
                <w:kern w:val="2"/>
                <w:szCs w:val="24"/>
                <w14:textFill>
                  <w14:solidFill>
                    <w14:schemeClr w14:val="tx1"/>
                  </w14:solidFill>
                </w14:textFill>
              </w:rPr>
            </w:pPr>
            <w:r>
              <w:rPr>
                <w:rFonts w:hint="default" w:ascii="Times New Roman" w:hAnsi="Times New Roman" w:cs="Times New Roman"/>
                <w:b w:val="0"/>
                <w:bCs/>
                <w:color w:val="000000" w:themeColor="text1"/>
                <w:kern w:val="2"/>
                <w:szCs w:val="24"/>
                <w14:textFill>
                  <w14:solidFill>
                    <w14:schemeClr w14:val="tx1"/>
                  </w14:solidFill>
                </w14:textFill>
              </w:rPr>
              <w:t>境保</w:t>
            </w:r>
          </w:p>
          <w:p>
            <w:pPr>
              <w:pStyle w:val="28"/>
              <w:adjustRightInd w:val="0"/>
              <w:snapToGrid w:val="0"/>
              <w:spacing w:before="0" w:beforeAutospacing="0" w:after="0" w:afterAutospacing="0"/>
              <w:jc w:val="center"/>
              <w:rPr>
                <w:rFonts w:hint="default" w:ascii="Times New Roman" w:hAnsi="Times New Roman" w:cs="Times New Roman"/>
                <w:b w:val="0"/>
                <w:bCs/>
                <w:color w:val="000000" w:themeColor="text1"/>
                <w:kern w:val="2"/>
                <w:szCs w:val="24"/>
                <w14:textFill>
                  <w14:solidFill>
                    <w14:schemeClr w14:val="tx1"/>
                  </w14:solidFill>
                </w14:textFill>
              </w:rPr>
            </w:pPr>
            <w:r>
              <w:rPr>
                <w:rFonts w:hint="default" w:ascii="Times New Roman" w:hAnsi="Times New Roman" w:cs="Times New Roman"/>
                <w:b w:val="0"/>
                <w:bCs/>
                <w:color w:val="000000" w:themeColor="text1"/>
                <w:kern w:val="2"/>
                <w:szCs w:val="24"/>
                <w14:textFill>
                  <w14:solidFill>
                    <w14:schemeClr w14:val="tx1"/>
                  </w14:solidFill>
                </w14:textFill>
              </w:rPr>
              <w:t>护措</w:t>
            </w:r>
          </w:p>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施</w:t>
            </w:r>
          </w:p>
        </w:tc>
        <w:tc>
          <w:tcPr>
            <w:tcW w:w="8085" w:type="dxa"/>
            <w:tcBorders>
              <w:tl2br w:val="nil"/>
              <w:tr2bl w:val="nil"/>
            </w:tcBorders>
            <w:vAlign w:val="center"/>
          </w:tcPr>
          <w:p>
            <w:pPr>
              <w:pStyle w:val="27"/>
              <w:bidi w:val="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施工内容主要为场地平整与基础开挖、料场框架搭建、主体建筑施工、设备安装调试以及厂区道路绿化等辅助工程建设，施工周期较短，施工期污染物主要为施工扬尘、施工机械及噪声、施工废水、建筑垃圾与少量生活垃圾。</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 xml:space="preserve">1 </w:t>
            </w:r>
            <w:r>
              <w:rPr>
                <w:rFonts w:hint="eastAsia"/>
                <w:color w:val="000000" w:themeColor="text1"/>
                <w:lang w:val="en-US" w:eastAsia="zh-CN"/>
                <w14:textFill>
                  <w14:solidFill>
                    <w14:schemeClr w14:val="tx1"/>
                  </w14:solidFill>
                </w14:textFill>
              </w:rPr>
              <w:t>施工期废气</w:t>
            </w:r>
            <w:r>
              <w:rPr>
                <w:rFonts w:hint="eastAsia" w:ascii="Times New Roman" w:hAnsi="Times New Roman" w:eastAsia="宋体"/>
                <w:color w:val="000000" w:themeColor="text1"/>
                <w:lang w:val="en-US" w:eastAsia="zh-CN"/>
                <w14:textFill>
                  <w14:solidFill>
                    <w14:schemeClr w14:val="tx1"/>
                  </w14:solidFill>
                </w14:textFill>
              </w:rPr>
              <w:t>防治措施</w:t>
            </w:r>
          </w:p>
          <w:p>
            <w:pPr>
              <w:pStyle w:val="27"/>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施工</w:t>
            </w:r>
            <w:r>
              <w:rPr>
                <w:rFonts w:hint="eastAsia" w:cs="Times New Roman"/>
                <w:color w:val="000000" w:themeColor="text1"/>
                <w:lang w:val="en-US" w:eastAsia="zh-CN"/>
                <w14:textFill>
                  <w14:solidFill>
                    <w14:schemeClr w14:val="tx1"/>
                  </w14:solidFill>
                </w14:textFill>
              </w:rPr>
              <w:t>期</w:t>
            </w:r>
            <w:r>
              <w:rPr>
                <w:rFonts w:hint="default" w:ascii="Times New Roman" w:hAnsi="Times New Roman" w:eastAsia="宋体" w:cs="Times New Roman"/>
                <w:color w:val="000000" w:themeColor="text1"/>
                <w:lang w:val="en-US" w:eastAsia="zh-CN"/>
                <w14:textFill>
                  <w14:solidFill>
                    <w14:schemeClr w14:val="tx1"/>
                  </w14:solidFill>
                </w14:textFill>
              </w:rPr>
              <w:t>对大气环境的影响有如下几个特点：</w:t>
            </w:r>
          </w:p>
          <w:p>
            <w:pPr>
              <w:pStyle w:val="27"/>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（1）车辆在施</w:t>
            </w:r>
            <w:r>
              <w:rPr>
                <w:rFonts w:hint="eastAsia" w:cs="Times New Roman"/>
                <w:color w:val="000000" w:themeColor="text1"/>
                <w:lang w:val="en-US" w:eastAsia="zh-CN"/>
                <w14:textFill>
                  <w14:solidFill>
                    <w14:schemeClr w14:val="tx1"/>
                  </w14:solidFill>
                </w14:textFill>
              </w:rPr>
              <w:t>工现</w:t>
            </w:r>
            <w:r>
              <w:rPr>
                <w:rFonts w:hint="default" w:ascii="Times New Roman" w:hAnsi="Times New Roman" w:eastAsia="宋体" w:cs="Times New Roman"/>
                <w:color w:val="000000" w:themeColor="text1"/>
                <w:lang w:val="en-US" w:eastAsia="zh-CN"/>
                <w14:textFill>
                  <w14:solidFill>
                    <w14:schemeClr w14:val="tx1"/>
                  </w14:solidFill>
                </w14:textFill>
              </w:rPr>
              <w:t>场范围内活动，尾气呈面源污染形式；</w:t>
            </w:r>
          </w:p>
          <w:p>
            <w:pPr>
              <w:pStyle w:val="27"/>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（2）汽车排气筒高度较低，尾气扩散范围不大，对周围地区影响较小，预计工程施工作业时对局部区域环境空气影响范围仅限于下风向 20m~30m范围内，且这种影响时间短，并随施工的完成而消失；</w:t>
            </w:r>
          </w:p>
          <w:p>
            <w:pPr>
              <w:pStyle w:val="27"/>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车辆为非连续行驶状态，污染物排放时间及排放量相对较少。由于本项目施工作业具有间歇性的特点，同一施工时间内，施工机械、车辆数量有限，尾气排放量不大，施工作业对环境空气的影响范围主要局限于施工区内，施工机械及车辆废气使所在地区废气排放量在总量上增加不大。因此，施工机械及运输车辆排放的污染物容易扩散，只要加强设备及车辆的养护，其对周围空气环境不会有明显的影响。</w:t>
            </w:r>
          </w:p>
          <w:p>
            <w:pPr>
              <w:pStyle w:val="27"/>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4）车辆运输时通过相同长度的路面，在同样路面清洁程度状况下，车辆速度越快，扬尘量越大，而在同样车速情况下，路面越脏，扬尘量越大。车辆引起的路面扬尘主要影响区域在施工区以及运输途经路面。本工程施工过程中采取保证路面清洁及限制车速等措施减少运输扬尘的产生量。</w:t>
            </w:r>
          </w:p>
          <w:p>
            <w:pPr>
              <w:pStyle w:val="8"/>
              <w:jc w:val="both"/>
              <w:outlineLvl w:val="2"/>
              <w:rPr>
                <w:rFonts w:hint="default"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2 施工期废水防治措施</w:t>
            </w:r>
          </w:p>
          <w:p>
            <w:pPr>
              <w:pStyle w:val="27"/>
              <w:ind w:firstLine="48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施工期在施工现场设置临时沉淀池，将设备清洗废水、车辆冲洗废水等集中收集，经沉淀处理后全部回用于厂区洒水抑尘，严禁外排废水；施工人员产生的生活污水排入园区污水管网。因此施工期产生的废水对周围环境的负面影响较小。</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3 施工期噪声防治措施</w:t>
            </w:r>
          </w:p>
          <w:p>
            <w:pPr>
              <w:pStyle w:val="27"/>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施工期间噪声污染分为机械噪声、施工作业噪声及施工车辆噪声。</w:t>
            </w:r>
          </w:p>
          <w:p>
            <w:pPr>
              <w:pStyle w:val="27"/>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机械噪声主要由施工机械所造成，如升降机等，多为点源；施工作业噪声主要指一些零星的敲打声、装卸车辆的撞击声、拆装模板时的撞击声等，多为瞬间噪声；施工车辆的噪声属于交通噪声。在这些施工噪声中对声环境影响最大的是机械噪声及运输材料的交通噪声。</w:t>
            </w:r>
          </w:p>
          <w:p>
            <w:pPr>
              <w:pStyle w:val="27"/>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为减少施工噪声对周围敏感点的影响，结合施工进展，施工期采取了如下防治措施：</w:t>
            </w:r>
          </w:p>
          <w:p>
            <w:pPr>
              <w:pStyle w:val="27"/>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（1）定期对机械设备进行维护和保养，使其保持良好的状态，减轻因设备运行状态不佳而造成的噪声污染：</w:t>
            </w:r>
          </w:p>
          <w:p>
            <w:pPr>
              <w:pStyle w:val="27"/>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（2）施工单位应严格遵守当地相关环境噪声污染防治管理办法的规定，合理安排施工时间：统筹安排施工，尽可能避免在同一区段同一时间安排大量产生噪声设备同时施工：</w:t>
            </w:r>
          </w:p>
          <w:p>
            <w:pPr>
              <w:pStyle w:val="27"/>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3）运输采用车况良好的车辆，并注意定期维修、养护；合理规划运输车辆的行驶路线，尽量绕开沿线居民区等声环境敏感区，以减少施工噪声对周围声环境敏感点的影响。如无法避开，应降低车速，禁止在声敏感区域鸣笛；</w:t>
            </w:r>
          </w:p>
          <w:p>
            <w:pPr>
              <w:pStyle w:val="27"/>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（4）提倡文明施工，加强施工人员管理，尽量减少人为原因产生的噪声；在支架的拆卸过程中应遵守作业规定，轻拿轻放，减少碰撞噪声；</w:t>
            </w:r>
          </w:p>
          <w:p>
            <w:pPr>
              <w:pStyle w:val="27"/>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5）个人防护：施工单位应合理安排工作人员轮流操作产生高噪声的施工机械，减少接触高噪声的时间，或穿插安排高噪声和低噪声的工作。加强对施工人员的个人防护，对高噪声设备附近工作的施工人员，采取配备、使用耳塞、耳机、防声头盔等防噪用具。</w:t>
            </w:r>
          </w:p>
          <w:p>
            <w:pPr>
              <w:pStyle w:val="27"/>
              <w:numPr>
                <w:ilvl w:val="0"/>
                <w:numId w:val="0"/>
              </w:numPr>
              <w:ind w:firstLine="480" w:firstLineChars="200"/>
              <w:jc w:val="both"/>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经采取以上降噪措施后，施工场地边界噪声能够达到《建筑施工噪声排放标准》（GB 12523-2025）中的标准限值。且随着工程施工的结束，施工噪声的影响将不再存在，施工噪声对环境的不利影响是暂时的、短期的行为，因此施工期拟采取的噪声防治措施可行。</w:t>
            </w:r>
          </w:p>
          <w:p>
            <w:pPr>
              <w:pStyle w:val="8"/>
              <w:jc w:val="both"/>
              <w:outlineLvl w:val="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eastAsia="宋体"/>
                <w:color w:val="000000" w:themeColor="text1"/>
                <w:lang w:val="en-US" w:eastAsia="zh-CN"/>
                <w14:textFill>
                  <w14:solidFill>
                    <w14:schemeClr w14:val="tx1"/>
                  </w14:solidFill>
                </w14:textFill>
              </w:rPr>
              <w:t>4 施工期固体废物防治措施</w:t>
            </w:r>
          </w:p>
          <w:p>
            <w:pPr>
              <w:pStyle w:val="27"/>
              <w:numPr>
                <w:ilvl w:val="0"/>
                <w:numId w:val="0"/>
              </w:numPr>
              <w:ind w:firstLine="480" w:firstLineChars="200"/>
              <w:jc w:val="both"/>
              <w:rPr>
                <w:rFonts w:hint="eastAsia"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4"/>
                <w:szCs w:val="24"/>
                <w:lang w:val="en-US" w:eastAsia="zh-CN" w:bidi="ar-SA"/>
                <w14:textFill>
                  <w14:solidFill>
                    <w14:schemeClr w14:val="tx1"/>
                  </w14:solidFill>
                </w14:textFill>
              </w:rPr>
              <w:t>施工期产生的固体废弃物主要是废弃包装、设备安装产生的建筑垃圾等。建筑垃圾运至建筑垃圾填埋场处置；施工单位按规范运输，防止随地散落、随意倾倒建筑垃圾的现象发生。</w:t>
            </w:r>
          </w:p>
          <w:p>
            <w:pPr>
              <w:pStyle w:val="27"/>
              <w:numPr>
                <w:ilvl w:val="0"/>
                <w:numId w:val="0"/>
              </w:numPr>
              <w:ind w:firstLine="480" w:firstLineChars="200"/>
              <w:jc w:val="both"/>
              <w:rPr>
                <w:rFonts w:hint="default" w:ascii="Times New Roman" w:hAnsi="Times New Roman" w:cs="Times New Roman"/>
                <w:b w:val="0"/>
                <w:bCs/>
                <w:color w:val="000000" w:themeColor="text1"/>
                <w:sz w:val="24"/>
                <w:szCs w:val="24"/>
                <w:u w:val="none" w:color="auto"/>
                <w:lang w:val="en-US" w:eastAsia="zh-CN"/>
                <w14:textFill>
                  <w14:solidFill>
                    <w14:schemeClr w14:val="tx1"/>
                  </w14:solidFill>
                </w14:textFill>
              </w:rPr>
            </w:pPr>
            <w:r>
              <w:rPr>
                <w:rFonts w:hint="eastAsia" w:ascii="Times New Roman" w:hAnsi="Times New Roman" w:eastAsia="宋体" w:cs="Times New Roman"/>
                <w:b w:val="0"/>
                <w:color w:val="000000" w:themeColor="text1"/>
                <w:kern w:val="2"/>
                <w:sz w:val="24"/>
                <w:szCs w:val="24"/>
                <w:lang w:val="en-US" w:eastAsia="zh-CN" w:bidi="ar-SA"/>
                <w14:textFill>
                  <w14:solidFill>
                    <w14:schemeClr w14:val="tx1"/>
                  </w14:solidFill>
                </w14:textFill>
              </w:rPr>
              <w:t>施工人员生活垃圾在厂区内经统一收集后，由环卫部门统一及时清运至垃圾填埋场集中处理。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437" w:type="dxa"/>
            <w:tcBorders>
              <w:tl2br w:val="nil"/>
              <w:tr2bl w:val="nil"/>
            </w:tcBorders>
            <w:vAlign w:val="center"/>
          </w:tcPr>
          <w:p>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运营</w:t>
            </w:r>
          </w:p>
          <w:p>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期环</w:t>
            </w:r>
          </w:p>
          <w:p>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境影</w:t>
            </w:r>
          </w:p>
          <w:p>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响和</w:t>
            </w:r>
          </w:p>
          <w:p>
            <w:pPr>
              <w:adjustRightInd w:val="0"/>
              <w:snapToGrid w:val="0"/>
              <w:jc w:val="center"/>
              <w:rPr>
                <w:rFonts w:hint="default" w:ascii="Times New Roman" w:hAnsi="Times New Roman" w:cs="Times New Roman"/>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14:textFill>
                  <w14:solidFill>
                    <w14:schemeClr w14:val="tx1"/>
                  </w14:solidFill>
                </w14:textFill>
              </w:rPr>
              <w:t>保护</w:t>
            </w:r>
          </w:p>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措施</w:t>
            </w:r>
          </w:p>
        </w:tc>
        <w:tc>
          <w:tcPr>
            <w:tcW w:w="8085" w:type="dxa"/>
            <w:tcBorders>
              <w:tl2br w:val="nil"/>
              <w:tr2bl w:val="nil"/>
            </w:tcBorders>
            <w:vAlign w:val="center"/>
          </w:tcPr>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废气环境影响和保护措施</w:t>
            </w:r>
          </w:p>
          <w:p>
            <w:pPr>
              <w:pStyle w:val="8"/>
              <w:numPr>
                <w:ilvl w:val="1"/>
                <w:numId w:val="0"/>
              </w:numPr>
              <w:ind w:left="0" w:leftChars="0" w:firstLine="0" w:firstLineChars="0"/>
              <w:jc w:val="both"/>
              <w:outlineLvl w:val="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1.1</w:t>
            </w:r>
            <w:r>
              <w:rPr>
                <w:rFonts w:hint="eastAsia" w:cs="Times New Roman"/>
                <w:b/>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cs="Times New Roman"/>
                <w:color w:val="000000" w:themeColor="text1"/>
                <w:lang w:val="en-US" w:eastAsia="zh-CN"/>
                <w14:textFill>
                  <w14:solidFill>
                    <w14:schemeClr w14:val="tx1"/>
                  </w14:solidFill>
                </w14:textFill>
              </w:rPr>
              <w:t>污染源分析</w:t>
            </w:r>
          </w:p>
          <w:p>
            <w:pPr>
              <w:autoSpaceDE w:val="0"/>
              <w:autoSpaceDN w:val="0"/>
              <w:adjustRightInd w:val="0"/>
              <w:spacing w:line="360" w:lineRule="auto"/>
              <w:ind w:firstLine="480" w:firstLineChars="200"/>
              <w:jc w:val="left"/>
              <w:rPr>
                <w:rFonts w:hint="default"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运营期产生的废气主要为熔铝炉、保温炉炉膛废气及熔铝炉、保温炉天然气燃烧废气、轧机工序废气、挤塑工序废气。</w:t>
            </w:r>
          </w:p>
          <w:p>
            <w:pPr>
              <w:autoSpaceDE w:val="0"/>
              <w:autoSpaceDN w:val="0"/>
              <w:adjustRightInd w:val="0"/>
              <w:spacing w:line="360" w:lineRule="auto"/>
              <w:ind w:firstLine="480" w:firstLineChars="200"/>
              <w:jc w:val="left"/>
              <w:rPr>
                <w:rFonts w:hint="default"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（1）熔铝炉、保温炉炉膛废气及熔铝炉、保温炉天然气燃烧废气</w:t>
            </w:r>
          </w:p>
          <w:p>
            <w:pPr>
              <w:autoSpaceDE w:val="0"/>
              <w:autoSpaceDN w:val="0"/>
              <w:adjustRightInd w:val="0"/>
              <w:spacing w:line="360" w:lineRule="auto"/>
              <w:ind w:firstLine="480" w:firstLineChars="200"/>
              <w:jc w:val="both"/>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本次熔铝炉、保温炉炉膛废气量、颗粒物参考《排放源统计调查产排污核算方法和系数手册》“3252  铝压延加工行业系数手册” 中“铝盘条”产品的系数，废气量产污系数为3452Nm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/-产品，颗粒物产污系数为3.39kg/t-产品，熔铝炉、保温炉天然气燃烧产生的颗粒物、二氧化硫、氮氧化物参考《排污许可证申请与核发技术规范 工业炉窑》（HJ 1121-2020）中“表6 加热炉、热处理炉、干燥炉（窑）排放口参考绩效值表”，低位热值35.17MJ/kg中颗粒物绩效值0.168（g/m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 xml:space="preserve"> 燃料），二氧化硫绩效值0.168（g/m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燃料），氮氧化物绩效值2.524（g/m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燃料）的系数。本项目的产品产量为65000t，天然气用量为440万m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，产污系数见表4-1。</w:t>
            </w:r>
          </w:p>
          <w:p>
            <w:pPr>
              <w:pStyle w:val="56"/>
              <w:keepNext w:val="0"/>
              <w:keepLines w:val="0"/>
              <w:pageBreakBefore w:val="0"/>
              <w:suppressLineNumbers w:val="0"/>
              <w:wordWrap/>
              <w:overflowPunct/>
              <w:topLinePunct w:val="0"/>
              <w:bidi w:val="0"/>
              <w:spacing w:before="0" w:beforeLines="0" w:beforeAutospacing="0" w:after="0" w:afterLines="0" w:afterAutospacing="0" w:line="259" w:lineRule="auto"/>
              <w:ind w:left="422" w:leftChars="0" w:right="0" w:hanging="422" w:hangingChars="200"/>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表4-1   天然气锅炉废气源强产污系数一览表</w:t>
            </w:r>
          </w:p>
          <w:tbl>
            <w:tblPr>
              <w:tblStyle w:val="92"/>
              <w:tblW w:w="4996" w:type="pct"/>
              <w:jc w:val="center"/>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autofit"/>
              <w:tblCellMar>
                <w:top w:w="0" w:type="dxa"/>
                <w:left w:w="0" w:type="dxa"/>
                <w:bottom w:w="0" w:type="dxa"/>
                <w:right w:w="0" w:type="dxa"/>
              </w:tblCellMar>
            </w:tblPr>
            <w:tblGrid>
              <w:gridCol w:w="1143"/>
              <w:gridCol w:w="971"/>
              <w:gridCol w:w="971"/>
              <w:gridCol w:w="1306"/>
              <w:gridCol w:w="1292"/>
              <w:gridCol w:w="1117"/>
              <w:gridCol w:w="1062"/>
            </w:tblGrid>
            <w:tr>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554" w:hRule="atLeast"/>
                <w:jc w:val="center"/>
              </w:trPr>
              <w:tc>
                <w:tcPr>
                  <w:tcW w:w="727"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产品名称</w:t>
                  </w:r>
                </w:p>
              </w:tc>
              <w:tc>
                <w:tcPr>
                  <w:tcW w:w="617"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原料名称</w:t>
                  </w:r>
                </w:p>
              </w:tc>
              <w:tc>
                <w:tcPr>
                  <w:tcW w:w="617"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装置</w:t>
                  </w:r>
                </w:p>
              </w:tc>
              <w:tc>
                <w:tcPr>
                  <w:tcW w:w="830"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污染物指标</w:t>
                  </w:r>
                </w:p>
              </w:tc>
              <w:tc>
                <w:tcPr>
                  <w:tcW w:w="821"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产污系数</w:t>
                  </w:r>
                </w:p>
              </w:tc>
              <w:tc>
                <w:tcPr>
                  <w:tcW w:w="710"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产生量（t）</w:t>
                  </w:r>
                </w:p>
              </w:tc>
              <w:tc>
                <w:tcPr>
                  <w:tcW w:w="675"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产生速率（kg/h）</w:t>
                  </w:r>
                </w:p>
              </w:tc>
            </w:tr>
            <w:tr>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821" w:hRule="atLeast"/>
                <w:jc w:val="center"/>
              </w:trPr>
              <w:tc>
                <w:tcPr>
                  <w:tcW w:w="727" w:type="pct"/>
                  <w:vMerge w:val="restar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铝盘条</w:t>
                  </w:r>
                </w:p>
              </w:tc>
              <w:tc>
                <w:tcPr>
                  <w:tcW w:w="617" w:type="pct"/>
                  <w:vMerge w:val="restar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电解铝</w:t>
                  </w:r>
                </w:p>
              </w:tc>
              <w:tc>
                <w:tcPr>
                  <w:tcW w:w="617" w:type="pc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w:t>
                  </w:r>
                </w:p>
              </w:tc>
              <w:tc>
                <w:tcPr>
                  <w:tcW w:w="830" w:type="pc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工业废气量</w:t>
                  </w:r>
                </w:p>
              </w:tc>
              <w:tc>
                <w:tcPr>
                  <w:tcW w:w="821" w:type="pc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3452 标立方米/吨-产品</w:t>
                  </w:r>
                </w:p>
              </w:tc>
              <w:tc>
                <w:tcPr>
                  <w:tcW w:w="710" w:type="pc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2243800</w:t>
                  </w:r>
                </w:p>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00Nm</w:t>
                  </w:r>
                  <w:r>
                    <w:rPr>
                      <w:rFonts w:hint="eastAsia" w:cs="Times New Roman"/>
                      <w:b w:val="0"/>
                      <w:bCs w:val="0"/>
                      <w:color w:val="000000" w:themeColor="text1"/>
                      <w:kern w:val="0"/>
                      <w:sz w:val="21"/>
                      <w:szCs w:val="21"/>
                      <w:vertAlign w:val="superscript"/>
                      <w:lang w:val="en-US" w:eastAsia="zh-CN" w:bidi="ar-SA"/>
                      <w14:textFill>
                        <w14:solidFill>
                          <w14:schemeClr w14:val="tx1"/>
                        </w14:solidFill>
                      </w14:textFill>
                    </w:rPr>
                    <w:t>3</w:t>
                  </w: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/a</w:t>
                  </w:r>
                </w:p>
              </w:tc>
              <w:tc>
                <w:tcPr>
                  <w:tcW w:w="675" w:type="pc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w:t>
                  </w:r>
                </w:p>
              </w:tc>
            </w:tr>
            <w:tr>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549" w:hRule="atLeast"/>
                <w:jc w:val="center"/>
              </w:trPr>
              <w:tc>
                <w:tcPr>
                  <w:tcW w:w="727"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617"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617"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w:t>
                  </w:r>
                </w:p>
              </w:tc>
              <w:tc>
                <w:tcPr>
                  <w:tcW w:w="830"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颗粒物</w:t>
                  </w:r>
                </w:p>
              </w:tc>
              <w:tc>
                <w:tcPr>
                  <w:tcW w:w="821"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3.39 千克/吨-产品</w:t>
                  </w:r>
                </w:p>
              </w:tc>
              <w:tc>
                <w:tcPr>
                  <w:tcW w:w="710"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220.35</w:t>
                  </w:r>
                </w:p>
              </w:tc>
              <w:tc>
                <w:tcPr>
                  <w:tcW w:w="675"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30.60</w:t>
                  </w:r>
                </w:p>
              </w:tc>
            </w:tr>
            <w:tr>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548" w:hRule="atLeast"/>
                <w:jc w:val="center"/>
              </w:trPr>
              <w:tc>
                <w:tcPr>
                  <w:tcW w:w="727" w:type="pct"/>
                  <w:vMerge w:val="restar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蒸汽/热水及其他</w:t>
                  </w:r>
                </w:p>
              </w:tc>
              <w:tc>
                <w:tcPr>
                  <w:tcW w:w="617" w:type="pct"/>
                  <w:vMerge w:val="restar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天然气</w:t>
                  </w:r>
                </w:p>
              </w:tc>
              <w:tc>
                <w:tcPr>
                  <w:tcW w:w="617" w:type="pct"/>
                  <w:vMerge w:val="restar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熔铝炉、</w:t>
                  </w:r>
                </w:p>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保温炉天然气燃烧废气</w:t>
                  </w:r>
                </w:p>
              </w:tc>
              <w:tc>
                <w:tcPr>
                  <w:tcW w:w="830"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颗粒物</w:t>
                  </w:r>
                </w:p>
              </w:tc>
              <w:tc>
                <w:tcPr>
                  <w:tcW w:w="821"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0.168 克/立方米-燃料</w:t>
                  </w:r>
                </w:p>
              </w:tc>
              <w:tc>
                <w:tcPr>
                  <w:tcW w:w="710"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0.739</w:t>
                  </w:r>
                </w:p>
              </w:tc>
              <w:tc>
                <w:tcPr>
                  <w:tcW w:w="675"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0.103</w:t>
                  </w:r>
                </w:p>
              </w:tc>
            </w:tr>
            <w:tr>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549" w:hRule="atLeast"/>
                <w:jc w:val="center"/>
              </w:trPr>
              <w:tc>
                <w:tcPr>
                  <w:tcW w:w="727"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617"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617"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830"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氮氧化物</w:t>
                  </w:r>
                </w:p>
              </w:tc>
              <w:tc>
                <w:tcPr>
                  <w:tcW w:w="821"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2.524 克/立方米-燃料</w:t>
                  </w:r>
                </w:p>
              </w:tc>
              <w:tc>
                <w:tcPr>
                  <w:tcW w:w="710"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11.1056</w:t>
                  </w:r>
                </w:p>
              </w:tc>
              <w:tc>
                <w:tcPr>
                  <w:tcW w:w="675"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1.54</w:t>
                  </w:r>
                </w:p>
              </w:tc>
            </w:tr>
            <w:tr>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554" w:hRule="atLeast"/>
                <w:jc w:val="center"/>
              </w:trPr>
              <w:tc>
                <w:tcPr>
                  <w:tcW w:w="727"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617"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617"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830"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二氧化硫</w:t>
                  </w:r>
                </w:p>
              </w:tc>
              <w:tc>
                <w:tcPr>
                  <w:tcW w:w="821"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0.168 克/立方米-燃料</w:t>
                  </w:r>
                </w:p>
              </w:tc>
              <w:tc>
                <w:tcPr>
                  <w:tcW w:w="710"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cs="Times New Roman"/>
                      <w:b w:val="0"/>
                      <w:bCs w:val="0"/>
                      <w:color w:val="000000" w:themeColor="text1"/>
                      <w:kern w:val="0"/>
                      <w:sz w:val="21"/>
                      <w:szCs w:val="21"/>
                      <w:vertAlign w:val="baseline"/>
                      <w:lang w:val="en-US" w:eastAsia="zh-CN" w:bidi="ar-SA"/>
                      <w14:textFill>
                        <w14:solidFill>
                          <w14:schemeClr w14:val="tx1"/>
                        </w14:solidFill>
                      </w14:textFill>
                    </w:rPr>
                    <w:t>0.739</w:t>
                  </w:r>
                </w:p>
              </w:tc>
              <w:tc>
                <w:tcPr>
                  <w:tcW w:w="675"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cs="Times New Roman"/>
                      <w:b w:val="0"/>
                      <w:bCs w:val="0"/>
                      <w:color w:val="000000" w:themeColor="text1"/>
                      <w:kern w:val="0"/>
                      <w:sz w:val="21"/>
                      <w:szCs w:val="21"/>
                      <w:vertAlign w:val="baseline"/>
                      <w:lang w:val="en-US" w:eastAsia="zh-CN" w:bidi="ar-SA"/>
                      <w14:textFill>
                        <w14:solidFill>
                          <w14:schemeClr w14:val="tx1"/>
                        </w14:solidFill>
                      </w14:textFill>
                    </w:rPr>
                    <w:t>0.103</w:t>
                  </w:r>
                </w:p>
              </w:tc>
            </w:tr>
          </w:tbl>
          <w:p>
            <w:pPr>
              <w:autoSpaceDE w:val="0"/>
              <w:autoSpaceDN w:val="0"/>
              <w:adjustRightInd w:val="0"/>
              <w:spacing w:line="360" w:lineRule="auto"/>
              <w:ind w:firstLine="480" w:firstLineChars="200"/>
              <w:jc w:val="left"/>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本项目采用布袋除尘器去除颗粒物，根据《排放源统计调查产排污核算方法和系数手册》“3252 铝压延加工行业系数手册”中“铝盘条”产品布袋除尘器的去除效率为98%。采用低氮燃烧去除率为50%。本项目熔铝炉、保温炉大气污染物源强及排放情况见下表。</w:t>
            </w:r>
          </w:p>
          <w:p>
            <w:pPr>
              <w:pStyle w:val="56"/>
              <w:keepNext w:val="0"/>
              <w:keepLines w:val="0"/>
              <w:pageBreakBefore w:val="0"/>
              <w:suppressLineNumbers w:val="0"/>
              <w:wordWrap/>
              <w:overflowPunct/>
              <w:topLinePunct w:val="0"/>
              <w:bidi w:val="0"/>
              <w:spacing w:before="0" w:beforeLines="0" w:beforeAutospacing="0" w:after="0" w:afterLines="0" w:afterAutospacing="0" w:line="259" w:lineRule="auto"/>
              <w:ind w:left="422" w:leftChars="0" w:right="0" w:hanging="422" w:hangingChars="200"/>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表4-</w:t>
            </w:r>
            <w:r>
              <w:rPr>
                <w:rFonts w:hint="eastAsia" w:cs="Times New Roman"/>
                <w:b/>
                <w:bCs/>
                <w:color w:val="000000" w:themeColor="text1"/>
                <w:sz w:val="21"/>
                <w:szCs w:val="18"/>
                <w:lang w:val="en-US" w:eastAsia="zh-CN"/>
                <w14:textFill>
                  <w14:solidFill>
                    <w14:schemeClr w14:val="tx1"/>
                  </w14:solidFill>
                </w14:textFill>
              </w:rPr>
              <w:t>2</w:t>
            </w: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 xml:space="preserve">   熔铝炉、保温炉大气污染物源强及排放情况</w:t>
            </w:r>
          </w:p>
          <w:tbl>
            <w:tblPr>
              <w:tblStyle w:val="33"/>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20"/>
              <w:gridCol w:w="1331"/>
              <w:gridCol w:w="1196"/>
              <w:gridCol w:w="1281"/>
              <w:gridCol w:w="855"/>
              <w:gridCol w:w="857"/>
              <w:gridCol w:w="102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41" w:type="pct"/>
                  <w:tcBorders>
                    <w:bottom w:val="single" w:color="auto" w:sz="12" w:space="0"/>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废气类别</w:t>
                  </w:r>
                </w:p>
              </w:tc>
              <w:tc>
                <w:tcPr>
                  <w:tcW w:w="848" w:type="pct"/>
                  <w:tcBorders>
                    <w:bottom w:val="single" w:color="auto" w:sz="12" w:space="0"/>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污染物</w:t>
                  </w:r>
                </w:p>
              </w:tc>
              <w:tc>
                <w:tcPr>
                  <w:tcW w:w="750" w:type="pct"/>
                  <w:tcBorders>
                    <w:bottom w:val="single" w:color="auto" w:sz="12" w:space="0"/>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烟气量（Nm</w:t>
                  </w:r>
                  <w:r>
                    <w:rPr>
                      <w:rFonts w:hint="eastAsia" w:cs="Times New Roman"/>
                      <w:b/>
                      <w:bCs/>
                      <w:color w:val="000000" w:themeColor="text1"/>
                      <w:kern w:val="0"/>
                      <w:sz w:val="21"/>
                      <w:szCs w:val="21"/>
                      <w:vertAlign w:val="superscript"/>
                      <w:lang w:val="en-US" w:eastAsia="zh-CN" w:bidi="ar-SA"/>
                      <w14:textFill>
                        <w14:solidFill>
                          <w14:schemeClr w14:val="tx1"/>
                        </w14:solidFill>
                      </w14:textFill>
                    </w:rPr>
                    <w:t>3</w:t>
                  </w:r>
                  <w:r>
                    <w:rPr>
                      <w:rFonts w:hint="eastAsia" w:cs="Times New Roman"/>
                      <w:b/>
                      <w:bCs/>
                      <w:color w:val="000000" w:themeColor="text1"/>
                      <w:kern w:val="0"/>
                      <w:sz w:val="21"/>
                      <w:szCs w:val="21"/>
                      <w:vertAlign w:val="baseline"/>
                      <w:lang w:val="en-US" w:eastAsia="zh-CN" w:bidi="ar-SA"/>
                      <w14:textFill>
                        <w14:solidFill>
                          <w14:schemeClr w14:val="tx1"/>
                        </w14:solidFill>
                      </w14:textFill>
                    </w:rPr>
                    <w:t>/a）</w:t>
                  </w:r>
                </w:p>
              </w:tc>
              <w:tc>
                <w:tcPr>
                  <w:tcW w:w="816" w:type="pct"/>
                  <w:tcBorders>
                    <w:bottom w:val="single" w:color="auto" w:sz="12" w:space="0"/>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治理设施</w:t>
                  </w:r>
                </w:p>
              </w:tc>
              <w:tc>
                <w:tcPr>
                  <w:tcW w:w="545" w:type="pct"/>
                  <w:tcBorders>
                    <w:bottom w:val="single" w:color="auto" w:sz="12" w:space="0"/>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排放量t/a</w:t>
                  </w:r>
                </w:p>
              </w:tc>
              <w:tc>
                <w:tcPr>
                  <w:tcW w:w="546" w:type="pct"/>
                  <w:tcBorders>
                    <w:bottom w:val="single" w:color="auto" w:sz="12" w:space="0"/>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排放速率kg/h</w:t>
                  </w:r>
                </w:p>
              </w:tc>
              <w:tc>
                <w:tcPr>
                  <w:tcW w:w="651" w:type="pct"/>
                  <w:tcBorders>
                    <w:bottom w:val="single" w:color="auto" w:sz="12" w:space="0"/>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排放浓度mg/m</w:t>
                  </w:r>
                  <w:r>
                    <w:rPr>
                      <w:rFonts w:hint="default" w:ascii="Times New Roman" w:hAnsi="Times New Roman" w:eastAsia="宋体" w:cs="Times New Roman"/>
                      <w:b/>
                      <w:bCs/>
                      <w:color w:val="000000" w:themeColor="text1"/>
                      <w:kern w:val="0"/>
                      <w:sz w:val="21"/>
                      <w:szCs w:val="21"/>
                      <w:vertAlign w:val="superscript"/>
                      <w:lang w:val="en-US" w:eastAsia="zh-CN" w:bidi="ar-SA"/>
                      <w14:textFill>
                        <w14:solidFill>
                          <w14:schemeClr w14:val="tx1"/>
                        </w14:solidFill>
                      </w14:textFill>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841" w:type="pct"/>
                  <w:vMerge w:val="restart"/>
                  <w:tcBorders>
                    <w:top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熔铝炉、保温炉炉膛废气及熔铝炉、保温炉天然气燃烧废气</w:t>
                  </w:r>
                </w:p>
              </w:tc>
              <w:tc>
                <w:tcPr>
                  <w:tcW w:w="848" w:type="pct"/>
                  <w:tcBorders>
                    <w:top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颗粒物</w:t>
                  </w:r>
                </w:p>
              </w:tc>
              <w:tc>
                <w:tcPr>
                  <w:tcW w:w="750" w:type="pct"/>
                  <w:vMerge w:val="restart"/>
                  <w:tcBorders>
                    <w:top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2243800</w:t>
                  </w:r>
                </w:p>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00</w:t>
                  </w:r>
                </w:p>
              </w:tc>
              <w:tc>
                <w:tcPr>
                  <w:tcW w:w="816" w:type="pct"/>
                  <w:vMerge w:val="restart"/>
                  <w:tcBorders>
                    <w:top w:val="single" w:color="auto" w:sz="12" w:space="0"/>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低氮燃烧器+布袋除尘器</w:t>
                  </w:r>
                </w:p>
              </w:tc>
              <w:tc>
                <w:tcPr>
                  <w:tcW w:w="545" w:type="pct"/>
                  <w:tcBorders>
                    <w:top w:val="single" w:color="auto" w:sz="12" w:space="0"/>
                    <w:bottom w:val="single" w:color="auto"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4.422</w:t>
                  </w:r>
                </w:p>
              </w:tc>
              <w:tc>
                <w:tcPr>
                  <w:tcW w:w="546" w:type="pct"/>
                  <w:tcBorders>
                    <w:top w:val="single" w:color="auto" w:sz="12" w:space="0"/>
                    <w:bottom w:val="single" w:color="auto"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0.61</w:t>
                  </w:r>
                </w:p>
              </w:tc>
              <w:tc>
                <w:tcPr>
                  <w:tcW w:w="651" w:type="pct"/>
                  <w:tcBorders>
                    <w:top w:val="single" w:color="auto" w:sz="12" w:space="0"/>
                    <w:bottom w:val="single" w:color="auto"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19.70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41" w:type="pct"/>
                  <w:vMerge w:val="continue"/>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848" w:type="pct"/>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二氧化硫</w:t>
                  </w:r>
                </w:p>
              </w:tc>
              <w:tc>
                <w:tcPr>
                  <w:tcW w:w="750" w:type="pct"/>
                  <w:vMerge w:val="continue"/>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816" w:type="pct"/>
                  <w:vMerge w:val="continue"/>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545"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0.739</w:t>
                  </w:r>
                </w:p>
              </w:tc>
              <w:tc>
                <w:tcPr>
                  <w:tcW w:w="546"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cs="Times New Roman"/>
                      <w:b w:val="0"/>
                      <w:bCs w:val="0"/>
                      <w:color w:val="000000" w:themeColor="text1"/>
                      <w:kern w:val="0"/>
                      <w:sz w:val="21"/>
                      <w:szCs w:val="21"/>
                      <w:vertAlign w:val="baseline"/>
                      <w:lang w:val="en-US" w:eastAsia="zh-CN" w:bidi="ar-SA"/>
                      <w14:textFill>
                        <w14:solidFill>
                          <w14:schemeClr w14:val="tx1"/>
                        </w14:solidFill>
                      </w14:textFill>
                    </w:rPr>
                    <w:t>0.103</w:t>
                  </w:r>
                </w:p>
              </w:tc>
              <w:tc>
                <w:tcPr>
                  <w:tcW w:w="651"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3.29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841" w:type="pct"/>
                  <w:vMerge w:val="continue"/>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848" w:type="pct"/>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氮氧化物</w:t>
                  </w:r>
                </w:p>
              </w:tc>
              <w:tc>
                <w:tcPr>
                  <w:tcW w:w="750" w:type="pct"/>
                  <w:vMerge w:val="continue"/>
                  <w:tcBorders>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816" w:type="pct"/>
                  <w:vMerge w:val="continue"/>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545"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5.55</w:t>
                  </w:r>
                </w:p>
              </w:tc>
              <w:tc>
                <w:tcPr>
                  <w:tcW w:w="546"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0.77</w:t>
                  </w:r>
                </w:p>
              </w:tc>
              <w:tc>
                <w:tcPr>
                  <w:tcW w:w="651"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24.73</w:t>
                  </w:r>
                </w:p>
              </w:tc>
            </w:tr>
          </w:tbl>
          <w:p>
            <w:pPr>
              <w:autoSpaceDE w:val="0"/>
              <w:autoSpaceDN w:val="0"/>
              <w:adjustRightInd w:val="0"/>
              <w:spacing w:line="360" w:lineRule="auto"/>
              <w:ind w:firstLine="480" w:firstLineChars="200"/>
              <w:jc w:val="left"/>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本项目2台熔铝炉配套4台保温炉，废气经过2套低氮燃烧器、1套布袋除尘器处理后通过1根20m高的排气筒排放。</w:t>
            </w:r>
          </w:p>
          <w:p>
            <w:pPr>
              <w:autoSpaceDE w:val="0"/>
              <w:autoSpaceDN w:val="0"/>
              <w:adjustRightInd w:val="0"/>
              <w:spacing w:line="360" w:lineRule="auto"/>
              <w:ind w:firstLine="480" w:firstLineChars="200"/>
              <w:jc w:val="left"/>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（2）轧机工序废气</w:t>
            </w:r>
          </w:p>
          <w:p>
            <w:pPr>
              <w:autoSpaceDE w:val="0"/>
              <w:autoSpaceDN w:val="0"/>
              <w:adjustRightInd w:val="0"/>
              <w:spacing w:line="360" w:lineRule="auto"/>
              <w:ind w:firstLine="480" w:firstLineChars="200"/>
              <w:jc w:val="left"/>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本项目铝板生产需要在连铸连轧机上进行轧机工序，轧机过程中需使用乳化液进行冷却、润滑，轧机过程中乳化液在高温下会产生油雾，主要成分为非甲烷总烃。参照《铝带箔轧机的油雾回收及轧制油再生技术》（作者：张继骞，徐萍，《有色金属加工》第37卷，第3期，2008 年6 月），轧制过程油雾产生量约占乳化液消耗量的8%～12%，本项目取乳化液消耗量的12%，乳化液的使用量为35t/a，则本项目轧机工序油雾的产生量为4.2t/a。本项目在轧机上配套设置全封闭集气罩，油雾废气经集气罩收集后进入丝网过滤+动态拦截+活性炭吸附装置经18m排气筒排放。</w:t>
            </w:r>
          </w:p>
          <w:p>
            <w:pPr>
              <w:autoSpaceDE w:val="0"/>
              <w:autoSpaceDN w:val="0"/>
              <w:adjustRightInd w:val="0"/>
              <w:spacing w:line="360" w:lineRule="auto"/>
              <w:ind w:firstLine="480" w:firstLineChars="200"/>
              <w:jc w:val="left"/>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本项目全封闭集气罩的集气效率以95%计，丝网过滤+动态拦截+活性炭吸附装置配套的引风机风量为25000m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/h；故本项目轧机工序油雾（以非甲烷总烃计）废气的有组织产生量为3.99t/a，产生速率为0.55kg/h，产生浓度为22mg/m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根据丝网过滤+动态拦截+活性炭吸附装置的设计指标，油气分离装置对油雾（以非甲烷总烃计）的处理效率可达90%以上（本次评价取90%），故经丝网过滤+动态拦截+活性炭吸附装置处理后的油雾（以非甲烷总烃计）的排放量为0.399t/a，排放速率为0.055kg/h，排放浓度为2.2mg/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w:t>
            </w:r>
          </w:p>
          <w:p>
            <w:pPr>
              <w:autoSpaceDE w:val="0"/>
              <w:autoSpaceDN w:val="0"/>
              <w:adjustRightInd w:val="0"/>
              <w:spacing w:line="360" w:lineRule="auto"/>
              <w:ind w:firstLine="480" w:firstLineChars="200"/>
              <w:jc w:val="left"/>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此外，未经丝网过滤+动态拦截+活性炭吸附装置收集的油雾废气以无组织的形式排放到周围的环境空气中，故本项目油雾废气的无组织排放量为0.21t/a，排放速率0.029kg/h。</w:t>
            </w:r>
          </w:p>
          <w:p>
            <w:pPr>
              <w:autoSpaceDE w:val="0"/>
              <w:autoSpaceDN w:val="0"/>
              <w:adjustRightInd w:val="0"/>
              <w:spacing w:line="360" w:lineRule="auto"/>
              <w:ind w:firstLine="480" w:firstLineChars="200"/>
              <w:jc w:val="left"/>
              <w:rPr>
                <w:rFonts w:hint="default"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（3）挤塑工序废气</w:t>
            </w:r>
          </w:p>
          <w:p>
            <w:pPr>
              <w:autoSpaceDE w:val="0"/>
              <w:autoSpaceDN w:val="0"/>
              <w:adjustRightInd w:val="0"/>
              <w:spacing w:line="360" w:lineRule="auto"/>
              <w:ind w:firstLine="480" w:firstLineChars="200"/>
              <w:jc w:val="left"/>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挤塑工序废气主要以碳氢化合物成分为主，基本不产生氯化氢，挥发性有机物主要以非甲烷总烃计。非甲烷总烃参照《排放源统计调查产排污核算方案和系数手册》中“292-塑料制品业系数手册 -2922中塑料板、管、型材制造行业表”，污染物产排放系数情况见表4-3。</w:t>
            </w:r>
          </w:p>
          <w:p>
            <w:pPr>
              <w:pStyle w:val="56"/>
              <w:keepNext w:val="0"/>
              <w:keepLines w:val="0"/>
              <w:pageBreakBefore w:val="0"/>
              <w:suppressLineNumbers w:val="0"/>
              <w:wordWrap/>
              <w:overflowPunct/>
              <w:topLinePunct w:val="0"/>
              <w:bidi w:val="0"/>
              <w:spacing w:before="0" w:beforeLines="0" w:beforeAutospacing="0" w:after="0" w:afterLines="0" w:afterAutospacing="0" w:line="259" w:lineRule="auto"/>
              <w:ind w:left="422" w:leftChars="0" w:right="0" w:hanging="422" w:hangingChars="200"/>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表4-</w:t>
            </w:r>
            <w:r>
              <w:rPr>
                <w:rFonts w:hint="eastAsia" w:cs="Times New Roman"/>
                <w:b/>
                <w:bCs/>
                <w:color w:val="000000" w:themeColor="text1"/>
                <w:sz w:val="21"/>
                <w:szCs w:val="18"/>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 xml:space="preserve">   塑料板、管、型材制造业行业系数表</w:t>
            </w:r>
          </w:p>
          <w:tbl>
            <w:tblPr>
              <w:tblStyle w:val="92"/>
              <w:tblW w:w="4998" w:type="pct"/>
              <w:jc w:val="center"/>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Layout w:type="autofit"/>
              <w:tblCellMar>
                <w:top w:w="0" w:type="dxa"/>
                <w:left w:w="0" w:type="dxa"/>
                <w:bottom w:w="0" w:type="dxa"/>
                <w:right w:w="0" w:type="dxa"/>
              </w:tblCellMar>
            </w:tblPr>
            <w:tblGrid>
              <w:gridCol w:w="1284"/>
              <w:gridCol w:w="1091"/>
              <w:gridCol w:w="1092"/>
              <w:gridCol w:w="1157"/>
              <w:gridCol w:w="1294"/>
              <w:gridCol w:w="1947"/>
            </w:tblGrid>
            <w:tr>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554" w:hRule="atLeast"/>
                <w:jc w:val="center"/>
              </w:trPr>
              <w:tc>
                <w:tcPr>
                  <w:tcW w:w="816"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产品名称</w:t>
                  </w:r>
                </w:p>
              </w:tc>
              <w:tc>
                <w:tcPr>
                  <w:tcW w:w="693"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原料名称</w:t>
                  </w:r>
                </w:p>
              </w:tc>
              <w:tc>
                <w:tcPr>
                  <w:tcW w:w="694"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工艺名称</w:t>
                  </w:r>
                </w:p>
              </w:tc>
              <w:tc>
                <w:tcPr>
                  <w:tcW w:w="735"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规模等级</w:t>
                  </w:r>
                </w:p>
              </w:tc>
              <w:tc>
                <w:tcPr>
                  <w:tcW w:w="822"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污染物指标</w:t>
                  </w:r>
                </w:p>
              </w:tc>
              <w:tc>
                <w:tcPr>
                  <w:tcW w:w="1237" w:type="pct"/>
                  <w:tcBorders>
                    <w:bottom w:val="single" w:color="000000" w:sz="12" w:space="0"/>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产污系数</w:t>
                  </w:r>
                </w:p>
              </w:tc>
            </w:tr>
            <w:tr>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821" w:hRule="atLeast"/>
                <w:jc w:val="center"/>
              </w:trPr>
              <w:tc>
                <w:tcPr>
                  <w:tcW w:w="816" w:type="pct"/>
                  <w:vMerge w:val="restar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塑料、板、管、型材</w:t>
                  </w:r>
                </w:p>
              </w:tc>
              <w:tc>
                <w:tcPr>
                  <w:tcW w:w="693" w:type="pct"/>
                  <w:vMerge w:val="restar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树脂、助剂</w:t>
                  </w:r>
                </w:p>
              </w:tc>
              <w:tc>
                <w:tcPr>
                  <w:tcW w:w="694" w:type="pct"/>
                  <w:vMerge w:val="restar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配料-混合-挤出</w:t>
                  </w:r>
                </w:p>
              </w:tc>
              <w:tc>
                <w:tcPr>
                  <w:tcW w:w="735" w:type="pct"/>
                  <w:vMerge w:val="restar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所有规模</w:t>
                  </w:r>
                </w:p>
              </w:tc>
              <w:tc>
                <w:tcPr>
                  <w:tcW w:w="822" w:type="pc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工业废气量</w:t>
                  </w:r>
                </w:p>
              </w:tc>
              <w:tc>
                <w:tcPr>
                  <w:tcW w:w="1237" w:type="pct"/>
                  <w:tcBorders>
                    <w:top w:val="single" w:color="000000" w:sz="12" w:space="0"/>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7.00×10</w:t>
                  </w:r>
                  <w:r>
                    <w:rPr>
                      <w:rFonts w:hint="eastAsia" w:cs="Times New Roman"/>
                      <w:b w:val="0"/>
                      <w:bCs w:val="0"/>
                      <w:color w:val="000000" w:themeColor="text1"/>
                      <w:kern w:val="0"/>
                      <w:sz w:val="21"/>
                      <w:szCs w:val="21"/>
                      <w:vertAlign w:val="superscript"/>
                      <w:lang w:val="en-US" w:eastAsia="zh-CN" w:bidi="ar-SA"/>
                      <w14:textFill>
                        <w14:solidFill>
                          <w14:schemeClr w14:val="tx1"/>
                        </w14:solidFill>
                      </w14:textFill>
                    </w:rPr>
                    <w:t>4</w:t>
                  </w: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 xml:space="preserve"> 标立方米/吨-产品</w:t>
                  </w:r>
                </w:p>
              </w:tc>
            </w:tr>
            <w:tr>
              <w:tblPrEx>
                <w:tblBorders>
                  <w:top w:val="single" w:color="000000" w:sz="12" w:space="0"/>
                  <w:left w:val="none" w:color="auto" w:sz="0" w:space="0"/>
                  <w:bottom w:val="single" w:color="000000" w:sz="12" w:space="0"/>
                  <w:right w:val="none" w:color="auto" w:sz="0" w:space="0"/>
                  <w:insideH w:val="single" w:color="000000" w:sz="8" w:space="0"/>
                  <w:insideV w:val="single" w:color="000000" w:sz="8" w:space="0"/>
                </w:tblBorders>
                <w:tblCellMar>
                  <w:top w:w="0" w:type="dxa"/>
                  <w:left w:w="0" w:type="dxa"/>
                  <w:bottom w:w="0" w:type="dxa"/>
                  <w:right w:w="0" w:type="dxa"/>
                </w:tblCellMar>
              </w:tblPrEx>
              <w:trPr>
                <w:trHeight w:val="549" w:hRule="atLeast"/>
                <w:jc w:val="center"/>
              </w:trPr>
              <w:tc>
                <w:tcPr>
                  <w:tcW w:w="816"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693"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694"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735" w:type="pct"/>
                  <w:vMerge w:val="continue"/>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822"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挥发性有机物</w:t>
                  </w:r>
                </w:p>
              </w:tc>
              <w:tc>
                <w:tcPr>
                  <w:tcW w:w="1237" w:type="pct"/>
                  <w:tcBorders>
                    <w:tl2br w:val="nil"/>
                    <w:tr2bl w:val="nil"/>
                  </w:tcBorders>
                  <w:vAlign w:val="center"/>
                </w:tcPr>
                <w:p>
                  <w:pPr>
                    <w:keepNext w:val="0"/>
                    <w:keepLines w:val="0"/>
                    <w:widowControl/>
                    <w:suppressLineNumbers w:val="0"/>
                    <w:spacing w:before="0" w:beforeAutospacing="0" w:after="0" w:afterAutospacing="0"/>
                    <w:ind w:left="0" w:right="0"/>
                    <w:jc w:val="center"/>
                    <w:textAlignment w:val="top"/>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1.5千克/吨-产品</w:t>
                  </w:r>
                </w:p>
              </w:tc>
            </w:tr>
          </w:tbl>
          <w:p>
            <w:pPr>
              <w:autoSpaceDE w:val="0"/>
              <w:autoSpaceDN w:val="0"/>
              <w:adjustRightInd w:val="0"/>
              <w:spacing w:line="360" w:lineRule="auto"/>
              <w:ind w:firstLine="480" w:firstLineChars="200"/>
              <w:jc w:val="both"/>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本项目绝缘挤制、挤外护套、挤内护套工序所用原料为14393t ，故产品量按14393t 计算。本项目废气量为1.00751×10</w:t>
            </w:r>
            <w:r>
              <w:rPr>
                <w:rFonts w:hint="eastAsia" w:cs="Times New Roman"/>
                <w:b w:val="0"/>
                <w:bCs w:val="0"/>
                <w:color w:val="000000" w:themeColor="text1"/>
                <w:sz w:val="24"/>
                <w:vertAlign w:val="superscript"/>
                <w:lang w:val="en-US" w:eastAsia="zh-CN"/>
                <w14:textFill>
                  <w14:solidFill>
                    <w14:schemeClr w14:val="tx1"/>
                  </w14:solidFill>
                </w14:textFill>
              </w:rPr>
              <w:t>9</w:t>
            </w:r>
            <w:r>
              <w:rPr>
                <w:rFonts w:hint="eastAsia" w:cs="Times New Roman"/>
                <w:b w:val="0"/>
                <w:bCs w:val="0"/>
                <w:color w:val="000000" w:themeColor="text1"/>
                <w:sz w:val="24"/>
                <w:lang w:val="en-US" w:eastAsia="zh-CN"/>
                <w14:textFill>
                  <w14:solidFill>
                    <w14:schemeClr w14:val="tx1"/>
                  </w14:solidFill>
                </w14:textFill>
              </w:rPr>
              <w:t>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，非甲烷总烃的产生量为21.59t，产生速率为3.00kg/h，产生浓度为21.43mg/m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，年生产时间为7200h。本项目采用活性炭吸附+催化燃烧设备处理挥发性有机废气。</w:t>
            </w:r>
          </w:p>
          <w:p>
            <w:pPr>
              <w:autoSpaceDE w:val="0"/>
              <w:autoSpaceDN w:val="0"/>
              <w:adjustRightInd w:val="0"/>
              <w:spacing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废气收集率及处理率对照《关于印发〈主要污染物总量减排核算技术指南（2022 年修订）〉的通知》（环办综合函〔2022〕350 号）中表2-3VOCs废气收集和治理设施去除通用系数，管道收集效率为95%，燃烧及其组合技术催化燃烧去除率为 80% ，本项目废气收集效率取90%，处理效率取80%，本项目排放量为3.89t/a，排放速率为0.54kg/h，排放浓度为3.86mg/m</w:t>
            </w:r>
            <w:r>
              <w:rPr>
                <w:rFonts w:hint="eastAsia" w:cs="Times New Roman"/>
                <w:b w:val="0"/>
                <w:bCs w:val="0"/>
                <w:color w:val="000000" w:themeColor="text1"/>
                <w:sz w:val="24"/>
                <w:vertAlign w:val="superscript"/>
                <w:lang w:val="en-US" w:eastAsia="zh-CN"/>
                <w14:textFill>
                  <w14:solidFill>
                    <w14:schemeClr w14:val="tx1"/>
                  </w14:solidFill>
                </w14:textFill>
              </w:rPr>
              <w:t>3</w:t>
            </w:r>
            <w:r>
              <w:rPr>
                <w:rFonts w:hint="eastAsia" w:cs="Times New Roman"/>
                <w:b w:val="0"/>
                <w:bCs w:val="0"/>
                <w:color w:val="000000" w:themeColor="text1"/>
                <w:sz w:val="24"/>
                <w:lang w:val="en-US" w:eastAsia="zh-CN"/>
                <w14:textFill>
                  <w14:solidFill>
                    <w14:schemeClr w14:val="tx1"/>
                  </w14:solidFill>
                </w14:textFill>
              </w:rPr>
              <w:t>。</w:t>
            </w:r>
          </w:p>
          <w:p>
            <w:pPr>
              <w:autoSpaceDE w:val="0"/>
              <w:autoSpaceDN w:val="0"/>
              <w:adjustRightInd w:val="0"/>
              <w:spacing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未收集10%废气在车间内以无组织形式排放，非甲烷总烃</w:t>
            </w:r>
            <w:r>
              <w:rPr>
                <w:rFonts w:hint="default" w:cs="Times New Roman"/>
                <w:b w:val="0"/>
                <w:bCs w:val="0"/>
                <w:color w:val="000000" w:themeColor="text1"/>
                <w:sz w:val="24"/>
                <w:lang w:val="en-US" w:eastAsia="zh-CN"/>
                <w14:textFill>
                  <w14:solidFill>
                    <w14:schemeClr w14:val="tx1"/>
                  </w14:solidFill>
                </w14:textFill>
              </w:rPr>
              <w:t>排放量为</w:t>
            </w:r>
            <w:r>
              <w:rPr>
                <w:rFonts w:hint="eastAsia" w:cs="Times New Roman"/>
                <w:b w:val="0"/>
                <w:bCs w:val="0"/>
                <w:color w:val="000000" w:themeColor="text1"/>
                <w:sz w:val="24"/>
                <w:lang w:val="en-US" w:eastAsia="zh-CN"/>
                <w14:textFill>
                  <w14:solidFill>
                    <w14:schemeClr w14:val="tx1"/>
                  </w14:solidFill>
                </w14:textFill>
              </w:rPr>
              <w:t>2.159</w:t>
            </w:r>
            <w:r>
              <w:rPr>
                <w:rFonts w:hint="default" w:cs="Times New Roman"/>
                <w:b w:val="0"/>
                <w:bCs w:val="0"/>
                <w:color w:val="000000" w:themeColor="text1"/>
                <w:sz w:val="24"/>
                <w:lang w:val="en-US" w:eastAsia="zh-CN"/>
                <w14:textFill>
                  <w14:solidFill>
                    <w14:schemeClr w14:val="tx1"/>
                  </w14:solidFill>
                </w14:textFill>
              </w:rPr>
              <w:t xml:space="preserve"> </w:t>
            </w:r>
            <w:r>
              <w:rPr>
                <w:rFonts w:hint="eastAsia" w:cs="Times New Roman"/>
                <w:b w:val="0"/>
                <w:bCs w:val="0"/>
                <w:color w:val="000000" w:themeColor="text1"/>
                <w:sz w:val="24"/>
                <w:lang w:val="en-US" w:eastAsia="zh-CN"/>
                <w14:textFill>
                  <w14:solidFill>
                    <w14:schemeClr w14:val="tx1"/>
                  </w14:solidFill>
                </w14:textFill>
              </w:rPr>
              <w:t>t</w:t>
            </w:r>
            <w:r>
              <w:rPr>
                <w:rFonts w:hint="default" w:cs="Times New Roman"/>
                <w:b w:val="0"/>
                <w:bCs w:val="0"/>
                <w:color w:val="000000" w:themeColor="text1"/>
                <w:sz w:val="24"/>
                <w:lang w:val="en-US" w:eastAsia="zh-CN"/>
                <w14:textFill>
                  <w14:solidFill>
                    <w14:schemeClr w14:val="tx1"/>
                  </w14:solidFill>
                </w14:textFill>
              </w:rPr>
              <w:t>/</w:t>
            </w:r>
            <w:r>
              <w:rPr>
                <w:rFonts w:hint="eastAsia" w:cs="Times New Roman"/>
                <w:b w:val="0"/>
                <w:bCs w:val="0"/>
                <w:color w:val="000000" w:themeColor="text1"/>
                <w:sz w:val="24"/>
                <w:lang w:val="en-US" w:eastAsia="zh-CN"/>
                <w14:textFill>
                  <w14:solidFill>
                    <w14:schemeClr w14:val="tx1"/>
                  </w14:solidFill>
                </w14:textFill>
              </w:rPr>
              <w:t>a</w:t>
            </w:r>
            <w:r>
              <w:rPr>
                <w:rFonts w:hint="default" w:cs="Times New Roman"/>
                <w:b w:val="0"/>
                <w:bCs w:val="0"/>
                <w:color w:val="000000" w:themeColor="text1"/>
                <w:sz w:val="24"/>
                <w:lang w:val="en-US" w:eastAsia="zh-CN"/>
                <w14:textFill>
                  <w14:solidFill>
                    <w14:schemeClr w14:val="tx1"/>
                  </w14:solidFill>
                </w14:textFill>
              </w:rPr>
              <w:t>，排放速率为0.</w:t>
            </w:r>
            <w:r>
              <w:rPr>
                <w:rFonts w:hint="eastAsia" w:cs="Times New Roman"/>
                <w:b w:val="0"/>
                <w:bCs w:val="0"/>
                <w:color w:val="000000" w:themeColor="text1"/>
                <w:sz w:val="24"/>
                <w:lang w:val="en-US" w:eastAsia="zh-CN"/>
                <w14:textFill>
                  <w14:solidFill>
                    <w14:schemeClr w14:val="tx1"/>
                  </w14:solidFill>
                </w14:textFill>
              </w:rPr>
              <w:t>300kg</w:t>
            </w:r>
            <w:r>
              <w:rPr>
                <w:rFonts w:hint="default" w:cs="Times New Roman"/>
                <w:b w:val="0"/>
                <w:bCs w:val="0"/>
                <w:color w:val="000000" w:themeColor="text1"/>
                <w:sz w:val="24"/>
                <w:lang w:val="en-US" w:eastAsia="zh-CN"/>
                <w14:textFill>
                  <w14:solidFill>
                    <w14:schemeClr w14:val="tx1"/>
                  </w14:solidFill>
                </w14:textFill>
              </w:rPr>
              <w:t>/</w:t>
            </w:r>
            <w:r>
              <w:rPr>
                <w:rFonts w:hint="eastAsia" w:cs="Times New Roman"/>
                <w:b w:val="0"/>
                <w:bCs w:val="0"/>
                <w:color w:val="000000" w:themeColor="text1"/>
                <w:sz w:val="24"/>
                <w:lang w:val="en-US" w:eastAsia="zh-CN"/>
                <w14:textFill>
                  <w14:solidFill>
                    <w14:schemeClr w14:val="tx1"/>
                  </w14:solidFill>
                </w14:textFill>
              </w:rPr>
              <w:t>h</w:t>
            </w:r>
            <w:r>
              <w:rPr>
                <w:rFonts w:hint="default" w:cs="Times New Roman"/>
                <w:b w:val="0"/>
                <w:bCs w:val="0"/>
                <w:color w:val="000000" w:themeColor="text1"/>
                <w:sz w:val="24"/>
                <w:lang w:val="en-US" w:eastAsia="zh-CN"/>
                <w14:textFill>
                  <w14:solidFill>
                    <w14:schemeClr w14:val="tx1"/>
                  </w14:solidFill>
                </w14:textFill>
              </w:rPr>
              <w:t>，在车间</w:t>
            </w:r>
            <w:r>
              <w:rPr>
                <w:rFonts w:hint="eastAsia" w:cs="Times New Roman"/>
                <w:b w:val="0"/>
                <w:bCs w:val="0"/>
                <w:color w:val="000000" w:themeColor="text1"/>
                <w:sz w:val="24"/>
                <w:lang w:val="en-US" w:eastAsia="zh-CN"/>
                <w14:textFill>
                  <w14:solidFill>
                    <w14:schemeClr w14:val="tx1"/>
                  </w14:solidFill>
                </w14:textFill>
              </w:rPr>
              <w:t>内</w:t>
            </w:r>
            <w:r>
              <w:rPr>
                <w:rFonts w:hint="default" w:cs="Times New Roman"/>
                <w:b w:val="0"/>
                <w:bCs w:val="0"/>
                <w:color w:val="000000" w:themeColor="text1"/>
                <w:sz w:val="24"/>
                <w:lang w:val="en-US" w:eastAsia="zh-CN"/>
                <w14:textFill>
                  <w14:solidFill>
                    <w14:schemeClr w14:val="tx1"/>
                  </w14:solidFill>
                </w14:textFill>
              </w:rPr>
              <w:t>无组织排放</w:t>
            </w:r>
            <w:r>
              <w:rPr>
                <w:rFonts w:hint="eastAsia" w:cs="Times New Roman"/>
                <w:b w:val="0"/>
                <w:bCs w:val="0"/>
                <w:color w:val="000000" w:themeColor="text1"/>
                <w:sz w:val="24"/>
                <w:lang w:val="en-US" w:eastAsia="zh-CN"/>
                <w14:textFill>
                  <w14:solidFill>
                    <w14:schemeClr w14:val="tx1"/>
                  </w14:solidFill>
                </w14:textFill>
              </w:rPr>
              <w:t>。</w:t>
            </w:r>
          </w:p>
          <w:p>
            <w:pPr>
              <w:pStyle w:val="56"/>
              <w:keepNext w:val="0"/>
              <w:keepLines w:val="0"/>
              <w:pageBreakBefore w:val="0"/>
              <w:suppressLineNumbers w:val="0"/>
              <w:wordWrap/>
              <w:overflowPunct/>
              <w:topLinePunct w:val="0"/>
              <w:bidi w:val="0"/>
              <w:spacing w:before="0" w:beforeLines="0" w:beforeAutospacing="0" w:after="0" w:afterLines="0" w:afterAutospacing="0" w:line="259" w:lineRule="auto"/>
              <w:ind w:left="422" w:leftChars="0" w:right="0" w:hanging="422" w:hangingChars="200"/>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表4-</w:t>
            </w:r>
            <w:r>
              <w:rPr>
                <w:rFonts w:hint="eastAsia" w:cs="Times New Roman"/>
                <w:b/>
                <w:bCs/>
                <w:color w:val="000000" w:themeColor="text1"/>
                <w:sz w:val="21"/>
                <w:szCs w:val="18"/>
                <w:lang w:val="en-US" w:eastAsia="zh-CN"/>
                <w14:textFill>
                  <w14:solidFill>
                    <w14:schemeClr w14:val="tx1"/>
                  </w14:solidFill>
                </w14:textFill>
              </w:rPr>
              <w:t>4</w:t>
            </w: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 xml:space="preserve">   废气产排情况</w:t>
            </w:r>
            <w:r>
              <w:rPr>
                <w:rFonts w:hint="eastAsia" w:ascii="Times New Roman" w:eastAsia="宋体" w:cs="Times New Roman"/>
                <w:b/>
                <w:bCs/>
                <w:color w:val="000000" w:themeColor="text1"/>
                <w:sz w:val="21"/>
                <w:szCs w:val="18"/>
                <w:lang w:val="en-US" w:eastAsia="zh-CN"/>
                <w14:textFill>
                  <w14:solidFill>
                    <w14:schemeClr w14:val="tx1"/>
                  </w14:solidFill>
                </w14:textFill>
              </w:rPr>
              <w:t>汇总</w:t>
            </w:r>
            <w:r>
              <w:rPr>
                <w:rFonts w:hint="default" w:ascii="Times New Roman" w:hAnsi="Times New Roman" w:eastAsia="宋体" w:cs="Times New Roman"/>
                <w:b/>
                <w:bCs/>
                <w:color w:val="000000" w:themeColor="text1"/>
                <w:sz w:val="21"/>
                <w:szCs w:val="18"/>
                <w:lang w:val="en-US" w:eastAsia="zh-CN"/>
                <w14:textFill>
                  <w14:solidFill>
                    <w14:schemeClr w14:val="tx1"/>
                  </w14:solidFill>
                </w14:textFill>
              </w:rPr>
              <w:t>表</w:t>
            </w:r>
          </w:p>
          <w:tbl>
            <w:tblPr>
              <w:tblStyle w:val="33"/>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4"/>
              <w:gridCol w:w="645"/>
              <w:gridCol w:w="927"/>
              <w:gridCol w:w="899"/>
              <w:gridCol w:w="849"/>
              <w:gridCol w:w="1592"/>
              <w:gridCol w:w="788"/>
              <w:gridCol w:w="791"/>
              <w:gridCol w:w="93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2" w:type="pct"/>
                  <w:gridSpan w:val="2"/>
                  <w:tcBorders>
                    <w:bottom w:val="single" w:color="auto" w:sz="12" w:space="0"/>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废气类别</w:t>
                  </w:r>
                </w:p>
              </w:tc>
              <w:tc>
                <w:tcPr>
                  <w:tcW w:w="592" w:type="pct"/>
                  <w:tcBorders>
                    <w:bottom w:val="single" w:color="auto" w:sz="12" w:space="0"/>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污染物</w:t>
                  </w:r>
                </w:p>
              </w:tc>
              <w:tc>
                <w:tcPr>
                  <w:tcW w:w="547" w:type="pct"/>
                  <w:tcBorders>
                    <w:bottom w:val="single" w:color="auto" w:sz="12" w:space="0"/>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产生量t/a</w:t>
                  </w:r>
                </w:p>
              </w:tc>
              <w:tc>
                <w:tcPr>
                  <w:tcW w:w="543" w:type="pct"/>
                  <w:tcBorders>
                    <w:bottom w:val="single" w:color="auto" w:sz="12" w:space="0"/>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eastAsia" w:cs="Times New Roman"/>
                      <w:b/>
                      <w:bCs/>
                      <w:color w:val="000000" w:themeColor="text1"/>
                      <w:kern w:val="0"/>
                      <w:sz w:val="21"/>
                      <w:szCs w:val="21"/>
                      <w:vertAlign w:val="baseline"/>
                      <w:lang w:val="en-US" w:eastAsia="zh-CN" w:bidi="ar-SA"/>
                      <w14:textFill>
                        <w14:solidFill>
                          <w14:schemeClr w14:val="tx1"/>
                        </w14:solidFill>
                      </w14:textFill>
                    </w:rPr>
                    <w:t>产生速率kg/h</w:t>
                  </w:r>
                </w:p>
              </w:tc>
              <w:tc>
                <w:tcPr>
                  <w:tcW w:w="1015" w:type="pct"/>
                  <w:tcBorders>
                    <w:bottom w:val="single" w:color="auto" w:sz="12" w:space="0"/>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治理设施</w:t>
                  </w:r>
                </w:p>
              </w:tc>
              <w:tc>
                <w:tcPr>
                  <w:tcW w:w="504" w:type="pct"/>
                  <w:tcBorders>
                    <w:bottom w:val="single" w:color="auto" w:sz="12" w:space="0"/>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排放量t/a</w:t>
                  </w:r>
                </w:p>
              </w:tc>
              <w:tc>
                <w:tcPr>
                  <w:tcW w:w="505" w:type="pct"/>
                  <w:tcBorders>
                    <w:bottom w:val="single" w:color="auto" w:sz="12" w:space="0"/>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排放速率kg/h</w:t>
                  </w:r>
                </w:p>
              </w:tc>
              <w:tc>
                <w:tcPr>
                  <w:tcW w:w="598" w:type="pct"/>
                  <w:tcBorders>
                    <w:bottom w:val="single" w:color="auto" w:sz="12" w:space="0"/>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排放浓度mg/m</w:t>
                  </w:r>
                  <w:r>
                    <w:rPr>
                      <w:rFonts w:hint="default" w:ascii="Times New Roman" w:hAnsi="Times New Roman" w:eastAsia="宋体" w:cs="Times New Roman"/>
                      <w:b/>
                      <w:bCs/>
                      <w:color w:val="000000" w:themeColor="text1"/>
                      <w:kern w:val="0"/>
                      <w:sz w:val="21"/>
                      <w:szCs w:val="21"/>
                      <w:vertAlign w:val="superscript"/>
                      <w:lang w:val="en-US" w:eastAsia="zh-CN" w:bidi="ar-SA"/>
                      <w14:textFill>
                        <w14:solidFill>
                          <w14:schemeClr w14:val="tx1"/>
                        </w14:solidFill>
                      </w14:textFill>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279" w:type="pct"/>
                  <w:vMerge w:val="restart"/>
                  <w:tcBorders>
                    <w:top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有组织</w:t>
                  </w:r>
                </w:p>
              </w:tc>
              <w:tc>
                <w:tcPr>
                  <w:tcW w:w="413" w:type="pct"/>
                  <w:vMerge w:val="restart"/>
                  <w:tcBorders>
                    <w:top w:val="single" w:color="auto" w:sz="12" w:space="0"/>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熔铝炉、保温炉炉膛废气及熔铝炉、保温炉天然气燃烧废气</w:t>
                  </w:r>
                </w:p>
              </w:tc>
              <w:tc>
                <w:tcPr>
                  <w:tcW w:w="592" w:type="pct"/>
                  <w:tcBorders>
                    <w:top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颗粒物</w:t>
                  </w:r>
                </w:p>
              </w:tc>
              <w:tc>
                <w:tcPr>
                  <w:tcW w:w="547"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221.089</w:t>
                  </w:r>
                </w:p>
              </w:tc>
              <w:tc>
                <w:tcPr>
                  <w:tcW w:w="543"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30.71</w:t>
                  </w:r>
                </w:p>
              </w:tc>
              <w:tc>
                <w:tcPr>
                  <w:tcW w:w="1015" w:type="pct"/>
                  <w:vMerge w:val="restart"/>
                  <w:tcBorders>
                    <w:top w:val="single" w:color="auto" w:sz="12" w:space="0"/>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低氮燃烧器+布袋除尘器后由1根</w:t>
                  </w: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20</w:t>
                  </w: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米高排气筒排放</w:t>
                  </w:r>
                </w:p>
              </w:tc>
              <w:tc>
                <w:tcPr>
                  <w:tcW w:w="504"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4.422</w:t>
                  </w:r>
                </w:p>
              </w:tc>
              <w:tc>
                <w:tcPr>
                  <w:tcW w:w="505"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0.61</w:t>
                  </w:r>
                </w:p>
              </w:tc>
              <w:tc>
                <w:tcPr>
                  <w:tcW w:w="598"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19.70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2" w:hRule="atLeast"/>
              </w:trPr>
              <w:tc>
                <w:tcPr>
                  <w:tcW w:w="279" w:type="pct"/>
                  <w:vMerge w:val="continue"/>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413" w:type="pct"/>
                  <w:vMerge w:val="continue"/>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592" w:type="pct"/>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二氧化硫</w:t>
                  </w:r>
                </w:p>
              </w:tc>
              <w:tc>
                <w:tcPr>
                  <w:tcW w:w="547"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0.739</w:t>
                  </w:r>
                </w:p>
              </w:tc>
              <w:tc>
                <w:tcPr>
                  <w:tcW w:w="543"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0.103</w:t>
                  </w:r>
                </w:p>
              </w:tc>
              <w:tc>
                <w:tcPr>
                  <w:tcW w:w="1015" w:type="pct"/>
                  <w:vMerge w:val="continue"/>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504"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0.739</w:t>
                  </w:r>
                </w:p>
              </w:tc>
              <w:tc>
                <w:tcPr>
                  <w:tcW w:w="505"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cs="Times New Roman"/>
                      <w:b w:val="0"/>
                      <w:bCs w:val="0"/>
                      <w:color w:val="000000" w:themeColor="text1"/>
                      <w:kern w:val="0"/>
                      <w:sz w:val="21"/>
                      <w:szCs w:val="21"/>
                      <w:vertAlign w:val="baseline"/>
                      <w:lang w:val="en-US" w:eastAsia="zh-CN" w:bidi="ar-SA"/>
                      <w14:textFill>
                        <w14:solidFill>
                          <w14:schemeClr w14:val="tx1"/>
                        </w14:solidFill>
                      </w14:textFill>
                    </w:rPr>
                    <w:t>0.103</w:t>
                  </w:r>
                </w:p>
              </w:tc>
              <w:tc>
                <w:tcPr>
                  <w:tcW w:w="598"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3.29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79" w:type="pct"/>
                  <w:vMerge w:val="continue"/>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413" w:type="pct"/>
                  <w:vMerge w:val="continue"/>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592" w:type="pct"/>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氮氧化物</w:t>
                  </w:r>
                </w:p>
              </w:tc>
              <w:tc>
                <w:tcPr>
                  <w:tcW w:w="547"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11.1056</w:t>
                  </w:r>
                </w:p>
              </w:tc>
              <w:tc>
                <w:tcPr>
                  <w:tcW w:w="543"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1.54</w:t>
                  </w:r>
                </w:p>
              </w:tc>
              <w:tc>
                <w:tcPr>
                  <w:tcW w:w="1015" w:type="pct"/>
                  <w:vMerge w:val="continue"/>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504"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5.55</w:t>
                  </w:r>
                </w:p>
              </w:tc>
              <w:tc>
                <w:tcPr>
                  <w:tcW w:w="505"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0.77</w:t>
                  </w:r>
                </w:p>
              </w:tc>
              <w:tc>
                <w:tcPr>
                  <w:tcW w:w="598"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24.73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79" w:type="pct"/>
                  <w:vMerge w:val="continue"/>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413" w:type="pct"/>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轧机工序废气</w:t>
                  </w:r>
                </w:p>
              </w:tc>
              <w:tc>
                <w:tcPr>
                  <w:tcW w:w="592" w:type="pct"/>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非甲烷总烃</w:t>
                  </w:r>
                </w:p>
              </w:tc>
              <w:tc>
                <w:tcPr>
                  <w:tcW w:w="547"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3.99</w:t>
                  </w:r>
                </w:p>
              </w:tc>
              <w:tc>
                <w:tcPr>
                  <w:tcW w:w="543"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0.55</w:t>
                  </w:r>
                </w:p>
              </w:tc>
              <w:tc>
                <w:tcPr>
                  <w:tcW w:w="1015" w:type="pct"/>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经丝网过滤+动态拦截+活性炭吸附装置处理后由1根18米高排气筒排放</w:t>
                  </w:r>
                </w:p>
              </w:tc>
              <w:tc>
                <w:tcPr>
                  <w:tcW w:w="504"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0.399</w:t>
                  </w:r>
                </w:p>
              </w:tc>
              <w:tc>
                <w:tcPr>
                  <w:tcW w:w="505"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0.055</w:t>
                  </w:r>
                </w:p>
              </w:tc>
              <w:tc>
                <w:tcPr>
                  <w:tcW w:w="598"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79" w:type="pct"/>
                  <w:vMerge w:val="continue"/>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413" w:type="pct"/>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挤塑工序废气</w:t>
                  </w:r>
                </w:p>
              </w:tc>
              <w:tc>
                <w:tcPr>
                  <w:tcW w:w="592" w:type="pct"/>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非甲烷总烃</w:t>
                  </w:r>
                </w:p>
              </w:tc>
              <w:tc>
                <w:tcPr>
                  <w:tcW w:w="547"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21.59</w:t>
                  </w:r>
                </w:p>
              </w:tc>
              <w:tc>
                <w:tcPr>
                  <w:tcW w:w="543"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3.00</w:t>
                  </w:r>
                </w:p>
              </w:tc>
              <w:tc>
                <w:tcPr>
                  <w:tcW w:w="1015" w:type="pct"/>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活性炭吸附+催化燃烧设备</w:t>
                  </w: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+15米高排气筒排放</w:t>
                  </w:r>
                </w:p>
              </w:tc>
              <w:tc>
                <w:tcPr>
                  <w:tcW w:w="504"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3.89</w:t>
                  </w:r>
                </w:p>
              </w:tc>
              <w:tc>
                <w:tcPr>
                  <w:tcW w:w="505"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0.54</w:t>
                  </w:r>
                </w:p>
              </w:tc>
              <w:tc>
                <w:tcPr>
                  <w:tcW w:w="598"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692" w:type="pct"/>
                  <w:gridSpan w:val="2"/>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无组织废气</w:t>
                  </w:r>
                </w:p>
              </w:tc>
              <w:tc>
                <w:tcPr>
                  <w:tcW w:w="592" w:type="pct"/>
                  <w:tcBorders>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非甲烷总烃</w:t>
                  </w:r>
                </w:p>
              </w:tc>
              <w:tc>
                <w:tcPr>
                  <w:tcW w:w="547"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2.369</w:t>
                  </w:r>
                </w:p>
              </w:tc>
              <w:tc>
                <w:tcPr>
                  <w:tcW w:w="543"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0.329</w:t>
                  </w:r>
                </w:p>
              </w:tc>
              <w:tc>
                <w:tcPr>
                  <w:tcW w:w="1015" w:type="pct"/>
                  <w:tcBorders>
                    <w:tl2br w:val="nil"/>
                    <w:tr2bl w:val="nil"/>
                  </w:tcBorders>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车间通风</w:t>
                  </w:r>
                </w:p>
              </w:tc>
              <w:tc>
                <w:tcPr>
                  <w:tcW w:w="504"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2.369</w:t>
                  </w:r>
                </w:p>
              </w:tc>
              <w:tc>
                <w:tcPr>
                  <w:tcW w:w="505"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0.329</w:t>
                  </w:r>
                </w:p>
              </w:tc>
              <w:tc>
                <w:tcPr>
                  <w:tcW w:w="598"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w:t>
                  </w:r>
                </w:p>
              </w:tc>
            </w:tr>
          </w:tbl>
          <w:p>
            <w:pPr>
              <w:pStyle w:val="8"/>
              <w:numPr>
                <w:ilvl w:val="1"/>
                <w:numId w:val="0"/>
              </w:numPr>
              <w:ind w:left="0" w:leftChars="0" w:firstLine="0" w:firstLineChars="0"/>
              <w:jc w:val="both"/>
              <w:outlineLvl w:val="2"/>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 xml:space="preserve">1.2 </w:t>
            </w:r>
            <w:r>
              <w:rPr>
                <w:rFonts w:hint="eastAsia" w:cs="Times New Roman"/>
                <w:b/>
                <w:color w:val="000000" w:themeColor="text1"/>
                <w:kern w:val="2"/>
                <w:sz w:val="24"/>
                <w:szCs w:val="24"/>
                <w:lang w:val="en-US" w:eastAsia="zh-CN" w:bidi="ar-SA"/>
                <w14:textFill>
                  <w14:solidFill>
                    <w14:schemeClr w14:val="tx1"/>
                  </w14:solidFill>
                </w14:textFill>
              </w:rPr>
              <w:t>废气处理设施可行性分析</w:t>
            </w:r>
          </w:p>
          <w:p>
            <w:pPr>
              <w:autoSpaceDE w:val="0"/>
              <w:autoSpaceDN w:val="0"/>
              <w:adjustRightInd w:val="0"/>
              <w:spacing w:line="360" w:lineRule="auto"/>
              <w:ind w:firstLine="480" w:firstLineChars="200"/>
              <w:jc w:val="both"/>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本项目废气主要污染源为颗粒物、非甲烷总烃、二氧化硫、氮氧化物。</w:t>
            </w:r>
          </w:p>
          <w:p>
            <w:pPr>
              <w:autoSpaceDE w:val="0"/>
              <w:autoSpaceDN w:val="0"/>
              <w:adjustRightInd w:val="0"/>
              <w:spacing w:line="360" w:lineRule="auto"/>
              <w:ind w:firstLine="480" w:firstLineChars="200"/>
              <w:jc w:val="both"/>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粉尘</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废气治理措施可行性</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分析</w:t>
            </w:r>
          </w:p>
          <w:p>
            <w:pPr>
              <w:autoSpaceDE w:val="0"/>
              <w:autoSpaceDN w:val="0"/>
              <w:adjustRightInd w:val="0"/>
              <w:spacing w:line="360" w:lineRule="auto"/>
              <w:ind w:firstLine="480" w:firstLineChars="200"/>
              <w:jc w:val="both"/>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低压脉冲布袋除尘器是一种高效、节能、稳定的工业除尘设备，核心是用低压脉冲气流在线/离线清灰，实现持续稳定的粉尘过滤。含尘气体从进风口进入除尘器，先经灰斗预分离：大颗粒粉尘在重力/离心力作用下直接落入灰斗。细粉尘随气流进入过滤室，穿过滤袋时，粉尘被滤料拦截、吸附在滤袋外表面；净化后的气体进入净气室，经排风机排出</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。随着粉尘累积，设备阻力上升（通常控制在800–1200Pa），PLC自动启动清灰。</w:t>
            </w:r>
          </w:p>
          <w:p>
            <w:pPr>
              <w:autoSpaceDE w:val="0"/>
              <w:autoSpaceDN w:val="0"/>
              <w:adjustRightInd w:val="0"/>
              <w:spacing w:line="360" w:lineRule="auto"/>
              <w:ind w:firstLine="480" w:firstLineChars="200"/>
              <w:jc w:val="both"/>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本项目的</w:t>
            </w:r>
            <w:r>
              <w:rPr>
                <w:rFonts w:hint="eastAsia" w:cs="Times New Roman"/>
                <w:b w:val="0"/>
                <w:bCs w:val="0"/>
                <w:color w:val="000000" w:themeColor="text1"/>
                <w:sz w:val="24"/>
                <w:lang w:val="en-US" w:eastAsia="zh-CN"/>
                <w14:textFill>
                  <w14:solidFill>
                    <w14:schemeClr w14:val="tx1"/>
                  </w14:solidFill>
                </w14:textFill>
              </w:rPr>
              <w:t>粉尘</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污染物主要为颗粒物，根据《排污许可证申请与核发技术规范工业炉窑》（HJ1121 -2020）表A.1，加热炉加热污染物为颗粒物、二氧化硫和氮氧化物，污染防治技术包括“颗粒物：燃气或净化后煤制气；袋式除尘；静电除尘，二氧化硫：燃气或净化后煤制气；干法与半干法脱硫；湿法脱硫”，本项目加热炉采取天然气加热，属于清洁能源，</w:t>
            </w:r>
            <w:r>
              <w:rPr>
                <w:rFonts w:hint="eastAsia" w:cs="Times New Roman"/>
                <w:b w:val="0"/>
                <w:bCs w:val="0"/>
                <w:color w:val="000000" w:themeColor="text1"/>
                <w:sz w:val="24"/>
                <w:lang w:val="en-US" w:eastAsia="zh-CN"/>
                <w14:textFill>
                  <w14:solidFill>
                    <w14:schemeClr w14:val="tx1"/>
                  </w14:solidFill>
                </w14:textFill>
              </w:rPr>
              <w:t>属于</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污染防治技术中推荐的可行性技术</w:t>
            </w:r>
            <w:r>
              <w:rPr>
                <w:rFonts w:hint="eastAsia" w:cs="Times New Roman"/>
                <w:b w:val="0"/>
                <w:bCs w:val="0"/>
                <w:color w:val="000000" w:themeColor="text1"/>
                <w:sz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布袋除尘器可有效去除污染物，使其达标排放。</w:t>
            </w:r>
          </w:p>
          <w:p>
            <w:pPr>
              <w:autoSpaceDE w:val="0"/>
              <w:autoSpaceDN w:val="0"/>
              <w:adjustRightInd w:val="0"/>
              <w:spacing w:line="360" w:lineRule="auto"/>
              <w:ind w:firstLine="480" w:firstLineChars="200"/>
              <w:jc w:val="both"/>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（2）氮氧化物治理措施可行性分析</w:t>
            </w:r>
          </w:p>
          <w:p>
            <w:pPr>
              <w:autoSpaceDE w:val="0"/>
              <w:autoSpaceDN w:val="0"/>
              <w:adjustRightInd w:val="0"/>
              <w:spacing w:line="360" w:lineRule="auto"/>
              <w:ind w:firstLine="480" w:firstLineChars="200"/>
              <w:jc w:val="both"/>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本项目采用低氮燃烧器对烟气中的氮氧化物进行处理。低氮燃烧是采用燃料分级燃烧的方式</w:t>
            </w:r>
            <w:r>
              <w:rPr>
                <w:rFonts w:hint="eastAsia" w:cs="Times New Roman"/>
                <w:b w:val="0"/>
                <w:bCs w:val="0"/>
                <w:color w:val="000000" w:themeColor="text1"/>
                <w:sz w:val="24"/>
                <w:lang w:val="en-US" w:eastAsia="zh-CN"/>
                <w14:textFill>
                  <w14:solidFill>
                    <w14:schemeClr w14:val="tx1"/>
                  </w14:solidFill>
                </w14:textFill>
              </w:rPr>
              <w:t>；依据《工业锅炉 NOₓ控制技术指南（试行）》、《工业锅炉污染防治可行技术指南》（HJ 1178—2021），</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燃料分级燃烧是将燃料燃烧过程中已经生成的NO</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x</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、还原为N</w:t>
            </w:r>
            <w:r>
              <w:rPr>
                <w:rFonts w:hint="default" w:ascii="Times New Roman" w:hAnsi="Times New Roman" w:eastAsia="宋体" w:cs="Times New Roman"/>
                <w:b w:val="0"/>
                <w:bCs w:val="0"/>
                <w:color w:val="000000" w:themeColor="text1"/>
                <w:sz w:val="24"/>
                <w:vertAlign w:val="sub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，采用二次燃烧，在缺氧下燃烧形成活化原子团，用它还原主燃烧区产生的NO</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x</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。该法是将炉膛内的燃料燃烧过程设计成三个区域</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主燃烧区、再燃还原区、燃尽区。在主燃区后注入二次燃料形成还原气氛，在高温</w:t>
            </w:r>
            <w:r>
              <w:rPr>
                <w:rFonts w:hint="eastAsia" w:cs="Times New Roman"/>
                <w:b w:val="0"/>
                <w:bCs w:val="0"/>
                <w:color w:val="000000" w:themeColor="text1"/>
                <w:sz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&gt;1200°C</w:t>
            </w:r>
            <w:r>
              <w:rPr>
                <w:rFonts w:hint="eastAsia" w:cs="Times New Roman"/>
                <w:b w:val="0"/>
                <w:bCs w:val="0"/>
                <w:color w:val="000000" w:themeColor="text1"/>
                <w:sz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和还原气氛下生成碳氢原子团，并与主燃区形成的NO</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x</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反应，将其还原。</w:t>
            </w:r>
          </w:p>
          <w:p>
            <w:pPr>
              <w:autoSpaceDE w:val="0"/>
              <w:autoSpaceDN w:val="0"/>
              <w:adjustRightInd w:val="0"/>
              <w:spacing w:line="360" w:lineRule="auto"/>
              <w:ind w:firstLine="480" w:firstLineChars="200"/>
              <w:jc w:val="cente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drawing>
                <wp:inline distT="0" distB="0" distL="114300" distR="114300">
                  <wp:extent cx="3167380" cy="962025"/>
                  <wp:effectExtent l="0" t="0" r="13970" b="952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29"/>
                          <a:stretch>
                            <a:fillRect/>
                          </a:stretch>
                        </pic:blipFill>
                        <pic:spPr>
                          <a:xfrm>
                            <a:off x="0" y="0"/>
                            <a:ext cx="3167380" cy="962025"/>
                          </a:xfrm>
                          <a:prstGeom prst="rect">
                            <a:avLst/>
                          </a:prstGeom>
                          <a:noFill/>
                          <a:ln>
                            <a:noFill/>
                          </a:ln>
                        </pic:spPr>
                      </pic:pic>
                    </a:graphicData>
                  </a:graphic>
                </wp:inline>
              </w:drawing>
            </w:r>
          </w:p>
          <w:p>
            <w:pPr>
              <w:autoSpaceDE w:val="0"/>
              <w:autoSpaceDN w:val="0"/>
              <w:adjustRightInd w:val="0"/>
              <w:spacing w:line="360" w:lineRule="auto"/>
              <w:ind w:firstLine="480" w:firstLineChars="200"/>
              <w:jc w:val="both"/>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第三区送入燃尽区，完成燃尽过程</w:t>
            </w:r>
            <w:r>
              <w:rPr>
                <w:rFonts w:hint="eastAsia" w:cs="Times New Roman"/>
                <w:b w:val="0"/>
                <w:bCs w:val="0"/>
                <w:color w:val="000000" w:themeColor="text1"/>
                <w:sz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正常情况下，利用约20%的二次燃料可还原NOx总量的50%~60%。</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本项目</w:t>
            </w:r>
            <w:r>
              <w:rPr>
                <w:rFonts w:hint="eastAsia" w:cs="Times New Roman"/>
                <w:b w:val="0"/>
                <w:bCs w:val="0"/>
                <w:color w:val="000000" w:themeColor="text1"/>
                <w:sz w:val="24"/>
                <w:lang w:val="en-US" w:eastAsia="zh-CN"/>
                <w14:textFill>
                  <w14:solidFill>
                    <w14:schemeClr w14:val="tx1"/>
                  </w14:solidFill>
                </w14:textFill>
              </w:rPr>
              <w:t>保温、熔炉</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使用低氮燃烧器</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根据前文的工程分析，本项目</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排放的氮氧化物</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，均能满足相关排放标准的要求</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w:t>
            </w:r>
          </w:p>
          <w:p>
            <w:pPr>
              <w:autoSpaceDE w:val="0"/>
              <w:autoSpaceDN w:val="0"/>
              <w:adjustRightInd w:val="0"/>
              <w:spacing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（3）非甲烷总烃治理措施可行性分析</w:t>
            </w:r>
          </w:p>
          <w:p>
            <w:pPr>
              <w:autoSpaceDE w:val="0"/>
              <w:autoSpaceDN w:val="0"/>
              <w:adjustRightInd w:val="0"/>
              <w:spacing w:line="360" w:lineRule="auto"/>
              <w:ind w:firstLine="480" w:firstLineChars="200"/>
              <w:jc w:val="both"/>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依据《吸附法工业有机废气治理工程技术规范》（HJ 2026</w:t>
            </w:r>
            <w:r>
              <w:rPr>
                <w:rFonts w:hint="eastAsia" w:cs="Times New Roman"/>
                <w:b w:val="0"/>
                <w:bCs w:val="0"/>
                <w:color w:val="000000" w:themeColor="text1"/>
                <w:sz w:val="24"/>
                <w:lang w:val="en-US" w:eastAsia="zh-CN"/>
                <w14:textFill>
                  <w14:solidFill>
                    <w14:schemeClr w14:val="tx1"/>
                  </w14:solidFill>
                </w14:textFill>
              </w:rPr>
              <w:noBreakHyphen/>
            </w:r>
            <w:r>
              <w:rPr>
                <w:rFonts w:hint="eastAsia" w:cs="Times New Roman"/>
                <w:b w:val="0"/>
                <w:bCs w:val="0"/>
                <w:color w:val="000000" w:themeColor="text1"/>
                <w:sz w:val="24"/>
                <w:lang w:val="en-US" w:eastAsia="zh-CN"/>
                <w14:textFill>
                  <w14:solidFill>
                    <w14:schemeClr w14:val="tx1"/>
                  </w14:solidFill>
                </w14:textFill>
              </w:rPr>
              <w:t>2013）、《催化燃烧法工业有机废气治理工程技术规范》（HJ 2027</w:t>
            </w:r>
            <w:r>
              <w:rPr>
                <w:rFonts w:hint="eastAsia" w:cs="Times New Roman"/>
                <w:b w:val="0"/>
                <w:bCs w:val="0"/>
                <w:color w:val="000000" w:themeColor="text1"/>
                <w:sz w:val="24"/>
                <w:lang w:val="en-US" w:eastAsia="zh-CN"/>
                <w14:textFill>
                  <w14:solidFill>
                    <w14:schemeClr w14:val="tx1"/>
                  </w14:solidFill>
                </w14:textFill>
              </w:rPr>
              <w:noBreakHyphen/>
            </w:r>
            <w:r>
              <w:rPr>
                <w:rFonts w:hint="eastAsia" w:cs="Times New Roman"/>
                <w:b w:val="0"/>
                <w:bCs w:val="0"/>
                <w:color w:val="000000" w:themeColor="text1"/>
                <w:sz w:val="24"/>
                <w:lang w:val="en-US" w:eastAsia="zh-CN"/>
                <w14:textFill>
                  <w14:solidFill>
                    <w14:schemeClr w14:val="tx1"/>
                  </w14:solidFill>
                </w14:textFill>
              </w:rPr>
              <w:t>2013）：</w:t>
            </w:r>
          </w:p>
          <w:p>
            <w:pPr>
              <w:autoSpaceDE w:val="0"/>
              <w:autoSpaceDN w:val="0"/>
              <w:adjustRightInd w:val="0"/>
              <w:spacing w:line="360" w:lineRule="auto"/>
              <w:ind w:firstLine="480" w:firstLineChars="200"/>
              <w:jc w:val="both"/>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a.活性炭吸附脱附+蓄热催化燃烧原理：</w:t>
            </w:r>
          </w:p>
          <w:p>
            <w:pPr>
              <w:autoSpaceDE w:val="0"/>
              <w:autoSpaceDN w:val="0"/>
              <w:adjustRightInd w:val="0"/>
              <w:spacing w:line="360" w:lineRule="auto"/>
              <w:ind w:firstLine="480" w:firstLineChars="200"/>
              <w:jc w:val="both"/>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①吸附：收集的废气经过合理的布风，使其均匀地通过固定吸附床内的蜂窝活性炭层的过流断面，在一定的停留时间，由于活性炭表面与有机废气分子间相互引力的作用产生。</w:t>
            </w:r>
          </w:p>
          <w:p>
            <w:pPr>
              <w:autoSpaceDE w:val="0"/>
              <w:autoSpaceDN w:val="0"/>
              <w:adjustRightInd w:val="0"/>
              <w:spacing w:line="360" w:lineRule="auto"/>
              <w:ind w:firstLine="480" w:firstLineChars="200"/>
              <w:jc w:val="both"/>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物理吸附，从而将废气中的有机成分吸附在活性炭的表面，从而使废气得到净化，净化后的洁净气体通过风机及烟囱达标排放；系统设两台吸附床，即废气从其中一台吸附床经过，另一台处于脱附再生阶段或备用阶段，从而使吸附过程可连续进行，不影响车间生产。</w:t>
            </w:r>
          </w:p>
          <w:p>
            <w:pPr>
              <w:autoSpaceDE w:val="0"/>
              <w:autoSpaceDN w:val="0"/>
              <w:adjustRightInd w:val="0"/>
              <w:spacing w:line="360" w:lineRule="auto"/>
              <w:ind w:firstLine="480" w:firstLineChars="200"/>
              <w:jc w:val="both"/>
              <w:rPr>
                <w:rFonts w:hint="eastAsia"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②脱附--催化燃烧：贵金属催化剂200～300℃CxHyOz+（x+y/4-z/2）O</w:t>
            </w:r>
            <w:r>
              <w:rPr>
                <w:rFonts w:hint="eastAsia" w:cs="Times New Roman"/>
                <w:b w:val="0"/>
                <w:bCs w:val="0"/>
                <w:color w:val="000000" w:themeColor="text1"/>
                <w:sz w:val="24"/>
                <w:vertAlign w:val="subscript"/>
                <w:lang w:val="en-US" w:eastAsia="zh-CN"/>
                <w14:textFill>
                  <w14:solidFill>
                    <w14:schemeClr w14:val="tx1"/>
                  </w14:solidFill>
                </w14:textFill>
              </w:rPr>
              <w:t>2</w:t>
            </w:r>
            <w:r>
              <w:rPr>
                <w:rFonts w:hint="eastAsia" w:cs="Times New Roman"/>
                <w:b w:val="0"/>
                <w:bCs w:val="0"/>
                <w:color w:val="000000" w:themeColor="text1"/>
                <w:sz w:val="24"/>
                <w:lang w:val="en-US" w:eastAsia="zh-CN"/>
                <w14:textFill>
                  <w14:solidFill>
                    <w14:schemeClr w14:val="tx1"/>
                  </w14:solidFill>
                </w14:textFill>
              </w:rPr>
              <w:t>xCO</w:t>
            </w:r>
            <w:r>
              <w:rPr>
                <w:rFonts w:hint="eastAsia" w:cs="Times New Roman"/>
                <w:b w:val="0"/>
                <w:bCs w:val="0"/>
                <w:color w:val="000000" w:themeColor="text1"/>
                <w:sz w:val="24"/>
                <w:vertAlign w:val="subscript"/>
                <w:lang w:val="en-US" w:eastAsia="zh-CN"/>
                <w14:textFill>
                  <w14:solidFill>
                    <w14:schemeClr w14:val="tx1"/>
                  </w14:solidFill>
                </w14:textFill>
              </w:rPr>
              <w:t>2</w:t>
            </w:r>
            <w:r>
              <w:rPr>
                <w:rFonts w:hint="eastAsia" w:cs="Times New Roman"/>
                <w:b w:val="0"/>
                <w:bCs w:val="0"/>
                <w:color w:val="000000" w:themeColor="text1"/>
                <w:sz w:val="24"/>
                <w:lang w:val="en-US" w:eastAsia="zh-CN"/>
                <w14:textFill>
                  <w14:solidFill>
                    <w14:schemeClr w14:val="tx1"/>
                  </w14:solidFill>
                </w14:textFill>
              </w:rPr>
              <w:t>+y/2H</w:t>
            </w:r>
            <w:r>
              <w:rPr>
                <w:rFonts w:hint="eastAsia" w:cs="Times New Roman"/>
                <w:b w:val="0"/>
                <w:bCs w:val="0"/>
                <w:color w:val="000000" w:themeColor="text1"/>
                <w:sz w:val="24"/>
                <w:vertAlign w:val="subscript"/>
                <w:lang w:val="en-US" w:eastAsia="zh-CN"/>
                <w14:textFill>
                  <w14:solidFill>
                    <w14:schemeClr w14:val="tx1"/>
                  </w14:solidFill>
                </w14:textFill>
              </w:rPr>
              <w:t>2</w:t>
            </w:r>
            <w:r>
              <w:rPr>
                <w:rFonts w:hint="eastAsia" w:cs="Times New Roman"/>
                <w:b w:val="0"/>
                <w:bCs w:val="0"/>
                <w:color w:val="000000" w:themeColor="text1"/>
                <w:sz w:val="24"/>
                <w:lang w:val="en-US" w:eastAsia="zh-CN"/>
                <w14:textFill>
                  <w14:solidFill>
                    <w14:schemeClr w14:val="tx1"/>
                  </w14:solidFill>
                </w14:textFill>
              </w:rPr>
              <w:t>O达到饱和状态的吸附床应停止吸附，通过阀门切换进入脱附状态，过程如下：启动脱附风机、开启相应阀门和远红外电加热器，对催化燃烧床内部的催化剂进行预热，同时产生一定量的热空气，当床层温度达到设定值时将热空气送入吸附床，活性炭受热解吸出高浓度的有机气体，经脱附风机引入催化燃烧床，在贵金属催化剂的作用下于一个较低的温度进行无焰催化燃烧，将有机成分转化为无毒、无害的CO</w:t>
            </w:r>
            <w:r>
              <w:rPr>
                <w:rFonts w:hint="eastAsia" w:cs="Times New Roman"/>
                <w:b w:val="0"/>
                <w:bCs w:val="0"/>
                <w:color w:val="000000" w:themeColor="text1"/>
                <w:sz w:val="24"/>
                <w:vertAlign w:val="subscript"/>
                <w:lang w:val="en-US" w:eastAsia="zh-CN"/>
                <w14:textFill>
                  <w14:solidFill>
                    <w14:schemeClr w14:val="tx1"/>
                  </w14:solidFill>
                </w14:textFill>
              </w:rPr>
              <w:t>2</w:t>
            </w:r>
            <w:r>
              <w:rPr>
                <w:rFonts w:hint="eastAsia" w:cs="Times New Roman"/>
                <w:b w:val="0"/>
                <w:bCs w:val="0"/>
                <w:color w:val="000000" w:themeColor="text1"/>
                <w:sz w:val="24"/>
                <w:lang w:val="en-US" w:eastAsia="zh-CN"/>
                <w14:textFill>
                  <w14:solidFill>
                    <w14:schemeClr w14:val="tx1"/>
                  </w14:solidFill>
                </w14:textFill>
              </w:rPr>
              <w:t>和 H</w:t>
            </w:r>
            <w:r>
              <w:rPr>
                <w:rFonts w:hint="eastAsia" w:cs="Times New Roman"/>
                <w:b w:val="0"/>
                <w:bCs w:val="0"/>
                <w:color w:val="000000" w:themeColor="text1"/>
                <w:sz w:val="24"/>
                <w:vertAlign w:val="subscript"/>
                <w:lang w:val="en-US" w:eastAsia="zh-CN"/>
                <w14:textFill>
                  <w14:solidFill>
                    <w14:schemeClr w14:val="tx1"/>
                  </w14:solidFill>
                </w14:textFill>
              </w:rPr>
              <w:t>2</w:t>
            </w:r>
            <w:r>
              <w:rPr>
                <w:rFonts w:hint="eastAsia" w:cs="Times New Roman"/>
                <w:b w:val="0"/>
                <w:bCs w:val="0"/>
                <w:color w:val="000000" w:themeColor="text1"/>
                <w:sz w:val="24"/>
                <w:lang w:val="en-US" w:eastAsia="zh-CN"/>
                <w14:textFill>
                  <w14:solidFill>
                    <w14:schemeClr w14:val="tx1"/>
                  </w14:solidFill>
                </w14:textFill>
              </w:rPr>
              <w:t>O，同时释放出大量的热量，可维持催化燃烧所需的起燃温度，使废气燃烧过程基本不需外加的能耗（电能），并将部分热量回用于吸附床内活性炭的解吸再生，从而大大降低了能耗。净化系统催化燃烧床内，有远红外电加热器多组，预热时远红外电加热器全部开启，可实现在较短时间内将废气从室温加热到既定温度；而在稳定燃烧阶段，由于燃烧过程发出大量能量，电加热器只需开启一小部分或无需开启，从而达到节能降耗的控制目标。当燃烧废气浓度较高、反应温度较高时，混流风机自动开启，补充新鲜的冷空气以降低温度、确保催化燃烧床安全、高效运行。</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b.活性炭吸附技术原理：</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吸附设备箱体主要采用碳钢或玻璃钢、PP制作，内部进行了防腐蚀处理，具有抗强酸碱及</w:t>
            </w:r>
            <w:r>
              <w:rPr>
                <w:rFonts w:hint="eastAsia" w:cs="Times New Roman"/>
                <w:b w:val="0"/>
                <w:bCs w:val="0"/>
                <w:color w:val="000000" w:themeColor="text1"/>
                <w:sz w:val="24"/>
                <w:lang w:val="en-US" w:eastAsia="zh-CN"/>
                <w14:textFill>
                  <w14:solidFill>
                    <w14:schemeClr w14:val="tx1"/>
                  </w14:solidFill>
                </w14:textFill>
              </w:rPr>
              <w:t>盐分的</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腐蚀，在长期运转使用状况下，不受其它因素氧化腐蚀。</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吸附单元是废气净化器内安装的核心部件。吸附单元在设备箱体内分层抽屉式安装，能够非常方</w:t>
            </w:r>
            <w:r>
              <w:rPr>
                <w:rFonts w:hint="eastAsia" w:cs="Times New Roman"/>
                <w:b w:val="0"/>
                <w:bCs w:val="0"/>
                <w:color w:val="000000" w:themeColor="text1"/>
                <w:sz w:val="24"/>
                <w:lang w:val="en-US" w:eastAsia="zh-CN"/>
                <w14:textFill>
                  <w14:solidFill>
                    <w14:schemeClr w14:val="tx1"/>
                  </w14:solidFill>
                </w14:textFill>
              </w:rPr>
              <w:t>便地</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从两侧的检查门取出。并且检查门开启方便、密封严密。内部吸附材料活性炭固体表面上存在着未平衡未饱和的分子引力或化学键力，因此当此固体表面与气体接触时，就能吸引气体分子，使其保持在固体表面。利用固体表面的吸附能力，使废气与大面积的多孔性固体物质相接触，废气中的污染物被吸附在固体表面上，使其与气体混合物分离，达到净化目的。机柜内部采用迷宫式布局，活性炭在环保箱内部多层排布。该结构有效降低废气穿透风速，增加废气与活性炭的接触面积，实现对废气的多层吸附过滤提高对废气的吸附效率。</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根据《排污许可证申请与核发技术规范橡胶和塑料制品工业》（HJ1122 -2020）表A.2，塑料板、管、型材制造污染物为挥发性有机物，污染防治技术包括“喷淋；吸附；吸附浓缩+热力燃烧/催化燃烧”，本项目挤塑工序产生的挥发性有机物经活性炭吸附+催化燃烧装置处理，为吸附+催化燃烧，属污染防治技术中推荐的可行性技术</w:t>
            </w:r>
            <w:r>
              <w:rPr>
                <w:rFonts w:hint="eastAsia" w:cs="Times New Roman"/>
                <w:b w:val="0"/>
                <w:bCs w:val="0"/>
                <w:color w:val="000000" w:themeColor="text1"/>
                <w:sz w:val="24"/>
                <w:lang w:val="en-US" w:eastAsia="zh-CN"/>
                <w14:textFill>
                  <w14:solidFill>
                    <w14:schemeClr w14:val="tx1"/>
                  </w14:solidFill>
                </w14:textFill>
              </w:rPr>
              <w:t>。</w:t>
            </w:r>
          </w:p>
          <w:p>
            <w:pPr>
              <w:autoSpaceDE w:val="0"/>
              <w:autoSpaceDN w:val="0"/>
              <w:adjustRightInd w:val="0"/>
              <w:spacing w:line="360" w:lineRule="auto"/>
              <w:ind w:firstLine="480" w:firstLineChars="200"/>
              <w:jc w:val="both"/>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（4）轧机工序油雾</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为保证</w:t>
            </w:r>
            <w:r>
              <w:rPr>
                <w:rFonts w:hint="eastAsia" w:cs="Times New Roman"/>
                <w:b w:val="0"/>
                <w:bCs w:val="0"/>
                <w:color w:val="000000" w:themeColor="text1"/>
                <w:sz w:val="24"/>
                <w:lang w:val="en-US" w:eastAsia="zh-CN"/>
                <w14:textFill>
                  <w14:solidFill>
                    <w14:schemeClr w14:val="tx1"/>
                  </w14:solidFill>
                </w14:textFill>
              </w:rPr>
              <w:t>连铸</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生产线产生的油烟废气经处理后达标排放，铝杆轧机所产生的废气经各集尘罩捕集，在主风机的负压作用下，烟气再经过各分支管道合并进入主管道，部分轧机废气丝网过滤设备进行预处理，含油雾废气经折流板均风并拦截大的液滴，随后经过动态离心除油设备，通过物理离心脱除方式，将1um以上粒径油雾去除</w:t>
            </w:r>
            <w:r>
              <w:rPr>
                <w:rFonts w:hint="eastAsia" w:cs="Times New Roman"/>
                <w:b w:val="0"/>
                <w:bCs w:val="0"/>
                <w:color w:val="000000" w:themeColor="text1"/>
                <w:sz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动态离心除油设备出口的废气进入三级不锈钢丝网过滤段，通过物理拦截，高效分离油雾与废气，可将0.5um以上粒径的油雾去除</w:t>
            </w:r>
            <w:r>
              <w:rPr>
                <w:rFonts w:hint="eastAsia" w:cs="Times New Roman"/>
                <w:b w:val="0"/>
                <w:bCs w:val="0"/>
                <w:color w:val="000000" w:themeColor="text1"/>
                <w:sz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经丝网过滤后废气经</w:t>
            </w:r>
            <w:r>
              <w:rPr>
                <w:rFonts w:hint="eastAsia" w:cs="Times New Roman"/>
                <w:b w:val="0"/>
                <w:bCs w:val="0"/>
                <w:color w:val="000000" w:themeColor="text1"/>
                <w:sz w:val="24"/>
                <w:lang w:val="en-US" w:eastAsia="zh-CN"/>
                <w14:textFill>
                  <w14:solidFill>
                    <w14:schemeClr w14:val="tx1"/>
                  </w14:solidFill>
                </w14:textFill>
              </w:rPr>
              <w:t>活性炭吸附后由</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主风机排出后进入烟囱排放。工艺流程图如下</w:t>
            </w:r>
            <w:r>
              <w:rPr>
                <w:rFonts w:hint="eastAsia" w:cs="Times New Roman"/>
                <w:b w:val="0"/>
                <w:bCs w:val="0"/>
                <w:color w:val="000000" w:themeColor="text1"/>
                <w:sz w:val="24"/>
                <w:lang w:val="en-US" w:eastAsia="zh-CN"/>
                <w14:textFill>
                  <w14:solidFill>
                    <w14:schemeClr w14:val="tx1"/>
                  </w14:solidFill>
                </w14:textFill>
              </w:rPr>
              <w:t>：</w:t>
            </w:r>
          </w:p>
          <w:p>
            <w:pPr>
              <w:autoSpaceDE w:val="0"/>
              <w:autoSpaceDN w:val="0"/>
              <w:adjustRightInd w:val="0"/>
              <w:spacing w:line="240" w:lineRule="auto"/>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drawing>
                <wp:inline distT="0" distB="0" distL="114300" distR="114300">
                  <wp:extent cx="4982845" cy="1400175"/>
                  <wp:effectExtent l="0" t="0" r="8255" b="9525"/>
                  <wp:docPr id="48" name="图片 48" descr="未命名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未命名文件"/>
                          <pic:cNvPicPr>
                            <a:picLocks noChangeAspect="1"/>
                          </pic:cNvPicPr>
                        </pic:nvPicPr>
                        <pic:blipFill>
                          <a:blip r:embed="rId30"/>
                          <a:stretch>
                            <a:fillRect/>
                          </a:stretch>
                        </pic:blipFill>
                        <pic:spPr>
                          <a:xfrm>
                            <a:off x="0" y="0"/>
                            <a:ext cx="4982845" cy="1400175"/>
                          </a:xfrm>
                          <a:prstGeom prst="rect">
                            <a:avLst/>
                          </a:prstGeom>
                        </pic:spPr>
                      </pic:pic>
                    </a:graphicData>
                  </a:graphic>
                </wp:inline>
              </w:drawing>
            </w:r>
          </w:p>
          <w:p>
            <w:pPr>
              <w:autoSpaceDE w:val="0"/>
              <w:autoSpaceDN w:val="0"/>
              <w:adjustRightInd w:val="0"/>
              <w:spacing w:line="240" w:lineRule="auto"/>
              <w:ind w:firstLine="422" w:firstLineChars="200"/>
              <w:jc w:val="center"/>
              <w:rPr>
                <w:rFonts w:hint="eastAsia"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图4-1   轧机工序废气处理工艺流程图</w:t>
            </w:r>
          </w:p>
          <w:p>
            <w:pPr>
              <w:autoSpaceDE w:val="0"/>
              <w:autoSpaceDN w:val="0"/>
              <w:adjustRightInd w:val="0"/>
              <w:spacing w:line="360" w:lineRule="auto"/>
              <w:ind w:firstLine="480" w:firstLineChars="200"/>
              <w:jc w:val="both"/>
              <w:rPr>
                <w:rFonts w:hint="default"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据前文的工程分析，油雾（以非甲烷总烃计）排放浓度满足《大气污染物综合排放标准》（GB16297-1996）表2二级标准要求。</w:t>
            </w:r>
          </w:p>
          <w:p>
            <w:pPr>
              <w:autoSpaceDE w:val="0"/>
              <w:autoSpaceDN w:val="0"/>
              <w:adjustRightInd w:val="0"/>
              <w:spacing w:line="360" w:lineRule="auto"/>
              <w:ind w:firstLine="480" w:firstLineChars="200"/>
              <w:jc w:val="both"/>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w:t>
            </w:r>
            <w:r>
              <w:rPr>
                <w:rFonts w:hint="eastAsia" w:cs="Times New Roman"/>
                <w:b w:val="0"/>
                <w:bCs w:val="0"/>
                <w:color w:val="000000" w:themeColor="text1"/>
                <w:sz w:val="24"/>
                <w:lang w:val="en-US" w:eastAsia="zh-CN"/>
                <w14:textFill>
                  <w14:solidFill>
                    <w14:schemeClr w14:val="tx1"/>
                  </w14:solidFill>
                </w14:textFill>
              </w:rPr>
              <w:t>5</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）无组织废气治理措施、达标排放可行性</w:t>
            </w:r>
            <w:r>
              <w:rPr>
                <w:rFonts w:hint="eastAsia" w:cs="Times New Roman"/>
                <w:b w:val="0"/>
                <w:bCs w:val="0"/>
                <w:color w:val="000000" w:themeColor="text1"/>
                <w:sz w:val="24"/>
                <w:lang w:val="en-US" w:eastAsia="zh-CN"/>
                <w14:textFill>
                  <w14:solidFill>
                    <w14:schemeClr w14:val="tx1"/>
                  </w14:solidFill>
                </w14:textFill>
              </w:rPr>
              <w:t>分析</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本项目无组织废气污染物主要为颗粒物、挥发性有机物、二氧化硫、氮氧化物，为了尽量降低项目无组织排放的大气污染物对周边环境的影响，建设单位采取以下措施：</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①加强生产管理、确保设备的密闭性；加强设备的维护，定期对设备进行检查，减少装置的跑、冒、滴、漏；提高设备的密封性能，包括管道连接件、阀门等的密封性能，以减少无组织废气的排放；</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②加强对操作工的培训和管理，确保废气的捕捉率，以减少人为造成的废气无组织排放；</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③定期对活性炭吸附装置及其附件进行检查、维护和保养；加强对活性炭更换的管理和维护。加强活性炭吸附装置维护保养，所有风机、管道、阀门等连接部位、运转部位都应连接牢固，做到严密、不渗、不漏、不跑气；</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④防止管道和收集系统的泄漏，避免事故性无组织排放。建立事故性排放的防护措施，在车间内备有足够的通风设备。</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采取以上防治措施后，废气无组织</w:t>
            </w:r>
            <w:r>
              <w:rPr>
                <w:rFonts w:hint="eastAsia" w:cs="Times New Roman"/>
                <w:b w:val="0"/>
                <w:bCs w:val="0"/>
                <w:color w:val="000000" w:themeColor="text1"/>
                <w:sz w:val="24"/>
                <w:lang w:val="en-US" w:eastAsia="zh-CN"/>
                <w14:textFill>
                  <w14:solidFill>
                    <w14:schemeClr w14:val="tx1"/>
                  </w14:solidFill>
                </w14:textFill>
              </w:rPr>
              <w:t>颗粒物</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排放满足《大气污染物综合排放标准》</w:t>
            </w:r>
            <w:r>
              <w:rPr>
                <w:rFonts w:hint="eastAsia" w:cs="Times New Roman"/>
                <w:b w:val="0"/>
                <w:bCs w:val="0"/>
                <w:color w:val="000000" w:themeColor="text1"/>
                <w:sz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GB16297-1996）表2二级标准无组织排放限值要求。</w:t>
            </w:r>
            <w:r>
              <w:rPr>
                <w:rFonts w:hint="eastAsia" w:cs="Times New Roman"/>
                <w:b w:val="0"/>
                <w:bCs w:val="0"/>
                <w:color w:val="000000" w:themeColor="text1"/>
                <w:sz w:val="24"/>
                <w:lang w:val="en-US" w:eastAsia="zh-CN"/>
                <w14:textFill>
                  <w14:solidFill>
                    <w14:schemeClr w14:val="tx1"/>
                  </w14:solidFill>
                </w14:textFill>
              </w:rPr>
              <w:t>厂界</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无组织</w:t>
            </w:r>
            <w:r>
              <w:rPr>
                <w:rFonts w:hint="eastAsia" w:cs="Times New Roman"/>
                <w:b w:val="0"/>
                <w:bCs w:val="0"/>
                <w:color w:val="000000" w:themeColor="text1"/>
                <w:sz w:val="24"/>
                <w:lang w:val="en-US" w:eastAsia="zh-CN"/>
                <w14:textFill>
                  <w14:solidFill>
                    <w14:schemeClr w14:val="tx1"/>
                  </w14:solidFill>
                </w14:textFill>
              </w:rPr>
              <w:t>非甲烷总烃</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排放满足</w:t>
            </w:r>
            <w:r>
              <w:rPr>
                <w:rFonts w:hint="eastAsia" w:cs="Times New Roman"/>
                <w:b w:val="0"/>
                <w:bCs w:val="0"/>
                <w:color w:val="000000" w:themeColor="text1"/>
                <w:sz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合成树脂工业污染物排放标准》（GB31572-2015，含2024 年修改单）表9无组织排放限值</w:t>
            </w:r>
            <w:r>
              <w:rPr>
                <w:rFonts w:hint="eastAsia" w:cs="Times New Roman"/>
                <w:b w:val="0"/>
                <w:bCs w:val="0"/>
                <w:color w:val="000000" w:themeColor="text1"/>
                <w:sz w:val="24"/>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厂内非甲烷总烃满足《挥发性有机物无组织排放控制标准》（GB37822-2019）中表A.1厂区内VOCs 无组织特别排放限值要求。</w:t>
            </w:r>
          </w:p>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FF0000"/>
                <w:sz w:val="24"/>
                <w:lang w:val="en-US" w:eastAsia="zh-CN"/>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综上，项目排放的各类大气污染物经采取的各项废气治理措施治理后，均能够达标排放，因此，建设项目废气治理措施在技术上具有可行性。</w:t>
            </w:r>
          </w:p>
          <w:p>
            <w:pPr>
              <w:pStyle w:val="8"/>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 xml:space="preserve"> 排放口设置情况</w:t>
            </w:r>
          </w:p>
          <w:p>
            <w:pPr>
              <w:autoSpaceDE w:val="0"/>
              <w:autoSpaceDN w:val="0"/>
              <w:adjustRightInd w:val="0"/>
              <w:spacing w:line="360" w:lineRule="auto"/>
              <w:ind w:firstLine="480" w:firstLineChars="200"/>
              <w:jc w:val="both"/>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本项目设置</w:t>
            </w:r>
            <w:r>
              <w:rPr>
                <w:rFonts w:hint="eastAsia" w:cs="Times New Roman"/>
                <w:b w:val="0"/>
                <w:bCs w:val="0"/>
                <w:color w:val="000000" w:themeColor="text1"/>
                <w:sz w:val="24"/>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个有组织废气排放口，废气排放口基本情况见表4-</w:t>
            </w:r>
            <w:r>
              <w:rPr>
                <w:rFonts w:hint="eastAsia" w:cs="Times New Roman"/>
                <w:b w:val="0"/>
                <w:bCs w:val="0"/>
                <w:color w:val="000000" w:themeColor="text1"/>
                <w:sz w:val="24"/>
                <w:lang w:val="en-US" w:eastAsia="zh-CN"/>
                <w14:textFill>
                  <w14:solidFill>
                    <w14:schemeClr w14:val="tx1"/>
                  </w14:solidFill>
                </w14:textFill>
              </w:rPr>
              <w:t>5</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w:t>
            </w:r>
          </w:p>
          <w:p>
            <w:pPr>
              <w:pStyle w:val="44"/>
              <w:spacing w:line="240" w:lineRule="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表4-</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14:textFill>
                  <w14:solidFill>
                    <w14:schemeClr w14:val="tx1"/>
                  </w14:solidFill>
                </w14:textFill>
              </w:rPr>
              <w:t xml:space="preserve">   废气类别、污染物及污染治理设施一览表</w:t>
            </w:r>
          </w:p>
          <w:tbl>
            <w:tblPr>
              <w:tblStyle w:val="32"/>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189"/>
              <w:gridCol w:w="1189"/>
              <w:gridCol w:w="495"/>
              <w:gridCol w:w="495"/>
              <w:gridCol w:w="495"/>
              <w:gridCol w:w="618"/>
              <w:gridCol w:w="541"/>
              <w:gridCol w:w="587"/>
              <w:gridCol w:w="403"/>
              <w:gridCol w:w="403"/>
              <w:gridCol w:w="69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4" w:type="pct"/>
                  <w:vMerge w:val="restart"/>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编号</w:t>
                  </w:r>
                </w:p>
              </w:tc>
              <w:tc>
                <w:tcPr>
                  <w:tcW w:w="1511" w:type="pct"/>
                  <w:gridSpan w:val="2"/>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排气筒底部中心坐标</w:t>
                  </w:r>
                </w:p>
              </w:tc>
              <w:tc>
                <w:tcPr>
                  <w:tcW w:w="314" w:type="pct"/>
                  <w:vMerge w:val="restart"/>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排气筒底部海拔高度(m)</w:t>
                  </w:r>
                </w:p>
              </w:tc>
              <w:tc>
                <w:tcPr>
                  <w:tcW w:w="1365" w:type="pct"/>
                  <w:gridSpan w:val="4"/>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排气筒参数</w:t>
                  </w:r>
                </w:p>
              </w:tc>
              <w:tc>
                <w:tcPr>
                  <w:tcW w:w="629" w:type="pct"/>
                  <w:gridSpan w:val="2"/>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运行参数</w:t>
                  </w:r>
                </w:p>
              </w:tc>
              <w:tc>
                <w:tcPr>
                  <w:tcW w:w="695" w:type="pct"/>
                  <w:gridSpan w:val="2"/>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污染源参数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4" w:type="pct"/>
                  <w:vMerge w:val="continue"/>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p>
              </w:tc>
              <w:tc>
                <w:tcPr>
                  <w:tcW w:w="755"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经度</w:t>
                  </w:r>
                </w:p>
              </w:tc>
              <w:tc>
                <w:tcPr>
                  <w:tcW w:w="755"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纬度</w:t>
                  </w:r>
                </w:p>
              </w:tc>
              <w:tc>
                <w:tcPr>
                  <w:tcW w:w="314" w:type="pct"/>
                  <w:vMerge w:val="continue"/>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p>
              </w:tc>
              <w:tc>
                <w:tcPr>
                  <w:tcW w:w="314"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排气筒高度(m)</w:t>
                  </w:r>
                </w:p>
              </w:tc>
              <w:tc>
                <w:tcPr>
                  <w:tcW w:w="314"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排气筒出口内径(m)</w:t>
                  </w:r>
                </w:p>
              </w:tc>
              <w:tc>
                <w:tcPr>
                  <w:tcW w:w="392"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烟气流速(m/s)</w:t>
                  </w:r>
                </w:p>
              </w:tc>
              <w:tc>
                <w:tcPr>
                  <w:tcW w:w="343"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烟气温度(℃)</w:t>
                  </w:r>
                </w:p>
              </w:tc>
              <w:tc>
                <w:tcPr>
                  <w:tcW w:w="373"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年排放小时数(h)</w:t>
                  </w:r>
                </w:p>
              </w:tc>
              <w:tc>
                <w:tcPr>
                  <w:tcW w:w="256"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排放工况</w:t>
                  </w:r>
                </w:p>
              </w:tc>
              <w:tc>
                <w:tcPr>
                  <w:tcW w:w="256"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污染源名称</w:t>
                  </w:r>
                </w:p>
              </w:tc>
              <w:tc>
                <w:tcPr>
                  <w:tcW w:w="439" w:type="pct"/>
                  <w:tcBorders>
                    <w:bottom w:val="single" w:color="auto" w:sz="12" w:space="0"/>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污染物排放速率(kg/h)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4"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DA00</w:t>
                  </w: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7</w:t>
                  </w:r>
                </w:p>
              </w:tc>
              <w:tc>
                <w:tcPr>
                  <w:tcW w:w="755"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87</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48</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516</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p>
              </w:tc>
              <w:tc>
                <w:tcPr>
                  <w:tcW w:w="755"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4</w:t>
                  </w:r>
                  <w:r>
                    <w:rPr>
                      <w:rFonts w:hint="eastAsia" w:cs="Times New Roman"/>
                      <w:b w:val="0"/>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37.932</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p>
              </w:tc>
              <w:tc>
                <w:tcPr>
                  <w:tcW w:w="314"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579</w:t>
                  </w:r>
                </w:p>
              </w:tc>
              <w:tc>
                <w:tcPr>
                  <w:tcW w:w="314"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20</w:t>
                  </w:r>
                </w:p>
              </w:tc>
              <w:tc>
                <w:tcPr>
                  <w:tcW w:w="314"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1.6</w:t>
                  </w:r>
                </w:p>
              </w:tc>
              <w:tc>
                <w:tcPr>
                  <w:tcW w:w="392"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5.4</w:t>
                  </w:r>
                </w:p>
              </w:tc>
              <w:tc>
                <w:tcPr>
                  <w:tcW w:w="343"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60</w:t>
                  </w:r>
                </w:p>
              </w:tc>
              <w:tc>
                <w:tcPr>
                  <w:tcW w:w="373"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7200</w:t>
                  </w:r>
                </w:p>
              </w:tc>
              <w:tc>
                <w:tcPr>
                  <w:tcW w:w="256" w:type="pct"/>
                  <w:vMerge w:val="restar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正常</w:t>
                  </w:r>
                </w:p>
              </w:tc>
              <w:tc>
                <w:tcPr>
                  <w:tcW w:w="256"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颗粒物</w:t>
                  </w:r>
                </w:p>
              </w:tc>
              <w:tc>
                <w:tcPr>
                  <w:tcW w:w="439"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0.61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4"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755"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p>
              </w:tc>
              <w:tc>
                <w:tcPr>
                  <w:tcW w:w="755"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p>
              </w:tc>
              <w:tc>
                <w:tcPr>
                  <w:tcW w:w="314"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14"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14"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92"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43"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73"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256"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256"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二氧化硫</w:t>
                  </w:r>
                </w:p>
              </w:tc>
              <w:tc>
                <w:tcPr>
                  <w:tcW w:w="439"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0.103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4"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755"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p>
              </w:tc>
              <w:tc>
                <w:tcPr>
                  <w:tcW w:w="755"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p>
              </w:tc>
              <w:tc>
                <w:tcPr>
                  <w:tcW w:w="314"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14"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14"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92"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43"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373"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256" w:type="pct"/>
                  <w:vMerge w:val="continue"/>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256"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氮氧化物</w:t>
                  </w:r>
                </w:p>
              </w:tc>
              <w:tc>
                <w:tcPr>
                  <w:tcW w:w="439"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0.77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4"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DA00</w:t>
                  </w: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8</w:t>
                  </w:r>
                </w:p>
              </w:tc>
              <w:tc>
                <w:tcPr>
                  <w:tcW w:w="755"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87</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48</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323</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p>
              </w:tc>
              <w:tc>
                <w:tcPr>
                  <w:tcW w:w="755"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4</w:t>
                  </w:r>
                  <w:r>
                    <w:rPr>
                      <w:rFonts w:hint="eastAsia" w:cs="Times New Roman"/>
                      <w:b w:val="0"/>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37.682</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p>
              </w:tc>
              <w:tc>
                <w:tcPr>
                  <w:tcW w:w="314"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579</w:t>
                  </w:r>
                </w:p>
              </w:tc>
              <w:tc>
                <w:tcPr>
                  <w:tcW w:w="314"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1</w:t>
                  </w: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8</w:t>
                  </w:r>
                </w:p>
              </w:tc>
              <w:tc>
                <w:tcPr>
                  <w:tcW w:w="314"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0.9</w:t>
                  </w:r>
                </w:p>
              </w:tc>
              <w:tc>
                <w:tcPr>
                  <w:tcW w:w="392"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6.0</w:t>
                  </w:r>
                </w:p>
              </w:tc>
              <w:tc>
                <w:tcPr>
                  <w:tcW w:w="343"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25</w:t>
                  </w:r>
                </w:p>
              </w:tc>
              <w:tc>
                <w:tcPr>
                  <w:tcW w:w="373"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7200</w:t>
                  </w:r>
                </w:p>
              </w:tc>
              <w:tc>
                <w:tcPr>
                  <w:tcW w:w="256"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正常</w:t>
                  </w:r>
                </w:p>
              </w:tc>
              <w:tc>
                <w:tcPr>
                  <w:tcW w:w="256"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非甲烷总烃</w:t>
                  </w:r>
                </w:p>
              </w:tc>
              <w:tc>
                <w:tcPr>
                  <w:tcW w:w="439"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0.055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4"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DA0</w:t>
                  </w: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12</w:t>
                  </w:r>
                </w:p>
              </w:tc>
              <w:tc>
                <w:tcPr>
                  <w:tcW w:w="755"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87</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38</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839</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p>
              </w:tc>
              <w:tc>
                <w:tcPr>
                  <w:tcW w:w="755"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4</w:t>
                  </w:r>
                  <w:r>
                    <w:rPr>
                      <w:rFonts w:hint="eastAsia" w:cs="Times New Roman"/>
                      <w:b w:val="0"/>
                      <w:bCs/>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30.576</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w:t>
                  </w:r>
                </w:p>
              </w:tc>
              <w:tc>
                <w:tcPr>
                  <w:tcW w:w="314"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579</w:t>
                  </w:r>
                </w:p>
              </w:tc>
              <w:tc>
                <w:tcPr>
                  <w:tcW w:w="314"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15</w:t>
                  </w:r>
                </w:p>
              </w:tc>
              <w:tc>
                <w:tcPr>
                  <w:tcW w:w="314"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0.8</w:t>
                  </w:r>
                </w:p>
              </w:tc>
              <w:tc>
                <w:tcPr>
                  <w:tcW w:w="392"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5.2</w:t>
                  </w:r>
                </w:p>
              </w:tc>
              <w:tc>
                <w:tcPr>
                  <w:tcW w:w="343"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30</w:t>
                  </w:r>
                </w:p>
              </w:tc>
              <w:tc>
                <w:tcPr>
                  <w:tcW w:w="373"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7200</w:t>
                  </w:r>
                </w:p>
              </w:tc>
              <w:tc>
                <w:tcPr>
                  <w:tcW w:w="256"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正常</w:t>
                  </w:r>
                </w:p>
              </w:tc>
              <w:tc>
                <w:tcPr>
                  <w:tcW w:w="256" w:type="pct"/>
                  <w:tcBorders>
                    <w:tl2br w:val="nil"/>
                    <w:tr2bl w:val="nil"/>
                  </w:tcBorders>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非甲烷总烃</w:t>
                  </w:r>
                </w:p>
              </w:tc>
              <w:tc>
                <w:tcPr>
                  <w:tcW w:w="439" w:type="pct"/>
                  <w:tcBorders>
                    <w:tl2br w:val="nil"/>
                    <w:tr2bl w:val="nil"/>
                  </w:tcBorders>
                  <w:shd w:val="clear" w:color="auto" w:fill="auto"/>
                  <w:noWrap w:val="0"/>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0.54</w:t>
                  </w:r>
                </w:p>
              </w:tc>
            </w:tr>
          </w:tbl>
          <w:p>
            <w:pPr>
              <w:pStyle w:val="8"/>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 xml:space="preserve"> 非正常工况</w:t>
            </w:r>
          </w:p>
          <w:p>
            <w:pPr>
              <w:pStyle w:val="8"/>
              <w:keepNext/>
              <w:keepLines/>
              <w:pageBreakBefore w:val="0"/>
              <w:widowControl w:val="0"/>
              <w:kinsoku/>
              <w:wordWrap/>
              <w:overflowPunct/>
              <w:topLinePunct w:val="0"/>
              <w:autoSpaceDE/>
              <w:autoSpaceDN/>
              <w:bidi w:val="0"/>
              <w:adjustRightInd/>
              <w:snapToGrid/>
              <w:ind w:firstLine="480" w:firstLineChars="200"/>
              <w:jc w:val="both"/>
              <w:textAlignment w:val="auto"/>
              <w:outlineLvl w:val="2"/>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根据《环境影响评价技术导则大气环境》</w:t>
            </w:r>
            <w:r>
              <w:rPr>
                <w:rFonts w:hint="eastAsia" w:cs="Times New Roman"/>
                <w:b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HJ2.2-2018</w:t>
            </w:r>
            <w:r>
              <w:rPr>
                <w:rFonts w:hint="eastAsia" w:cs="Times New Roman"/>
                <w:b w:val="0"/>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，非正常排放包括设备检修、污染物排放控制措施达不到应有效率、工艺设备运转异常等本项目非正常工况主要为</w:t>
            </w:r>
            <w:r>
              <w:rPr>
                <w:rFonts w:hint="eastAsia" w:cs="Times New Roman"/>
                <w:b w:val="0"/>
                <w:color w:val="000000" w:themeColor="text1"/>
                <w:kern w:val="2"/>
                <w:sz w:val="24"/>
                <w:szCs w:val="24"/>
                <w:lang w:val="en-US" w:eastAsia="zh-CN" w:bidi="ar-SA"/>
                <w14:textFill>
                  <w14:solidFill>
                    <w14:schemeClr w14:val="tx1"/>
                  </w14:solidFill>
                </w14:textFill>
              </w:rPr>
              <w:t>环保设施</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失效</w:t>
            </w:r>
            <w:r>
              <w:rPr>
                <w:rFonts w:hint="default" w:ascii="Times New Roman" w:hAnsi="Times New Roman" w:cs="Times New Roman"/>
                <w:b w:val="0"/>
                <w:color w:val="000000" w:themeColor="text1"/>
                <w:kern w:val="2"/>
                <w:sz w:val="24"/>
                <w:szCs w:val="24"/>
                <w:lang w:val="en-US" w:eastAsia="zh-CN" w:bidi="ar-SA"/>
                <w14:textFill>
                  <w14:solidFill>
                    <w14:schemeClr w14:val="tx1"/>
                  </w14:solidFill>
                </w14:textFill>
              </w:rPr>
              <w:t>，废气未经有效处理时间按1h计，发生频率按1年/1次计，</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在此情景下，本项目废气污染物产生情况及排放情况，具体见表4-</w:t>
            </w:r>
            <w:r>
              <w:rPr>
                <w:rFonts w:hint="eastAsia" w:cs="Times New Roman"/>
                <w:b w:val="0"/>
                <w:color w:val="000000" w:themeColor="text1"/>
                <w:kern w:val="2"/>
                <w:sz w:val="24"/>
                <w:szCs w:val="24"/>
                <w:lang w:val="en-US" w:eastAsia="zh-CN" w:bidi="ar-SA"/>
                <w14:textFill>
                  <w14:solidFill>
                    <w14:schemeClr w14:val="tx1"/>
                  </w14:solidFill>
                </w14:textFill>
              </w:rPr>
              <w:t>6</w:t>
            </w:r>
            <w:r>
              <w:rPr>
                <w:rFonts w:hint="default" w:ascii="Times New Roman" w:hAnsi="Times New Roman" w:eastAsia="宋体" w:cs="Times New Roman"/>
                <w:b w:val="0"/>
                <w:color w:val="000000" w:themeColor="text1"/>
                <w:kern w:val="2"/>
                <w:sz w:val="24"/>
                <w:szCs w:val="24"/>
                <w:lang w:val="en-US" w:eastAsia="zh-CN" w:bidi="ar-SA"/>
                <w14:textFill>
                  <w14:solidFill>
                    <w14:schemeClr w14:val="tx1"/>
                  </w14:solidFill>
                </w14:textFill>
              </w:rPr>
              <w:t>。</w:t>
            </w:r>
          </w:p>
          <w:p>
            <w:pPr>
              <w:pStyle w:val="44"/>
              <w:spacing w:line="240" w:lineRule="auto"/>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表4-</w:t>
            </w:r>
            <w:r>
              <w:rPr>
                <w:rFonts w:hint="eastAsia" w:cs="Times New Roman"/>
                <w:bCs/>
                <w:color w:val="000000" w:themeColor="text1"/>
                <w:sz w:val="21"/>
                <w:szCs w:val="21"/>
                <w:lang w:val="en-US" w:eastAsia="zh-CN"/>
                <w14:textFill>
                  <w14:solidFill>
                    <w14:schemeClr w14:val="tx1"/>
                  </w14:solidFill>
                </w14:textFill>
              </w:rPr>
              <w:t>6</w:t>
            </w:r>
            <w:r>
              <w:rPr>
                <w:rFonts w:hint="default" w:ascii="Times New Roman" w:hAnsi="Times New Roman" w:cs="Times New Roman"/>
                <w:bCs/>
                <w:color w:val="000000" w:themeColor="text1"/>
                <w:sz w:val="21"/>
                <w:szCs w:val="21"/>
                <w14:textFill>
                  <w14:solidFill>
                    <w14:schemeClr w14:val="tx1"/>
                  </w14:solidFill>
                </w14:textFill>
              </w:rPr>
              <w:t xml:space="preserve">   非正常工况废气污染物产生及排放情况</w:t>
            </w:r>
          </w:p>
          <w:tbl>
            <w:tblPr>
              <w:tblStyle w:val="32"/>
              <w:tblW w:w="4989"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52"/>
              <w:gridCol w:w="1263"/>
              <w:gridCol w:w="1105"/>
              <w:gridCol w:w="1160"/>
              <w:gridCol w:w="746"/>
              <w:gridCol w:w="1189"/>
              <w:gridCol w:w="6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5" w:type="pct"/>
                  <w:tcBorders>
                    <w:bottom w:val="single" w:color="auto" w:sz="12" w:space="0"/>
                  </w:tcBorders>
                  <w:vAlign w:val="center"/>
                </w:tcPr>
                <w:p>
                  <w:pPr>
                    <w:pStyle w:val="45"/>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排放源</w:t>
                  </w:r>
                </w:p>
              </w:tc>
              <w:tc>
                <w:tcPr>
                  <w:tcW w:w="804" w:type="pct"/>
                  <w:tcBorders>
                    <w:bottom w:val="single" w:color="auto" w:sz="12" w:space="0"/>
                  </w:tcBorders>
                  <w:vAlign w:val="center"/>
                </w:tcPr>
                <w:p>
                  <w:pPr>
                    <w:pStyle w:val="4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污染物</w:t>
                  </w:r>
                </w:p>
              </w:tc>
              <w:tc>
                <w:tcPr>
                  <w:tcW w:w="703" w:type="pct"/>
                  <w:tcBorders>
                    <w:bottom w:val="single" w:color="auto" w:sz="12" w:space="0"/>
                  </w:tcBorders>
                  <w:vAlign w:val="center"/>
                </w:tcPr>
                <w:p>
                  <w:pPr>
                    <w:pStyle w:val="4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排放</w:t>
                  </w:r>
                  <w:r>
                    <w:rPr>
                      <w:rFonts w:hint="default" w:ascii="Times New Roman" w:hAnsi="Times New Roman" w:cs="Times New Roman"/>
                      <w:b/>
                      <w:bCs/>
                      <w:color w:val="000000" w:themeColor="text1"/>
                      <w:lang w:val="en-US" w:eastAsia="zh-CN"/>
                      <w14:textFill>
                        <w14:solidFill>
                          <w14:schemeClr w14:val="tx1"/>
                        </w14:solidFill>
                      </w14:textFill>
                    </w:rPr>
                    <w:t>速率kg/h</w:t>
                  </w:r>
                </w:p>
              </w:tc>
              <w:tc>
                <w:tcPr>
                  <w:tcW w:w="738" w:type="pct"/>
                  <w:tcBorders>
                    <w:bottom w:val="single" w:color="auto" w:sz="12" w:space="0"/>
                  </w:tcBorders>
                  <w:vAlign w:val="center"/>
                </w:tcPr>
                <w:p>
                  <w:pPr>
                    <w:pStyle w:val="45"/>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排放浓度mg/</w:t>
                  </w:r>
                  <w:r>
                    <w:rPr>
                      <w:rFonts w:hint="default" w:ascii="Times New Roman" w:hAnsi="Times New Roman" w:cs="Times New Roman"/>
                      <w:b/>
                      <w:bCs/>
                      <w:color w:val="000000" w:themeColor="text1"/>
                      <w:lang w:eastAsia="zh-CN"/>
                      <w14:textFill>
                        <w14:solidFill>
                          <w14:schemeClr w14:val="tx1"/>
                        </w14:solidFill>
                      </w14:textFill>
                    </w:rPr>
                    <w:t>m³</w:t>
                  </w:r>
                </w:p>
              </w:tc>
              <w:tc>
                <w:tcPr>
                  <w:tcW w:w="475" w:type="pct"/>
                  <w:tcBorders>
                    <w:bottom w:val="single" w:color="auto" w:sz="12" w:space="0"/>
                  </w:tcBorders>
                  <w:vAlign w:val="center"/>
                </w:tcPr>
                <w:p>
                  <w:pPr>
                    <w:pStyle w:val="45"/>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持续</w:t>
                  </w:r>
                </w:p>
                <w:p>
                  <w:pPr>
                    <w:pStyle w:val="45"/>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时间</w:t>
                  </w:r>
                </w:p>
              </w:tc>
              <w:tc>
                <w:tcPr>
                  <w:tcW w:w="757" w:type="pct"/>
                  <w:tcBorders>
                    <w:bottom w:val="single" w:color="auto" w:sz="12" w:space="0"/>
                  </w:tcBorders>
                  <w:vAlign w:val="center"/>
                </w:tcPr>
                <w:p>
                  <w:pPr>
                    <w:pStyle w:val="45"/>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非正常</w:t>
                  </w:r>
                </w:p>
                <w:p>
                  <w:pPr>
                    <w:pStyle w:val="45"/>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工况</w:t>
                  </w:r>
                </w:p>
              </w:tc>
              <w:tc>
                <w:tcPr>
                  <w:tcW w:w="405" w:type="pct"/>
                  <w:tcBorders>
                    <w:bottom w:val="single" w:color="auto" w:sz="12" w:space="0"/>
                  </w:tcBorders>
                  <w:vAlign w:val="center"/>
                </w:tcPr>
                <w:p>
                  <w:pPr>
                    <w:pStyle w:val="45"/>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应对</w:t>
                  </w:r>
                </w:p>
                <w:p>
                  <w:pPr>
                    <w:pStyle w:val="45"/>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115" w:type="pct"/>
                  <w:vMerge w:val="restart"/>
                  <w:tcBorders>
                    <w:top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DA00</w:t>
                  </w:r>
                  <w:r>
                    <w:rPr>
                      <w:rFonts w:hint="eastAsia" w:cs="Times New Roman"/>
                      <w:color w:val="000000" w:themeColor="text1"/>
                      <w:lang w:val="en-US" w:eastAsia="zh-CN"/>
                      <w14:textFill>
                        <w14:solidFill>
                          <w14:schemeClr w14:val="tx1"/>
                        </w14:solidFill>
                      </w14:textFill>
                    </w:rPr>
                    <w:t>7</w:t>
                  </w:r>
                </w:p>
              </w:tc>
              <w:tc>
                <w:tcPr>
                  <w:tcW w:w="804" w:type="pct"/>
                  <w:tcBorders>
                    <w:top w:val="single" w:color="auto" w:sz="12" w:space="0"/>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颗粒物</w:t>
                  </w:r>
                </w:p>
              </w:tc>
              <w:tc>
                <w:tcPr>
                  <w:tcW w:w="703" w:type="pct"/>
                  <w:tcBorders>
                    <w:top w:val="single" w:color="auto" w:sz="12" w:space="0"/>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30.71</w:t>
                  </w:r>
                </w:p>
              </w:tc>
              <w:tc>
                <w:tcPr>
                  <w:tcW w:w="738" w:type="pct"/>
                  <w:tcBorders>
                    <w:top w:val="single" w:color="auto" w:sz="12" w:space="0"/>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136.9</w:t>
                  </w:r>
                </w:p>
              </w:tc>
              <w:tc>
                <w:tcPr>
                  <w:tcW w:w="475" w:type="pct"/>
                  <w:vMerge w:val="restart"/>
                  <w:tcBorders>
                    <w:top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≤1h</w:t>
                  </w:r>
                </w:p>
              </w:tc>
              <w:tc>
                <w:tcPr>
                  <w:tcW w:w="757" w:type="pct"/>
                  <w:vMerge w:val="restart"/>
                  <w:tcBorders>
                    <w:top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低氮燃烧+袋式除尘器失效</w:t>
                  </w:r>
                </w:p>
              </w:tc>
              <w:tc>
                <w:tcPr>
                  <w:tcW w:w="405" w:type="pct"/>
                  <w:vMerge w:val="restart"/>
                  <w:tcBorders>
                    <w:top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日常维护、及时检修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115"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804"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二氧化硫</w:t>
                  </w:r>
                </w:p>
              </w:tc>
              <w:tc>
                <w:tcPr>
                  <w:tcW w:w="703"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cs="Times New Roman"/>
                      <w:b w:val="0"/>
                      <w:bCs w:val="0"/>
                      <w:color w:val="000000" w:themeColor="text1"/>
                      <w:kern w:val="0"/>
                      <w:sz w:val="21"/>
                      <w:szCs w:val="21"/>
                      <w:vertAlign w:val="baseline"/>
                      <w:lang w:val="en-US" w:eastAsia="zh-CN" w:bidi="ar-SA"/>
                      <w14:textFill>
                        <w14:solidFill>
                          <w14:schemeClr w14:val="tx1"/>
                        </w14:solidFill>
                      </w14:textFill>
                    </w:rPr>
                    <w:t>0.103</w:t>
                  </w:r>
                </w:p>
              </w:tc>
              <w:tc>
                <w:tcPr>
                  <w:tcW w:w="738" w:type="pct"/>
                  <w:tcBorders>
                    <w:top w:val="single" w:color="auto" w:sz="12" w:space="0"/>
                    <w:bottom w:val="single" w:color="auto" w:sz="12" w:space="0"/>
                    <w:tl2br w:val="nil"/>
                    <w:tr2bl w:val="nil"/>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3.29</w:t>
                  </w:r>
                </w:p>
              </w:tc>
              <w:tc>
                <w:tcPr>
                  <w:tcW w:w="475"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757"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405"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115"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804" w:type="pct"/>
                  <w:tcBorders>
                    <w:top w:val="single" w:color="auto" w:sz="12" w:space="0"/>
                    <w:bottom w:val="single" w:color="auto" w:sz="12" w:space="0"/>
                    <w:tl2br w:val="nil"/>
                    <w:tr2bl w:val="nil"/>
                  </w:tcBorders>
                  <w:shd w:val="clear" w:color="auto" w:fill="auto"/>
                  <w:vAlign w:val="center"/>
                </w:tcPr>
                <w:p>
                  <w:pPr>
                    <w:keepNext w:val="0"/>
                    <w:keepLines w:val="0"/>
                    <w:pageBreakBefore w:val="0"/>
                    <w:widowControl/>
                    <w:suppressLineNumbers w:val="0"/>
                    <w:kinsoku/>
                    <w:overflowPunct/>
                    <w:topLinePunct w:val="0"/>
                    <w:bidi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氮氧化物</w:t>
                  </w:r>
                </w:p>
              </w:tc>
              <w:tc>
                <w:tcPr>
                  <w:tcW w:w="703" w:type="pct"/>
                  <w:tcBorders>
                    <w:top w:val="single" w:color="auto" w:sz="12" w:space="0"/>
                    <w:bottom w:val="single" w:color="auto" w:sz="12" w:space="0"/>
                    <w:tl2br w:val="nil"/>
                    <w:tr2bl w:val="nil"/>
                  </w:tcBorders>
                  <w:vAlign w:val="center"/>
                </w:tcPr>
                <w:p>
                  <w:pPr>
                    <w:pStyle w:val="45"/>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1.54</w:t>
                  </w:r>
                </w:p>
              </w:tc>
              <w:tc>
                <w:tcPr>
                  <w:tcW w:w="738" w:type="pct"/>
                  <w:tcBorders>
                    <w:top w:val="single" w:color="auto" w:sz="12" w:space="0"/>
                    <w:bottom w:val="single" w:color="auto" w:sz="12" w:space="0"/>
                    <w:tl2br w:val="nil"/>
                    <w:tr2bl w:val="nil"/>
                  </w:tcBorders>
                  <w:vAlign w:val="center"/>
                </w:tcPr>
                <w:p>
                  <w:pPr>
                    <w:pStyle w:val="45"/>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49.5</w:t>
                  </w:r>
                </w:p>
              </w:tc>
              <w:tc>
                <w:tcPr>
                  <w:tcW w:w="475"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757"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405"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115" w:type="pct"/>
                  <w:tcBorders>
                    <w:top w:val="single" w:color="auto" w:sz="12" w:space="0"/>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DA00</w:t>
                  </w:r>
                  <w:r>
                    <w:rPr>
                      <w:rFonts w:hint="eastAsia" w:cs="Times New Roman"/>
                      <w:color w:val="000000" w:themeColor="text1"/>
                      <w:lang w:val="en-US" w:eastAsia="zh-CN"/>
                      <w14:textFill>
                        <w14:solidFill>
                          <w14:schemeClr w14:val="tx1"/>
                        </w14:solidFill>
                      </w14:textFill>
                    </w:rPr>
                    <w:t>8</w:t>
                  </w:r>
                </w:p>
              </w:tc>
              <w:tc>
                <w:tcPr>
                  <w:tcW w:w="804" w:type="pct"/>
                  <w:tcBorders>
                    <w:top w:val="single" w:color="auto" w:sz="12" w:space="0"/>
                    <w:bottom w:val="single" w:color="auto" w:sz="12" w:space="0"/>
                    <w:tl2br w:val="nil"/>
                    <w:tr2bl w:val="nil"/>
                  </w:tcBorders>
                  <w:vAlign w:val="center"/>
                </w:tcPr>
                <w:p>
                  <w:pPr>
                    <w:pStyle w:val="45"/>
                    <w:rPr>
                      <w:rFonts w:hint="default" w:ascii="Times New Roman" w:hAnsi="Times New Roman" w:cs="Times New Roman"/>
                      <w:color w:val="000000" w:themeColor="text1"/>
                      <w:lang w:eastAsia="zh-CN"/>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非甲烷总烃</w:t>
                  </w:r>
                </w:p>
              </w:tc>
              <w:tc>
                <w:tcPr>
                  <w:tcW w:w="703" w:type="pct"/>
                  <w:tcBorders>
                    <w:top w:val="single" w:color="auto" w:sz="12" w:space="0"/>
                    <w:bottom w:val="single" w:color="auto" w:sz="12" w:space="0"/>
                    <w:tl2br w:val="nil"/>
                    <w:tr2bl w:val="nil"/>
                  </w:tcBorders>
                  <w:vAlign w:val="center"/>
                </w:tcPr>
                <w:p>
                  <w:pPr>
                    <w:pStyle w:val="45"/>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0.55</w:t>
                  </w:r>
                </w:p>
              </w:tc>
              <w:tc>
                <w:tcPr>
                  <w:tcW w:w="738" w:type="pct"/>
                  <w:tcBorders>
                    <w:top w:val="single" w:color="auto" w:sz="12" w:space="0"/>
                    <w:bottom w:val="single" w:color="auto" w:sz="12" w:space="0"/>
                    <w:tl2br w:val="nil"/>
                    <w:tr2bl w:val="nil"/>
                  </w:tcBorders>
                  <w:vAlign w:val="center"/>
                </w:tcPr>
                <w:p>
                  <w:pPr>
                    <w:pStyle w:val="45"/>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22.0</w:t>
                  </w:r>
                </w:p>
              </w:tc>
              <w:tc>
                <w:tcPr>
                  <w:tcW w:w="475"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757" w:type="pct"/>
                  <w:tcBorders>
                    <w:top w:val="single" w:color="auto" w:sz="12" w:space="0"/>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丝网过滤+动态拦截+活性炭吸附装置装置失效</w:t>
                  </w:r>
                </w:p>
              </w:tc>
              <w:tc>
                <w:tcPr>
                  <w:tcW w:w="405"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115" w:type="pct"/>
                  <w:tcBorders>
                    <w:top w:val="single" w:color="auto" w:sz="12" w:space="0"/>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DA012</w:t>
                  </w:r>
                </w:p>
              </w:tc>
              <w:tc>
                <w:tcPr>
                  <w:tcW w:w="804" w:type="pct"/>
                  <w:tcBorders>
                    <w:top w:val="single" w:color="auto" w:sz="12" w:space="0"/>
                    <w:bottom w:val="single" w:color="auto" w:sz="12" w:space="0"/>
                    <w:tl2br w:val="nil"/>
                    <w:tr2bl w:val="nil"/>
                  </w:tcBorders>
                  <w:vAlign w:val="center"/>
                </w:tcPr>
                <w:p>
                  <w:pPr>
                    <w:pStyle w:val="45"/>
                    <w:rPr>
                      <w:rFonts w:hint="default" w:ascii="Times New Roman" w:hAnsi="Times New Roman" w:cs="Times New Roman"/>
                      <w:color w:val="000000" w:themeColor="text1"/>
                      <w:lang w:eastAsia="zh-CN"/>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非甲烷总烃</w:t>
                  </w:r>
                </w:p>
              </w:tc>
              <w:tc>
                <w:tcPr>
                  <w:tcW w:w="703" w:type="pct"/>
                  <w:tcBorders>
                    <w:top w:val="single" w:color="auto" w:sz="12" w:space="0"/>
                    <w:bottom w:val="single" w:color="auto" w:sz="12" w:space="0"/>
                    <w:tl2br w:val="nil"/>
                    <w:tr2bl w:val="nil"/>
                  </w:tcBorders>
                  <w:vAlign w:val="center"/>
                </w:tcPr>
                <w:p>
                  <w:pPr>
                    <w:pStyle w:val="45"/>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3.00</w:t>
                  </w:r>
                </w:p>
              </w:tc>
              <w:tc>
                <w:tcPr>
                  <w:tcW w:w="738" w:type="pct"/>
                  <w:tcBorders>
                    <w:top w:val="single" w:color="auto" w:sz="12" w:space="0"/>
                    <w:bottom w:val="single" w:color="auto" w:sz="12" w:space="0"/>
                    <w:tl2br w:val="nil"/>
                    <w:tr2bl w:val="nil"/>
                  </w:tcBorders>
                  <w:vAlign w:val="center"/>
                </w:tcPr>
                <w:p>
                  <w:pPr>
                    <w:pStyle w:val="45"/>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21.43</w:t>
                  </w:r>
                </w:p>
              </w:tc>
              <w:tc>
                <w:tcPr>
                  <w:tcW w:w="475" w:type="pct"/>
                  <w:vMerge w:val="continue"/>
                  <w:tcBorders>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757" w:type="pct"/>
                  <w:tcBorders>
                    <w:top w:val="single" w:color="auto" w:sz="12" w:space="0"/>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活性炭吸附脱附+蓄热催化燃烧</w:t>
                  </w:r>
                  <w:r>
                    <w:rPr>
                      <w:rFonts w:hint="eastAsia" w:cs="Times New Roman"/>
                      <w:color w:val="000000" w:themeColor="text1"/>
                      <w:lang w:val="en-US" w:eastAsia="zh-CN"/>
                      <w14:textFill>
                        <w14:solidFill>
                          <w14:schemeClr w14:val="tx1"/>
                        </w14:solidFill>
                      </w14:textFill>
                    </w:rPr>
                    <w:t>失效</w:t>
                  </w:r>
                </w:p>
              </w:tc>
              <w:tc>
                <w:tcPr>
                  <w:tcW w:w="405" w:type="pct"/>
                  <w:vMerge w:val="continue"/>
                  <w:tcBorders>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r>
          </w:tbl>
          <w:p>
            <w:pPr>
              <w:autoSpaceDE w:val="0"/>
              <w:autoSpaceDN w:val="0"/>
              <w:adjustRightInd w:val="0"/>
              <w:spacing w:line="360" w:lineRule="auto"/>
              <w:ind w:firstLine="480" w:firstLineChars="200"/>
              <w:jc w:val="both"/>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对于DA00</w:t>
            </w:r>
            <w:r>
              <w:rPr>
                <w:rFonts w:hint="eastAsia" w:cs="Times New Roman"/>
                <w:b w:val="0"/>
                <w:bCs w:val="0"/>
                <w:color w:val="000000" w:themeColor="text1"/>
                <w:sz w:val="24"/>
                <w:lang w:val="en-US" w:eastAsia="zh-CN"/>
                <w14:textFill>
                  <w14:solidFill>
                    <w14:schemeClr w14:val="tx1"/>
                  </w14:solidFill>
                </w14:textFill>
              </w:rPr>
              <w:t>7</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非正常工况超标应对措施：①优化生产调度管理，尽量减少生产线非必要启停、频繁工况调整，集中安排设备检修、工况调试工作，规避零散、高频次非正常工况产生，最大限度降低非正常超标排放发生频次。②生产线开机前提前5-10分钟启动DA00</w:t>
            </w:r>
            <w:r>
              <w:rPr>
                <w:rFonts w:hint="eastAsia" w:cs="Times New Roman"/>
                <w:b w:val="0"/>
                <w:bCs w:val="0"/>
                <w:color w:val="000000" w:themeColor="text1"/>
                <w:sz w:val="24"/>
                <w:lang w:val="en-US" w:eastAsia="zh-CN"/>
                <w14:textFill>
                  <w14:solidFill>
                    <w14:schemeClr w14:val="tx1"/>
                  </w14:solidFill>
                </w14:textFill>
              </w:rPr>
              <w:t>7</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配套除尘设施，待除尘系统风量、风压、过滤效率达到稳定标准后，再启动生产设备；生产线停机后，除尘设施延时运行15分钟以上，彻底收集管道及设备内残留粉尘，杜绝工况切换阶段除尘效能不足问题。</w:t>
            </w:r>
          </w:p>
          <w:p>
            <w:pPr>
              <w:pStyle w:val="8"/>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 xml:space="preserve"> 监测计划</w:t>
            </w:r>
          </w:p>
          <w:p>
            <w:pPr>
              <w:pStyle w:val="27"/>
              <w:ind w:firstLine="48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根据《排污单位自行监测技术指南 总则》</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HJ</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819-2017</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、根据《排污许可证申请与核发技术规范工业炉窑》</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HJ</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1121-2020</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、《排污许可证申请与核发技术规范橡胶和塑料制品工业》</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HJ</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1122-2020</w:t>
            </w:r>
            <w:r>
              <w:rPr>
                <w:rFonts w:hint="eastAsia"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相关要求制定监测计划，如下表所示。</w:t>
            </w:r>
          </w:p>
          <w:p>
            <w:pPr>
              <w:pStyle w:val="44"/>
              <w:spacing w:line="240" w:lineRule="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表4-</w:t>
            </w:r>
            <w:r>
              <w:rPr>
                <w:rFonts w:hint="eastAsia" w:cs="Times New Roman"/>
                <w:color w:val="000000" w:themeColor="text1"/>
                <w:sz w:val="21"/>
                <w:szCs w:val="21"/>
                <w:lang w:val="en-US" w:eastAsia="zh-CN"/>
                <w14:textFill>
                  <w14:solidFill>
                    <w14:schemeClr w14:val="tx1"/>
                  </w14:solidFill>
                </w14:textFill>
              </w:rPr>
              <w:t>7</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default" w:ascii="Times New Roman" w:hAnsi="Times New Roman"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14:textFill>
                  <w14:solidFill>
                    <w14:schemeClr w14:val="tx1"/>
                  </w14:solidFill>
                </w14:textFill>
              </w:rPr>
              <w:t>废气监测内容及计划</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767"/>
              <w:gridCol w:w="2225"/>
              <w:gridCol w:w="210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124" w:type="pct"/>
                  <w:tcBorders>
                    <w:bottom w:val="single" w:color="auto" w:sz="12" w:space="0"/>
                  </w:tcBorders>
                  <w:vAlign w:val="center"/>
                </w:tcPr>
                <w:p>
                  <w:pPr>
                    <w:pStyle w:val="45"/>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类别</w:t>
                  </w:r>
                </w:p>
              </w:tc>
              <w:tc>
                <w:tcPr>
                  <w:tcW w:w="1123" w:type="pct"/>
                  <w:tcBorders>
                    <w:bottom w:val="single" w:color="auto" w:sz="12" w:space="0"/>
                  </w:tcBorders>
                  <w:vAlign w:val="center"/>
                </w:tcPr>
                <w:p>
                  <w:pPr>
                    <w:pStyle w:val="4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监测位置</w:t>
                  </w:r>
                </w:p>
              </w:tc>
              <w:tc>
                <w:tcPr>
                  <w:tcW w:w="1414" w:type="pct"/>
                  <w:tcBorders>
                    <w:bottom w:val="single" w:color="auto" w:sz="12" w:space="0"/>
                  </w:tcBorders>
                  <w:vAlign w:val="center"/>
                </w:tcPr>
                <w:p>
                  <w:pPr>
                    <w:pStyle w:val="4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监测指标</w:t>
                  </w:r>
                </w:p>
              </w:tc>
              <w:tc>
                <w:tcPr>
                  <w:tcW w:w="1337" w:type="pct"/>
                  <w:tcBorders>
                    <w:bottom w:val="single" w:color="auto" w:sz="12" w:space="0"/>
                  </w:tcBorders>
                  <w:vAlign w:val="center"/>
                </w:tcPr>
                <w:p>
                  <w:pPr>
                    <w:pStyle w:val="4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124" w:type="pct"/>
                  <w:vMerge w:val="restart"/>
                  <w:tcBorders>
                    <w:top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有组织废气</w:t>
                  </w:r>
                </w:p>
              </w:tc>
              <w:tc>
                <w:tcPr>
                  <w:tcW w:w="1123"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DA007</w:t>
                  </w:r>
                </w:p>
              </w:tc>
              <w:tc>
                <w:tcPr>
                  <w:tcW w:w="1414"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颗粒物、二氧化硫、氮氧化物、林格曼黑度</w:t>
                  </w:r>
                </w:p>
              </w:tc>
              <w:tc>
                <w:tcPr>
                  <w:tcW w:w="1337" w:type="pct"/>
                  <w:tcBorders>
                    <w:top w:val="single" w:color="auto" w:sz="12" w:space="0"/>
                    <w:bottom w:val="single" w:color="auto" w:sz="12" w:space="0"/>
                    <w:tl2br w:val="nil"/>
                    <w:tr2bl w:val="nil"/>
                  </w:tcBorders>
                  <w:shd w:val="clear" w:color="auto" w:fill="auto"/>
                  <w:vAlign w:val="center"/>
                </w:tcPr>
                <w:p>
                  <w:pPr>
                    <w:pStyle w:val="45"/>
                    <w:rPr>
                      <w:rFonts w:hint="eastAsia"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1次/</w:t>
                  </w:r>
                  <w:r>
                    <w:rPr>
                      <w:rFonts w:hint="eastAsia" w:cs="Times New Roman"/>
                      <w:b w:val="0"/>
                      <w:bCs w:val="0"/>
                      <w:color w:val="000000" w:themeColor="text1"/>
                      <w:sz w:val="21"/>
                      <w:szCs w:val="21"/>
                      <w:lang w:val="en-US" w:eastAsia="zh-CN"/>
                      <w14:textFill>
                        <w14:solidFill>
                          <w14:schemeClr w14:val="tx1"/>
                        </w14:solidFill>
                      </w14:textFill>
                    </w:rPr>
                    <w:t>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124" w:type="pct"/>
                  <w:vMerge w:val="continue"/>
                  <w:tcBorders>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1123"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DA008</w:t>
                  </w:r>
                </w:p>
              </w:tc>
              <w:tc>
                <w:tcPr>
                  <w:tcW w:w="1414" w:type="pct"/>
                  <w:tcBorders>
                    <w:top w:val="single" w:color="auto" w:sz="12" w:space="0"/>
                    <w:bottom w:val="single" w:color="auto" w:sz="12" w:space="0"/>
                    <w:tl2br w:val="nil"/>
                    <w:tr2bl w:val="nil"/>
                  </w:tcBorders>
                  <w:shd w:val="clear" w:color="auto" w:fill="auto"/>
                  <w:vAlign w:val="center"/>
                </w:tcPr>
                <w:p>
                  <w:pPr>
                    <w:jc w:val="center"/>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非甲烷总烃</w:t>
                  </w:r>
                </w:p>
              </w:tc>
              <w:tc>
                <w:tcPr>
                  <w:tcW w:w="1337"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1次/</w:t>
                  </w:r>
                  <w:r>
                    <w:rPr>
                      <w:rFonts w:hint="eastAsia" w:cs="Times New Roman"/>
                      <w:b w:val="0"/>
                      <w:bCs w:val="0"/>
                      <w:color w:val="000000" w:themeColor="text1"/>
                      <w:sz w:val="21"/>
                      <w:szCs w:val="21"/>
                      <w:lang w:val="en-US" w:eastAsia="zh-CN"/>
                      <w14:textFill>
                        <w14:solidFill>
                          <w14:schemeClr w14:val="tx1"/>
                        </w14:solidFill>
                      </w14:textFill>
                    </w:rPr>
                    <w:t>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124" w:type="pct"/>
                  <w:vMerge w:val="continue"/>
                  <w:tcBorders>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1123" w:type="pct"/>
                  <w:tcBorders>
                    <w:top w:val="single" w:color="auto" w:sz="12" w:space="0"/>
                    <w:bottom w:val="single" w:color="auto" w:sz="12" w:space="0"/>
                    <w:tl2br w:val="nil"/>
                    <w:tr2bl w:val="nil"/>
                  </w:tcBorders>
                  <w:shd w:val="clear" w:color="auto" w:fill="auto"/>
                  <w:vAlign w:val="center"/>
                </w:tcPr>
                <w:p>
                  <w:pPr>
                    <w:pStyle w:val="45"/>
                    <w:rPr>
                      <w:rFonts w:hint="default"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DA012</w:t>
                  </w:r>
                </w:p>
              </w:tc>
              <w:tc>
                <w:tcPr>
                  <w:tcW w:w="1414" w:type="pct"/>
                  <w:tcBorders>
                    <w:top w:val="single" w:color="auto" w:sz="12" w:space="0"/>
                    <w:bottom w:val="single" w:color="auto" w:sz="12" w:space="0"/>
                    <w:tl2br w:val="nil"/>
                    <w:tr2bl w:val="nil"/>
                  </w:tcBorders>
                  <w:shd w:val="clear" w:color="auto" w:fill="auto"/>
                  <w:vAlign w:val="center"/>
                </w:tcPr>
                <w:p>
                  <w:pPr>
                    <w:jc w:val="center"/>
                    <w:rPr>
                      <w:rFonts w:hint="eastAsia" w:cs="Times New Roman"/>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0"/>
                      <w:sz w:val="21"/>
                      <w:szCs w:val="21"/>
                      <w:vertAlign w:val="baseline"/>
                      <w:lang w:val="en-US" w:eastAsia="zh-CN" w:bidi="ar-SA"/>
                      <w14:textFill>
                        <w14:solidFill>
                          <w14:schemeClr w14:val="tx1"/>
                        </w14:solidFill>
                      </w14:textFill>
                    </w:rPr>
                    <w:t>非甲烷总烃</w:t>
                  </w:r>
                </w:p>
              </w:tc>
              <w:tc>
                <w:tcPr>
                  <w:tcW w:w="1337"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1次/</w:t>
                  </w:r>
                  <w:r>
                    <w:rPr>
                      <w:rFonts w:hint="eastAsia" w:cs="Times New Roman"/>
                      <w:b w:val="0"/>
                      <w:bCs w:val="0"/>
                      <w:color w:val="000000" w:themeColor="text1"/>
                      <w:sz w:val="21"/>
                      <w:szCs w:val="21"/>
                      <w:lang w:val="en-US" w:eastAsia="zh-CN"/>
                      <w14:textFill>
                        <w14:solidFill>
                          <w14:schemeClr w14:val="tx1"/>
                        </w14:solidFill>
                      </w14:textFill>
                    </w:rPr>
                    <w:t>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124" w:type="pct"/>
                  <w:vMerge w:val="restart"/>
                  <w:tcBorders>
                    <w:top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无组织废气</w:t>
                  </w:r>
                </w:p>
              </w:tc>
              <w:tc>
                <w:tcPr>
                  <w:tcW w:w="1123"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厂界四周</w:t>
                  </w:r>
                </w:p>
              </w:tc>
              <w:tc>
                <w:tcPr>
                  <w:tcW w:w="1414" w:type="pct"/>
                  <w:tcBorders>
                    <w:top w:val="single" w:color="auto" w:sz="12" w:space="0"/>
                    <w:bottom w:val="single" w:color="auto" w:sz="12" w:space="0"/>
                    <w:tl2br w:val="nil"/>
                    <w:tr2bl w:val="nil"/>
                  </w:tcBorders>
                  <w:shd w:val="clear" w:color="auto" w:fill="auto"/>
                  <w:vAlign w:val="center"/>
                </w:tcPr>
                <w:p>
                  <w:pPr>
                    <w:pStyle w:val="45"/>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颗粒物、非甲烷总烃</w:t>
                  </w:r>
                </w:p>
              </w:tc>
              <w:tc>
                <w:tcPr>
                  <w:tcW w:w="1337"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1次</w:t>
                  </w:r>
                  <w:r>
                    <w:rPr>
                      <w:rFonts w:hint="eastAsia" w:cs="Times New Roman"/>
                      <w:b w:val="0"/>
                      <w:bCs w:val="0"/>
                      <w:color w:val="000000" w:themeColor="text1"/>
                      <w:sz w:val="21"/>
                      <w:szCs w:val="21"/>
                      <w:lang w:val="en-US" w:eastAsia="zh-CN"/>
                      <w14:textFill>
                        <w14:solidFill>
                          <w14:schemeClr w14:val="tx1"/>
                        </w14:solidFill>
                      </w14:textFill>
                    </w:rPr>
                    <w:t>半</w:t>
                  </w:r>
                  <w:r>
                    <w:rPr>
                      <w:rFonts w:hint="default" w:ascii="Times New Roman" w:hAnsi="Times New Roman" w:cs="Times New Roman"/>
                      <w:b w:val="0"/>
                      <w:bCs w:val="0"/>
                      <w:color w:val="000000" w:themeColor="text1"/>
                      <w:sz w:val="21"/>
                      <w:szCs w:val="21"/>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124" w:type="pct"/>
                  <w:vMerge w:val="continue"/>
                  <w:tcBorders>
                    <w:bottom w:val="single" w:color="auto" w:sz="12" w:space="0"/>
                    <w:tl2br w:val="nil"/>
                    <w:tr2bl w:val="nil"/>
                  </w:tcBorders>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p>
              </w:tc>
              <w:tc>
                <w:tcPr>
                  <w:tcW w:w="1123"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厂区内</w:t>
                  </w:r>
                </w:p>
              </w:tc>
              <w:tc>
                <w:tcPr>
                  <w:tcW w:w="1414"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kern w:val="2"/>
                      <w:sz w:val="21"/>
                      <w:szCs w:val="24"/>
                      <w:lang w:val="en-US" w:eastAsia="zh-CN" w:bidi="ar-SA"/>
                      <w14:textFill>
                        <w14:solidFill>
                          <w14:schemeClr w14:val="tx1"/>
                        </w14:solidFill>
                      </w14:textFill>
                    </w:rPr>
                    <w:t>非甲烷总烃、颗粒物</w:t>
                  </w:r>
                </w:p>
              </w:tc>
              <w:tc>
                <w:tcPr>
                  <w:tcW w:w="1337" w:type="pct"/>
                  <w:tcBorders>
                    <w:top w:val="single" w:color="auto" w:sz="12" w:space="0"/>
                    <w:bottom w:val="single" w:color="auto" w:sz="12" w:space="0"/>
                    <w:tl2br w:val="nil"/>
                    <w:tr2bl w:val="nil"/>
                  </w:tcBorders>
                  <w:shd w:val="clear" w:color="auto" w:fill="auto"/>
                  <w:vAlign w:val="center"/>
                </w:tcPr>
                <w:p>
                  <w:pPr>
                    <w:pStyle w:val="45"/>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1次/</w:t>
                  </w:r>
                  <w:r>
                    <w:rPr>
                      <w:rFonts w:hint="eastAsia" w:cs="Times New Roman"/>
                      <w:b w:val="0"/>
                      <w:bCs w:val="0"/>
                      <w:color w:val="000000" w:themeColor="text1"/>
                      <w:sz w:val="21"/>
                      <w:szCs w:val="21"/>
                      <w:lang w:val="en-US" w:eastAsia="zh-CN"/>
                      <w14:textFill>
                        <w14:solidFill>
                          <w14:schemeClr w14:val="tx1"/>
                        </w14:solidFill>
                      </w14:textFill>
                    </w:rPr>
                    <w:t>半年</w:t>
                  </w:r>
                </w:p>
              </w:tc>
            </w:tr>
          </w:tbl>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废水环境影响和保护措施</w:t>
            </w:r>
          </w:p>
          <w:p>
            <w:pPr>
              <w:keepNext w:val="0"/>
              <w:keepLines w:val="0"/>
              <w:widowControl/>
              <w:suppressLineNumbers w:val="0"/>
              <w:jc w:val="left"/>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2.1 废水产生、处置及排放情况</w:t>
            </w:r>
          </w:p>
          <w:p>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cs="Times New Roman"/>
                <w:b w:val="0"/>
                <w:bCs/>
                <w:color w:val="000000" w:themeColor="text1"/>
                <w:szCs w:val="21"/>
                <w:lang w:val="en-US" w:eastAsia="zh-CN"/>
                <w14:textFill>
                  <w14:solidFill>
                    <w14:schemeClr w14:val="tx1"/>
                  </w14:solidFill>
                </w14:textFill>
              </w:rPr>
            </w:pPr>
            <w:r>
              <w:rPr>
                <w:rFonts w:hint="eastAsia" w:cs="Times New Roman"/>
                <w:b w:val="0"/>
                <w:bCs/>
                <w:color w:val="000000" w:themeColor="text1"/>
                <w:szCs w:val="21"/>
                <w:lang w:val="en-US" w:eastAsia="zh-CN"/>
                <w14:textFill>
                  <w14:solidFill>
                    <w14:schemeClr w14:val="tx1"/>
                  </w14:solidFill>
                </w14:textFill>
              </w:rPr>
              <w:t>本项目冷却水循环水循环使用，运营期废水主要为生活污水。</w:t>
            </w:r>
          </w:p>
          <w:p>
            <w:pPr>
              <w:autoSpaceDE w:val="0"/>
              <w:autoSpaceDN w:val="0"/>
              <w:adjustRightInd w:val="0"/>
              <w:spacing w:line="360" w:lineRule="auto"/>
              <w:ind w:firstLine="480" w:firstLineChars="200"/>
              <w:jc w:val="left"/>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Cs w:val="21"/>
                <w:lang w:val="en-US" w:eastAsia="zh-CN"/>
                <w14:textFill>
                  <w14:solidFill>
                    <w14:schemeClr w14:val="tx1"/>
                  </w14:solidFill>
                </w14:textFill>
              </w:rPr>
              <w:t>本</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项目生活用水量为</w:t>
            </w:r>
            <w:r>
              <w:rPr>
                <w:rFonts w:hint="eastAsia" w:cs="Times New Roman"/>
                <w:b w:val="0"/>
                <w:bCs w:val="0"/>
                <w:color w:val="000000" w:themeColor="text1"/>
                <w:szCs w:val="21"/>
                <w:lang w:val="en-US" w:eastAsia="zh-CN"/>
                <w14:textFill>
                  <w14:solidFill>
                    <w14:schemeClr w14:val="tx1"/>
                  </w14:solidFill>
                </w14:textFill>
              </w:rPr>
              <w:t>7.05</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Cs w:val="21"/>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w:t>
            </w:r>
            <w:r>
              <w:rPr>
                <w:rFonts w:hint="eastAsia" w:cs="Times New Roman"/>
                <w:b w:val="0"/>
                <w:bCs w:val="0"/>
                <w:color w:val="000000" w:themeColor="text1"/>
                <w:szCs w:val="21"/>
                <w:lang w:val="en-US" w:eastAsia="zh-CN"/>
                <w14:textFill>
                  <w14:solidFill>
                    <w14:schemeClr w14:val="tx1"/>
                  </w14:solidFill>
                </w14:textFill>
              </w:rPr>
              <w:t>2115</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Cs w:val="21"/>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/a）</w:t>
            </w:r>
            <w:r>
              <w:rPr>
                <w:rFonts w:hint="eastAsia" w:cs="Times New Roman"/>
                <w:b w:val="0"/>
                <w:bCs w:val="0"/>
                <w:color w:val="000000" w:themeColor="text1"/>
                <w:szCs w:val="21"/>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排水量按用水量的80%计，则生活污水排放量为</w:t>
            </w:r>
            <w:r>
              <w:rPr>
                <w:rFonts w:hint="eastAsia" w:cs="Times New Roman"/>
                <w:b w:val="0"/>
                <w:bCs w:val="0"/>
                <w:color w:val="000000" w:themeColor="text1"/>
                <w:szCs w:val="21"/>
                <w:lang w:val="en-US" w:eastAsia="zh-CN"/>
                <w14:textFill>
                  <w14:solidFill>
                    <w14:schemeClr w14:val="tx1"/>
                  </w14:solidFill>
                </w14:textFill>
              </w:rPr>
              <w:t>5.64</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Cs w:val="21"/>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Cs w:val="21"/>
                <w:lang w:val="en-US" w:eastAsia="zh-CN"/>
                <w14:textFill>
                  <w14:solidFill>
                    <w14:schemeClr w14:val="tx1"/>
                  </w14:solidFill>
                </w14:textFill>
              </w:rPr>
              <w:t>/d</w:t>
            </w:r>
            <w:r>
              <w:rPr>
                <w:rFonts w:hint="eastAsia" w:ascii="Times New Roman" w:hAnsi="Times New Roman" w:cs="Times New Roman"/>
                <w:b w:val="0"/>
                <w:bCs w:val="0"/>
                <w:color w:val="000000" w:themeColor="text1"/>
                <w:szCs w:val="21"/>
                <w:lang w:val="en-US" w:eastAsia="zh-CN"/>
                <w14:textFill>
                  <w14:solidFill>
                    <w14:schemeClr w14:val="tx1"/>
                  </w14:solidFill>
                </w14:textFill>
              </w:rPr>
              <w:t>（</w:t>
            </w:r>
            <w:r>
              <w:rPr>
                <w:rFonts w:hint="eastAsia" w:cs="Times New Roman"/>
                <w:b w:val="0"/>
                <w:bCs w:val="0"/>
                <w:color w:val="000000" w:themeColor="text1"/>
                <w:szCs w:val="21"/>
                <w:lang w:val="en-US" w:eastAsia="zh-CN"/>
                <w14:textFill>
                  <w14:solidFill>
                    <w14:schemeClr w14:val="tx1"/>
                  </w14:solidFill>
                </w14:textFill>
              </w:rPr>
              <w:t>1692m</w:t>
            </w:r>
            <w:r>
              <w:rPr>
                <w:rFonts w:hint="eastAsia" w:cs="Times New Roman"/>
                <w:b w:val="0"/>
                <w:bCs w:val="0"/>
                <w:color w:val="000000" w:themeColor="text1"/>
                <w:szCs w:val="21"/>
                <w:vertAlign w:val="superscript"/>
                <w:lang w:val="en-US" w:eastAsia="zh-CN"/>
                <w14:textFill>
                  <w14:solidFill>
                    <w14:schemeClr w14:val="tx1"/>
                  </w14:solidFill>
                </w14:textFill>
              </w:rPr>
              <w:t>3</w:t>
            </w:r>
            <w:r>
              <w:rPr>
                <w:rFonts w:hint="eastAsia" w:cs="Times New Roman"/>
                <w:b w:val="0"/>
                <w:bCs w:val="0"/>
                <w:color w:val="000000" w:themeColor="text1"/>
                <w:szCs w:val="21"/>
                <w:lang w:val="en-US" w:eastAsia="zh-CN"/>
                <w14:textFill>
                  <w14:solidFill>
                    <w14:schemeClr w14:val="tx1"/>
                  </w14:solidFill>
                </w14:textFill>
              </w:rPr>
              <w:t>/a</w:t>
            </w:r>
            <w:r>
              <w:rPr>
                <w:rFonts w:hint="eastAsia" w:ascii="Times New Roman" w:hAnsi="Times New Roman" w:cs="Times New Roman"/>
                <w:b w:val="0"/>
                <w:bCs w:val="0"/>
                <w:color w:val="000000" w:themeColor="text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Cs w:val="21"/>
                <w:lang w:val="en-US" w:eastAsia="zh-CN"/>
                <w14:textFill>
                  <w14:solidFill>
                    <w14:schemeClr w14:val="tx1"/>
                  </w14:solidFill>
                </w14:textFill>
              </w:rPr>
              <w:t>，生活污水排入园区污水管网，最终进入昌吉高新海天污水处理厂处理</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w:t>
            </w:r>
          </w:p>
          <w:p>
            <w:pPr>
              <w:pStyle w:val="44"/>
              <w:spacing w:line="240" w:lineRule="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表4-</w:t>
            </w:r>
            <w:r>
              <w:rPr>
                <w:rFonts w:hint="eastAsia" w:cs="Times New Roman"/>
                <w:color w:val="000000" w:themeColor="text1"/>
                <w:sz w:val="21"/>
                <w:szCs w:val="21"/>
                <w:lang w:val="en-US" w:eastAsia="zh-CN"/>
                <w14:textFill>
                  <w14:solidFill>
                    <w14:schemeClr w14:val="tx1"/>
                  </w14:solidFill>
                </w14:textFill>
              </w:rPr>
              <w:t>8</w:t>
            </w:r>
            <w:r>
              <w:rPr>
                <w:rFonts w:hint="default" w:ascii="Times New Roman" w:hAnsi="Times New Roman" w:cs="Times New Roman"/>
                <w:color w:val="000000" w:themeColor="text1"/>
                <w:sz w:val="21"/>
                <w:szCs w:val="21"/>
                <w14:textFill>
                  <w14:solidFill>
                    <w14:schemeClr w14:val="tx1"/>
                  </w14:solidFill>
                </w14:textFill>
              </w:rPr>
              <w:t xml:space="preserve">   废水</w:t>
            </w:r>
            <w:r>
              <w:rPr>
                <w:rFonts w:hint="default" w:ascii="Times New Roman" w:hAnsi="Times New Roman" w:cs="Times New Roman"/>
                <w:color w:val="000000" w:themeColor="text1"/>
                <w:sz w:val="21"/>
                <w:szCs w:val="21"/>
                <w:lang w:val="en-US" w:eastAsia="zh-CN"/>
                <w14:textFill>
                  <w14:solidFill>
                    <w14:schemeClr w14:val="tx1"/>
                  </w14:solidFill>
                </w14:textFill>
              </w:rPr>
              <w:t>排放情况一览</w:t>
            </w:r>
            <w:r>
              <w:rPr>
                <w:rFonts w:hint="default" w:ascii="Times New Roman" w:hAnsi="Times New Roman" w:cs="Times New Roman"/>
                <w:color w:val="000000" w:themeColor="text1"/>
                <w:sz w:val="21"/>
                <w:szCs w:val="21"/>
                <w14:textFill>
                  <w14:solidFill>
                    <w14:schemeClr w14:val="tx1"/>
                  </w14:solidFill>
                </w14:textFill>
              </w:rPr>
              <w:t>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04"/>
              <w:gridCol w:w="1560"/>
              <w:gridCol w:w="1107"/>
              <w:gridCol w:w="1022"/>
              <w:gridCol w:w="1018"/>
              <w:gridCol w:w="1031"/>
              <w:gridCol w:w="102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702" w:type="pct"/>
                  <w:tcBorders>
                    <w:bottom w:val="single" w:color="auto" w:sz="12" w:space="0"/>
                  </w:tcBorders>
                  <w:vAlign w:val="center"/>
                </w:tcPr>
                <w:p>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名称</w:t>
                  </w:r>
                </w:p>
              </w:tc>
              <w:tc>
                <w:tcPr>
                  <w:tcW w:w="991" w:type="pct"/>
                  <w:tcBorders>
                    <w:bottom w:val="single" w:color="auto" w:sz="12" w:space="0"/>
                  </w:tcBorders>
                  <w:vAlign w:val="center"/>
                </w:tcPr>
                <w:p>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主要污染物</w:t>
                  </w:r>
                </w:p>
              </w:tc>
              <w:tc>
                <w:tcPr>
                  <w:tcW w:w="703" w:type="pct"/>
                  <w:tcBorders>
                    <w:bottom w:val="single" w:color="auto" w:sz="12" w:space="0"/>
                  </w:tcBorders>
                  <w:vAlign w:val="center"/>
                </w:tcPr>
                <w:p>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排水量</w:t>
                  </w:r>
                </w:p>
              </w:tc>
              <w:tc>
                <w:tcPr>
                  <w:tcW w:w="649" w:type="pct"/>
                  <w:tcBorders>
                    <w:bottom w:val="single" w:color="auto" w:sz="12" w:space="0"/>
                  </w:tcBorders>
                  <w:vAlign w:val="center"/>
                </w:tcPr>
                <w:p>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CODcr</w:t>
                  </w:r>
                </w:p>
              </w:tc>
              <w:tc>
                <w:tcPr>
                  <w:tcW w:w="647" w:type="pct"/>
                  <w:tcBorders>
                    <w:bottom w:val="single" w:color="auto" w:sz="12" w:space="0"/>
                  </w:tcBorders>
                  <w:vAlign w:val="center"/>
                </w:tcPr>
                <w:p>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BOD</w:t>
                  </w:r>
                  <w:r>
                    <w:rPr>
                      <w:rFonts w:hint="default" w:ascii="Times New Roman" w:hAnsi="Times New Roman" w:cs="Times New Roman"/>
                      <w:b/>
                      <w:bCs w:val="0"/>
                      <w:color w:val="000000" w:themeColor="text1"/>
                      <w:sz w:val="21"/>
                      <w:szCs w:val="21"/>
                      <w:vertAlign w:val="subscript"/>
                      <w14:textFill>
                        <w14:solidFill>
                          <w14:schemeClr w14:val="tx1"/>
                        </w14:solidFill>
                      </w14:textFill>
                    </w:rPr>
                    <w:t>5</w:t>
                  </w:r>
                </w:p>
              </w:tc>
              <w:tc>
                <w:tcPr>
                  <w:tcW w:w="655" w:type="pct"/>
                  <w:tcBorders>
                    <w:bottom w:val="single" w:color="auto" w:sz="12" w:space="0"/>
                  </w:tcBorders>
                  <w:vAlign w:val="center"/>
                </w:tcPr>
                <w:p>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SS</w:t>
                  </w:r>
                </w:p>
              </w:tc>
              <w:tc>
                <w:tcPr>
                  <w:tcW w:w="650" w:type="pct"/>
                  <w:tcBorders>
                    <w:bottom w:val="single" w:color="auto" w:sz="12" w:space="0"/>
                  </w:tcBorders>
                  <w:vAlign w:val="center"/>
                </w:tcPr>
                <w:p>
                  <w:pPr>
                    <w:jc w:val="center"/>
                    <w:rPr>
                      <w:rFonts w:hint="default" w:ascii="Times New Roman" w:hAnsi="Times New Roman" w:cs="Times New Roman"/>
                      <w:b/>
                      <w:bCs w:val="0"/>
                      <w:color w:val="000000" w:themeColor="text1"/>
                      <w:sz w:val="21"/>
                      <w:szCs w:val="21"/>
                      <w14:textFill>
                        <w14:solidFill>
                          <w14:schemeClr w14:val="tx1"/>
                        </w14:solidFill>
                      </w14:textFill>
                    </w:rPr>
                  </w:pPr>
                  <w:r>
                    <w:rPr>
                      <w:rFonts w:hint="default" w:ascii="Times New Roman" w:hAnsi="Times New Roman" w:cs="Times New Roman"/>
                      <w:b/>
                      <w:bCs w:val="0"/>
                      <w:color w:val="000000" w:themeColor="text1"/>
                      <w:sz w:val="21"/>
                      <w:szCs w:val="21"/>
                      <w14:textFill>
                        <w14:solidFill>
                          <w14:schemeClr w14:val="tx1"/>
                        </w14:solidFill>
                      </w14:textFill>
                    </w:rPr>
                    <w:t>NH</w:t>
                  </w:r>
                  <w:r>
                    <w:rPr>
                      <w:rFonts w:hint="default" w:ascii="Times New Roman" w:hAnsi="Times New Roman" w:cs="Times New Roman"/>
                      <w:b/>
                      <w:bCs w:val="0"/>
                      <w:color w:val="000000" w:themeColor="text1"/>
                      <w:sz w:val="21"/>
                      <w:szCs w:val="21"/>
                      <w:vertAlign w:val="subscript"/>
                      <w14:textFill>
                        <w14:solidFill>
                          <w14:schemeClr w14:val="tx1"/>
                        </w14:solidFill>
                      </w14:textFill>
                    </w:rPr>
                    <w:t>3</w:t>
                  </w:r>
                  <w:r>
                    <w:rPr>
                      <w:rFonts w:hint="default" w:ascii="Times New Roman" w:hAnsi="Times New Roman" w:cs="Times New Roman"/>
                      <w:b/>
                      <w:bCs w:val="0"/>
                      <w:color w:val="000000" w:themeColor="text1"/>
                      <w:sz w:val="21"/>
                      <w:szCs w:val="21"/>
                      <w14:textFill>
                        <w14:solidFill>
                          <w14:schemeClr w14:val="tx1"/>
                        </w14:solidFill>
                      </w14:textFill>
                    </w:rPr>
                    <w:t>-N</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2" w:hRule="exact"/>
                <w:jc w:val="center"/>
              </w:trPr>
              <w:tc>
                <w:tcPr>
                  <w:tcW w:w="702" w:type="pct"/>
                  <w:vMerge w:val="restart"/>
                  <w:tcBorders>
                    <w:top w:val="single" w:color="auto" w:sz="12" w:space="0"/>
                  </w:tcBorders>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生活</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污水</w:t>
                  </w:r>
                </w:p>
              </w:tc>
              <w:tc>
                <w:tcPr>
                  <w:tcW w:w="991" w:type="pct"/>
                  <w:tcBorders>
                    <w:top w:val="single" w:color="auto" w:sz="12" w:space="0"/>
                  </w:tcBorders>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浓度（mg/L）</w:t>
                  </w:r>
                </w:p>
              </w:tc>
              <w:tc>
                <w:tcPr>
                  <w:tcW w:w="703" w:type="pct"/>
                  <w:vMerge w:val="restart"/>
                  <w:tcBorders>
                    <w:top w:val="single" w:color="auto" w:sz="12" w:space="0"/>
                  </w:tcBorders>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1692m</w:t>
                  </w:r>
                  <w:r>
                    <w:rPr>
                      <w:rFonts w:hint="eastAsia" w:cs="Times New Roman"/>
                      <w:b w:val="0"/>
                      <w:bCs/>
                      <w:color w:val="000000" w:themeColor="text1"/>
                      <w:sz w:val="21"/>
                      <w:szCs w:val="21"/>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sz w:val="21"/>
                      <w:szCs w:val="21"/>
                      <w14:textFill>
                        <w14:solidFill>
                          <w14:schemeClr w14:val="tx1"/>
                        </w14:solidFill>
                      </w14:textFill>
                    </w:rPr>
                    <w:t>/a</w:t>
                  </w:r>
                </w:p>
              </w:tc>
              <w:tc>
                <w:tcPr>
                  <w:tcW w:w="649" w:type="pct"/>
                  <w:tcBorders>
                    <w:top w:val="single" w:color="auto" w:sz="12" w:space="0"/>
                  </w:tcBorders>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477</w:t>
                  </w:r>
                </w:p>
              </w:tc>
              <w:tc>
                <w:tcPr>
                  <w:tcW w:w="647" w:type="pct"/>
                  <w:tcBorders>
                    <w:top w:val="single" w:color="auto" w:sz="12" w:space="0"/>
                  </w:tcBorders>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238</w:t>
                  </w:r>
                </w:p>
              </w:tc>
              <w:tc>
                <w:tcPr>
                  <w:tcW w:w="655" w:type="pct"/>
                  <w:tcBorders>
                    <w:top w:val="single" w:color="auto" w:sz="12" w:space="0"/>
                  </w:tcBorders>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347</w:t>
                  </w:r>
                </w:p>
              </w:tc>
              <w:tc>
                <w:tcPr>
                  <w:tcW w:w="650" w:type="pct"/>
                  <w:tcBorders>
                    <w:top w:val="single" w:color="auto" w:sz="12" w:space="0"/>
                  </w:tcBorders>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43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702" w:type="pct"/>
                  <w:vMerge w:val="continue"/>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991" w:type="pct"/>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产生量（t/a）</w:t>
                  </w:r>
                </w:p>
              </w:tc>
              <w:tc>
                <w:tcPr>
                  <w:tcW w:w="703" w:type="pct"/>
                  <w:vMerge w:val="continue"/>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649" w:type="pct"/>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0.</w:t>
                  </w:r>
                  <w:r>
                    <w:rPr>
                      <w:rFonts w:hint="eastAsia" w:cs="Times New Roman"/>
                      <w:b w:val="0"/>
                      <w:bCs/>
                      <w:color w:val="000000" w:themeColor="text1"/>
                      <w:sz w:val="21"/>
                      <w:szCs w:val="21"/>
                      <w:lang w:val="en-US" w:eastAsia="zh-CN"/>
                      <w14:textFill>
                        <w14:solidFill>
                          <w14:schemeClr w14:val="tx1"/>
                        </w14:solidFill>
                      </w14:textFill>
                    </w:rPr>
                    <w:t>81</w:t>
                  </w:r>
                </w:p>
              </w:tc>
              <w:tc>
                <w:tcPr>
                  <w:tcW w:w="647" w:type="pct"/>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0.</w:t>
                  </w:r>
                  <w:r>
                    <w:rPr>
                      <w:rFonts w:hint="eastAsia" w:cs="Times New Roman"/>
                      <w:b w:val="0"/>
                      <w:bCs/>
                      <w:color w:val="000000" w:themeColor="text1"/>
                      <w:sz w:val="21"/>
                      <w:szCs w:val="21"/>
                      <w:lang w:val="en-US" w:eastAsia="zh-CN"/>
                      <w14:textFill>
                        <w14:solidFill>
                          <w14:schemeClr w14:val="tx1"/>
                        </w14:solidFill>
                      </w14:textFill>
                    </w:rPr>
                    <w:t>40</w:t>
                  </w:r>
                </w:p>
              </w:tc>
              <w:tc>
                <w:tcPr>
                  <w:tcW w:w="655" w:type="pct"/>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0.</w:t>
                  </w:r>
                  <w:r>
                    <w:rPr>
                      <w:rFonts w:hint="eastAsia" w:cs="Times New Roman"/>
                      <w:b w:val="0"/>
                      <w:bCs/>
                      <w:color w:val="000000" w:themeColor="text1"/>
                      <w:sz w:val="21"/>
                      <w:szCs w:val="21"/>
                      <w:lang w:val="en-US" w:eastAsia="zh-CN"/>
                      <w14:textFill>
                        <w14:solidFill>
                          <w14:schemeClr w14:val="tx1"/>
                        </w14:solidFill>
                      </w14:textFill>
                    </w:rPr>
                    <w:t>58</w:t>
                  </w:r>
                </w:p>
              </w:tc>
              <w:tc>
                <w:tcPr>
                  <w:tcW w:w="650" w:type="pct"/>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0.0</w:t>
                  </w:r>
                  <w:r>
                    <w:rPr>
                      <w:rFonts w:hint="eastAsia" w:cs="Times New Roman"/>
                      <w:b w:val="0"/>
                      <w:bCs/>
                      <w:color w:val="000000" w:themeColor="text1"/>
                      <w:sz w:val="21"/>
                      <w:szCs w:val="21"/>
                      <w:lang w:val="en-US" w:eastAsia="zh-CN"/>
                      <w14:textFill>
                        <w14:solidFill>
                          <w14:schemeClr w14:val="tx1"/>
                        </w14:solidFill>
                      </w14:textFill>
                    </w:rPr>
                    <w:t>7</w:t>
                  </w:r>
                </w:p>
              </w:tc>
            </w:tr>
          </w:tbl>
          <w:p>
            <w:pPr>
              <w:autoSpaceDE w:val="0"/>
              <w:autoSpaceDN w:val="0"/>
              <w:adjustRightInd w:val="0"/>
              <w:spacing w:line="360" w:lineRule="auto"/>
              <w:jc w:val="left"/>
              <w:rPr>
                <w:rFonts w:hint="eastAsia" w:ascii="Times New Roman" w:hAnsi="Times New Roman" w:cs="Times New Roman"/>
                <w:b/>
                <w:color w:val="000000" w:themeColor="text1"/>
                <w:sz w:val="24"/>
                <w:lang w:val="en-US" w:eastAsia="zh-CN"/>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2.</w:t>
            </w:r>
            <w:r>
              <w:rPr>
                <w:rFonts w:hint="eastAsia" w:cs="Times New Roman"/>
                <w:b/>
                <w:color w:val="000000" w:themeColor="text1"/>
                <w:sz w:val="24"/>
                <w:lang w:val="en-US" w:eastAsia="zh-CN"/>
                <w14:textFill>
                  <w14:solidFill>
                    <w14:schemeClr w14:val="tx1"/>
                  </w14:solidFill>
                </w14:textFill>
              </w:rPr>
              <w:t>2</w:t>
            </w:r>
            <w:r>
              <w:rPr>
                <w:rFonts w:hint="eastAsia" w:ascii="Times New Roman" w:hAnsi="Times New Roman" w:cs="Times New Roman"/>
                <w:b/>
                <w:color w:val="000000" w:themeColor="text1"/>
                <w:sz w:val="24"/>
                <w:lang w:val="en-US" w:eastAsia="zh-CN"/>
                <w14:textFill>
                  <w14:solidFill>
                    <w14:schemeClr w14:val="tx1"/>
                  </w14:solidFill>
                </w14:textFill>
              </w:rPr>
              <w:t xml:space="preserve"> 园区污水处理厂依托可行性</w:t>
            </w:r>
          </w:p>
          <w:p>
            <w:pPr>
              <w:adjustRightInd w:val="0"/>
              <w:snapToGrid w:val="0"/>
              <w:spacing w:line="360" w:lineRule="auto"/>
              <w:ind w:firstLine="480" w:firstLineChars="200"/>
              <w:jc w:val="both"/>
              <w:rPr>
                <w:b w:val="0"/>
                <w:bCs/>
                <w:color w:val="000000" w:themeColor="text1"/>
                <w:sz w:val="24"/>
                <w14:textFill>
                  <w14:solidFill>
                    <w14:schemeClr w14:val="tx1"/>
                  </w14:solidFill>
                </w14:textFill>
              </w:rPr>
            </w:pP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昌吉高新技术产业开发区污水处理厂</w:t>
            </w:r>
            <w:r>
              <w:rPr>
                <w:rFonts w:hint="eastAsia"/>
                <w:b w:val="0"/>
                <w:bCs/>
                <w:color w:val="000000" w:themeColor="text1"/>
                <w:sz w:val="24"/>
                <w:lang w:val="en-US" w:eastAsia="zh-CN"/>
                <w14:textFill>
                  <w14:solidFill>
                    <w14:schemeClr w14:val="tx1"/>
                  </w14:solidFill>
                </w14:textFill>
              </w:rPr>
              <w:t>（原昌吉市西区污水处理厂）位于昌吉高新技术产业开发区西北角，省道S201南侧。设计污水处理规模3万吨/天，一期占地63亩，采用A</w:t>
            </w:r>
            <w:r>
              <w:rPr>
                <w:rFonts w:hint="eastAsia"/>
                <w:b w:val="0"/>
                <w:bCs/>
                <w:color w:val="000000" w:themeColor="text1"/>
                <w:sz w:val="24"/>
                <w:vertAlign w:val="superscript"/>
                <w:lang w:val="en-US" w:eastAsia="zh-CN"/>
                <w14:textFill>
                  <w14:solidFill>
                    <w14:schemeClr w14:val="tx1"/>
                  </w14:solidFill>
                </w14:textFill>
              </w:rPr>
              <w:t>2</w:t>
            </w:r>
            <w:r>
              <w:rPr>
                <w:rFonts w:hint="eastAsia"/>
                <w:b w:val="0"/>
                <w:bCs/>
                <w:color w:val="000000" w:themeColor="text1"/>
                <w:sz w:val="24"/>
                <w:lang w:val="en-US" w:eastAsia="zh-CN"/>
                <w14:textFill>
                  <w14:solidFill>
                    <w14:schemeClr w14:val="tx1"/>
                  </w14:solidFill>
                </w14:textFill>
              </w:rPr>
              <w:t>O+芬顿反应池+絮凝沉淀池处理工艺，后于2017年7月新疆高新海天水务有限公司收购，于2018年8月30日完成污水处理厂一级A提标改造项目并通过环保验收，该污水处理厂年实际污水处理量约200万m³，折算日均处理量仅为5479m³/d，不足设计规模的20%。这一低负荷状态与园区当前产业布局及污水收集范围直接相关，目前主要接纳高新区企业生产污水及榆树沟镇生活污水，尚未达到满负荷运行条件。</w:t>
            </w:r>
          </w:p>
          <w:p>
            <w:pPr>
              <w:autoSpaceDE w:val="0"/>
              <w:autoSpaceDN w:val="0"/>
              <w:adjustRightInd w:val="0"/>
              <w:spacing w:line="360" w:lineRule="auto"/>
              <w:ind w:firstLine="480" w:firstLineChars="200"/>
              <w:jc w:val="both"/>
              <w:rPr>
                <w:rFonts w:hint="eastAsia"/>
                <w:b w:val="0"/>
                <w:bCs/>
                <w:color w:val="000000" w:themeColor="text1"/>
                <w:sz w:val="24"/>
                <w14:textFill>
                  <w14:solidFill>
                    <w14:schemeClr w14:val="tx1"/>
                  </w14:solidFill>
                </w14:textFill>
              </w:rPr>
            </w:pPr>
            <w:r>
              <w:rPr>
                <w:rFonts w:hint="eastAsia"/>
                <w:b w:val="0"/>
                <w:bCs/>
                <w:color w:val="000000" w:themeColor="text1"/>
                <w:sz w:val="24"/>
                <w14:textFill>
                  <w14:solidFill>
                    <w14:schemeClr w14:val="tx1"/>
                  </w14:solidFill>
                </w14:textFill>
              </w:rPr>
              <w:t>本项目</w:t>
            </w:r>
            <w:r>
              <w:rPr>
                <w:rFonts w:hint="eastAsia"/>
                <w:b w:val="0"/>
                <w:bCs/>
                <w:color w:val="000000" w:themeColor="text1"/>
                <w:sz w:val="24"/>
                <w:lang w:val="en-US" w:eastAsia="zh-CN"/>
                <w14:textFill>
                  <w14:solidFill>
                    <w14:schemeClr w14:val="tx1"/>
                  </w14:solidFill>
                </w14:textFill>
              </w:rPr>
              <w:t>生活污水排放量1692</w:t>
            </w:r>
            <w:r>
              <w:rPr>
                <w:rFonts w:hint="eastAsia"/>
                <w:b w:val="0"/>
                <w:bCs/>
                <w:color w:val="000000" w:themeColor="text1"/>
                <w:sz w:val="24"/>
                <w14:textFill>
                  <w14:solidFill>
                    <w14:schemeClr w14:val="tx1"/>
                  </w14:solidFill>
                </w14:textFill>
              </w:rPr>
              <w:t>m</w:t>
            </w:r>
            <w:r>
              <w:rPr>
                <w:b w:val="0"/>
                <w:bCs/>
                <w:color w:val="000000" w:themeColor="text1"/>
                <w:sz w:val="24"/>
                <w:vertAlign w:val="superscript"/>
                <w14:textFill>
                  <w14:solidFill>
                    <w14:schemeClr w14:val="tx1"/>
                  </w14:solidFill>
                </w14:textFill>
              </w:rPr>
              <w:t>3</w:t>
            </w:r>
            <w:r>
              <w:rPr>
                <w:b w:val="0"/>
                <w:bCs/>
                <w:color w:val="000000" w:themeColor="text1"/>
                <w:sz w:val="24"/>
                <w14:textFill>
                  <w14:solidFill>
                    <w14:schemeClr w14:val="tx1"/>
                  </w14:solidFill>
                </w14:textFill>
              </w:rPr>
              <w:t>/a</w:t>
            </w:r>
            <w:r>
              <w:rPr>
                <w:rFonts w:hint="eastAsia"/>
                <w:b w:val="0"/>
                <w:bCs/>
                <w:color w:val="000000" w:themeColor="text1"/>
                <w:sz w:val="24"/>
                <w:lang w:val="en-US" w:eastAsia="zh-CN"/>
                <w14:textFill>
                  <w14:solidFill>
                    <w14:schemeClr w14:val="tx1"/>
                  </w14:solidFill>
                </w14:textFill>
              </w:rPr>
              <w:t>，</w:t>
            </w:r>
            <w:r>
              <w:rPr>
                <w:rFonts w:hint="eastAsia"/>
                <w:b w:val="0"/>
                <w:bCs/>
                <w:color w:val="000000" w:themeColor="text1"/>
                <w:sz w:val="24"/>
                <w14:textFill>
                  <w14:solidFill>
                    <w14:schemeClr w14:val="tx1"/>
                  </w14:solidFill>
                </w14:textFill>
              </w:rPr>
              <w:t>园区污水处理厂污水处理能力余量</w:t>
            </w:r>
            <w:r>
              <w:rPr>
                <w:rFonts w:hint="eastAsia"/>
                <w:b w:val="0"/>
                <w:bCs/>
                <w:color w:val="000000" w:themeColor="text1"/>
                <w:sz w:val="24"/>
                <w:lang w:val="en-US" w:eastAsia="zh-CN"/>
                <w14:textFill>
                  <w14:solidFill>
                    <w14:schemeClr w14:val="tx1"/>
                  </w14:solidFill>
                </w14:textFill>
              </w:rPr>
              <w:t>可以满足本项目废水处理需求</w:t>
            </w:r>
            <w:r>
              <w:rPr>
                <w:rFonts w:hint="eastAsia"/>
                <w:b w:val="0"/>
                <w:bCs/>
                <w:color w:val="000000" w:themeColor="text1"/>
                <w:sz w:val="24"/>
                <w14:textFill>
                  <w14:solidFill>
                    <w14:schemeClr w14:val="tx1"/>
                  </w14:solidFill>
                </w14:textFill>
              </w:rPr>
              <w:t>。</w:t>
            </w:r>
          </w:p>
          <w:p>
            <w:pPr>
              <w:autoSpaceDE w:val="0"/>
              <w:autoSpaceDN w:val="0"/>
              <w:adjustRightInd w:val="0"/>
              <w:spacing w:line="360" w:lineRule="auto"/>
              <w:ind w:firstLine="480" w:firstLineChars="200"/>
              <w:jc w:val="both"/>
              <w:rPr>
                <w:rFonts w:hint="eastAsia" w:cs="Times New Roman"/>
                <w:b w:val="0"/>
                <w:bCs/>
                <w:color w:val="000000" w:themeColor="text1"/>
                <w:sz w:val="24"/>
                <w:lang w:val="en-US" w:eastAsia="zh-CN"/>
                <w14:textFill>
                  <w14:solidFill>
                    <w14:schemeClr w14:val="tx1"/>
                  </w14:solidFill>
                </w14:textFill>
              </w:rPr>
            </w:pPr>
            <w:r>
              <w:rPr>
                <w:rFonts w:hint="eastAsia"/>
                <w:b w:val="0"/>
                <w:bCs/>
                <w:color w:val="000000" w:themeColor="text1"/>
                <w:sz w:val="24"/>
                <w:lang w:val="en-US" w:eastAsia="zh-CN"/>
                <w14:textFill>
                  <w14:solidFill>
                    <w14:schemeClr w14:val="tx1"/>
                  </w14:solidFill>
                </w14:textFill>
              </w:rPr>
              <w:t>综上</w:t>
            </w:r>
            <w:r>
              <w:rPr>
                <w:rFonts w:hint="eastAsia"/>
                <w:b w:val="0"/>
                <w:bCs/>
                <w:color w:val="000000" w:themeColor="text1"/>
                <w:sz w:val="24"/>
                <w14:textFill>
                  <w14:solidFill>
                    <w14:schemeClr w14:val="tx1"/>
                  </w14:solidFill>
                </w14:textFill>
              </w:rPr>
              <w:t>，本项目</w:t>
            </w:r>
            <w:r>
              <w:rPr>
                <w:rFonts w:hint="eastAsia"/>
                <w:b w:val="0"/>
                <w:bCs/>
                <w:color w:val="000000" w:themeColor="text1"/>
                <w:sz w:val="24"/>
                <w:lang w:val="en-US" w:eastAsia="zh-CN"/>
                <w14:textFill>
                  <w14:solidFill>
                    <w14:schemeClr w14:val="tx1"/>
                  </w14:solidFill>
                </w14:textFill>
              </w:rPr>
              <w:t>废水间接排放至昌吉高新技术产业开发区污水处理厂</w:t>
            </w:r>
            <w:r>
              <w:rPr>
                <w:rFonts w:hint="eastAsia"/>
                <w:b w:val="0"/>
                <w:bCs/>
                <w:color w:val="000000" w:themeColor="text1"/>
                <w:sz w:val="24"/>
                <w14:textFill>
                  <w14:solidFill>
                    <w14:schemeClr w14:val="tx1"/>
                  </w14:solidFill>
                </w14:textFill>
              </w:rPr>
              <w:t>处理可行</w:t>
            </w:r>
            <w:r>
              <w:rPr>
                <w:rFonts w:hint="eastAsia" w:cs="Times New Roman"/>
                <w:b w:val="0"/>
                <w:bCs/>
                <w:color w:val="000000" w:themeColor="text1"/>
                <w:sz w:val="24"/>
                <w:lang w:val="en-US" w:eastAsia="zh-CN"/>
                <w14:textFill>
                  <w14:solidFill>
                    <w14:schemeClr w14:val="tx1"/>
                  </w14:solidFill>
                </w14:textFill>
              </w:rPr>
              <w:t>。</w:t>
            </w:r>
          </w:p>
          <w:p>
            <w:pPr>
              <w:autoSpaceDE w:val="0"/>
              <w:autoSpaceDN w:val="0"/>
              <w:adjustRightInd w:val="0"/>
              <w:spacing w:line="360" w:lineRule="auto"/>
              <w:jc w:val="left"/>
              <w:rPr>
                <w:rFonts w:hint="default" w:ascii="Times New Roman" w:hAnsi="Times New Roman" w:cs="Times New Roman"/>
                <w:b/>
                <w:color w:val="000000" w:themeColor="text1"/>
                <w:sz w:val="24"/>
                <w:lang w:val="en-US" w:eastAsia="zh-CN"/>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2.</w:t>
            </w:r>
            <w:r>
              <w:rPr>
                <w:rFonts w:hint="eastAsia" w:cs="Times New Roman"/>
                <w:b/>
                <w:color w:val="000000" w:themeColor="text1"/>
                <w:sz w:val="24"/>
                <w:lang w:val="en-US" w:eastAsia="zh-CN"/>
                <w14:textFill>
                  <w14:solidFill>
                    <w14:schemeClr w14:val="tx1"/>
                  </w14:solidFill>
                </w14:textFill>
              </w:rPr>
              <w:t>3</w:t>
            </w:r>
            <w:r>
              <w:rPr>
                <w:rFonts w:hint="eastAsia" w:ascii="Times New Roman" w:hAnsi="Times New Roman" w:cs="Times New Roman"/>
                <w:b/>
                <w:color w:val="000000" w:themeColor="text1"/>
                <w:sz w:val="24"/>
                <w:lang w:val="en-US" w:eastAsia="zh-CN"/>
                <w14:textFill>
                  <w14:solidFill>
                    <w14:schemeClr w14:val="tx1"/>
                  </w14:solidFill>
                </w14:textFill>
              </w:rPr>
              <w:t xml:space="preserve"> </w:t>
            </w:r>
            <w:r>
              <w:rPr>
                <w:rFonts w:hint="eastAsia" w:cs="Times New Roman"/>
                <w:b/>
                <w:color w:val="000000" w:themeColor="text1"/>
                <w:sz w:val="24"/>
                <w:lang w:val="en-US" w:eastAsia="zh-CN"/>
                <w14:textFill>
                  <w14:solidFill>
                    <w14:schemeClr w14:val="tx1"/>
                  </w14:solidFill>
                </w14:textFill>
              </w:rPr>
              <w:t>监测计划</w:t>
            </w:r>
          </w:p>
          <w:p>
            <w:pPr>
              <w:autoSpaceDE w:val="0"/>
              <w:autoSpaceDN w:val="0"/>
              <w:adjustRightInd w:val="0"/>
              <w:spacing w:line="360" w:lineRule="auto"/>
              <w:ind w:firstLine="480" w:firstLineChars="200"/>
              <w:jc w:val="left"/>
              <w:rPr>
                <w:rFonts w:hint="default" w:cs="Times New Roman"/>
                <w:b w:val="0"/>
                <w:bCs w:val="0"/>
                <w:color w:val="000000" w:themeColor="text1"/>
                <w:sz w:val="24"/>
                <w:lang w:val="en-US" w:eastAsia="zh-CN"/>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本项目产生的废水为生活污水，进入园区污水管网，最终进入高新区污水处理厂。因此本项目可不设置废水监测计划。</w:t>
            </w:r>
          </w:p>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噪声影响分析及减缓措施</w:t>
            </w:r>
          </w:p>
          <w:p>
            <w:pPr>
              <w:pStyle w:val="8"/>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3.1 </w:t>
            </w:r>
            <w:r>
              <w:rPr>
                <w:rFonts w:hint="default" w:ascii="Times New Roman" w:hAnsi="Times New Roman" w:cs="Times New Roman"/>
                <w:bCs/>
                <w:color w:val="000000" w:themeColor="text1"/>
                <w14:textFill>
                  <w14:solidFill>
                    <w14:schemeClr w14:val="tx1"/>
                  </w14:solidFill>
                </w14:textFill>
              </w:rPr>
              <w:t>噪声源</w:t>
            </w:r>
          </w:p>
          <w:p>
            <w:pPr>
              <w:autoSpaceDE w:val="0"/>
              <w:autoSpaceDN w:val="0"/>
              <w:adjustRightInd w:val="0"/>
              <w:spacing w:line="360" w:lineRule="auto"/>
              <w:ind w:firstLine="480" w:firstLineChars="200"/>
              <w:jc w:val="left"/>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本项目主要噪声源来自各类机械设备噪声。项目采取消声减振、厂房隔声等降噪措施。类比同类企业，在采取相关污染防治措施后，产噪设备源强见表4-</w:t>
            </w:r>
            <w:r>
              <w:rPr>
                <w:rFonts w:hint="eastAsia" w:cs="Times New Roman"/>
                <w:b w:val="0"/>
                <w:bCs w:val="0"/>
                <w:color w:val="000000" w:themeColor="text1"/>
                <w:sz w:val="24"/>
                <w:lang w:val="en-US" w:eastAsia="zh-CN"/>
                <w14:textFill>
                  <w14:solidFill>
                    <w14:schemeClr w14:val="tx1"/>
                  </w14:solidFill>
                </w14:textFill>
              </w:rPr>
              <w:t>6。</w:t>
            </w:r>
          </w:p>
          <w:p>
            <w:pPr>
              <w:jc w:val="center"/>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表4-</w:t>
            </w:r>
            <w:r>
              <w:rPr>
                <w:rFonts w:hint="eastAsia" w:cs="Times New Roman"/>
                <w:b/>
                <w:bCs w:val="0"/>
                <w:color w:val="000000" w:themeColor="text1"/>
                <w:sz w:val="21"/>
                <w:szCs w:val="21"/>
                <w:lang w:val="en-US" w:eastAsia="zh-CN"/>
                <w14:textFill>
                  <w14:solidFill>
                    <w14:schemeClr w14:val="tx1"/>
                  </w14:solidFill>
                </w14:textFill>
              </w:rPr>
              <w:t>9</w:t>
            </w:r>
            <w:r>
              <w:rPr>
                <w:rFonts w:hint="default" w:ascii="Times New Roman" w:hAnsi="Times New Roman" w:eastAsia="宋体" w:cs="Times New Roman"/>
                <w:b/>
                <w:bCs w:val="0"/>
                <w:color w:val="000000" w:themeColor="text1"/>
                <w:sz w:val="21"/>
                <w:szCs w:val="21"/>
                <w14:textFill>
                  <w14:solidFill>
                    <w14:schemeClr w14:val="tx1"/>
                  </w14:solidFill>
                </w14:textFill>
              </w:rPr>
              <w:t xml:space="preserve">   项目产噪设备源强一览表</w:t>
            </w:r>
          </w:p>
          <w:tbl>
            <w:tblPr>
              <w:tblStyle w:val="3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7"/>
              <w:gridCol w:w="790"/>
              <w:gridCol w:w="636"/>
              <w:gridCol w:w="601"/>
              <w:gridCol w:w="496"/>
              <w:gridCol w:w="479"/>
              <w:gridCol w:w="687"/>
              <w:gridCol w:w="823"/>
              <w:gridCol w:w="427"/>
              <w:gridCol w:w="823"/>
              <w:gridCol w:w="824"/>
              <w:gridCol w:w="42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670" w:hRule="atLeast"/>
                <w:jc w:val="center"/>
              </w:trPr>
              <w:tc>
                <w:tcPr>
                  <w:tcW w:w="271" w:type="pct"/>
                  <w:vMerge w:val="restart"/>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建筑物名称</w:t>
                  </w:r>
                </w:p>
              </w:tc>
              <w:tc>
                <w:tcPr>
                  <w:tcW w:w="271" w:type="pct"/>
                  <w:vMerge w:val="restart"/>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声源名称</w:t>
                  </w:r>
                </w:p>
              </w:tc>
              <w:tc>
                <w:tcPr>
                  <w:tcW w:w="501" w:type="pct"/>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声源源强</w:t>
                  </w:r>
                </w:p>
              </w:tc>
              <w:tc>
                <w:tcPr>
                  <w:tcW w:w="404" w:type="pct"/>
                  <w:vMerge w:val="restart"/>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声源控制措施</w:t>
                  </w:r>
                </w:p>
              </w:tc>
              <w:tc>
                <w:tcPr>
                  <w:tcW w:w="1001" w:type="pct"/>
                  <w:gridSpan w:val="3"/>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空间相对位置/m</w:t>
                  </w:r>
                </w:p>
              </w:tc>
              <w:tc>
                <w:tcPr>
                  <w:tcW w:w="437" w:type="pct"/>
                  <w:vMerge w:val="restart"/>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距室内边界距离/m</w:t>
                  </w:r>
                </w:p>
              </w:tc>
              <w:tc>
                <w:tcPr>
                  <w:tcW w:w="522" w:type="pct"/>
                  <w:vMerge w:val="restart"/>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室内边界声级/dB(A)</w:t>
                  </w:r>
                </w:p>
              </w:tc>
              <w:tc>
                <w:tcPr>
                  <w:tcW w:w="271" w:type="pct"/>
                  <w:vMerge w:val="restart"/>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运行时段</w:t>
                  </w:r>
                </w:p>
              </w:tc>
              <w:tc>
                <w:tcPr>
                  <w:tcW w:w="522" w:type="pct"/>
                  <w:vMerge w:val="restart"/>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建筑物插入损失/dB(A)</w:t>
                  </w:r>
                </w:p>
              </w:tc>
              <w:tc>
                <w:tcPr>
                  <w:tcW w:w="795" w:type="pct"/>
                  <w:gridSpan w:val="2"/>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r>
                    <w:rPr>
                      <w:b/>
                      <w:color w:val="000000" w:themeColor="text1"/>
                      <w:sz w:val="21"/>
                      <w:szCs w:val="21"/>
                      <w14:textFill>
                        <w14:solidFill>
                          <w14:schemeClr w14:val="tx1"/>
                        </w14:solidFill>
                      </w14:textFill>
                    </w:rPr>
                    <w:t>建筑物外噪声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271" w:type="pct"/>
                  <w:vMerge w:val="continue"/>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p>
              </w:tc>
              <w:tc>
                <w:tcPr>
                  <w:tcW w:w="271" w:type="pct"/>
                  <w:vMerge w:val="continue"/>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p>
              </w:tc>
              <w:tc>
                <w:tcPr>
                  <w:tcW w:w="501" w:type="pct"/>
                  <w:tcBorders>
                    <w:tl2br w:val="nil"/>
                    <w:tr2bl w:val="nil"/>
                  </w:tcBorders>
                  <w:shd w:val="clear" w:color="auto" w:fill="auto"/>
                  <w:vAlign w:val="center"/>
                </w:tcPr>
                <w:p>
                  <w:pPr>
                    <w:pStyle w:val="99"/>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单台设备声压级/距声源距离[dB（A）/m]</w:t>
                  </w:r>
                </w:p>
              </w:tc>
              <w:tc>
                <w:tcPr>
                  <w:tcW w:w="404" w:type="pct"/>
                  <w:vMerge w:val="continue"/>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X</w:t>
                  </w:r>
                </w:p>
              </w:tc>
              <w:tc>
                <w:tcPr>
                  <w:tcW w:w="315" w:type="pct"/>
                  <w:tcBorders>
                    <w:tl2br w:val="nil"/>
                    <w:tr2bl w:val="nil"/>
                  </w:tcBorders>
                  <w:shd w:val="clear" w:color="auto" w:fill="auto"/>
                  <w:vAlign w:val="center"/>
                </w:tcPr>
                <w:p>
                  <w:pPr>
                    <w:adjustRightInd w:val="0"/>
                    <w:snapToGrid w:val="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Y</w:t>
                  </w:r>
                </w:p>
              </w:tc>
              <w:tc>
                <w:tcPr>
                  <w:tcW w:w="304" w:type="pct"/>
                  <w:tcBorders>
                    <w:tl2br w:val="nil"/>
                    <w:tr2bl w:val="nil"/>
                  </w:tcBorders>
                  <w:shd w:val="clear" w:color="auto" w:fill="auto"/>
                  <w:vAlign w:val="center"/>
                </w:tcPr>
                <w:p>
                  <w:pPr>
                    <w:adjustRightInd w:val="0"/>
                    <w:snapToGrid w:val="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Z</w:t>
                  </w:r>
                </w:p>
              </w:tc>
              <w:tc>
                <w:tcPr>
                  <w:tcW w:w="437" w:type="pct"/>
                  <w:vMerge w:val="continue"/>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p>
              </w:tc>
              <w:tc>
                <w:tcPr>
                  <w:tcW w:w="271" w:type="pct"/>
                  <w:vMerge w:val="continue"/>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adjustRightInd w:val="0"/>
                    <w:snapToGrid w:val="0"/>
                    <w:jc w:val="center"/>
                    <w:rPr>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adjustRightInd w:val="0"/>
                    <w:snapToGrid w:val="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声压级/dB(A)</w:t>
                  </w:r>
                </w:p>
              </w:tc>
              <w:tc>
                <w:tcPr>
                  <w:tcW w:w="272" w:type="pct"/>
                  <w:tcBorders>
                    <w:tl2br w:val="nil"/>
                    <w:tr2bl w:val="nil"/>
                  </w:tcBorders>
                  <w:shd w:val="clear" w:color="auto" w:fill="auto"/>
                  <w:vAlign w:val="center"/>
                </w:tcPr>
                <w:p>
                  <w:pPr>
                    <w:adjustRightInd w:val="0"/>
                    <w:snapToGrid w:val="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建筑物外距离</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 w:type="pct"/>
                  <w:vMerge w:val="restar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生产车间</w:t>
                  </w:r>
                </w:p>
              </w:tc>
              <w:tc>
                <w:tcPr>
                  <w:tcW w:w="271" w:type="pct"/>
                  <w:tcBorders>
                    <w:tl2br w:val="nil"/>
                    <w:tr2bl w:val="nil"/>
                  </w:tcBorders>
                  <w:shd w:val="clear" w:color="auto" w:fill="auto"/>
                  <w:vAlign w:val="center"/>
                </w:tcPr>
                <w:p>
                  <w:pPr>
                    <w:pStyle w:val="100"/>
                    <w:spacing w:line="240" w:lineRule="auto"/>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挤塑机</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85</w:t>
                  </w:r>
                </w:p>
              </w:tc>
              <w:tc>
                <w:tcPr>
                  <w:tcW w:w="404" w:type="pct"/>
                  <w:vMerge w:val="restar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选用低噪声设备、基础减振、厂房隔声</w:t>
                  </w:r>
                </w:p>
              </w:tc>
              <w:tc>
                <w:tcPr>
                  <w:tcW w:w="38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66</w:t>
                  </w:r>
                </w:p>
              </w:tc>
              <w:tc>
                <w:tcPr>
                  <w:tcW w:w="315"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20</w:t>
                  </w:r>
                </w:p>
              </w:tc>
              <w:tc>
                <w:tcPr>
                  <w:tcW w:w="304"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3</w:t>
                  </w:r>
                </w:p>
              </w:tc>
              <w:tc>
                <w:tcPr>
                  <w:tcW w:w="522"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68.5</w:t>
                  </w:r>
                </w:p>
              </w:tc>
              <w:tc>
                <w:tcPr>
                  <w:tcW w:w="271" w:type="pct"/>
                  <w:vMerge w:val="restar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昼夜间</w:t>
                  </w:r>
                </w:p>
              </w:tc>
              <w:tc>
                <w:tcPr>
                  <w:tcW w:w="522" w:type="pct"/>
                  <w:vMerge w:val="restart"/>
                  <w:tcBorders>
                    <w:tl2br w:val="nil"/>
                    <w:tr2bl w:val="nil"/>
                  </w:tcBorders>
                  <w:shd w:val="clear" w:color="auto" w:fill="auto"/>
                  <w:vAlign w:val="center"/>
                </w:tcPr>
                <w:p>
                  <w:pPr>
                    <w:pStyle w:val="100"/>
                    <w:spacing w:line="240" w:lineRule="auto"/>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20</w:t>
                  </w:r>
                </w:p>
              </w:tc>
              <w:tc>
                <w:tcPr>
                  <w:tcW w:w="523"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48.5</w:t>
                  </w:r>
                </w:p>
              </w:tc>
              <w:tc>
                <w:tcPr>
                  <w:tcW w:w="272" w:type="pct"/>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r>
                    <w:rPr>
                      <w:b w:val="0"/>
                      <w:bCs/>
                      <w:color w:val="000000" w:themeColor="text1"/>
                      <w:sz w:val="21"/>
                      <w:szCs w:val="21"/>
                      <w14:textFill>
                        <w14:solidFill>
                          <w14:schemeClr w14:val="tx1"/>
                        </w14:solidFill>
                      </w14:textFill>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27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成缆机</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75</w:t>
                  </w:r>
                </w:p>
              </w:tc>
              <w:tc>
                <w:tcPr>
                  <w:tcW w:w="404"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85</w:t>
                  </w:r>
                </w:p>
              </w:tc>
              <w:tc>
                <w:tcPr>
                  <w:tcW w:w="315"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20</w:t>
                  </w:r>
                </w:p>
              </w:tc>
              <w:tc>
                <w:tcPr>
                  <w:tcW w:w="304"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w:t>
                  </w:r>
                </w:p>
              </w:tc>
              <w:tc>
                <w:tcPr>
                  <w:tcW w:w="522"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65.9</w:t>
                  </w:r>
                </w:p>
              </w:tc>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jc w:val="center"/>
                    <w:rPr>
                      <w:b w:val="0"/>
                      <w:bCs/>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45.9</w:t>
                  </w:r>
                </w:p>
              </w:tc>
              <w:tc>
                <w:tcPr>
                  <w:tcW w:w="272" w:type="pct"/>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r>
                    <w:rPr>
                      <w:rFonts w:hint="eastAsia"/>
                      <w:b w:val="0"/>
                      <w:bCs/>
                      <w:color w:val="000000" w:themeColor="text1"/>
                      <w:sz w:val="21"/>
                      <w:szCs w:val="21"/>
                      <w14:textFill>
                        <w14:solidFill>
                          <w14:schemeClr w14:val="tx1"/>
                        </w14:solidFill>
                      </w14:textFill>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271" w:type="pct"/>
                  <w:tcBorders>
                    <w:tl2br w:val="nil"/>
                    <w:tr2bl w:val="nil"/>
                  </w:tcBorders>
                  <w:shd w:val="clear" w:color="auto" w:fill="auto"/>
                  <w:vAlign w:val="center"/>
                </w:tcPr>
                <w:p>
                  <w:pPr>
                    <w:pStyle w:val="100"/>
                    <w:spacing w:line="240" w:lineRule="auto"/>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装铠机</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75</w:t>
                  </w:r>
                </w:p>
              </w:tc>
              <w:tc>
                <w:tcPr>
                  <w:tcW w:w="404"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105</w:t>
                  </w:r>
                </w:p>
              </w:tc>
              <w:tc>
                <w:tcPr>
                  <w:tcW w:w="315"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-22</w:t>
                  </w:r>
                </w:p>
              </w:tc>
              <w:tc>
                <w:tcPr>
                  <w:tcW w:w="304"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w:t>
                  </w:r>
                </w:p>
              </w:tc>
              <w:tc>
                <w:tcPr>
                  <w:tcW w:w="522"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65.9</w:t>
                  </w:r>
                </w:p>
              </w:tc>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jc w:val="center"/>
                    <w:rPr>
                      <w:b w:val="0"/>
                      <w:bCs/>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45.9</w:t>
                  </w:r>
                </w:p>
              </w:tc>
              <w:tc>
                <w:tcPr>
                  <w:tcW w:w="272" w:type="pct"/>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r>
                    <w:rPr>
                      <w:b w:val="0"/>
                      <w:bCs/>
                      <w:color w:val="000000" w:themeColor="text1"/>
                      <w:sz w:val="21"/>
                      <w:szCs w:val="21"/>
                      <w14:textFill>
                        <w14:solidFill>
                          <w14:schemeClr w14:val="tx1"/>
                        </w14:solidFill>
                      </w14:textFill>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27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绞线机</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85</w:t>
                  </w:r>
                </w:p>
              </w:tc>
              <w:tc>
                <w:tcPr>
                  <w:tcW w:w="404"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-108</w:t>
                  </w:r>
                </w:p>
              </w:tc>
              <w:tc>
                <w:tcPr>
                  <w:tcW w:w="315"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18</w:t>
                  </w:r>
                </w:p>
              </w:tc>
              <w:tc>
                <w:tcPr>
                  <w:tcW w:w="304"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w:t>
                  </w:r>
                </w:p>
              </w:tc>
              <w:tc>
                <w:tcPr>
                  <w:tcW w:w="522"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68.8</w:t>
                  </w:r>
                </w:p>
              </w:tc>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jc w:val="center"/>
                    <w:rPr>
                      <w:b w:val="0"/>
                      <w:bCs/>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48.8</w:t>
                  </w:r>
                </w:p>
              </w:tc>
              <w:tc>
                <w:tcPr>
                  <w:tcW w:w="272" w:type="pct"/>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r>
                    <w:rPr>
                      <w:rFonts w:hint="eastAsia"/>
                      <w:b w:val="0"/>
                      <w:bCs/>
                      <w:color w:val="000000" w:themeColor="text1"/>
                      <w:sz w:val="21"/>
                      <w:szCs w:val="21"/>
                      <w14:textFill>
                        <w14:solidFill>
                          <w14:schemeClr w14:val="tx1"/>
                        </w14:solidFill>
                      </w14:textFill>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54" w:hRule="atLeast"/>
                <w:jc w:val="center"/>
              </w:trPr>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27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同心绞</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85</w:t>
                  </w:r>
                </w:p>
              </w:tc>
              <w:tc>
                <w:tcPr>
                  <w:tcW w:w="404"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-90</w:t>
                  </w:r>
                </w:p>
              </w:tc>
              <w:tc>
                <w:tcPr>
                  <w:tcW w:w="315"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11</w:t>
                  </w:r>
                </w:p>
              </w:tc>
              <w:tc>
                <w:tcPr>
                  <w:tcW w:w="304"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3</w:t>
                  </w:r>
                </w:p>
              </w:tc>
              <w:tc>
                <w:tcPr>
                  <w:tcW w:w="522"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68.5</w:t>
                  </w:r>
                </w:p>
              </w:tc>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jc w:val="center"/>
                    <w:rPr>
                      <w:b w:val="0"/>
                      <w:bCs/>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widowControl/>
                    <w:jc w:val="center"/>
                    <w:textAlignment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48.5</w:t>
                  </w:r>
                </w:p>
              </w:tc>
              <w:tc>
                <w:tcPr>
                  <w:tcW w:w="272" w:type="pct"/>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r>
                    <w:rPr>
                      <w:rFonts w:hint="eastAsia"/>
                      <w:b w:val="0"/>
                      <w:bCs/>
                      <w:color w:val="000000" w:themeColor="text1"/>
                      <w:sz w:val="21"/>
                      <w:szCs w:val="21"/>
                      <w14:textFill>
                        <w14:solidFill>
                          <w14:schemeClr w14:val="tx1"/>
                        </w14:solidFill>
                      </w14:textFill>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54" w:hRule="atLeast"/>
                <w:jc w:val="center"/>
              </w:trPr>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27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时效炉</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85</w:t>
                  </w:r>
                </w:p>
              </w:tc>
              <w:tc>
                <w:tcPr>
                  <w:tcW w:w="404"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-75</w:t>
                  </w:r>
                </w:p>
              </w:tc>
              <w:tc>
                <w:tcPr>
                  <w:tcW w:w="315"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-21</w:t>
                  </w:r>
                </w:p>
              </w:tc>
              <w:tc>
                <w:tcPr>
                  <w:tcW w:w="304"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3</w:t>
                  </w:r>
                </w:p>
              </w:tc>
              <w:tc>
                <w:tcPr>
                  <w:tcW w:w="522"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68.5</w:t>
                  </w:r>
                </w:p>
              </w:tc>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jc w:val="center"/>
                    <w:rPr>
                      <w:b w:val="0"/>
                      <w:bCs/>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48.5</w:t>
                  </w:r>
                </w:p>
              </w:tc>
              <w:tc>
                <w:tcPr>
                  <w:tcW w:w="272"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14:textFill>
                        <w14:solidFill>
                          <w14:schemeClr w14:val="tx1"/>
                        </w14:solidFill>
                      </w14:textFill>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54" w:hRule="atLeast"/>
                <w:jc w:val="center"/>
              </w:trPr>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27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拉丝机</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75</w:t>
                  </w:r>
                </w:p>
              </w:tc>
              <w:tc>
                <w:tcPr>
                  <w:tcW w:w="404"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-53</w:t>
                  </w:r>
                </w:p>
              </w:tc>
              <w:tc>
                <w:tcPr>
                  <w:tcW w:w="315"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-20</w:t>
                  </w:r>
                </w:p>
              </w:tc>
              <w:tc>
                <w:tcPr>
                  <w:tcW w:w="304"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w:t>
                  </w:r>
                </w:p>
              </w:tc>
              <w:tc>
                <w:tcPr>
                  <w:tcW w:w="522" w:type="pct"/>
                  <w:tcBorders>
                    <w:tl2br w:val="nil"/>
                    <w:tr2bl w:val="nil"/>
                  </w:tcBorders>
                  <w:shd w:val="clear" w:color="auto" w:fill="auto"/>
                  <w:vAlign w:val="center"/>
                </w:tcPr>
                <w:p>
                  <w:pPr>
                    <w:widowControl/>
                    <w:jc w:val="center"/>
                    <w:textAlignment w:val="center"/>
                    <w:rPr>
                      <w:rFonts w:hint="eastAsia"/>
                      <w:b w:val="0"/>
                      <w:bCs/>
                      <w:color w:val="000000" w:themeColor="text1"/>
                      <w:sz w:val="21"/>
                      <w:szCs w:val="21"/>
                      <w:lang w:val="en-US" w:eastAsia="zh-CN"/>
                      <w14:textFill>
                        <w14:solidFill>
                          <w14:schemeClr w14:val="tx1"/>
                        </w14:solidFill>
                      </w14:textFill>
                    </w:rPr>
                  </w:pPr>
                  <w:r>
                    <w:rPr>
                      <w:rFonts w:hint="default" w:eastAsia="宋体"/>
                      <w:b w:val="0"/>
                      <w:bCs/>
                      <w:color w:val="000000" w:themeColor="text1"/>
                      <w:sz w:val="21"/>
                      <w:szCs w:val="21"/>
                      <w:lang w:val="en-US" w:eastAsia="zh-CN"/>
                      <w14:textFill>
                        <w14:solidFill>
                          <w14:schemeClr w14:val="tx1"/>
                        </w14:solidFill>
                      </w14:textFill>
                    </w:rPr>
                    <w:t>65.9</w:t>
                  </w:r>
                </w:p>
              </w:tc>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jc w:val="center"/>
                    <w:rPr>
                      <w:b w:val="0"/>
                      <w:bCs/>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widowControl/>
                    <w:jc w:val="center"/>
                    <w:textAlignment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45.9</w:t>
                  </w:r>
                </w:p>
              </w:tc>
              <w:tc>
                <w:tcPr>
                  <w:tcW w:w="272"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14:textFill>
                        <w14:solidFill>
                          <w14:schemeClr w14:val="tx1"/>
                        </w14:solidFill>
                      </w14:textFill>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54" w:hRule="atLeast"/>
                <w:jc w:val="center"/>
              </w:trPr>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27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蒸汽室</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75</w:t>
                  </w:r>
                </w:p>
              </w:tc>
              <w:tc>
                <w:tcPr>
                  <w:tcW w:w="404"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-50</w:t>
                  </w:r>
                </w:p>
              </w:tc>
              <w:tc>
                <w:tcPr>
                  <w:tcW w:w="315"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-19</w:t>
                  </w:r>
                </w:p>
              </w:tc>
              <w:tc>
                <w:tcPr>
                  <w:tcW w:w="304"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w:t>
                  </w:r>
                </w:p>
              </w:tc>
              <w:tc>
                <w:tcPr>
                  <w:tcW w:w="522"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64.5</w:t>
                  </w:r>
                </w:p>
              </w:tc>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jc w:val="center"/>
                    <w:rPr>
                      <w:b w:val="0"/>
                      <w:bCs/>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44.5</w:t>
                  </w:r>
                </w:p>
              </w:tc>
              <w:tc>
                <w:tcPr>
                  <w:tcW w:w="272"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14:textFill>
                        <w14:solidFill>
                          <w14:schemeClr w14:val="tx1"/>
                        </w14:solidFill>
                      </w14:textFill>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54" w:hRule="atLeast"/>
                <w:jc w:val="center"/>
              </w:trPr>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27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熔铝炉</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75</w:t>
                  </w:r>
                </w:p>
              </w:tc>
              <w:tc>
                <w:tcPr>
                  <w:tcW w:w="404"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20</w:t>
                  </w:r>
                </w:p>
              </w:tc>
              <w:tc>
                <w:tcPr>
                  <w:tcW w:w="315"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10</w:t>
                  </w:r>
                </w:p>
              </w:tc>
              <w:tc>
                <w:tcPr>
                  <w:tcW w:w="304"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w:t>
                  </w:r>
                </w:p>
              </w:tc>
              <w:tc>
                <w:tcPr>
                  <w:tcW w:w="522"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65.9</w:t>
                  </w:r>
                </w:p>
              </w:tc>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jc w:val="center"/>
                    <w:rPr>
                      <w:b w:val="0"/>
                      <w:bCs/>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widowControl/>
                    <w:jc w:val="center"/>
                    <w:textAlignment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45.9</w:t>
                  </w:r>
                </w:p>
              </w:tc>
              <w:tc>
                <w:tcPr>
                  <w:tcW w:w="272"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14:textFill>
                        <w14:solidFill>
                          <w14:schemeClr w14:val="tx1"/>
                        </w14:solidFill>
                      </w14:textFill>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54" w:hRule="atLeast"/>
                <w:jc w:val="center"/>
              </w:trPr>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27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保温炉</w:t>
                  </w:r>
                </w:p>
              </w:tc>
              <w:tc>
                <w:tcPr>
                  <w:tcW w:w="501" w:type="pct"/>
                  <w:tcBorders>
                    <w:tl2br w:val="nil"/>
                    <w:tr2bl w:val="nil"/>
                  </w:tcBorders>
                  <w:shd w:val="clear" w:color="auto" w:fill="auto"/>
                  <w:vAlign w:val="center"/>
                </w:tcPr>
                <w:p>
                  <w:pPr>
                    <w:adjustRightInd w:val="0"/>
                    <w:snapToGrid w:val="0"/>
                    <w:jc w:val="center"/>
                    <w:rPr>
                      <w:rFonts w:hint="default" w:eastAsia="宋体"/>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75</w:t>
                  </w:r>
                </w:p>
              </w:tc>
              <w:tc>
                <w:tcPr>
                  <w:tcW w:w="404"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381"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25</w:t>
                  </w:r>
                </w:p>
              </w:tc>
              <w:tc>
                <w:tcPr>
                  <w:tcW w:w="315" w:type="pct"/>
                  <w:tcBorders>
                    <w:tl2br w:val="nil"/>
                    <w:tr2bl w:val="nil"/>
                  </w:tcBorders>
                  <w:shd w:val="clear" w:color="auto" w:fill="auto"/>
                  <w:vAlign w:val="center"/>
                </w:tcPr>
                <w:p>
                  <w:pPr>
                    <w:adjustRightInd w:val="0"/>
                    <w:snapToGrid w:val="0"/>
                    <w:jc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18</w:t>
                  </w:r>
                </w:p>
              </w:tc>
              <w:tc>
                <w:tcPr>
                  <w:tcW w:w="304"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1.2</w:t>
                  </w:r>
                </w:p>
              </w:tc>
              <w:tc>
                <w:tcPr>
                  <w:tcW w:w="437" w:type="pct"/>
                  <w:tcBorders>
                    <w:tl2br w:val="nil"/>
                    <w:tr2bl w:val="nil"/>
                  </w:tcBorders>
                  <w:shd w:val="clear" w:color="auto" w:fill="auto"/>
                  <w:vAlign w:val="center"/>
                </w:tcPr>
                <w:p>
                  <w:pPr>
                    <w:widowControl/>
                    <w:jc w:val="center"/>
                    <w:textAlignment w:val="center"/>
                    <w:rPr>
                      <w:rFonts w:hint="default"/>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2</w:t>
                  </w:r>
                </w:p>
              </w:tc>
              <w:tc>
                <w:tcPr>
                  <w:tcW w:w="522" w:type="pct"/>
                  <w:tcBorders>
                    <w:tl2br w:val="nil"/>
                    <w:tr2bl w:val="nil"/>
                  </w:tcBorders>
                  <w:shd w:val="clear" w:color="auto" w:fill="auto"/>
                  <w:vAlign w:val="center"/>
                </w:tcPr>
                <w:p>
                  <w:pPr>
                    <w:widowControl/>
                    <w:jc w:val="center"/>
                    <w:textAlignment w:val="center"/>
                    <w:rPr>
                      <w:rFonts w:hint="eastAsia"/>
                      <w:b w:val="0"/>
                      <w:bCs/>
                      <w:color w:val="000000" w:themeColor="text1"/>
                      <w:sz w:val="21"/>
                      <w:szCs w:val="21"/>
                      <w:lang w:val="en-US" w:eastAsia="zh-CN"/>
                      <w14:textFill>
                        <w14:solidFill>
                          <w14:schemeClr w14:val="tx1"/>
                        </w14:solidFill>
                      </w14:textFill>
                    </w:rPr>
                  </w:pPr>
                  <w:r>
                    <w:rPr>
                      <w:rFonts w:hint="default" w:eastAsia="宋体"/>
                      <w:b w:val="0"/>
                      <w:bCs/>
                      <w:color w:val="000000" w:themeColor="text1"/>
                      <w:sz w:val="21"/>
                      <w:szCs w:val="21"/>
                      <w:lang w:val="en-US" w:eastAsia="zh-CN"/>
                      <w14:textFill>
                        <w14:solidFill>
                          <w14:schemeClr w14:val="tx1"/>
                        </w14:solidFill>
                      </w14:textFill>
                    </w:rPr>
                    <w:t>65.9</w:t>
                  </w:r>
                </w:p>
              </w:tc>
              <w:tc>
                <w:tcPr>
                  <w:tcW w:w="271" w:type="pct"/>
                  <w:vMerge w:val="continue"/>
                  <w:tcBorders>
                    <w:tl2br w:val="nil"/>
                    <w:tr2bl w:val="nil"/>
                  </w:tcBorders>
                  <w:shd w:val="clear" w:color="auto" w:fill="auto"/>
                  <w:vAlign w:val="center"/>
                </w:tcPr>
                <w:p>
                  <w:pPr>
                    <w:adjustRightInd w:val="0"/>
                    <w:snapToGrid w:val="0"/>
                    <w:jc w:val="center"/>
                    <w:rPr>
                      <w:b w:val="0"/>
                      <w:bCs/>
                      <w:color w:val="000000" w:themeColor="text1"/>
                      <w:sz w:val="21"/>
                      <w:szCs w:val="21"/>
                      <w14:textFill>
                        <w14:solidFill>
                          <w14:schemeClr w14:val="tx1"/>
                        </w14:solidFill>
                      </w14:textFill>
                    </w:rPr>
                  </w:pPr>
                </w:p>
              </w:tc>
              <w:tc>
                <w:tcPr>
                  <w:tcW w:w="522" w:type="pct"/>
                  <w:vMerge w:val="continue"/>
                  <w:tcBorders>
                    <w:tl2br w:val="nil"/>
                    <w:tr2bl w:val="nil"/>
                  </w:tcBorders>
                  <w:shd w:val="clear" w:color="auto" w:fill="auto"/>
                  <w:vAlign w:val="center"/>
                </w:tcPr>
                <w:p>
                  <w:pPr>
                    <w:jc w:val="center"/>
                    <w:rPr>
                      <w:b w:val="0"/>
                      <w:bCs/>
                      <w:color w:val="000000" w:themeColor="text1"/>
                      <w:sz w:val="21"/>
                      <w:szCs w:val="21"/>
                      <w14:textFill>
                        <w14:solidFill>
                          <w14:schemeClr w14:val="tx1"/>
                        </w14:solidFill>
                      </w14:textFill>
                    </w:rPr>
                  </w:pPr>
                </w:p>
              </w:tc>
              <w:tc>
                <w:tcPr>
                  <w:tcW w:w="523" w:type="pct"/>
                  <w:tcBorders>
                    <w:tl2br w:val="nil"/>
                    <w:tr2bl w:val="nil"/>
                  </w:tcBorders>
                  <w:shd w:val="clear" w:color="auto" w:fill="auto"/>
                  <w:vAlign w:val="center"/>
                </w:tcPr>
                <w:p>
                  <w:pPr>
                    <w:widowControl/>
                    <w:jc w:val="center"/>
                    <w:textAlignment w:val="center"/>
                    <w:rPr>
                      <w:rFonts w:hint="eastAsia"/>
                      <w:b w:val="0"/>
                      <w:bCs/>
                      <w:color w:val="000000" w:themeColor="text1"/>
                      <w:sz w:val="21"/>
                      <w:szCs w:val="21"/>
                      <w:lang w:val="en-US" w:eastAsia="zh-CN"/>
                      <w14:textFill>
                        <w14:solidFill>
                          <w14:schemeClr w14:val="tx1"/>
                        </w14:solidFill>
                      </w14:textFill>
                    </w:rPr>
                  </w:pPr>
                  <w:r>
                    <w:rPr>
                      <w:rFonts w:hint="eastAsia"/>
                      <w:b w:val="0"/>
                      <w:bCs/>
                      <w:color w:val="000000" w:themeColor="text1"/>
                      <w:sz w:val="21"/>
                      <w:szCs w:val="21"/>
                      <w:lang w:val="en-US" w:eastAsia="zh-CN"/>
                      <w14:textFill>
                        <w14:solidFill>
                          <w14:schemeClr w14:val="tx1"/>
                        </w14:solidFill>
                      </w14:textFill>
                    </w:rPr>
                    <w:t>45.9</w:t>
                  </w:r>
                </w:p>
              </w:tc>
              <w:tc>
                <w:tcPr>
                  <w:tcW w:w="272" w:type="pct"/>
                  <w:tcBorders>
                    <w:tl2br w:val="nil"/>
                    <w:tr2bl w:val="nil"/>
                  </w:tcBorders>
                  <w:shd w:val="clear" w:color="auto" w:fill="auto"/>
                  <w:vAlign w:val="center"/>
                </w:tcPr>
                <w:p>
                  <w:pPr>
                    <w:adjustRightInd w:val="0"/>
                    <w:snapToGrid w:val="0"/>
                    <w:jc w:val="center"/>
                    <w:rPr>
                      <w:rFonts w:hint="eastAsia"/>
                      <w:b w:val="0"/>
                      <w:bCs/>
                      <w:color w:val="000000" w:themeColor="text1"/>
                      <w:sz w:val="21"/>
                      <w:szCs w:val="21"/>
                      <w14:textFill>
                        <w14:solidFill>
                          <w14:schemeClr w14:val="tx1"/>
                        </w14:solidFill>
                      </w14:textFill>
                    </w:rPr>
                  </w:pPr>
                  <w:r>
                    <w:rPr>
                      <w:rFonts w:hint="eastAsia"/>
                      <w:b w:val="0"/>
                      <w:bCs/>
                      <w:color w:val="000000" w:themeColor="text1"/>
                      <w:sz w:val="21"/>
                      <w:szCs w:val="21"/>
                      <w14:textFill>
                        <w14:solidFill>
                          <w14:schemeClr w14:val="tx1"/>
                        </w14:solidFill>
                      </w14:textFill>
                    </w:rPr>
                    <w:t>1</w:t>
                  </w:r>
                </w:p>
              </w:tc>
            </w:tr>
          </w:tbl>
          <w:p>
            <w:pPr>
              <w:pStyle w:val="8"/>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2 </w:t>
            </w:r>
            <w:r>
              <w:rPr>
                <w:rFonts w:hint="default" w:ascii="Times New Roman" w:hAnsi="Times New Roman" w:cs="Times New Roman"/>
                <w:color w:val="000000" w:themeColor="text1"/>
                <w14:textFill>
                  <w14:solidFill>
                    <w14:schemeClr w14:val="tx1"/>
                  </w14:solidFill>
                </w14:textFill>
              </w:rPr>
              <w:t>预测方法</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噪声源布置较为集中，其对厂界外的声环境影响采取《环境影响评价技术导</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则 声环境》（HJ2.4-2021）中的噪声预测模式。</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如已知靠近声源处某点的倍频带声压级时，相同方向预测点位置的倍频带声压级可按下式计算：</w:t>
            </w:r>
          </w:p>
          <w:p>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rPr>
                <w:rFonts w:hint="default" w:ascii="Times New Roman" w:hAnsi="Times New Roman" w:cs="Times New Roman"/>
                <w:color w:val="000000" w:themeColor="text1"/>
                <w:sz w:val="24"/>
                <w:szCs w:val="24"/>
                <w14:textFill>
                  <w14:solidFill>
                    <w14:schemeClr w14:val="tx1"/>
                  </w14:solidFill>
                </w14:textFill>
              </w:rPr>
            </w:pPr>
            <w:r>
              <w:rPr>
                <w:rStyle w:val="34"/>
                <w:rFonts w:hint="default" w:ascii="Times New Roman" w:hAnsi="Times New Roman" w:eastAsia="宋体" w:cs="Times New Roman"/>
                <w:b/>
                <w:color w:val="000000" w:themeColor="text1"/>
                <w:sz w:val="24"/>
                <w:szCs w:val="24"/>
                <w:highlight w:val="none"/>
                <w:lang w:eastAsia="zh-CN"/>
                <w14:textFill>
                  <w14:solidFill>
                    <w14:schemeClr w14:val="tx1"/>
                  </w14:solidFill>
                </w14:textFill>
              </w:rPr>
              <w:sym w:font="宋体" w:char="0020"/>
            </w:r>
            <m:oMath>
              <m:sSub>
                <m:sSubPr>
                  <m:ctrlPr>
                    <w:rPr>
                      <w:rFonts w:hint="default" w:ascii="Cambria Math" w:hAnsi="Cambria Math" w:eastAsia="宋体" w:cs="Times New Roman"/>
                      <w:b/>
                      <w:color w:val="000000" w:themeColor="text1"/>
                      <w:sz w:val="24"/>
                      <w:szCs w:val="24"/>
                      <w:highlight w:val="none"/>
                      <w14:textFill>
                        <w14:solidFill>
                          <w14:schemeClr w14:val="tx1"/>
                        </w14:solidFill>
                      </w14:textFill>
                    </w:rPr>
                  </m:ctrlPr>
                </m:sSubPr>
                <m:e>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color w:val="000000" w:themeColor="text1"/>
                      <w:sz w:val="24"/>
                      <w:szCs w:val="24"/>
                      <w:highlight w:val="none"/>
                      <w14:textFill>
                        <w14:solidFill>
                          <w14:schemeClr w14:val="tx1"/>
                        </w14:solidFill>
                      </w14:textFill>
                    </w:rPr>
                  </m:ctrlPr>
                </m:e>
                <m:sub>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A</m:t>
                  </m:r>
                  <m:ctrlPr>
                    <w:rPr>
                      <w:rFonts w:hint="default" w:ascii="Cambria Math" w:hAnsi="Cambria Math" w:eastAsia="宋体" w:cs="Times New Roman"/>
                      <w:b/>
                      <w:color w:val="000000" w:themeColor="text1"/>
                      <w:sz w:val="24"/>
                      <w:szCs w:val="24"/>
                      <w:highlight w:val="none"/>
                      <w14:textFill>
                        <w14:solidFill>
                          <w14:schemeClr w14:val="tx1"/>
                        </w14:solidFill>
                      </w14:textFill>
                    </w:rPr>
                  </m:ctrlPr>
                </m:sub>
              </m:sSub>
              <m:d>
                <m:dPr>
                  <m:ctrlPr>
                    <w:rPr>
                      <w:rFonts w:hint="default" w:ascii="Cambria Math" w:hAnsi="Cambria Math" w:eastAsia="宋体" w:cs="Times New Roman"/>
                      <w:b/>
                      <w:color w:val="000000" w:themeColor="text1"/>
                      <w:sz w:val="24"/>
                      <w:szCs w:val="24"/>
                      <w:highlight w:val="none"/>
                      <w14:textFill>
                        <w14:solidFill>
                          <w14:schemeClr w14:val="tx1"/>
                        </w14:solidFill>
                      </w14:textFill>
                    </w:rPr>
                  </m:ctrlPr>
                </m:dPr>
                <m:e>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color w:val="000000" w:themeColor="text1"/>
                      <w:sz w:val="24"/>
                      <w:szCs w:val="24"/>
                      <w:highlight w:val="none"/>
                      <w14:textFill>
                        <w14:solidFill>
                          <w14:schemeClr w14:val="tx1"/>
                        </w14:solidFill>
                      </w14:textFill>
                    </w:rPr>
                  </m:ctrlPr>
                </m:e>
              </m:d>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m:t>
              </m:r>
              <m:sSub>
                <m:sSubPr>
                  <m:ctrlPr>
                    <w:rPr>
                      <w:rFonts w:hint="default" w:ascii="Cambria Math" w:hAnsi="Cambria Math" w:eastAsia="宋体" w:cs="Times New Roman"/>
                      <w:b/>
                      <w:color w:val="000000" w:themeColor="text1"/>
                      <w:sz w:val="24"/>
                      <w:szCs w:val="24"/>
                      <w:highlight w:val="none"/>
                      <w14:textFill>
                        <w14:solidFill>
                          <w14:schemeClr w14:val="tx1"/>
                        </w14:solidFill>
                      </w14:textFill>
                    </w:rPr>
                  </m:ctrlPr>
                </m:sSubPr>
                <m:e>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color w:val="000000" w:themeColor="text1"/>
                      <w:sz w:val="24"/>
                      <w:szCs w:val="24"/>
                      <w:highlight w:val="none"/>
                      <w14:textFill>
                        <w14:solidFill>
                          <w14:schemeClr w14:val="tx1"/>
                        </w14:solidFill>
                      </w14:textFill>
                    </w:rPr>
                  </m:ctrlPr>
                </m:e>
                <m:sub>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A</m:t>
                  </m:r>
                  <m:ctrlPr>
                    <w:rPr>
                      <w:rFonts w:hint="default" w:ascii="Cambria Math" w:hAnsi="Cambria Math" w:eastAsia="宋体" w:cs="Times New Roman"/>
                      <w:b/>
                      <w:color w:val="000000" w:themeColor="text1"/>
                      <w:sz w:val="24"/>
                      <w:szCs w:val="24"/>
                      <w:highlight w:val="none"/>
                      <w14:textFill>
                        <w14:solidFill>
                          <w14:schemeClr w14:val="tx1"/>
                        </w14:solidFill>
                      </w14:textFill>
                    </w:rPr>
                  </m:ctrlPr>
                </m:sub>
              </m:sSub>
              <m:d>
                <m:dPr>
                  <m:ctrlPr>
                    <w:rPr>
                      <w:rFonts w:hint="default" w:ascii="Cambria Math" w:hAnsi="Cambria Math" w:eastAsia="宋体" w:cs="Times New Roman"/>
                      <w:b/>
                      <w:color w:val="000000" w:themeColor="text1"/>
                      <w:sz w:val="24"/>
                      <w:szCs w:val="24"/>
                      <w:highlight w:val="none"/>
                      <w14:textFill>
                        <w14:solidFill>
                          <w14:schemeClr w14:val="tx1"/>
                        </w14:solidFill>
                      </w14:textFill>
                    </w:rPr>
                  </m:ctrlPr>
                </m:dPr>
                <m:e>
                  <m:sSub>
                    <m:sSubP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SubPr>
                    <m:e>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sub>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0</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ub>
                  </m:sSub>
                  <m:ctrlPr>
                    <w:rPr>
                      <w:rFonts w:hint="default" w:ascii="Cambria Math" w:hAnsi="Cambria Math" w:eastAsia="宋体" w:cs="Times New Roman"/>
                      <w:b/>
                      <w:color w:val="000000" w:themeColor="text1"/>
                      <w:sz w:val="24"/>
                      <w:szCs w:val="24"/>
                      <w:highlight w:val="none"/>
                      <w14:textFill>
                        <w14:solidFill>
                          <w14:schemeClr w14:val="tx1"/>
                        </w14:solidFill>
                      </w14:textFill>
                    </w:rPr>
                  </m:ctrlPr>
                </m:e>
              </m:d>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m:t>
              </m:r>
              <m:sSub>
                <m:sSubP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SubPr>
                <m:e>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A</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sub>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div</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ub>
              </m:sSub>
            </m:oMath>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预测点的A声级，可利用8个倍频带的声压级按下式计算：</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3190"/>
              <w:jc w:val="center"/>
              <w:textAlignment w:val="auto"/>
              <w:rPr>
                <w:rFonts w:hint="default" w:ascii="Times New Roman" w:hAnsi="Times New Roman" w:cs="Times New Roman"/>
                <w:color w:val="000000" w:themeColor="text1"/>
                <w:sz w:val="24"/>
                <w:szCs w:val="24"/>
                <w14:textFill>
                  <w14:solidFill>
                    <w14:schemeClr w14:val="tx1"/>
                  </w14:solidFill>
                </w14:textFill>
              </w:rPr>
            </w:pPr>
            <m:oMathPara>
              <m:oMathParaPr>
                <m:jc m:val="center"/>
              </m:oMathParaPr>
              <m:oMath>
                <m:sSub>
                  <m:sSubP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SubPr>
                  <m:e>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sub>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A</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ub>
                </m:sSub>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m:t>
                </m:r>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r</m:t>
                </m:r>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)=10</m:t>
                </m:r>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lg</m:t>
                </m:r>
                <m:d>
                  <m:dPr>
                    <m:begChr m:val="{"/>
                    <m:endChr m:val="}"/>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dPr>
                  <m:e>
                    <m:nary>
                      <m:naryPr>
                        <m:chr m:val="∑"/>
                        <m:limLoc m:val="undOv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naryPr>
                      <m:sub>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i</m:t>
                        </m:r>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=1</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ub>
                      <m:sup>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8</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up>
                      <m:e>
                        <m:sSup>
                          <m:sSupP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SupPr>
                          <m:e>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10</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sup>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0.1</m:t>
                            </m:r>
                            <m:d>
                              <m:dPr>
                                <m:begChr m:val="["/>
                                <m:endChr m:val="]"/>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dPr>
                              <m:e>
                                <m:sSub>
                                  <m:sSubP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SubPr>
                                  <m:e>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sub>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pi</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ub>
                                </m:sSub>
                                <m:d>
                                  <m:dP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dPr>
                                  <m:e>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d>
                                <m:r>
                                  <m:rPr>
                                    <m:nor/>
                                    <m:sty m:val="b"/>
                                  </m:rPr>
                                  <w:rPr>
                                    <w:rFonts w:hint="default" w:ascii="Times New Roman" w:hAnsi="Times New Roman" w:eastAsia="宋体" w:cs="Times New Roman"/>
                                    <w:b/>
                                    <w:i w:val="0"/>
                                    <w:color w:val="000000" w:themeColor="text1"/>
                                    <w:sz w:val="24"/>
                                    <w:szCs w:val="24"/>
                                    <w:highlight w:val="none"/>
                                    <w14:textFill>
                                      <w14:solidFill>
                                        <w14:schemeClr w14:val="tx1"/>
                                      </w14:solidFill>
                                    </w14:textFill>
                                  </w:rPr>
                                  <m:t>−∆</m:t>
                                </m:r>
                                <m:sSub>
                                  <m:sSubP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SubPr>
                                  <m:e>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sub>
                                    <m:r>
                                      <m:rPr>
                                        <m:nor/>
                                        <m:sty m:val="bi"/>
                                      </m:rPr>
                                      <w:rPr>
                                        <w:rFonts w:hint="default" w:ascii="Times New Roman" w:hAnsi="Times New Roman" w:eastAsia="宋体" w:cs="Times New Roman"/>
                                        <w:b/>
                                        <w:i/>
                                        <w:color w:val="000000" w:themeColor="text1"/>
                                        <w:sz w:val="24"/>
                                        <w:szCs w:val="24"/>
                                        <w:highlight w:val="none"/>
                                        <w14:textFill>
                                          <w14:solidFill>
                                            <w14:schemeClr w14:val="tx1"/>
                                          </w14:solidFill>
                                        </w14:textFill>
                                      </w:rPr>
                                      <m:t>i</m:t>
                                    </m:r>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ub>
                                </m:sSub>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d>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sup>
                        </m:sSup>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nary>
                    <m:ctrlPr>
                      <w:rPr>
                        <w:rFonts w:hint="default" w:ascii="Cambria Math" w:hAnsi="Cambria Math" w:eastAsia="宋体" w:cs="Times New Roman"/>
                        <w:b/>
                        <w:i/>
                        <w:color w:val="000000" w:themeColor="text1"/>
                        <w:sz w:val="24"/>
                        <w:szCs w:val="24"/>
                        <w:highlight w:val="none"/>
                        <w14:textFill>
                          <w14:solidFill>
                            <w14:schemeClr w14:val="tx1"/>
                          </w14:solidFill>
                        </w14:textFill>
                      </w:rPr>
                    </m:ctrlPr>
                  </m:e>
                </m:d>
              </m:oMath>
            </m:oMathPara>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式中：</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LPi(r)—预测点（r）处，第i倍频带声压级，dB；</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ΔLi—i倍频带A计权网络修正值，dB（见导则附录B）。</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 xml:space="preserve">④点声源几何发散衰减 </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b/>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snapToGrid/>
                <w:color w:val="000000" w:themeColor="text1"/>
                <w:sz w:val="24"/>
                <w:szCs w:val="24"/>
                <w:highlight w:val="none"/>
                <w:lang w:eastAsia="zh-CN"/>
                <w14:textFill>
                  <w14:solidFill>
                    <w14:schemeClr w14:val="tx1"/>
                  </w14:solidFill>
                </w14:textFill>
              </w:rPr>
              <w:t>无指向性点声源几何发散衰减的基本公式是：</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jc w:val="both"/>
              <w:textAlignment w:val="auto"/>
              <w:rPr>
                <w:rStyle w:val="34"/>
                <w:rFonts w:hint="default" w:ascii="Times New Roman" w:hAnsi="Times New Roman" w:eastAsia="宋体" w:cs="Times New Roman"/>
                <w:b/>
                <w:color w:val="000000" w:themeColor="text1"/>
                <w:sz w:val="24"/>
                <w:szCs w:val="24"/>
                <w:highlight w:val="none"/>
                <w14:textFill>
                  <w14:solidFill>
                    <w14:schemeClr w14:val="tx1"/>
                  </w14:solidFill>
                </w14:textFill>
              </w:rPr>
            </w:pPr>
            <m:oMathPara>
              <m:oMathParaPr>
                <m:jc m:val="center"/>
              </m:oMathParaPr>
              <m:oMath>
                <m:sSub>
                  <m:sSubP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P</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ub>
                </m:sSub>
                <m:d>
                  <m:dP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d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e>
                </m:d>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m:t>
                </m:r>
                <m:sSub>
                  <m:sSubP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P</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ub>
                </m:sSub>
                <m:d>
                  <m:dP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dPr>
                  <m:e>
                    <m:sSub>
                      <m:sSub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b>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0</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Sub>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e>
                </m:d>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−20</m:t>
                </m:r>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lg</m:t>
                </m:r>
                <m:d>
                  <m:d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dPr>
                  <m:e>
                    <m:f>
                      <m:fPr>
                        <m:type m:val="skw"/>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fPr>
                      <m:num>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num>
                      <m:den>
                        <m:sSub>
                          <m:sSub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b>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 xml:space="preserve">0 </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Sub>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den>
                    </m:f>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d>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m:t>
                </m:r>
                <m:r>
                  <m:rPr>
                    <m:nor/>
                    <m:sty m:val="p"/>
                  </m:rPr>
                  <w:rPr>
                    <w:rFonts w:hint="default" w:ascii="Times New Roman" w:hAnsi="Times New Roman" w:eastAsia="宋体" w:cs="Times New Roman"/>
                    <w:b w:val="0"/>
                    <w:bCs/>
                    <w:i w:val="0"/>
                    <w:color w:val="000000" w:themeColor="text1"/>
                    <w:sz w:val="24"/>
                    <w:szCs w:val="24"/>
                    <w:highlight w:val="none"/>
                    <w:lang w:eastAsia="zh-CN"/>
                    <w14:textFill>
                      <w14:solidFill>
                        <w14:schemeClr w14:val="tx1"/>
                      </w14:solidFill>
                    </w14:textFill>
                  </w:rPr>
                  <m:t>……</m:t>
                </m:r>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m:t>
                </m:r>
                <m:r>
                  <m:rPr>
                    <m:nor/>
                    <m:sty m:val="p"/>
                  </m:rPr>
                  <w:rPr>
                    <w:rFonts w:hint="default" w:ascii="Times New Roman" w:hAnsi="Times New Roman" w:eastAsia="宋体" w:cs="Times New Roman"/>
                    <w:b w:val="0"/>
                    <w:bCs/>
                    <w:i w:val="0"/>
                    <w:color w:val="000000" w:themeColor="text1"/>
                    <w:sz w:val="24"/>
                    <w:szCs w:val="24"/>
                    <w:highlight w:val="none"/>
                    <w:lang w:eastAsia="zh-CN"/>
                    <w14:textFill>
                      <w14:solidFill>
                        <w14:schemeClr w14:val="tx1"/>
                      </w14:solidFill>
                    </w14:textFill>
                  </w:rPr>
                  <m:t>（式3.1）</m:t>
                </m:r>
              </m:oMath>
            </m:oMathPara>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式中：</w:t>
            </w: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Lp</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)——预测点处声压级，</w:t>
            </w:r>
            <w:r>
              <w:rPr>
                <w:rStyle w:val="34"/>
                <w:rFonts w:hint="default" w:ascii="Times New Roman" w:hAnsi="Times New Roman" w:eastAsia="宋体" w:cs="Times New Roman"/>
                <w:i/>
                <w:color w:val="000000" w:themeColor="text1"/>
                <w:sz w:val="24"/>
                <w:szCs w:val="24"/>
                <w:highlight w:val="none"/>
                <w:lang w:eastAsia="zh-CN"/>
                <w14:textFill>
                  <w14:solidFill>
                    <w14:schemeClr w14:val="tx1"/>
                  </w14:solidFill>
                </w14:textFill>
              </w:rPr>
              <w:t>dB</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Lp</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color w:val="000000" w:themeColor="text1"/>
                <w:sz w:val="24"/>
                <w:szCs w:val="24"/>
                <w:highlight w:val="none"/>
                <w:vertAlign w:val="subscript"/>
                <w:lang w:eastAsia="zh-CN"/>
                <w14:textFill>
                  <w14:solidFill>
                    <w14:schemeClr w14:val="tx1"/>
                  </w14:solidFill>
                </w14:textFill>
              </w:rPr>
              <w:t>0</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)——参考位置</w:t>
            </w: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0处的声压级，dB；</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——预测点距声源的距离；</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1920" w:firstLineChars="800"/>
              <w:jc w:val="both"/>
              <w:textAlignment w:val="auto"/>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color w:val="000000" w:themeColor="text1"/>
                <w:sz w:val="24"/>
                <w:szCs w:val="24"/>
                <w:highlight w:val="none"/>
                <w:vertAlign w:val="subscript"/>
                <w:lang w:eastAsia="zh-CN"/>
                <w14:textFill>
                  <w14:solidFill>
                    <w14:schemeClr w14:val="tx1"/>
                  </w14:solidFill>
                </w14:textFill>
              </w:rPr>
              <w:t>0</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——参考位置距声源的距离。</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（式3.1）中第二项表示了点声源的几何发散衰减</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321" w:leftChars="0" w:right="0" w:rightChars="0" w:hanging="321" w:hangingChars="134"/>
              <w:jc w:val="both"/>
              <w:textAlignment w:val="auto"/>
              <w:rPr>
                <w:rStyle w:val="34"/>
                <w:rFonts w:hint="default" w:ascii="Times New Roman" w:hAnsi="Times New Roman" w:eastAsia="宋体" w:cs="Times New Roman"/>
                <w:b w:val="0"/>
                <w:bCs/>
                <w:color w:val="000000" w:themeColor="text1"/>
                <w:sz w:val="24"/>
                <w:szCs w:val="24"/>
                <w:highlight w:val="none"/>
                <w14:textFill>
                  <w14:solidFill>
                    <w14:schemeClr w14:val="tx1"/>
                  </w14:solidFill>
                </w14:textFill>
              </w:rPr>
            </w:pPr>
            <m:oMathPara>
              <m:oMathParaPr>
                <m:jc m:val="center"/>
              </m:oMathParaPr>
              <m:oMath>
                <m:sSub>
                  <m:sSubP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A</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div</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=20</m:t>
                </m:r>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lg</m:t>
                </m:r>
                <m:d>
                  <m:dP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dPr>
                  <m:e>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r</m:t>
                    </m:r>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m:t>
                    </m:r>
                    <m:sSub>
                      <m:sSubP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e>
                      <m:sub>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 xml:space="preserve">0 </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ub>
                    </m:sSub>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e>
                </m:d>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m:t>
                </m:r>
                <m:r>
                  <m:rPr>
                    <m:nor/>
                    <m:sty m:val="p"/>
                  </m:rPr>
                  <w:rPr>
                    <w:rFonts w:hint="default" w:ascii="Times New Roman" w:hAnsi="Times New Roman" w:eastAsia="宋体" w:cs="Times New Roman"/>
                    <w:b w:val="0"/>
                    <w:i w:val="0"/>
                    <w:color w:val="000000" w:themeColor="text1"/>
                    <w:sz w:val="24"/>
                    <w:szCs w:val="24"/>
                    <w:highlight w:val="none"/>
                    <w:lang w:eastAsia="zh-CN"/>
                    <w14:textFill>
                      <w14:solidFill>
                        <w14:schemeClr w14:val="tx1"/>
                      </w14:solidFill>
                    </w14:textFill>
                  </w:rPr>
                  <m:t>（式3.2）</m:t>
                </m:r>
              </m:oMath>
            </m:oMathPara>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式中：</w:t>
            </w:r>
            <w:r>
              <w:rPr>
                <w:rStyle w:val="34"/>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w:t>A</w:t>
            </w:r>
            <w:r>
              <w:rPr>
                <w:rStyle w:val="34"/>
                <w:rFonts w:hint="default" w:ascii="Times New Roman" w:hAnsi="Times New Roman" w:eastAsia="宋体" w:cs="Times New Roman"/>
                <w:b w:val="0"/>
                <w:bCs/>
                <w:i/>
                <w:color w:val="000000" w:themeColor="text1"/>
                <w:sz w:val="24"/>
                <w:szCs w:val="24"/>
                <w:highlight w:val="none"/>
                <w:vertAlign w:val="subscript"/>
                <w:lang w:eastAsia="zh-CN"/>
                <w14:textFill>
                  <w14:solidFill>
                    <w14:schemeClr w14:val="tx1"/>
                  </w14:solidFill>
                </w14:textFill>
              </w:rPr>
              <w:t>div</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——几何发散引起的衰减，dB；</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——预测点距声源的距离；</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b w:val="0"/>
                <w:bCs/>
                <w:i/>
                <w:color w:val="000000" w:themeColor="text1"/>
                <w:sz w:val="24"/>
                <w:szCs w:val="24"/>
                <w:highlight w:val="none"/>
                <w:vertAlign w:val="subscript"/>
                <w:lang w:eastAsia="zh-CN"/>
                <w14:textFill>
                  <w14:solidFill>
                    <w14:schemeClr w14:val="tx1"/>
                  </w14:solidFill>
                </w14:textFill>
              </w:rPr>
              <w:t>0</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——参考位置距声源的距离。</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4" w:firstLineChars="202"/>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如果已知点声源的倍频带声功率级或A计权声功率级（</w:t>
            </w:r>
            <w:r>
              <w:rPr>
                <w:rStyle w:val="34"/>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w:t>L</w:t>
            </w:r>
            <w:r>
              <w:rPr>
                <w:rStyle w:val="34"/>
                <w:rFonts w:hint="default" w:ascii="Times New Roman" w:hAnsi="Times New Roman" w:eastAsia="宋体" w:cs="Times New Roman"/>
                <w:b w:val="0"/>
                <w:bCs/>
                <w:i/>
                <w:color w:val="000000" w:themeColor="text1"/>
                <w:sz w:val="24"/>
                <w:szCs w:val="24"/>
                <w:highlight w:val="none"/>
                <w:vertAlign w:val="subscript"/>
                <w:lang w:eastAsia="zh-CN"/>
                <w14:textFill>
                  <w14:solidFill>
                    <w14:schemeClr w14:val="tx1"/>
                  </w14:solidFill>
                </w14:textFill>
              </w:rPr>
              <w:t>Aw</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），且声源处于自由声场，则（式3.1）等效为（式3.3）或（式3.4）：</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jc w:val="both"/>
              <w:textAlignment w:val="auto"/>
              <w:rPr>
                <w:rStyle w:val="34"/>
                <w:rFonts w:hint="default" w:ascii="Times New Roman" w:hAnsi="Times New Roman" w:eastAsia="宋体" w:cs="Times New Roman"/>
                <w:b w:val="0"/>
                <w:bCs/>
                <w:i/>
                <w:color w:val="000000" w:themeColor="text1"/>
                <w:sz w:val="24"/>
                <w:szCs w:val="24"/>
                <w:highlight w:val="none"/>
                <w14:textFill>
                  <w14:solidFill>
                    <w14:schemeClr w14:val="tx1"/>
                  </w14:solidFill>
                </w14:textFill>
              </w:rPr>
            </w:pPr>
            <m:oMathPara>
              <m:oMathParaPr>
                <m:jc m:val="center"/>
              </m:oMathParaPr>
              <m:oMath>
                <m:sSub>
                  <m:sSubP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P</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ub>
                </m:sSub>
                <m:d>
                  <m:dP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dPr>
                  <m:e>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e>
                </m:d>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m:t>
                </m:r>
                <m:sSub>
                  <m:sSubP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w</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−20</m:t>
                </m:r>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lgr</m:t>
                </m:r>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−11……………………………</m:t>
                </m:r>
                <m:r>
                  <m:rPr>
                    <m:nor/>
                    <m:sty m:val="p"/>
                  </m:rPr>
                  <w:rPr>
                    <w:rFonts w:hint="default" w:ascii="Times New Roman" w:hAnsi="Times New Roman" w:eastAsia="宋体" w:cs="Times New Roman"/>
                    <w:b w:val="0"/>
                    <w:i w:val="0"/>
                    <w:color w:val="000000" w:themeColor="text1"/>
                    <w:sz w:val="24"/>
                    <w:szCs w:val="24"/>
                    <w:highlight w:val="none"/>
                    <w:lang w:eastAsia="zh-CN"/>
                    <w14:textFill>
                      <w14:solidFill>
                        <w14:schemeClr w14:val="tx1"/>
                      </w14:solidFill>
                    </w14:textFill>
                  </w:rPr>
                  <m:t>（式3.3）</m:t>
                </m:r>
              </m:oMath>
            </m:oMathPara>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式中：</w:t>
            </w:r>
            <w:r>
              <w:rPr>
                <w:rStyle w:val="34"/>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w:t>L</w:t>
            </w:r>
            <w:r>
              <w:rPr>
                <w:rStyle w:val="34"/>
                <w:rFonts w:hint="default" w:ascii="Times New Roman" w:hAnsi="Times New Roman" w:eastAsia="宋体" w:cs="Times New Roman"/>
                <w:b w:val="0"/>
                <w:bCs/>
                <w:i/>
                <w:color w:val="000000" w:themeColor="text1"/>
                <w:sz w:val="24"/>
                <w:szCs w:val="24"/>
                <w:highlight w:val="none"/>
                <w:vertAlign w:val="subscript"/>
                <w:lang w:eastAsia="zh-CN"/>
                <w14:textFill>
                  <w14:solidFill>
                    <w14:schemeClr w14:val="tx1"/>
                  </w14:solidFill>
                </w14:textFill>
              </w:rPr>
              <w:t>p</w:t>
            </w:r>
            <w:r>
              <w:rPr>
                <w:rStyle w:val="34"/>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——预测点处声压级，dB；</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w:t>L</w:t>
            </w:r>
            <w:r>
              <w:rPr>
                <w:rStyle w:val="34"/>
                <w:rFonts w:hint="default" w:ascii="Times New Roman" w:hAnsi="Times New Roman" w:eastAsia="宋体" w:cs="Times New Roman"/>
                <w:b w:val="0"/>
                <w:bCs/>
                <w:i/>
                <w:color w:val="000000" w:themeColor="text1"/>
                <w:sz w:val="24"/>
                <w:szCs w:val="24"/>
                <w:highlight w:val="none"/>
                <w:vertAlign w:val="subscript"/>
                <w:lang w:eastAsia="zh-CN"/>
                <w14:textFill>
                  <w14:solidFill>
                    <w14:schemeClr w14:val="tx1"/>
                  </w14:solidFill>
                </w14:textFill>
              </w:rPr>
              <w:t>w</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——由点声源产生的倍频带声功率级，dB；</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——预测点距声源的距离。</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jc w:val="both"/>
              <w:textAlignment w:val="auto"/>
              <w:rPr>
                <w:rStyle w:val="34"/>
                <w:rFonts w:hint="default" w:ascii="Times New Roman" w:hAnsi="Times New Roman" w:eastAsia="宋体" w:cs="Times New Roman"/>
                <w:b w:val="0"/>
                <w:bCs/>
                <w:color w:val="000000" w:themeColor="text1"/>
                <w:sz w:val="24"/>
                <w:szCs w:val="24"/>
                <w:highlight w:val="none"/>
                <w14:textFill>
                  <w14:solidFill>
                    <w14:schemeClr w14:val="tx1"/>
                  </w14:solidFill>
                </w14:textFill>
              </w:rPr>
            </w:pPr>
            <m:oMathPara>
              <m:oMathParaPr>
                <m:jc m:val="center"/>
              </m:oMathParaPr>
              <m:oMath>
                <m:sSub>
                  <m:sSubP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A</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ub>
                </m:sSub>
                <m:d>
                  <m:dP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dPr>
                  <m:e>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e>
                </m:d>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m:t>
                </m:r>
                <m:sSub>
                  <m:sSubP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Aw</m:t>
                    </m:r>
                    <m:ctrlPr>
                      <w:rPr>
                        <w:rFonts w:hint="default" w:ascii="Cambria Math" w:hAnsi="Cambria Math" w:eastAsia="宋体" w:cs="Times New Roman"/>
                        <w:b w:val="0"/>
                        <w:i/>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−20</m:t>
                </m:r>
                <m:r>
                  <m:rPr>
                    <m:nor/>
                  </m:rPr>
                  <w:rPr>
                    <w:rFonts w:hint="default" w:ascii="Times New Roman" w:hAnsi="Times New Roman" w:eastAsia="宋体" w:cs="Times New Roman"/>
                    <w:b w:val="0"/>
                    <w:i/>
                    <w:color w:val="000000" w:themeColor="text1"/>
                    <w:sz w:val="24"/>
                    <w:szCs w:val="24"/>
                    <w:highlight w:val="none"/>
                    <w14:textFill>
                      <w14:solidFill>
                        <w14:schemeClr w14:val="tx1"/>
                      </w14:solidFill>
                    </w14:textFill>
                  </w:rPr>
                  <m:t>lgr</m:t>
                </m:r>
                <m:r>
                  <m:rPr>
                    <m:nor/>
                    <m:sty m:val="p"/>
                  </m:rPr>
                  <w:rPr>
                    <w:rFonts w:hint="default" w:ascii="Times New Roman" w:hAnsi="Times New Roman" w:eastAsia="宋体" w:cs="Times New Roman"/>
                    <w:b w:val="0"/>
                    <w:i w:val="0"/>
                    <w:color w:val="000000" w:themeColor="text1"/>
                    <w:sz w:val="24"/>
                    <w:szCs w:val="24"/>
                    <w:highlight w:val="none"/>
                    <w14:textFill>
                      <w14:solidFill>
                        <w14:schemeClr w14:val="tx1"/>
                      </w14:solidFill>
                    </w14:textFill>
                  </w:rPr>
                  <m:t>−11……………………………</m:t>
                </m:r>
                <m:r>
                  <m:rPr>
                    <m:nor/>
                    <m:sty m:val="p"/>
                  </m:rPr>
                  <w:rPr>
                    <w:rFonts w:hint="default" w:ascii="Times New Roman" w:hAnsi="Times New Roman" w:eastAsia="宋体" w:cs="Times New Roman"/>
                    <w:b w:val="0"/>
                    <w:i w:val="0"/>
                    <w:color w:val="000000" w:themeColor="text1"/>
                    <w:sz w:val="24"/>
                    <w:szCs w:val="24"/>
                    <w:highlight w:val="none"/>
                    <w:lang w:eastAsia="zh-CN"/>
                    <w14:textFill>
                      <w14:solidFill>
                        <w14:schemeClr w14:val="tx1"/>
                      </w14:solidFill>
                    </w14:textFill>
                  </w:rPr>
                  <m:t>（式3.4）</m:t>
                </m:r>
              </m:oMath>
            </m:oMathPara>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式中：</w:t>
            </w:r>
            <w:r>
              <w:rPr>
                <w:rStyle w:val="34"/>
                <w:rFonts w:hint="default" w:ascii="Times New Roman" w:hAnsi="Times New Roman" w:eastAsia="宋体" w:cs="Times New Roman"/>
                <w:b w:val="0"/>
                <w:bCs/>
                <w:i/>
                <w:iCs/>
                <w:color w:val="000000" w:themeColor="text1"/>
                <w:sz w:val="24"/>
                <w:szCs w:val="24"/>
                <w:highlight w:val="none"/>
                <w:lang w:eastAsia="zh-CN"/>
                <w14:textFill>
                  <w14:solidFill>
                    <w14:schemeClr w14:val="tx1"/>
                  </w14:solidFill>
                </w14:textFill>
              </w:rPr>
              <w:t>L</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A(</w:t>
            </w:r>
            <w:r>
              <w:rPr>
                <w:rStyle w:val="34"/>
                <w:rFonts w:hint="default" w:ascii="Times New Roman" w:hAnsi="Times New Roman" w:eastAsia="宋体" w:cs="Times New Roman"/>
                <w:b w:val="0"/>
                <w:bCs/>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)——距声源</w:t>
            </w:r>
            <w:r>
              <w:rPr>
                <w:rStyle w:val="34"/>
                <w:rFonts w:hint="default" w:ascii="Times New Roman" w:hAnsi="Times New Roman" w:eastAsia="宋体" w:cs="Times New Roman"/>
                <w:b w:val="0"/>
                <w:bCs/>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处的A声级，dB(A</w:t>
            </w:r>
            <w:r>
              <w:rPr>
                <w:rStyle w:val="34"/>
                <w:rFonts w:hint="default" w:ascii="Times New Roman" w:hAnsi="Times New Roman" w:cs="Times New Roman"/>
                <w:b w:val="0"/>
                <w:bCs/>
                <w:color w:val="000000" w:themeColor="text1"/>
                <w:sz w:val="24"/>
                <w:szCs w:val="24"/>
                <w:highlight w:val="none"/>
                <w:lang w:eastAsia="zh-CN"/>
                <w14:textFill>
                  <w14:solidFill>
                    <w14:schemeClr w14:val="tx1"/>
                  </w14:solidFill>
                </w14:textFill>
              </w:rPr>
              <w:t>）</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i/>
                <w:iCs/>
                <w:color w:val="000000" w:themeColor="text1"/>
                <w:sz w:val="24"/>
                <w:szCs w:val="24"/>
                <w:highlight w:val="none"/>
                <w:lang w:eastAsia="zh-CN"/>
                <w14:textFill>
                  <w14:solidFill>
                    <w14:schemeClr w14:val="tx1"/>
                  </w14:solidFill>
                </w14:textFill>
              </w:rPr>
              <w:t>L</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A</w:t>
            </w:r>
            <w:r>
              <w:rPr>
                <w:rStyle w:val="34"/>
                <w:rFonts w:hint="default" w:ascii="Times New Roman" w:hAnsi="Times New Roman" w:eastAsia="宋体" w:cs="Times New Roman"/>
                <w:b w:val="0"/>
                <w:bCs/>
                <w:i/>
                <w:iCs/>
                <w:color w:val="000000" w:themeColor="text1"/>
                <w:sz w:val="24"/>
                <w:szCs w:val="24"/>
                <w:highlight w:val="none"/>
                <w:lang w:eastAsia="zh-CN"/>
                <w14:textFill>
                  <w14:solidFill>
                    <w14:schemeClr w14:val="tx1"/>
                  </w14:solidFill>
                </w14:textFill>
              </w:rPr>
              <w:t>w</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——点声源A计权声功率级，dB；</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——预测点距声源的距离。</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如果声源处于半自由声场，则（式3.1）等效为（式3.5）或（式3.6）：</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2400" w:firstLineChars="1000"/>
              <w:jc w:val="center"/>
              <w:textAlignment w:val="auto"/>
              <w:rPr>
                <w:rStyle w:val="34"/>
                <w:rFonts w:hint="default" w:ascii="Times New Roman" w:hAnsi="Times New Roman" w:eastAsia="宋体" w:cs="Times New Roman"/>
                <w:b/>
                <w:color w:val="000000" w:themeColor="text1"/>
                <w:sz w:val="24"/>
                <w:szCs w:val="24"/>
                <w:highlight w:val="none"/>
                <w:lang w:eastAsia="zh-CN"/>
                <w14:textFill>
                  <w14:solidFill>
                    <w14:schemeClr w14:val="tx1"/>
                  </w14:solidFill>
                </w14:textFill>
              </w:rPr>
            </w:pPr>
            <m:oMathPara>
              <m:oMath>
                <m:sSub>
                  <m:sSubP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m:t>L</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m:t>P</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ub>
                </m:sSub>
                <m:d>
                  <m:dP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dPr>
                  <m:e>
                    <m:r>
                      <m:rPr>
                        <m:nor/>
                      </m:rPr>
                      <w:rPr>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m:t>r</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e>
                </m:d>
                <m:r>
                  <m:rPr>
                    <m:nor/>
                    <m:sty m:val="p"/>
                  </m:rPr>
                  <w:rPr>
                    <w:rFonts w:hint="default" w:ascii="Times New Roman" w:hAnsi="Times New Roman" w:eastAsia="宋体" w:cs="Times New Roman"/>
                    <w:b w:val="0"/>
                    <w:bCs/>
                    <w:i w:val="0"/>
                    <w:color w:val="000000" w:themeColor="text1"/>
                    <w:sz w:val="24"/>
                    <w:szCs w:val="24"/>
                    <w:highlight w:val="none"/>
                    <w:lang w:eastAsia="zh-CN"/>
                    <w14:textFill>
                      <w14:solidFill>
                        <w14:schemeClr w14:val="tx1"/>
                      </w14:solidFill>
                    </w14:textFill>
                  </w:rPr>
                  <m:t>=</m:t>
                </m:r>
                <m:sSub>
                  <m:sSubP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m:t>L</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m:t>w</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bCs/>
                    <w:i w:val="0"/>
                    <w:color w:val="000000" w:themeColor="text1"/>
                    <w:sz w:val="24"/>
                    <w:szCs w:val="24"/>
                    <w:highlight w:val="none"/>
                    <w:lang w:eastAsia="zh-CN"/>
                    <w14:textFill>
                      <w14:solidFill>
                        <w14:schemeClr w14:val="tx1"/>
                      </w14:solidFill>
                    </w14:textFill>
                  </w:rPr>
                  <m:t>−20</m:t>
                </m:r>
                <m:r>
                  <m:rPr>
                    <m:nor/>
                  </m:rPr>
                  <w:rPr>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m:t>lgr</m:t>
                </m:r>
                <m:r>
                  <m:rPr>
                    <m:nor/>
                    <m:sty m:val="p"/>
                  </m:rPr>
                  <w:rPr>
                    <w:rFonts w:hint="default" w:ascii="Times New Roman" w:hAnsi="Times New Roman" w:eastAsia="宋体" w:cs="Times New Roman"/>
                    <w:b w:val="0"/>
                    <w:bCs/>
                    <w:i w:val="0"/>
                    <w:color w:val="000000" w:themeColor="text1"/>
                    <w:sz w:val="24"/>
                    <w:szCs w:val="24"/>
                    <w:highlight w:val="none"/>
                    <w:lang w:eastAsia="zh-CN"/>
                    <w14:textFill>
                      <w14:solidFill>
                        <w14:schemeClr w14:val="tx1"/>
                      </w14:solidFill>
                    </w14:textFill>
                  </w:rPr>
                  <m:t>−8…………………………………（式3.5）</m:t>
                </m:r>
              </m:oMath>
            </m:oMathPara>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式中：</w:t>
            </w:r>
            <w:r>
              <w:rPr>
                <w:rStyle w:val="34"/>
                <w:rFonts w:hint="default" w:ascii="Times New Roman" w:hAnsi="Times New Roman" w:eastAsia="宋体" w:cs="Times New Roman"/>
                <w:i/>
                <w:color w:val="000000" w:themeColor="text1"/>
                <w:sz w:val="24"/>
                <w:szCs w:val="24"/>
                <w:highlight w:val="none"/>
                <w:lang w:eastAsia="zh-CN"/>
                <w14:textFill>
                  <w14:solidFill>
                    <w14:schemeClr w14:val="tx1"/>
                  </w14:solidFill>
                </w14:textFill>
              </w:rPr>
              <w:t>L</w:t>
            </w:r>
            <w:r>
              <w:rPr>
                <w:rStyle w:val="34"/>
                <w:rFonts w:hint="default" w:ascii="Times New Roman" w:hAnsi="Times New Roman" w:eastAsia="宋体" w:cs="Times New Roman"/>
                <w:i/>
                <w:color w:val="000000" w:themeColor="text1"/>
                <w:sz w:val="24"/>
                <w:szCs w:val="24"/>
                <w:highlight w:val="none"/>
                <w:vertAlign w:val="subscript"/>
                <w:lang w:eastAsia="zh-CN"/>
                <w14:textFill>
                  <w14:solidFill>
                    <w14:schemeClr w14:val="tx1"/>
                  </w14:solidFill>
                </w14:textFill>
              </w:rPr>
              <w:t>p</w:t>
            </w:r>
            <w:r>
              <w:rPr>
                <w:rStyle w:val="34"/>
                <w:rFonts w:hint="default" w:ascii="Times New Roman" w:hAnsi="Times New Roman" w:eastAsia="宋体" w:cs="Times New Roman"/>
                <w:i/>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——预测点处声压级，dB；</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i/>
                <w:color w:val="000000" w:themeColor="text1"/>
                <w:sz w:val="24"/>
                <w:szCs w:val="24"/>
                <w:highlight w:val="none"/>
                <w:lang w:eastAsia="zh-CN"/>
                <w14:textFill>
                  <w14:solidFill>
                    <w14:schemeClr w14:val="tx1"/>
                  </w14:solidFill>
                </w14:textFill>
              </w:rPr>
              <w:t>L</w:t>
            </w:r>
            <w:r>
              <w:rPr>
                <w:rStyle w:val="34"/>
                <w:rFonts w:hint="default" w:ascii="Times New Roman" w:hAnsi="Times New Roman" w:eastAsia="宋体" w:cs="Times New Roman"/>
                <w:i/>
                <w:color w:val="000000" w:themeColor="text1"/>
                <w:sz w:val="24"/>
                <w:szCs w:val="24"/>
                <w:highlight w:val="none"/>
                <w:vertAlign w:val="subscript"/>
                <w:lang w:eastAsia="zh-CN"/>
                <w14:textFill>
                  <w14:solidFill>
                    <w14:schemeClr w14:val="tx1"/>
                  </w14:solidFill>
                </w14:textFill>
              </w:rPr>
              <w:t>w</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——由点声源产生的倍频带声功率级，dB；</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i/>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——预测点距声源的距离。</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jc w:val="both"/>
              <w:textAlignment w:val="auto"/>
              <w:rPr>
                <w:rStyle w:val="34"/>
                <w:rFonts w:hint="default" w:ascii="Times New Roman" w:hAnsi="Times New Roman" w:eastAsia="宋体" w:cs="Times New Roman"/>
                <w:color w:val="000000" w:themeColor="text1"/>
                <w:sz w:val="24"/>
                <w:szCs w:val="24"/>
                <w:highlight w:val="none"/>
                <w14:textFill>
                  <w14:solidFill>
                    <w14:schemeClr w14:val="tx1"/>
                  </w14:solidFill>
                </w14:textFill>
              </w:rPr>
            </w:pPr>
            <m:oMathPara>
              <m:oMathParaPr>
                <m:jc m:val="center"/>
              </m:oMathParaPr>
              <m:oMath>
                <m:sSub>
                  <m:sSub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A</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Sub>
                <m:d>
                  <m:d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d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r</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d>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m:t>
                </m:r>
                <m:sSub>
                  <m:sSub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Aw</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−20</m:t>
                </m:r>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lgr</m:t>
                </m:r>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−8…………………………</m:t>
                </m:r>
                <m:r>
                  <m:rPr>
                    <m:nor/>
                    <m:sty m:val="p"/>
                  </m:rPr>
                  <w:rPr>
                    <w:rFonts w:hint="default" w:ascii="Times New Roman" w:hAnsi="Times New Roman" w:eastAsia="宋体" w:cs="Times New Roman"/>
                    <w:b w:val="0"/>
                    <w:bCs/>
                    <w:i w:val="0"/>
                    <w:color w:val="000000" w:themeColor="text1"/>
                    <w:sz w:val="24"/>
                    <w:szCs w:val="24"/>
                    <w:highlight w:val="none"/>
                    <w:lang w:eastAsia="zh-CN"/>
                    <w14:textFill>
                      <w14:solidFill>
                        <w14:schemeClr w14:val="tx1"/>
                      </w14:solidFill>
                    </w14:textFill>
                  </w:rPr>
                  <m:t>（式3.6）</m:t>
                </m:r>
              </m:oMath>
            </m:oMathPara>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式中：</w:t>
            </w: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L</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A(</w:t>
            </w: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)——距声源</w:t>
            </w: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r</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处的A声级，dB(A</w:t>
            </w:r>
            <w:r>
              <w:rPr>
                <w:rStyle w:val="34"/>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pPr>
              <w:pStyle w:val="102"/>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720" w:firstLineChars="300"/>
              <w:jc w:val="both"/>
              <w:textAlignment w:val="auto"/>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L</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A</w:t>
            </w:r>
            <w:r>
              <w:rPr>
                <w:rStyle w:val="34"/>
                <w:rFonts w:hint="default" w:ascii="Times New Roman" w:hAnsi="Times New Roman" w:eastAsia="宋体" w:cs="Times New Roman"/>
                <w:i/>
                <w:iCs/>
                <w:color w:val="000000" w:themeColor="text1"/>
                <w:sz w:val="24"/>
                <w:szCs w:val="24"/>
                <w:highlight w:val="none"/>
                <w:lang w:eastAsia="zh-CN"/>
                <w14:textFill>
                  <w14:solidFill>
                    <w14:schemeClr w14:val="tx1"/>
                  </w14:solidFill>
                </w14:textFill>
              </w:rPr>
              <w:t>w</w:t>
            </w:r>
            <w:r>
              <w:rPr>
                <w:rStyle w:val="34"/>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——点声源A计权声功率级，dB；</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lang w:eastAsia="zh-CN"/>
                <w14:textFill>
                  <w14:solidFill>
                    <w14:schemeClr w14:val="tx1"/>
                  </w14:solidFill>
                </w14:textFill>
              </w:rPr>
              <w:t>r——预测点距声源的距离</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设第i个室外声源在预测点产生的A声级为LAi ，在T时间内该声源工作时间为ti；第j个等效室外声源在预测点产生的A声级为LAj，在T时间内该声源工作时间为tj，则拟建工程声源对预测点产生的贡献值（Leqg）为：</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510"/>
              <w:jc w:val="both"/>
              <w:textAlignment w:val="auto"/>
              <w:rPr>
                <w:rFonts w:hint="default" w:ascii="Times New Roman" w:hAnsi="Times New Roman" w:cs="Times New Roman"/>
                <w:color w:val="000000" w:themeColor="text1"/>
                <w:sz w:val="24"/>
                <w:szCs w:val="24"/>
                <w14:textFill>
                  <w14:solidFill>
                    <w14:schemeClr w14:val="tx1"/>
                  </w14:solidFill>
                </w14:textFill>
              </w:rPr>
            </w:pPr>
            <m:oMathPara>
              <m:oMathParaPr>
                <m:jc m:val="center"/>
              </m:oMathParaPr>
              <m:oMath>
                <m:sSub>
                  <m:sSubP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e>
                  <m:sub>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eqg</m:t>
                    </m:r>
                    <m:ctrlPr>
                      <w:rPr>
                        <w:rFonts w:hint="default" w:ascii="Cambria Math" w:hAnsi="Cambria Math" w:eastAsia="宋体" w:cs="Times New Roman"/>
                        <w:b w:val="0"/>
                        <w:bCs/>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 xml:space="preserve">=10 </m:t>
                </m:r>
                <m:r>
                  <m:rPr>
                    <m:nor/>
                  </m:rPr>
                  <w:rPr>
                    <w:rFonts w:hint="default" w:ascii="Times New Roman" w:hAnsi="Times New Roman" w:eastAsia="宋体" w:cs="Times New Roman"/>
                    <w:b w:val="0"/>
                    <w:bCs/>
                    <w:i/>
                    <w:color w:val="000000" w:themeColor="text1"/>
                    <w:sz w:val="24"/>
                    <w:szCs w:val="24"/>
                    <w:highlight w:val="none"/>
                    <w:lang w:eastAsia="zh-CN"/>
                    <w14:textFill>
                      <w14:solidFill>
                        <w14:schemeClr w14:val="tx1"/>
                      </w14:solidFill>
                    </w14:textFill>
                  </w:rPr>
                  <m:t>lg</m:t>
                </m:r>
                <m:d>
                  <m:dPr>
                    <m:begChr m:val="["/>
                    <m:endChr m:val="]"/>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dPr>
                  <m:e>
                    <m:f>
                      <m:f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fPr>
                      <m:num>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1</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num>
                      <m:den>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T</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den>
                    </m:f>
                    <m:d>
                      <m:d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dPr>
                      <m:e>
                        <m:nary>
                          <m:naryPr>
                            <m:chr m:val="∑"/>
                            <m:limLoc m:val="undOv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naryPr>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i</m:t>
                            </m:r>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=1</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up>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N</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p>
                          <m:e>
                            <m:sSup>
                              <m:sSup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pPr>
                              <m:e>
                                <m:sSub>
                                  <m:sSub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t</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i</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10</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p>
                                <m:sSub>
                                  <m:sSub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bPr>
                                  <m:e>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0.1</m:t>
                                    </m:r>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Ai</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Sub>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p>
                            </m:sSup>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nary>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m:t>
                        </m:r>
                        <m:nary>
                          <m:naryPr>
                            <m:chr m:val="∑"/>
                            <m:limLoc m:val="undOv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naryPr>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j</m:t>
                            </m:r>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=1</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up>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N</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p>
                          <m:e>
                            <m:sSup>
                              <m:sSup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pPr>
                              <m:e>
                                <m:sSub>
                                  <m:sSub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bPr>
                                  <m:e>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t</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j</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Sub>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10</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p>
                                <m:sSub>
                                  <m:sSubP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SubPr>
                                  <m:e>
                                    <m:r>
                                      <m:rPr>
                                        <m:nor/>
                                        <m:sty m:val="p"/>
                                      </m:rPr>
                                      <w:rPr>
                                        <w:rFonts w:hint="default" w:ascii="Times New Roman" w:hAnsi="Times New Roman" w:eastAsia="宋体" w:cs="Times New Roman"/>
                                        <w:b w:val="0"/>
                                        <w:bCs/>
                                        <w:i w:val="0"/>
                                        <w:color w:val="000000" w:themeColor="text1"/>
                                        <w:sz w:val="24"/>
                                        <w:szCs w:val="24"/>
                                        <w:highlight w:val="none"/>
                                        <w14:textFill>
                                          <w14:solidFill>
                                            <w14:schemeClr w14:val="tx1"/>
                                          </w14:solidFill>
                                        </w14:textFill>
                                      </w:rPr>
                                      <m:t>0.1</m:t>
                                    </m:r>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L</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sub>
                                    <m:r>
                                      <m:rPr>
                                        <m:nor/>
                                      </m:rPr>
                                      <w:rPr>
                                        <w:rFonts w:hint="default" w:ascii="Times New Roman" w:hAnsi="Times New Roman" w:eastAsia="宋体" w:cs="Times New Roman"/>
                                        <w:b w:val="0"/>
                                        <w:bCs/>
                                        <w:i/>
                                        <w:color w:val="000000" w:themeColor="text1"/>
                                        <w:sz w:val="24"/>
                                        <w:szCs w:val="24"/>
                                        <w:highlight w:val="none"/>
                                        <w14:textFill>
                                          <w14:solidFill>
                                            <w14:schemeClr w14:val="tx1"/>
                                          </w14:solidFill>
                                        </w14:textFill>
                                      </w:rPr>
                                      <m:t>Aj</m:t>
                                    </m:r>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b>
                                </m:sSub>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sup>
                            </m:sSup>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nary>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d>
                    <m:ctrlPr>
                      <w:rPr>
                        <w:rFonts w:hint="default" w:ascii="Cambria Math" w:hAnsi="Cambria Math" w:eastAsia="宋体" w:cs="Times New Roman"/>
                        <w:b w:val="0"/>
                        <w:bCs/>
                        <w:i/>
                        <w:color w:val="000000" w:themeColor="text1"/>
                        <w:sz w:val="24"/>
                        <w:szCs w:val="24"/>
                        <w:highlight w:val="none"/>
                        <w14:textFill>
                          <w14:solidFill>
                            <w14:schemeClr w14:val="tx1"/>
                          </w14:solidFill>
                        </w14:textFill>
                      </w:rPr>
                    </m:ctrlPr>
                  </m:e>
                </m:d>
              </m:oMath>
            </m:oMathPara>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式中：</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tj—在T时间内j声源工作时间，s；</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ti—在T时间内i声源工作时间，s；</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T—用于计算等效声级的时间，s；</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N—室外声源个数；</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M—等效室外声源个数。</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⑥</w:t>
            </w:r>
            <w:r>
              <w:rPr>
                <w:rFonts w:hint="default" w:ascii="Times New Roman" w:hAnsi="Times New Roman" w:eastAsia="宋体" w:cs="Times New Roman"/>
                <w:b w:val="0"/>
                <w:bCs w:val="0"/>
                <w:color w:val="000000" w:themeColor="text1"/>
                <w:sz w:val="24"/>
                <w14:textFill>
                  <w14:solidFill>
                    <w14:schemeClr w14:val="tx1"/>
                  </w14:solidFill>
                </w14:textFill>
              </w:rPr>
              <w:t>预测点的预测等效声级计算</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考虑到背景噪声的影响，受声点声压级预测值Leq为：</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m:oMathPara>
              <m:oMathParaPr>
                <m:jc m:val="center"/>
              </m:oMathParaPr>
              <m:oMath>
                <m:sSub>
                  <m:sSubPr>
                    <m:ctrlPr>
                      <w:rPr>
                        <w:rFonts w:hint="default" w:ascii="Cambria Math" w:hAnsi="Cambria Math" w:eastAsia="宋体" w:cs="Times New Roman"/>
                        <w:b w:val="0"/>
                        <w:bCs w:val="0"/>
                        <w:color w:val="000000" w:themeColor="text1"/>
                        <w:sz w:val="24"/>
                        <w14:textFill>
                          <w14:solidFill>
                            <w14:schemeClr w14:val="tx1"/>
                          </w14:solidFill>
                        </w14:textFill>
                      </w:rPr>
                    </m:ctrlPr>
                  </m:sSubPr>
                  <m:e>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L</m:t>
                    </m:r>
                    <m:ctrlPr>
                      <w:rPr>
                        <w:rFonts w:hint="default" w:ascii="Cambria Math" w:hAnsi="Cambria Math" w:eastAsia="宋体" w:cs="Times New Roman"/>
                        <w:b w:val="0"/>
                        <w:bCs w:val="0"/>
                        <w:color w:val="000000" w:themeColor="text1"/>
                        <w:sz w:val="24"/>
                        <w14:textFill>
                          <w14:solidFill>
                            <w14:schemeClr w14:val="tx1"/>
                          </w14:solidFill>
                        </w14:textFill>
                      </w:rPr>
                    </m:ctrlPr>
                  </m:e>
                  <m:sub>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eq</m:t>
                    </m:r>
                    <m:ctrlPr>
                      <w:rPr>
                        <w:rFonts w:hint="default" w:ascii="Cambria Math" w:hAnsi="Cambria Math" w:eastAsia="宋体" w:cs="Times New Roman"/>
                        <w:b w:val="0"/>
                        <w:bCs w:val="0"/>
                        <w:color w:val="000000" w:themeColor="text1"/>
                        <w:sz w:val="24"/>
                        <w14:textFill>
                          <w14:solidFill>
                            <w14:schemeClr w14:val="tx1"/>
                          </w14:solidFill>
                        </w14:textFill>
                      </w:rPr>
                    </m:ctrlPr>
                  </m:sub>
                </m:sSub>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=10 lg⁡(</m:t>
                </m:r>
                <m:sSup>
                  <m:sSupPr>
                    <m:ctrlPr>
                      <w:rPr>
                        <w:rFonts w:hint="default" w:ascii="Cambria Math" w:hAnsi="Cambria Math" w:eastAsia="宋体" w:cs="Times New Roman"/>
                        <w:b w:val="0"/>
                        <w:bCs w:val="0"/>
                        <w:color w:val="000000" w:themeColor="text1"/>
                        <w:sz w:val="24"/>
                        <w14:textFill>
                          <w14:solidFill>
                            <w14:schemeClr w14:val="tx1"/>
                          </w14:solidFill>
                        </w14:textFill>
                      </w:rPr>
                    </m:ctrlPr>
                  </m:sSupPr>
                  <m:e>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10</m:t>
                    </m:r>
                    <m:ctrlPr>
                      <w:rPr>
                        <w:rFonts w:hint="default" w:ascii="Cambria Math" w:hAnsi="Cambria Math" w:eastAsia="宋体" w:cs="Times New Roman"/>
                        <w:b w:val="0"/>
                        <w:bCs w:val="0"/>
                        <w:color w:val="000000" w:themeColor="text1"/>
                        <w:sz w:val="24"/>
                        <w14:textFill>
                          <w14:solidFill>
                            <w14:schemeClr w14:val="tx1"/>
                          </w14:solidFill>
                        </w14:textFill>
                      </w:rPr>
                    </m:ctrlPr>
                  </m:e>
                  <m:sup>
                    <m:sSub>
                      <m:sSubPr>
                        <m:ctrlPr>
                          <w:rPr>
                            <w:rFonts w:hint="default" w:ascii="Cambria Math" w:hAnsi="Cambria Math" w:eastAsia="宋体" w:cs="Times New Roman"/>
                            <w:b w:val="0"/>
                            <w:bCs w:val="0"/>
                            <w:color w:val="000000" w:themeColor="text1"/>
                            <w:sz w:val="24"/>
                            <w14:textFill>
                              <w14:solidFill>
                                <w14:schemeClr w14:val="tx1"/>
                              </w14:solidFill>
                            </w14:textFill>
                          </w:rPr>
                        </m:ctrlPr>
                      </m:sSubPr>
                      <m:e>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0.1L</m:t>
                        </m:r>
                        <m:ctrlPr>
                          <w:rPr>
                            <w:rFonts w:hint="default" w:ascii="Cambria Math" w:hAnsi="Cambria Math" w:eastAsia="宋体" w:cs="Times New Roman"/>
                            <w:b w:val="0"/>
                            <w:bCs w:val="0"/>
                            <w:color w:val="000000" w:themeColor="text1"/>
                            <w:sz w:val="24"/>
                            <w14:textFill>
                              <w14:solidFill>
                                <w14:schemeClr w14:val="tx1"/>
                              </w14:solidFill>
                            </w14:textFill>
                          </w:rPr>
                        </m:ctrlPr>
                      </m:e>
                      <m:sub>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eqg</m:t>
                        </m:r>
                        <m:ctrlPr>
                          <w:rPr>
                            <w:rFonts w:hint="default" w:ascii="Cambria Math" w:hAnsi="Cambria Math" w:eastAsia="宋体" w:cs="Times New Roman"/>
                            <w:b w:val="0"/>
                            <w:bCs w:val="0"/>
                            <w:color w:val="000000" w:themeColor="text1"/>
                            <w:sz w:val="24"/>
                            <w14:textFill>
                              <w14:solidFill>
                                <w14:schemeClr w14:val="tx1"/>
                              </w14:solidFill>
                            </w14:textFill>
                          </w:rPr>
                        </m:ctrlPr>
                      </m:sub>
                    </m:sSub>
                    <m:ctrlPr>
                      <w:rPr>
                        <w:rFonts w:hint="default" w:ascii="Cambria Math" w:hAnsi="Cambria Math" w:eastAsia="宋体" w:cs="Times New Roman"/>
                        <w:b w:val="0"/>
                        <w:bCs w:val="0"/>
                        <w:color w:val="000000" w:themeColor="text1"/>
                        <w:sz w:val="24"/>
                        <w14:textFill>
                          <w14:solidFill>
                            <w14:schemeClr w14:val="tx1"/>
                          </w14:solidFill>
                        </w14:textFill>
                      </w:rPr>
                    </m:ctrlPr>
                  </m:sup>
                </m:sSup>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m:t>
                </m:r>
                <m:sSup>
                  <m:sSupPr>
                    <m:ctrlPr>
                      <w:rPr>
                        <w:rFonts w:hint="default" w:ascii="Cambria Math" w:hAnsi="Cambria Math" w:eastAsia="宋体" w:cs="Times New Roman"/>
                        <w:b w:val="0"/>
                        <w:bCs w:val="0"/>
                        <w:color w:val="000000" w:themeColor="text1"/>
                        <w:sz w:val="24"/>
                        <w14:textFill>
                          <w14:solidFill>
                            <w14:schemeClr w14:val="tx1"/>
                          </w14:solidFill>
                        </w14:textFill>
                      </w:rPr>
                    </m:ctrlPr>
                  </m:sSupPr>
                  <m:e>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10</m:t>
                    </m:r>
                    <m:ctrlPr>
                      <w:rPr>
                        <w:rFonts w:hint="default" w:ascii="Cambria Math" w:hAnsi="Cambria Math" w:eastAsia="宋体" w:cs="Times New Roman"/>
                        <w:b w:val="0"/>
                        <w:bCs w:val="0"/>
                        <w:color w:val="000000" w:themeColor="text1"/>
                        <w:sz w:val="24"/>
                        <w14:textFill>
                          <w14:solidFill>
                            <w14:schemeClr w14:val="tx1"/>
                          </w14:solidFill>
                        </w14:textFill>
                      </w:rPr>
                    </m:ctrlPr>
                  </m:e>
                  <m:sup>
                    <m:sSub>
                      <m:sSubPr>
                        <m:ctrlPr>
                          <w:rPr>
                            <w:rFonts w:hint="default" w:ascii="Cambria Math" w:hAnsi="Cambria Math" w:eastAsia="宋体" w:cs="Times New Roman"/>
                            <w:b w:val="0"/>
                            <w:bCs w:val="0"/>
                            <w:color w:val="000000" w:themeColor="text1"/>
                            <w:sz w:val="24"/>
                            <w14:textFill>
                              <w14:solidFill>
                                <w14:schemeClr w14:val="tx1"/>
                              </w14:solidFill>
                            </w14:textFill>
                          </w:rPr>
                        </m:ctrlPr>
                      </m:sSubPr>
                      <m:e>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0.1L</m:t>
                        </m:r>
                        <m:ctrlPr>
                          <w:rPr>
                            <w:rFonts w:hint="default" w:ascii="Cambria Math" w:hAnsi="Cambria Math" w:eastAsia="宋体" w:cs="Times New Roman"/>
                            <w:b w:val="0"/>
                            <w:bCs w:val="0"/>
                            <w:color w:val="000000" w:themeColor="text1"/>
                            <w:sz w:val="24"/>
                            <w14:textFill>
                              <w14:solidFill>
                                <w14:schemeClr w14:val="tx1"/>
                              </w14:solidFill>
                            </w14:textFill>
                          </w:rPr>
                        </m:ctrlPr>
                      </m:e>
                      <m:sub>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eqb</m:t>
                        </m:r>
                        <m:ctrlPr>
                          <w:rPr>
                            <w:rFonts w:hint="default" w:ascii="Cambria Math" w:hAnsi="Cambria Math" w:eastAsia="宋体" w:cs="Times New Roman"/>
                            <w:b w:val="0"/>
                            <w:bCs w:val="0"/>
                            <w:color w:val="000000" w:themeColor="text1"/>
                            <w:sz w:val="24"/>
                            <w14:textFill>
                              <w14:solidFill>
                                <w14:schemeClr w14:val="tx1"/>
                              </w14:solidFill>
                            </w14:textFill>
                          </w:rPr>
                        </m:ctrlPr>
                      </m:sub>
                    </m:sSub>
                    <m:ctrlPr>
                      <w:rPr>
                        <w:rFonts w:hint="default" w:ascii="Cambria Math" w:hAnsi="Cambria Math" w:eastAsia="宋体" w:cs="Times New Roman"/>
                        <w:b w:val="0"/>
                        <w:bCs w:val="0"/>
                        <w:color w:val="000000" w:themeColor="text1"/>
                        <w:sz w:val="24"/>
                        <w14:textFill>
                          <w14:solidFill>
                            <w14:schemeClr w14:val="tx1"/>
                          </w14:solidFill>
                        </w14:textFill>
                      </w:rPr>
                    </m:ctrlPr>
                  </m:sup>
                </m:sSup>
                <m:r>
                  <m:rPr>
                    <m:nor/>
                    <m:sty m:val="p"/>
                  </m:rPr>
                  <w:rPr>
                    <w:rFonts w:hint="default" w:ascii="Times New Roman" w:hAnsi="Times New Roman" w:eastAsia="宋体" w:cs="Times New Roman"/>
                    <w:b w:val="0"/>
                    <w:bCs w:val="0"/>
                    <w:i w:val="0"/>
                    <w:color w:val="000000" w:themeColor="text1"/>
                    <w:sz w:val="24"/>
                    <w14:textFill>
                      <w14:solidFill>
                        <w14:schemeClr w14:val="tx1"/>
                      </w14:solidFill>
                    </w14:textFill>
                  </w:rPr>
                  <m:t>)</m:t>
                </m:r>
              </m:oMath>
            </m:oMathPara>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式中：</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Leq—建设项目声源在预测点的等效声级贡献值，dB(A</w:t>
            </w:r>
            <w:r>
              <w:rPr>
                <w:rFonts w:hint="default" w:ascii="Times New Roman" w:hAnsi="Times New Roman" w:eastAsia="宋体" w:cs="Times New Roman"/>
                <w:b w:val="0"/>
                <w:bCs w:val="0"/>
                <w:color w:val="000000" w:themeColor="text1"/>
                <w:sz w:val="24"/>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14:textFill>
                  <w14:solidFill>
                    <w14:schemeClr w14:val="tx1"/>
                  </w14:solidFill>
                </w14:textFill>
              </w:rPr>
              <w:t>；</w:t>
            </w:r>
          </w:p>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Leqb—预测点的背景值，dB(A</w:t>
            </w:r>
            <w:r>
              <w:rPr>
                <w:rFonts w:hint="default" w:ascii="Times New Roman" w:hAnsi="Times New Roman" w:eastAsia="宋体" w:cs="Times New Roman"/>
                <w:b w:val="0"/>
                <w:bCs w:val="0"/>
                <w:color w:val="000000" w:themeColor="text1"/>
                <w:sz w:val="24"/>
                <w:lang w:eastAsia="zh-CN"/>
                <w14:textFill>
                  <w14:solidFill>
                    <w14:schemeClr w14:val="tx1"/>
                  </w14:solidFill>
                </w14:textFill>
              </w:rPr>
              <w:t>）</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w:t>
            </w:r>
          </w:p>
          <w:p>
            <w:pPr>
              <w:autoSpaceDE w:val="0"/>
              <w:autoSpaceDN w:val="0"/>
              <w:adjustRightInd w:val="0"/>
              <w:spacing w:line="360" w:lineRule="auto"/>
              <w:jc w:val="left"/>
              <w:rPr>
                <w:rFonts w:hint="default" w:ascii="Times New Roman" w:hAnsi="Times New Roman" w:cs="Times New Roman"/>
                <w:b/>
                <w:color w:val="000000" w:themeColor="text1"/>
                <w:sz w:val="24"/>
                <w14:textFill>
                  <w14:solidFill>
                    <w14:schemeClr w14:val="tx1"/>
                  </w14:solidFill>
                </w14:textFill>
              </w:rPr>
            </w:pPr>
            <w:r>
              <w:rPr>
                <w:rFonts w:hint="default" w:ascii="Times New Roman" w:hAnsi="Times New Roman" w:cs="Times New Roman"/>
                <w:b/>
                <w:color w:val="000000" w:themeColor="text1"/>
                <w:sz w:val="24"/>
                <w14:textFill>
                  <w14:solidFill>
                    <w14:schemeClr w14:val="tx1"/>
                  </w14:solidFill>
                </w14:textFill>
              </w:rPr>
              <w:t>3.3</w:t>
            </w:r>
            <w:r>
              <w:rPr>
                <w:rFonts w:hint="default" w:ascii="Times New Roman" w:hAnsi="Times New Roman" w:cs="Times New Roman"/>
                <w:b/>
                <w:color w:val="000000" w:themeColor="text1"/>
                <w:sz w:val="24"/>
                <w:lang w:val="en-US" w:eastAsia="zh-CN"/>
                <w14:textFill>
                  <w14:solidFill>
                    <w14:schemeClr w14:val="tx1"/>
                  </w14:solidFill>
                </w14:textFill>
              </w:rPr>
              <w:t xml:space="preserve"> </w:t>
            </w:r>
            <w:r>
              <w:rPr>
                <w:rFonts w:hint="default" w:ascii="Times New Roman" w:hAnsi="Times New Roman" w:cs="Times New Roman"/>
                <w:b/>
                <w:color w:val="000000" w:themeColor="text1"/>
                <w:sz w:val="24"/>
                <w14:textFill>
                  <w14:solidFill>
                    <w14:schemeClr w14:val="tx1"/>
                  </w14:solidFill>
                </w14:textFill>
              </w:rPr>
              <w:t>预测结果</w:t>
            </w:r>
          </w:p>
          <w:p>
            <w:pPr>
              <w:pStyle w:val="27"/>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项目各设备噪声源同时运行时对厂界噪声贡献值见表4-</w:t>
            </w: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w:t>
            </w:r>
          </w:p>
          <w:p>
            <w:pPr>
              <w:pStyle w:val="44"/>
              <w:bidi w:val="0"/>
              <w:spacing w:line="240" w:lineRule="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表4-</w:t>
            </w:r>
            <w:r>
              <w:rPr>
                <w:rFonts w:hint="eastAsia" w:cs="Times New Roman"/>
                <w:color w:val="000000" w:themeColor="text1"/>
                <w:sz w:val="21"/>
                <w:szCs w:val="21"/>
                <w:lang w:val="en-US" w:eastAsia="zh-CN"/>
                <w14:textFill>
                  <w14:solidFill>
                    <w14:schemeClr w14:val="tx1"/>
                  </w14:solidFill>
                </w14:textFill>
              </w:rPr>
              <w:t>10</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eastAsia" w:cs="Times New Roman"/>
                <w:color w:val="000000" w:themeColor="text1"/>
                <w:sz w:val="21"/>
                <w:szCs w:val="21"/>
                <w:lang w:val="en-US" w:eastAsia="zh-CN"/>
                <w14:textFill>
                  <w14:solidFill>
                    <w14:schemeClr w14:val="tx1"/>
                  </w14:solidFill>
                </w14:textFill>
              </w:rPr>
              <w:t>厂界贡献</w:t>
            </w:r>
            <w:r>
              <w:rPr>
                <w:rFonts w:hint="default" w:ascii="Times New Roman" w:hAnsi="Times New Roman" w:cs="Times New Roman"/>
                <w:color w:val="000000" w:themeColor="text1"/>
                <w:sz w:val="21"/>
                <w:szCs w:val="21"/>
                <w14:textFill>
                  <w14:solidFill>
                    <w14:schemeClr w14:val="tx1"/>
                  </w14:solidFill>
                </w14:textFill>
              </w:rPr>
              <w:t>值</w:t>
            </w:r>
            <w:r>
              <w:rPr>
                <w:rFonts w:hint="eastAsia" w:cs="Times New Roman"/>
                <w:color w:val="000000" w:themeColor="text1"/>
                <w:sz w:val="21"/>
                <w:szCs w:val="21"/>
                <w:lang w:val="en-US" w:eastAsia="zh-CN"/>
                <w14:textFill>
                  <w14:solidFill>
                    <w14:schemeClr w14:val="tx1"/>
                  </w14:solidFill>
                </w14:textFill>
              </w:rPr>
              <w:t>一览</w:t>
            </w:r>
            <w:r>
              <w:rPr>
                <w:rFonts w:hint="default" w:ascii="Times New Roman" w:hAnsi="Times New Roman" w:cs="Times New Roman"/>
                <w:color w:val="000000" w:themeColor="text1"/>
                <w:sz w:val="21"/>
                <w:szCs w:val="21"/>
                <w14:textFill>
                  <w14:solidFill>
                    <w14:schemeClr w14:val="tx1"/>
                  </w14:solidFill>
                </w14:textFill>
              </w:rPr>
              <w:t>表    单位：dB(A)</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449"/>
              <w:gridCol w:w="801"/>
              <w:gridCol w:w="803"/>
              <w:gridCol w:w="801"/>
              <w:gridCol w:w="803"/>
              <w:gridCol w:w="801"/>
              <w:gridCol w:w="803"/>
              <w:gridCol w:w="801"/>
              <w:gridCol w:w="80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32" w:hRule="atLeast"/>
                <w:tblHeader/>
                <w:jc w:val="center"/>
              </w:trPr>
              <w:tc>
                <w:tcPr>
                  <w:tcW w:w="921" w:type="pct"/>
                  <w:vMerge w:val="restart"/>
                  <w:tcBorders>
                    <w:bottom w:val="single" w:color="auto" w:sz="4"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厂界噪声</w:t>
                  </w:r>
                </w:p>
              </w:tc>
              <w:tc>
                <w:tcPr>
                  <w:tcW w:w="1019" w:type="pct"/>
                  <w:gridSpan w:val="2"/>
                  <w:tcBorders>
                    <w:bottom w:val="single" w:color="auto" w:sz="4"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东厂界</w:t>
                  </w:r>
                </w:p>
              </w:tc>
              <w:tc>
                <w:tcPr>
                  <w:tcW w:w="1019" w:type="pct"/>
                  <w:gridSpan w:val="2"/>
                  <w:tcBorders>
                    <w:bottom w:val="single" w:color="auto" w:sz="4" w:space="0"/>
                  </w:tcBorders>
                  <w:noWrap w:val="0"/>
                  <w:vAlign w:val="center"/>
                </w:tcPr>
                <w:p>
                  <w:pPr>
                    <w:pStyle w:val="45"/>
                    <w:bidi w:val="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西厂界</w:t>
                  </w:r>
                </w:p>
              </w:tc>
              <w:tc>
                <w:tcPr>
                  <w:tcW w:w="1019" w:type="pct"/>
                  <w:gridSpan w:val="2"/>
                  <w:tcBorders>
                    <w:bottom w:val="single" w:color="auto" w:sz="4" w:space="0"/>
                  </w:tcBorders>
                  <w:noWrap w:val="0"/>
                  <w:vAlign w:val="center"/>
                </w:tcPr>
                <w:p>
                  <w:pPr>
                    <w:pStyle w:val="45"/>
                    <w:bidi w:val="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南厂界</w:t>
                  </w:r>
                </w:p>
              </w:tc>
              <w:tc>
                <w:tcPr>
                  <w:tcW w:w="1019" w:type="pct"/>
                  <w:gridSpan w:val="2"/>
                  <w:tcBorders>
                    <w:bottom w:val="single" w:color="auto" w:sz="4" w:space="0"/>
                  </w:tcBorders>
                  <w:noWrap w:val="0"/>
                  <w:vAlign w:val="center"/>
                </w:tcPr>
                <w:p>
                  <w:pPr>
                    <w:pStyle w:val="45"/>
                    <w:bidi w:val="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北厂界</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6" w:hRule="atLeast"/>
                <w:jc w:val="center"/>
              </w:trPr>
              <w:tc>
                <w:tcPr>
                  <w:tcW w:w="921" w:type="pct"/>
                  <w:vMerge w:val="continue"/>
                  <w:tcBorders>
                    <w:top w:val="single" w:color="auto" w:sz="4" w:space="0"/>
                    <w:bottom w:val="single" w:color="auto" w:sz="12" w:space="0"/>
                  </w:tcBorders>
                  <w:noWrap w:val="0"/>
                  <w:vAlign w:val="center"/>
                </w:tcPr>
                <w:p>
                  <w:pPr>
                    <w:pStyle w:val="45"/>
                    <w:bidi w:val="0"/>
                    <w:rPr>
                      <w:rFonts w:hint="default" w:ascii="Times New Roman" w:hAnsi="Times New Roman" w:cs="Times New Roman"/>
                      <w:b/>
                      <w:bCs/>
                      <w:color w:val="000000" w:themeColor="text1"/>
                      <w:lang w:val="en-US"/>
                      <w14:textFill>
                        <w14:solidFill>
                          <w14:schemeClr w14:val="tx1"/>
                        </w14:solidFill>
                      </w14:textFill>
                    </w:rPr>
                  </w:pPr>
                </w:p>
              </w:tc>
              <w:tc>
                <w:tcPr>
                  <w:tcW w:w="509" w:type="pct"/>
                  <w:tcBorders>
                    <w:top w:val="single" w:color="auto" w:sz="4" w:space="0"/>
                    <w:bottom w:val="single" w:color="auto" w:sz="12"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昼</w:t>
                  </w:r>
                </w:p>
              </w:tc>
              <w:tc>
                <w:tcPr>
                  <w:tcW w:w="510" w:type="pct"/>
                  <w:tcBorders>
                    <w:top w:val="single" w:color="auto" w:sz="4" w:space="0"/>
                    <w:bottom w:val="single" w:color="auto" w:sz="12"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夜</w:t>
                  </w:r>
                </w:p>
              </w:tc>
              <w:tc>
                <w:tcPr>
                  <w:tcW w:w="509" w:type="pct"/>
                  <w:tcBorders>
                    <w:top w:val="single" w:color="auto" w:sz="4" w:space="0"/>
                    <w:bottom w:val="single" w:color="auto" w:sz="12"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昼</w:t>
                  </w:r>
                </w:p>
              </w:tc>
              <w:tc>
                <w:tcPr>
                  <w:tcW w:w="510" w:type="pct"/>
                  <w:tcBorders>
                    <w:top w:val="single" w:color="auto" w:sz="4" w:space="0"/>
                    <w:bottom w:val="single" w:color="auto" w:sz="12"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夜</w:t>
                  </w:r>
                </w:p>
              </w:tc>
              <w:tc>
                <w:tcPr>
                  <w:tcW w:w="509" w:type="pct"/>
                  <w:tcBorders>
                    <w:top w:val="single" w:color="auto" w:sz="4" w:space="0"/>
                    <w:bottom w:val="single" w:color="auto" w:sz="12"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昼</w:t>
                  </w:r>
                </w:p>
              </w:tc>
              <w:tc>
                <w:tcPr>
                  <w:tcW w:w="510" w:type="pct"/>
                  <w:tcBorders>
                    <w:top w:val="single" w:color="auto" w:sz="4" w:space="0"/>
                    <w:bottom w:val="single" w:color="auto" w:sz="12"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夜</w:t>
                  </w:r>
                </w:p>
              </w:tc>
              <w:tc>
                <w:tcPr>
                  <w:tcW w:w="509" w:type="pct"/>
                  <w:tcBorders>
                    <w:top w:val="single" w:color="auto" w:sz="4" w:space="0"/>
                    <w:bottom w:val="single" w:color="auto" w:sz="12"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昼</w:t>
                  </w:r>
                </w:p>
              </w:tc>
              <w:tc>
                <w:tcPr>
                  <w:tcW w:w="510" w:type="pct"/>
                  <w:tcBorders>
                    <w:top w:val="single" w:color="auto" w:sz="4" w:space="0"/>
                    <w:bottom w:val="single" w:color="auto" w:sz="12" w:space="0"/>
                  </w:tcBorders>
                  <w:noWrap w:val="0"/>
                  <w:vAlign w:val="center"/>
                </w:tcPr>
                <w:p>
                  <w:pPr>
                    <w:pStyle w:val="45"/>
                    <w:bidi w:val="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夜</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6" w:hRule="atLeast"/>
                <w:jc w:val="center"/>
              </w:trPr>
              <w:tc>
                <w:tcPr>
                  <w:tcW w:w="921" w:type="pct"/>
                  <w:tcBorders>
                    <w:top w:val="single" w:color="auto" w:sz="12" w:space="0"/>
                    <w:bottom w:val="single" w:color="auto" w:sz="4" w:space="0"/>
                  </w:tcBorders>
                  <w:noWrap w:val="0"/>
                  <w:vAlign w:val="center"/>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贡献值</w:t>
                  </w:r>
                </w:p>
              </w:tc>
              <w:tc>
                <w:tcPr>
                  <w:tcW w:w="509" w:type="pct"/>
                  <w:tcBorders>
                    <w:top w:val="single" w:color="auto" w:sz="12" w:space="0"/>
                    <w:bottom w:val="single" w:color="auto" w:sz="4" w:space="0"/>
                  </w:tcBorders>
                  <w:noWrap w:val="0"/>
                  <w:vAlign w:val="bottom"/>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38.5</w:t>
                  </w:r>
                </w:p>
              </w:tc>
              <w:tc>
                <w:tcPr>
                  <w:tcW w:w="510" w:type="pct"/>
                  <w:tcBorders>
                    <w:top w:val="single" w:color="auto" w:sz="12" w:space="0"/>
                    <w:bottom w:val="single" w:color="auto" w:sz="4" w:space="0"/>
                  </w:tcBorders>
                  <w:noWrap w:val="0"/>
                  <w:vAlign w:val="bottom"/>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35.3</w:t>
                  </w:r>
                </w:p>
              </w:tc>
              <w:tc>
                <w:tcPr>
                  <w:tcW w:w="509" w:type="pct"/>
                  <w:tcBorders>
                    <w:top w:val="single" w:color="auto" w:sz="12" w:space="0"/>
                    <w:bottom w:val="single" w:color="auto" w:sz="4" w:space="0"/>
                  </w:tcBorders>
                  <w:noWrap w:val="0"/>
                  <w:vAlign w:val="bottom"/>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44.8</w:t>
                  </w:r>
                </w:p>
              </w:tc>
              <w:tc>
                <w:tcPr>
                  <w:tcW w:w="510" w:type="pct"/>
                  <w:tcBorders>
                    <w:top w:val="single" w:color="auto" w:sz="12" w:space="0"/>
                    <w:bottom w:val="single" w:color="auto" w:sz="4" w:space="0"/>
                  </w:tcBorders>
                  <w:noWrap w:val="0"/>
                  <w:vAlign w:val="bottom"/>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43.5</w:t>
                  </w:r>
                </w:p>
              </w:tc>
              <w:tc>
                <w:tcPr>
                  <w:tcW w:w="509" w:type="pct"/>
                  <w:tcBorders>
                    <w:top w:val="single" w:color="auto" w:sz="12" w:space="0"/>
                    <w:bottom w:val="single" w:color="auto" w:sz="4" w:space="0"/>
                  </w:tcBorders>
                  <w:noWrap w:val="0"/>
                  <w:vAlign w:val="bottom"/>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43.9</w:t>
                  </w:r>
                </w:p>
              </w:tc>
              <w:tc>
                <w:tcPr>
                  <w:tcW w:w="510" w:type="pct"/>
                  <w:tcBorders>
                    <w:top w:val="single" w:color="auto" w:sz="12" w:space="0"/>
                    <w:bottom w:val="single" w:color="auto" w:sz="4" w:space="0"/>
                  </w:tcBorders>
                  <w:noWrap w:val="0"/>
                  <w:vAlign w:val="bottom"/>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41.5</w:t>
                  </w:r>
                </w:p>
              </w:tc>
              <w:tc>
                <w:tcPr>
                  <w:tcW w:w="509" w:type="pct"/>
                  <w:tcBorders>
                    <w:top w:val="single" w:color="auto" w:sz="12" w:space="0"/>
                    <w:bottom w:val="single" w:color="auto" w:sz="4" w:space="0"/>
                  </w:tcBorders>
                  <w:noWrap w:val="0"/>
                  <w:vAlign w:val="bottom"/>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53.0</w:t>
                  </w:r>
                </w:p>
              </w:tc>
              <w:tc>
                <w:tcPr>
                  <w:tcW w:w="510" w:type="pct"/>
                  <w:tcBorders>
                    <w:top w:val="single" w:color="auto" w:sz="12" w:space="0"/>
                    <w:bottom w:val="single" w:color="auto" w:sz="4" w:space="0"/>
                  </w:tcBorders>
                  <w:noWrap w:val="0"/>
                  <w:vAlign w:val="bottom"/>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51.2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6" w:hRule="atLeast"/>
                <w:jc w:val="center"/>
              </w:trPr>
              <w:tc>
                <w:tcPr>
                  <w:tcW w:w="921" w:type="pct"/>
                  <w:tcBorders>
                    <w:top w:val="single" w:color="auto" w:sz="4" w:space="0"/>
                    <w:bottom w:val="single" w:color="000000" w:sz="12" w:space="0"/>
                  </w:tcBorders>
                  <w:noWrap w:val="0"/>
                  <w:vAlign w:val="center"/>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标准值</w:t>
                  </w:r>
                </w:p>
              </w:tc>
              <w:tc>
                <w:tcPr>
                  <w:tcW w:w="509" w:type="pct"/>
                  <w:tcBorders>
                    <w:top w:val="single" w:color="auto" w:sz="4" w:space="0"/>
                    <w:bottom w:val="single" w:color="000000" w:sz="12" w:space="0"/>
                  </w:tcBorders>
                  <w:noWrap w:val="0"/>
                  <w:vAlign w:val="center"/>
                </w:tcPr>
                <w:p>
                  <w:pPr>
                    <w:pStyle w:val="45"/>
                    <w:bidi w:val="0"/>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w:t>
                  </w:r>
                  <w:r>
                    <w:rPr>
                      <w:rFonts w:hint="eastAsia" w:cs="Times New Roman"/>
                      <w:color w:val="000000" w:themeColor="text1"/>
                      <w:lang w:val="en-US" w:eastAsia="zh-CN"/>
                      <w14:textFill>
                        <w14:solidFill>
                          <w14:schemeClr w14:val="tx1"/>
                        </w14:solidFill>
                      </w14:textFill>
                    </w:rPr>
                    <w:t>5</w:t>
                  </w:r>
                </w:p>
              </w:tc>
              <w:tc>
                <w:tcPr>
                  <w:tcW w:w="510" w:type="pct"/>
                  <w:tcBorders>
                    <w:top w:val="single" w:color="auto" w:sz="4" w:space="0"/>
                    <w:bottom w:val="single" w:color="000000" w:sz="12" w:space="0"/>
                  </w:tcBorders>
                  <w:noWrap w:val="0"/>
                  <w:vAlign w:val="center"/>
                </w:tcPr>
                <w:p>
                  <w:pPr>
                    <w:pStyle w:val="45"/>
                    <w:bidi w:val="0"/>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5</w:t>
                  </w:r>
                </w:p>
              </w:tc>
              <w:tc>
                <w:tcPr>
                  <w:tcW w:w="799" w:type="dxa"/>
                  <w:tcBorders>
                    <w:top w:val="single" w:color="auto" w:sz="4" w:space="0"/>
                    <w:bottom w:val="single" w:color="000000" w:sz="12" w:space="0"/>
                  </w:tcBorders>
                  <w:noWrap w:val="0"/>
                  <w:vAlign w:val="center"/>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w:t>
                  </w:r>
                  <w:r>
                    <w:rPr>
                      <w:rFonts w:hint="eastAsia" w:cs="Times New Roman"/>
                      <w:color w:val="000000" w:themeColor="text1"/>
                      <w:lang w:val="en-US" w:eastAsia="zh-CN"/>
                      <w14:textFill>
                        <w14:solidFill>
                          <w14:schemeClr w14:val="tx1"/>
                        </w14:solidFill>
                      </w14:textFill>
                    </w:rPr>
                    <w:t>5</w:t>
                  </w:r>
                </w:p>
              </w:tc>
              <w:tc>
                <w:tcPr>
                  <w:tcW w:w="801" w:type="dxa"/>
                  <w:tcBorders>
                    <w:top w:val="single" w:color="auto" w:sz="4" w:space="0"/>
                    <w:bottom w:val="single" w:color="000000" w:sz="12" w:space="0"/>
                  </w:tcBorders>
                  <w:noWrap w:val="0"/>
                  <w:vAlign w:val="center"/>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5</w:t>
                  </w:r>
                </w:p>
              </w:tc>
              <w:tc>
                <w:tcPr>
                  <w:tcW w:w="799" w:type="dxa"/>
                  <w:tcBorders>
                    <w:top w:val="single" w:color="auto" w:sz="4" w:space="0"/>
                    <w:bottom w:val="single" w:color="000000" w:sz="12" w:space="0"/>
                  </w:tcBorders>
                  <w:noWrap w:val="0"/>
                  <w:vAlign w:val="center"/>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w:t>
                  </w:r>
                  <w:r>
                    <w:rPr>
                      <w:rFonts w:hint="eastAsia" w:cs="Times New Roman"/>
                      <w:color w:val="000000" w:themeColor="text1"/>
                      <w:lang w:val="en-US" w:eastAsia="zh-CN"/>
                      <w14:textFill>
                        <w14:solidFill>
                          <w14:schemeClr w14:val="tx1"/>
                        </w14:solidFill>
                      </w14:textFill>
                    </w:rPr>
                    <w:t>5</w:t>
                  </w:r>
                </w:p>
              </w:tc>
              <w:tc>
                <w:tcPr>
                  <w:tcW w:w="801" w:type="dxa"/>
                  <w:tcBorders>
                    <w:top w:val="single" w:color="auto" w:sz="4" w:space="0"/>
                    <w:bottom w:val="single" w:color="000000" w:sz="12" w:space="0"/>
                  </w:tcBorders>
                  <w:noWrap w:val="0"/>
                  <w:vAlign w:val="center"/>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5</w:t>
                  </w:r>
                </w:p>
              </w:tc>
              <w:tc>
                <w:tcPr>
                  <w:tcW w:w="799" w:type="dxa"/>
                  <w:tcBorders>
                    <w:top w:val="single" w:color="auto" w:sz="4" w:space="0"/>
                    <w:bottom w:val="single" w:color="000000" w:sz="12" w:space="0"/>
                  </w:tcBorders>
                  <w:noWrap w:val="0"/>
                  <w:vAlign w:val="center"/>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w:t>
                  </w:r>
                  <w:r>
                    <w:rPr>
                      <w:rFonts w:hint="eastAsia" w:cs="Times New Roman"/>
                      <w:color w:val="000000" w:themeColor="text1"/>
                      <w:lang w:val="en-US" w:eastAsia="zh-CN"/>
                      <w14:textFill>
                        <w14:solidFill>
                          <w14:schemeClr w14:val="tx1"/>
                        </w14:solidFill>
                      </w14:textFill>
                    </w:rPr>
                    <w:t>5</w:t>
                  </w:r>
                </w:p>
              </w:tc>
              <w:tc>
                <w:tcPr>
                  <w:tcW w:w="801" w:type="dxa"/>
                  <w:tcBorders>
                    <w:top w:val="single" w:color="auto" w:sz="4" w:space="0"/>
                    <w:bottom w:val="single" w:color="000000" w:sz="12" w:space="0"/>
                  </w:tcBorders>
                  <w:noWrap w:val="0"/>
                  <w:vAlign w:val="center"/>
                </w:tcPr>
                <w:p>
                  <w:pPr>
                    <w:pStyle w:val="45"/>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5</w:t>
                  </w:r>
                </w:p>
              </w:tc>
            </w:tr>
          </w:tbl>
          <w:p>
            <w:pPr>
              <w:autoSpaceDE w:val="0"/>
              <w:autoSpaceDN w:val="0"/>
              <w:adjustRightInd w:val="0"/>
              <w:spacing w:line="360" w:lineRule="auto"/>
              <w:ind w:firstLine="480" w:firstLineChars="200"/>
              <w:jc w:val="left"/>
              <w:rPr>
                <w:rFonts w:hint="default" w:ascii="Times New Roman" w:hAnsi="Times New Roman" w:eastAsia="宋体" w:cs="Times New Roman"/>
                <w:b w:val="0"/>
                <w:bCs w:val="0"/>
                <w:color w:val="000000" w:themeColor="text1"/>
                <w:sz w:val="24"/>
                <w:lang w:eastAsia="zh-CN"/>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由上表可知，各厂界噪声</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贡献</w:t>
            </w:r>
            <w:r>
              <w:rPr>
                <w:rFonts w:hint="default" w:ascii="Times New Roman" w:hAnsi="Times New Roman" w:eastAsia="宋体" w:cs="Times New Roman"/>
                <w:b w:val="0"/>
                <w:bCs w:val="0"/>
                <w:color w:val="000000" w:themeColor="text1"/>
                <w:sz w:val="24"/>
                <w14:textFill>
                  <w14:solidFill>
                    <w14:schemeClr w14:val="tx1"/>
                  </w14:solidFill>
                </w14:textFill>
              </w:rPr>
              <w:t>值可以达到《工业企业厂界环境噪声排放标准》（GB</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14:textFill>
                  <w14:solidFill>
                    <w14:schemeClr w14:val="tx1"/>
                  </w14:solidFill>
                </w14:textFill>
              </w:rPr>
              <w:t>12348-2008）</w:t>
            </w:r>
            <w:r>
              <w:rPr>
                <w:rFonts w:hint="eastAsia" w:ascii="Times New Roman" w:hAnsi="Times New Roman" w:eastAsia="宋体" w:cs="Times New Roman"/>
                <w:b w:val="0"/>
                <w:bCs w:val="0"/>
                <w:color w:val="000000" w:themeColor="text1"/>
                <w:sz w:val="24"/>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14:textFill>
                  <w14:solidFill>
                    <w14:schemeClr w14:val="tx1"/>
                  </w14:solidFill>
                </w14:textFill>
              </w:rPr>
              <w:t>类区标准限值，对周围声环境影响不大</w:t>
            </w:r>
            <w:r>
              <w:rPr>
                <w:rFonts w:hint="default" w:ascii="Times New Roman" w:hAnsi="Times New Roman" w:eastAsia="宋体" w:cs="Times New Roman"/>
                <w:b w:val="0"/>
                <w:bCs w:val="0"/>
                <w:color w:val="000000" w:themeColor="text1"/>
                <w:sz w:val="24"/>
                <w:lang w:eastAsia="zh-CN"/>
                <w14:textFill>
                  <w14:solidFill>
                    <w14:schemeClr w14:val="tx1"/>
                  </w14:solidFill>
                </w14:textFill>
              </w:rPr>
              <w:t>。</w:t>
            </w:r>
          </w:p>
          <w:p>
            <w:pPr>
              <w:pStyle w:val="8"/>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3.4 减缓措施</w:t>
            </w:r>
          </w:p>
          <w:p>
            <w:pPr>
              <w:autoSpaceDE w:val="0"/>
              <w:autoSpaceDN w:val="0"/>
              <w:adjustRightInd w:val="0"/>
              <w:spacing w:line="360" w:lineRule="auto"/>
              <w:ind w:firstLine="480" w:firstLineChars="200"/>
              <w:jc w:val="left"/>
              <w:rPr>
                <w:rFonts w:hint="default" w:ascii="Times New Roman" w:hAnsi="Times New Roman" w:cs="Times New Roman"/>
                <w:b w:val="0"/>
                <w:bCs w:val="0"/>
                <w:color w:val="000000" w:themeColor="text1"/>
                <w:sz w:val="24"/>
                <w14:textFill>
                  <w14:solidFill>
                    <w14:schemeClr w14:val="tx1"/>
                  </w14:solidFill>
                </w14:textFill>
              </w:rPr>
            </w:pPr>
            <w:r>
              <w:rPr>
                <w:rFonts w:hint="eastAsia" w:cs="Times New Roman"/>
                <w:b w:val="0"/>
                <w:bCs w:val="0"/>
                <w:color w:val="000000" w:themeColor="text1"/>
                <w:sz w:val="24"/>
                <w:lang w:val="en-US" w:eastAsia="zh-CN"/>
                <w14:textFill>
                  <w14:solidFill>
                    <w14:schemeClr w14:val="tx1"/>
                  </w14:solidFill>
                </w14:textFill>
              </w:rPr>
              <w:t>本</w:t>
            </w:r>
            <w:r>
              <w:rPr>
                <w:rFonts w:hint="default" w:ascii="Times New Roman" w:hAnsi="Times New Roman" w:cs="Times New Roman"/>
                <w:b w:val="0"/>
                <w:bCs w:val="0"/>
                <w:color w:val="000000" w:themeColor="text1"/>
                <w:sz w:val="24"/>
                <w14:textFill>
                  <w14:solidFill>
                    <w14:schemeClr w14:val="tx1"/>
                  </w14:solidFill>
                </w14:textFill>
              </w:rPr>
              <w:t>项目50m范围内不存在敏感目标，不会对周围敏感点造成影响。</w:t>
            </w:r>
          </w:p>
          <w:p>
            <w:pPr>
              <w:autoSpaceDE w:val="0"/>
              <w:autoSpaceDN w:val="0"/>
              <w:adjustRightInd w:val="0"/>
              <w:spacing w:line="360" w:lineRule="auto"/>
              <w:ind w:firstLine="480" w:firstLineChars="200"/>
              <w:jc w:val="left"/>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尽管项目区产生噪声能够达标排放，但企业运营中仍应严格管理，避免出现噪声扰民现象，具体措施为：</w:t>
            </w:r>
          </w:p>
          <w:p>
            <w:pPr>
              <w:autoSpaceDE w:val="0"/>
              <w:autoSpaceDN w:val="0"/>
              <w:adjustRightInd w:val="0"/>
              <w:spacing w:line="360" w:lineRule="auto"/>
              <w:ind w:firstLine="480" w:firstLineChars="200"/>
              <w:jc w:val="left"/>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（1）加强设备检修维护，避免出现非正常高噪声运转；</w:t>
            </w:r>
          </w:p>
          <w:p>
            <w:pPr>
              <w:autoSpaceDE w:val="0"/>
              <w:autoSpaceDN w:val="0"/>
              <w:adjustRightInd w:val="0"/>
              <w:spacing w:line="360" w:lineRule="auto"/>
              <w:ind w:firstLine="480" w:firstLineChars="200"/>
              <w:jc w:val="left"/>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（2）所有设备全部设置在车间内，严禁露天从事生产、维修活动；</w:t>
            </w:r>
          </w:p>
          <w:p>
            <w:pPr>
              <w:autoSpaceDE w:val="0"/>
              <w:autoSpaceDN w:val="0"/>
              <w:adjustRightInd w:val="0"/>
              <w:spacing w:line="360" w:lineRule="auto"/>
              <w:ind w:firstLine="480" w:firstLineChars="200"/>
              <w:jc w:val="left"/>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（3）对高噪声设备要加装</w:t>
            </w:r>
            <w:r>
              <w:rPr>
                <w:rFonts w:hint="default" w:ascii="Times New Roman" w:hAnsi="Times New Roman" w:cs="Times New Roman"/>
                <w:b w:val="0"/>
                <w:bCs w:val="0"/>
                <w:color w:val="000000" w:themeColor="text1"/>
                <w:sz w:val="24"/>
                <w:lang w:val="en-US" w:eastAsia="zh-CN"/>
                <w14:textFill>
                  <w14:solidFill>
                    <w14:schemeClr w14:val="tx1"/>
                  </w14:solidFill>
                </w14:textFill>
              </w:rPr>
              <w:t>减振</w:t>
            </w:r>
            <w:r>
              <w:rPr>
                <w:rFonts w:hint="default" w:ascii="Times New Roman" w:hAnsi="Times New Roman" w:cs="Times New Roman"/>
                <w:b w:val="0"/>
                <w:bCs w:val="0"/>
                <w:color w:val="000000" w:themeColor="text1"/>
                <w:sz w:val="24"/>
                <w14:textFill>
                  <w14:solidFill>
                    <w14:schemeClr w14:val="tx1"/>
                  </w14:solidFill>
                </w14:textFill>
              </w:rPr>
              <w:t>、降噪的防护措施；</w:t>
            </w:r>
          </w:p>
          <w:p>
            <w:pPr>
              <w:autoSpaceDE w:val="0"/>
              <w:autoSpaceDN w:val="0"/>
              <w:adjustRightInd w:val="0"/>
              <w:spacing w:line="360" w:lineRule="auto"/>
              <w:ind w:firstLine="480" w:firstLineChars="200"/>
              <w:jc w:val="left"/>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（4）对操作工人直接接触的噪声设备，采用隔声耳罩，对工人形成一定保护，降噪效果可达5~ 20dB</w:t>
            </w:r>
            <w:r>
              <w:rPr>
                <w:rFonts w:hint="default" w:ascii="Times New Roman" w:hAnsi="Times New Roman" w:cs="Times New Roman"/>
                <w:b w:val="0"/>
                <w:bCs w:val="0"/>
                <w:color w:val="000000" w:themeColor="text1"/>
                <w:sz w:val="24"/>
                <w:lang w:eastAsia="zh-CN"/>
                <w14:textFill>
                  <w14:solidFill>
                    <w14:schemeClr w14:val="tx1"/>
                  </w14:solidFill>
                </w14:textFill>
              </w:rPr>
              <w:t>（</w:t>
            </w:r>
            <w:r>
              <w:rPr>
                <w:rFonts w:hint="default" w:ascii="Times New Roman" w:hAnsi="Times New Roman" w:cs="Times New Roman"/>
                <w:b w:val="0"/>
                <w:bCs w:val="0"/>
                <w:color w:val="000000" w:themeColor="text1"/>
                <w:sz w:val="24"/>
                <w14:textFill>
                  <w14:solidFill>
                    <w14:schemeClr w14:val="tx1"/>
                  </w14:solidFill>
                </w14:textFill>
              </w:rPr>
              <w:t>A</w:t>
            </w:r>
            <w:r>
              <w:rPr>
                <w:rFonts w:hint="default" w:ascii="Times New Roman" w:hAnsi="Times New Roman" w:cs="Times New Roman"/>
                <w:b w:val="0"/>
                <w:bCs w:val="0"/>
                <w:color w:val="000000" w:themeColor="text1"/>
                <w:sz w:val="24"/>
                <w:lang w:eastAsia="zh-CN"/>
                <w14:textFill>
                  <w14:solidFill>
                    <w14:schemeClr w14:val="tx1"/>
                  </w14:solidFill>
                </w14:textFill>
              </w:rPr>
              <w:t>）</w:t>
            </w:r>
            <w:r>
              <w:rPr>
                <w:rFonts w:hint="default" w:ascii="Times New Roman" w:hAnsi="Times New Roman" w:cs="Times New Roman"/>
                <w:b w:val="0"/>
                <w:bCs w:val="0"/>
                <w:color w:val="000000" w:themeColor="text1"/>
                <w:sz w:val="24"/>
                <w14:textFill>
                  <w14:solidFill>
                    <w14:schemeClr w14:val="tx1"/>
                  </w14:solidFill>
                </w14:textFill>
              </w:rPr>
              <w:t>。</w:t>
            </w:r>
          </w:p>
          <w:p>
            <w:pPr>
              <w:pStyle w:val="8"/>
              <w:jc w:val="both"/>
              <w:outlineLvl w:val="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3.5 监测计划</w:t>
            </w:r>
          </w:p>
          <w:p>
            <w:pPr>
              <w:pStyle w:val="27"/>
              <w:ind w:firstLine="48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根据</w:t>
            </w:r>
            <w:r>
              <w:rPr>
                <w:rFonts w:hint="eastAsia" w:ascii="Times New Roman" w:hAnsi="Times New Roman" w:cs="Times New Roman"/>
                <w:b w:val="0"/>
                <w:color w:val="000000" w:themeColor="text1"/>
                <w:kern w:val="2"/>
                <w:sz w:val="24"/>
                <w:szCs w:val="24"/>
                <w:lang w:val="en-US" w:eastAsia="zh-CN" w:bidi="ar-SA"/>
                <w14:textFill>
                  <w14:solidFill>
                    <w14:schemeClr w14:val="tx1"/>
                  </w14:solidFill>
                </w14:textFill>
              </w:rPr>
              <w:t>《排污单位自行监测技术指南 总则》（HJ 819-2017）</w:t>
            </w:r>
            <w:r>
              <w:rPr>
                <w:rFonts w:hint="eastAsia" w:cs="Times New Roman"/>
                <w:b w:val="0"/>
                <w:color w:val="000000" w:themeColor="text1"/>
                <w:kern w:val="2"/>
                <w:sz w:val="24"/>
                <w:szCs w:val="24"/>
                <w:lang w:val="en-US" w:eastAsia="zh-CN" w:bidi="ar-SA"/>
                <w14:textFill>
                  <w14:solidFill>
                    <w14:schemeClr w14:val="tx1"/>
                  </w14:solidFill>
                </w14:textFill>
              </w:rPr>
              <w:t>、《排污许可证申请与核发技术规范 工业噪声》（HJ 1301—2023）</w:t>
            </w:r>
            <w:r>
              <w:rPr>
                <w:rFonts w:hint="eastAsia" w:ascii="Times New Roman" w:hAnsi="Times New Roman" w:cs="Times New Roman"/>
                <w:b w:val="0"/>
                <w:color w:val="000000" w:themeColor="text1"/>
                <w:kern w:val="2"/>
                <w:sz w:val="24"/>
                <w:szCs w:val="24"/>
                <w:lang w:val="en-US" w:eastAsia="zh-CN" w:bidi="ar-SA"/>
                <w14:textFill>
                  <w14:solidFill>
                    <w14:schemeClr w14:val="tx1"/>
                  </w14:solidFill>
                </w14:textFill>
              </w:rPr>
              <w:t>设置监测计划，</w:t>
            </w:r>
            <w:r>
              <w:rPr>
                <w:rFonts w:hint="default" w:ascii="Times New Roman" w:hAnsi="Times New Roman" w:cs="Times New Roman"/>
                <w:color w:val="000000" w:themeColor="text1"/>
                <w14:textFill>
                  <w14:solidFill>
                    <w14:schemeClr w14:val="tx1"/>
                  </w14:solidFill>
                </w14:textFill>
              </w:rPr>
              <w:t>本项目噪声监测方案见表4-</w:t>
            </w:r>
            <w:r>
              <w:rPr>
                <w:rFonts w:hint="eastAsia" w:cs="Times New Roman"/>
                <w:color w:val="000000" w:themeColor="text1"/>
                <w:lang w:val="en-US" w:eastAsia="zh-CN"/>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t>。</w:t>
            </w:r>
          </w:p>
          <w:p>
            <w:pPr>
              <w:pStyle w:val="44"/>
              <w:spacing w:line="240" w:lineRule="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表4-</w:t>
            </w:r>
            <w:r>
              <w:rPr>
                <w:rFonts w:hint="eastAsia" w:cs="Times New Roman"/>
                <w:color w:val="000000" w:themeColor="text1"/>
                <w:sz w:val="21"/>
                <w:szCs w:val="21"/>
                <w:lang w:val="en-US" w:eastAsia="zh-CN"/>
                <w14:textFill>
                  <w14:solidFill>
                    <w14:schemeClr w14:val="tx1"/>
                  </w14:solidFill>
                </w14:textFill>
              </w:rPr>
              <w:t>11</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eastAsia"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14:textFill>
                  <w14:solidFill>
                    <w14:schemeClr w14:val="tx1"/>
                  </w14:solidFill>
                </w14:textFill>
              </w:rPr>
              <w:t>运营期噪声监测计划一览表</w:t>
            </w:r>
          </w:p>
          <w:tbl>
            <w:tblPr>
              <w:tblStyle w:val="32"/>
              <w:tblW w:w="4998" w:type="pct"/>
              <w:tblInd w:w="0" w:type="dxa"/>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108" w:type="dxa"/>
                <w:bottom w:w="0" w:type="dxa"/>
                <w:right w:w="108" w:type="dxa"/>
              </w:tblCellMar>
            </w:tblPr>
            <w:tblGrid>
              <w:gridCol w:w="1423"/>
              <w:gridCol w:w="1641"/>
              <w:gridCol w:w="1424"/>
              <w:gridCol w:w="3377"/>
            </w:tblGrid>
            <w:tr>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420" w:hRule="atLeast"/>
              </w:trPr>
              <w:tc>
                <w:tcPr>
                  <w:tcW w:w="904" w:type="pct"/>
                  <w:vAlign w:val="center"/>
                </w:tcPr>
                <w:p>
                  <w:pPr>
                    <w:pStyle w:val="47"/>
                    <w:tabs>
                      <w:tab w:val="left" w:pos="1845"/>
                    </w:tabs>
                    <w:adjustRightInd/>
                    <w:snapToGrid/>
                    <w:jc w:val="center"/>
                    <w:rPr>
                      <w:rFonts w:hint="default" w:ascii="Times New Roman" w:hAnsi="Times New Roman" w:cs="Times New Roman"/>
                      <w:color w:val="000000" w:themeColor="text1"/>
                      <w:sz w:val="21"/>
                      <w14:textFill>
                        <w14:solidFill>
                          <w14:schemeClr w14:val="tx1"/>
                        </w14:solidFill>
                      </w14:textFill>
                    </w:rPr>
                  </w:pPr>
                  <w:r>
                    <w:rPr>
                      <w:rFonts w:hint="default" w:ascii="Times New Roman" w:hAnsi="Times New Roman" w:cs="Times New Roman"/>
                      <w:color w:val="000000" w:themeColor="text1"/>
                      <w:sz w:val="21"/>
                      <w14:textFill>
                        <w14:solidFill>
                          <w14:schemeClr w14:val="tx1"/>
                        </w14:solidFill>
                      </w14:textFill>
                    </w:rPr>
                    <w:t>监测点位</w:t>
                  </w:r>
                </w:p>
              </w:tc>
              <w:tc>
                <w:tcPr>
                  <w:tcW w:w="1043" w:type="pct"/>
                  <w:vAlign w:val="center"/>
                </w:tcPr>
                <w:p>
                  <w:pPr>
                    <w:pStyle w:val="47"/>
                    <w:tabs>
                      <w:tab w:val="left" w:pos="1845"/>
                    </w:tabs>
                    <w:adjustRightInd/>
                    <w:snapToGrid/>
                    <w:jc w:val="center"/>
                    <w:rPr>
                      <w:rFonts w:hint="default" w:ascii="Times New Roman" w:hAnsi="Times New Roman" w:cs="Times New Roman"/>
                      <w:color w:val="000000" w:themeColor="text1"/>
                      <w:sz w:val="21"/>
                      <w14:textFill>
                        <w14:solidFill>
                          <w14:schemeClr w14:val="tx1"/>
                        </w14:solidFill>
                      </w14:textFill>
                    </w:rPr>
                  </w:pPr>
                  <w:r>
                    <w:rPr>
                      <w:rFonts w:hint="default" w:ascii="Times New Roman" w:hAnsi="Times New Roman" w:cs="Times New Roman"/>
                      <w:color w:val="000000" w:themeColor="text1"/>
                      <w:sz w:val="21"/>
                      <w14:textFill>
                        <w14:solidFill>
                          <w14:schemeClr w14:val="tx1"/>
                        </w14:solidFill>
                      </w14:textFill>
                    </w:rPr>
                    <w:t>监测指标</w:t>
                  </w:r>
                </w:p>
              </w:tc>
              <w:tc>
                <w:tcPr>
                  <w:tcW w:w="905" w:type="pct"/>
                  <w:vAlign w:val="center"/>
                </w:tcPr>
                <w:p>
                  <w:pPr>
                    <w:pStyle w:val="47"/>
                    <w:tabs>
                      <w:tab w:val="left" w:pos="1845"/>
                    </w:tabs>
                    <w:adjustRightInd/>
                    <w:snapToGrid/>
                    <w:jc w:val="center"/>
                    <w:rPr>
                      <w:rFonts w:hint="default" w:ascii="Times New Roman" w:hAnsi="Times New Roman" w:cs="Times New Roman"/>
                      <w:color w:val="000000" w:themeColor="text1"/>
                      <w:sz w:val="21"/>
                      <w14:textFill>
                        <w14:solidFill>
                          <w14:schemeClr w14:val="tx1"/>
                        </w14:solidFill>
                      </w14:textFill>
                    </w:rPr>
                  </w:pPr>
                  <w:r>
                    <w:rPr>
                      <w:rFonts w:hint="default" w:ascii="Times New Roman" w:hAnsi="Times New Roman" w:cs="Times New Roman"/>
                      <w:color w:val="000000" w:themeColor="text1"/>
                      <w:sz w:val="21"/>
                      <w14:textFill>
                        <w14:solidFill>
                          <w14:schemeClr w14:val="tx1"/>
                        </w14:solidFill>
                      </w14:textFill>
                    </w:rPr>
                    <w:t>监测频次</w:t>
                  </w:r>
                </w:p>
              </w:tc>
              <w:tc>
                <w:tcPr>
                  <w:tcW w:w="2146" w:type="pct"/>
                  <w:vAlign w:val="center"/>
                </w:tcPr>
                <w:p>
                  <w:pPr>
                    <w:pStyle w:val="47"/>
                    <w:tabs>
                      <w:tab w:val="left" w:pos="1845"/>
                    </w:tabs>
                    <w:adjustRightInd/>
                    <w:snapToGrid/>
                    <w:jc w:val="center"/>
                    <w:rPr>
                      <w:rFonts w:hint="default" w:ascii="Times New Roman" w:hAnsi="Times New Roman" w:cs="Times New Roman"/>
                      <w:color w:val="000000" w:themeColor="text1"/>
                      <w:sz w:val="21"/>
                      <w14:textFill>
                        <w14:solidFill>
                          <w14:schemeClr w14:val="tx1"/>
                        </w14:solidFill>
                      </w14:textFill>
                    </w:rPr>
                  </w:pPr>
                  <w:r>
                    <w:rPr>
                      <w:rFonts w:hint="default" w:ascii="Times New Roman" w:hAnsi="Times New Roman" w:cs="Times New Roman"/>
                      <w:color w:val="000000" w:themeColor="text1"/>
                      <w:sz w:val="21"/>
                      <w14:textFill>
                        <w14:solidFill>
                          <w14:schemeClr w14:val="tx1"/>
                        </w14:solidFill>
                      </w14:textFill>
                    </w:rPr>
                    <w:t>执行标准</w:t>
                  </w: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415" w:hRule="atLeast"/>
              </w:trPr>
              <w:tc>
                <w:tcPr>
                  <w:tcW w:w="904" w:type="pct"/>
                  <w:vAlign w:val="center"/>
                </w:tcPr>
                <w:p>
                  <w:pPr>
                    <w:pStyle w:val="47"/>
                    <w:tabs>
                      <w:tab w:val="left" w:pos="1845"/>
                    </w:tabs>
                    <w:adjustRightInd/>
                    <w:snapToGrid/>
                    <w:jc w:val="center"/>
                    <w:rPr>
                      <w:rFonts w:hint="default" w:ascii="Times New Roman" w:hAnsi="Times New Roman" w:cs="Times New Roman"/>
                      <w:b w:val="0"/>
                      <w:color w:val="000000" w:themeColor="text1"/>
                      <w:sz w:val="21"/>
                      <w14:textFill>
                        <w14:solidFill>
                          <w14:schemeClr w14:val="tx1"/>
                        </w14:solidFill>
                      </w14:textFill>
                    </w:rPr>
                  </w:pPr>
                  <w:r>
                    <w:rPr>
                      <w:rFonts w:hint="default" w:ascii="Times New Roman" w:hAnsi="Times New Roman" w:cs="Times New Roman"/>
                      <w:b w:val="0"/>
                      <w:color w:val="000000" w:themeColor="text1"/>
                      <w:sz w:val="21"/>
                      <w14:textFill>
                        <w14:solidFill>
                          <w14:schemeClr w14:val="tx1"/>
                        </w14:solidFill>
                      </w14:textFill>
                    </w:rPr>
                    <w:t>厂界</w:t>
                  </w:r>
                  <w:r>
                    <w:rPr>
                      <w:rFonts w:hint="default" w:ascii="Times New Roman" w:hAnsi="Times New Roman" w:cs="Times New Roman"/>
                      <w:b w:val="0"/>
                      <w:color w:val="000000" w:themeColor="text1"/>
                      <w:sz w:val="21"/>
                      <w:lang w:val="en-US" w:eastAsia="zh-CN"/>
                      <w14:textFill>
                        <w14:solidFill>
                          <w14:schemeClr w14:val="tx1"/>
                        </w14:solidFill>
                      </w14:textFill>
                    </w:rPr>
                    <w:t>四周</w:t>
                  </w:r>
                  <w:r>
                    <w:rPr>
                      <w:rFonts w:hint="default" w:ascii="Times New Roman" w:hAnsi="Times New Roman" w:cs="Times New Roman"/>
                      <w:b w:val="0"/>
                      <w:color w:val="000000" w:themeColor="text1"/>
                      <w:sz w:val="21"/>
                      <w14:textFill>
                        <w14:solidFill>
                          <w14:schemeClr w14:val="tx1"/>
                        </w14:solidFill>
                      </w14:textFill>
                    </w:rPr>
                    <w:t>外1米处</w:t>
                  </w:r>
                </w:p>
              </w:tc>
              <w:tc>
                <w:tcPr>
                  <w:tcW w:w="1043" w:type="pct"/>
                  <w:vAlign w:val="center"/>
                </w:tcPr>
                <w:p>
                  <w:pPr>
                    <w:pStyle w:val="47"/>
                    <w:tabs>
                      <w:tab w:val="left" w:pos="1845"/>
                    </w:tabs>
                    <w:adjustRightInd/>
                    <w:snapToGrid/>
                    <w:jc w:val="center"/>
                    <w:rPr>
                      <w:rFonts w:hint="default" w:ascii="Times New Roman" w:hAnsi="Times New Roman" w:cs="Times New Roman"/>
                      <w:b w:val="0"/>
                      <w:color w:val="000000" w:themeColor="text1"/>
                      <w:sz w:val="21"/>
                      <w14:textFill>
                        <w14:solidFill>
                          <w14:schemeClr w14:val="tx1"/>
                        </w14:solidFill>
                      </w14:textFill>
                    </w:rPr>
                  </w:pPr>
                  <w:r>
                    <w:rPr>
                      <w:rFonts w:hint="default" w:ascii="Times New Roman" w:hAnsi="Times New Roman" w:cs="Times New Roman"/>
                      <w:b w:val="0"/>
                      <w:color w:val="000000" w:themeColor="text1"/>
                      <w:sz w:val="21"/>
                      <w14:textFill>
                        <w14:solidFill>
                          <w14:schemeClr w14:val="tx1"/>
                        </w14:solidFill>
                      </w14:textFill>
                    </w:rPr>
                    <w:t>等效连续A声级</w:t>
                  </w:r>
                </w:p>
              </w:tc>
              <w:tc>
                <w:tcPr>
                  <w:tcW w:w="905" w:type="pct"/>
                  <w:vAlign w:val="center"/>
                </w:tcPr>
                <w:p>
                  <w:pPr>
                    <w:pStyle w:val="47"/>
                    <w:tabs>
                      <w:tab w:val="left" w:pos="1845"/>
                    </w:tabs>
                    <w:adjustRightInd/>
                    <w:snapToGrid/>
                    <w:jc w:val="center"/>
                    <w:rPr>
                      <w:rFonts w:hint="default" w:ascii="Times New Roman" w:hAnsi="Times New Roman" w:cs="Times New Roman"/>
                      <w:b w:val="0"/>
                      <w:color w:val="000000" w:themeColor="text1"/>
                      <w:sz w:val="21"/>
                      <w:highlight w:val="yellow"/>
                      <w14:textFill>
                        <w14:solidFill>
                          <w14:schemeClr w14:val="tx1"/>
                        </w14:solidFill>
                      </w14:textFill>
                    </w:rPr>
                  </w:pPr>
                  <w:r>
                    <w:rPr>
                      <w:rFonts w:hint="default" w:ascii="Times New Roman" w:hAnsi="Times New Roman" w:cs="Times New Roman"/>
                      <w:b w:val="0"/>
                      <w:color w:val="000000" w:themeColor="text1"/>
                      <w:sz w:val="21"/>
                      <w14:textFill>
                        <w14:solidFill>
                          <w14:schemeClr w14:val="tx1"/>
                        </w14:solidFill>
                      </w14:textFill>
                    </w:rPr>
                    <w:t>1次/季度</w:t>
                  </w:r>
                </w:p>
              </w:tc>
              <w:tc>
                <w:tcPr>
                  <w:tcW w:w="2146" w:type="pct"/>
                  <w:vAlign w:val="center"/>
                </w:tcPr>
                <w:p>
                  <w:pPr>
                    <w:pStyle w:val="47"/>
                    <w:tabs>
                      <w:tab w:val="left" w:pos="1845"/>
                    </w:tabs>
                    <w:adjustRightInd/>
                    <w:snapToGrid/>
                    <w:jc w:val="center"/>
                    <w:rPr>
                      <w:rFonts w:hint="default" w:ascii="Times New Roman" w:hAnsi="Times New Roman" w:cs="Times New Roman"/>
                      <w:b w:val="0"/>
                      <w:color w:val="000000" w:themeColor="text1"/>
                      <w:sz w:val="21"/>
                      <w14:textFill>
                        <w14:solidFill>
                          <w14:schemeClr w14:val="tx1"/>
                        </w14:solidFill>
                      </w14:textFill>
                    </w:rPr>
                  </w:pPr>
                  <w:r>
                    <w:rPr>
                      <w:rFonts w:hint="default" w:ascii="Times New Roman" w:hAnsi="Times New Roman" w:cs="Times New Roman"/>
                      <w:b w:val="0"/>
                      <w:color w:val="000000" w:themeColor="text1"/>
                      <w:sz w:val="21"/>
                      <w14:textFill>
                        <w14:solidFill>
                          <w14:schemeClr w14:val="tx1"/>
                        </w14:solidFill>
                      </w14:textFill>
                    </w:rPr>
                    <w:t>《工业企业厂界环境噪声排放标准》（GB12348-2008）</w:t>
                  </w:r>
                  <w:r>
                    <w:rPr>
                      <w:rFonts w:hint="eastAsia" w:ascii="Times New Roman" w:cs="Times New Roman"/>
                      <w:b w:val="0"/>
                      <w:color w:val="000000" w:themeColor="text1"/>
                      <w:sz w:val="21"/>
                      <w:lang w:val="en-US" w:eastAsia="zh-CN"/>
                      <w14:textFill>
                        <w14:solidFill>
                          <w14:schemeClr w14:val="tx1"/>
                        </w14:solidFill>
                      </w14:textFill>
                    </w:rPr>
                    <w:t>3</w:t>
                  </w:r>
                  <w:r>
                    <w:rPr>
                      <w:rFonts w:hint="default" w:ascii="Times New Roman" w:hAnsi="Times New Roman" w:cs="Times New Roman"/>
                      <w:b w:val="0"/>
                      <w:color w:val="000000" w:themeColor="text1"/>
                      <w:sz w:val="21"/>
                      <w14:textFill>
                        <w14:solidFill>
                          <w14:schemeClr w14:val="tx1"/>
                        </w14:solidFill>
                      </w14:textFill>
                    </w:rPr>
                    <w:t>类标准</w:t>
                  </w:r>
                </w:p>
              </w:tc>
            </w:tr>
          </w:tbl>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4</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固体废物影响分析</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项目建成后产生的固体废物主要为一般工业固体废物、生活垃圾和危险废物。</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（1）生活垃圾</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生活垃圾主要来自员工办公。本项目劳动人员为141人，按照每人每天产生1kg垃圾计算，则本项目产生垃圾量为0.141t/d（42.3t/a），生活垃圾在厂区内定点收集后，由环卫部门指定地点集中处置。</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（2）一般工业固体废物</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一般工业固体废物主要为废铝杆、边角料、废金属线（头）、废包装材料、挤塑废料、不合格产品。</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①废铝杆、边角料</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项目铝杆生产过程产生的一般固废主要是生产过程中的不合格产品及边角料，本项目的产品产量为65000t/a，根据《排放源统计调查产排污核算方法和系数手册》（2021年）“3252 铝压延加工行业系数手册”中“铝盘条”产品中一般工业固体废物的系数为0.162t/t-产品，则废铝杆、边角料的产生量为10530t/a，废铝杆、边角料回用于生产不外排。</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②废金属线（头）、废包装材料</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根据企业提供资料，项目废金属线（头）的产生量约为20.3t/a，废包装材料产生量约为0.65t/a，废金属线（头）、废包装材料，经收集于一般工业固体废物暂存场所后定期资源外售。</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③挤塑废料</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项目在挤出过程中产生的废料约为原料用量的0.05%，则挤出废料产生量为2.1t/a，此部分废料统一收集后重新返回挤出工序、加热熔融后再利用。</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 xml:space="preserve">④不合格产品 </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项目检测过程中产生的不合格产品主要为挤出过程由于挤出不均匀所致或漏电等产品均为不合格产品，此过程不合格产品产生量约为6t/a，不合格产品回用于生产线。</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（3）危险废物</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危险废物主要为铝灰渣、除尘器收尘灰、废除尘袋、废乳化液、废活性炭、废催化剂、</w:t>
            </w:r>
            <w:r>
              <w:rPr>
                <w:rFonts w:hint="eastAsia" w:cs="Times New Roman"/>
                <w:color w:val="000000" w:themeColor="text1"/>
                <w:kern w:val="0"/>
                <w:sz w:val="24"/>
                <w:lang w:val="en-US" w:eastAsia="zh-CN"/>
                <w14:textFill>
                  <w14:solidFill>
                    <w14:schemeClr w14:val="tx1"/>
                  </w14:solidFill>
                </w14:textFill>
              </w:rPr>
              <w:t>废过滤网、</w:t>
            </w:r>
            <w:r>
              <w:rPr>
                <w:rFonts w:hint="eastAsia" w:cs="Times New Roman"/>
                <w:color w:val="000000" w:themeColor="text1"/>
                <w:lang w:val="en-US" w:eastAsia="zh-CN"/>
                <w14:textFill>
                  <w14:solidFill>
                    <w14:schemeClr w14:val="tx1"/>
                  </w14:solidFill>
                </w14:textFill>
              </w:rPr>
              <w:t>废润滑油、废弃的含油抹布、劳保用品、废润滑油桶、废洗涤液、废洗涤液桶。</w:t>
            </w:r>
          </w:p>
          <w:p>
            <w:pPr>
              <w:pStyle w:val="27"/>
              <w:ind w:firstLine="480"/>
              <w:jc w:val="both"/>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①铝灰渣</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建设单位试运行监测数据，熔炉生产工序会产生铝灰渣，单条生产线月产生量为66t；项目共设置2条生产线，月铝灰渣产生量合计132t。项目年生产运行10个月，核算铝灰渣年产生量为1320t。铝灰渣属于《国家危险废物名录（2025年版）》，危废类别 HW48，代码为321-026-48，暂存于危险废物贮存库，定期交由有资质单位处置。</w:t>
            </w:r>
          </w:p>
          <w:p>
            <w:pPr>
              <w:pStyle w:val="27"/>
              <w:ind w:firstLine="480"/>
              <w:jc w:val="both"/>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②除尘器收尘灰</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本项目除尘器收集的粉尘的量为216.56t/a，收尘灰属于《国家危险废物名录（2025年版）》，危废类别 HW48，代码为321-034-48，暂存于危险废物贮存库，定期交由有资质单位处置。</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③废除尘袋</w:t>
            </w:r>
          </w:p>
          <w:p>
            <w:pPr>
              <w:pStyle w:val="27"/>
              <w:ind w:firstLine="480"/>
              <w:jc w:val="both"/>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本项目袋式除尘器需要定期更换除尘袋，每5 年更换1次，每次更换200个滤袋，每个约0.5kg，产生量约为0.1t/5a</w:t>
            </w:r>
            <w:r>
              <w:rPr>
                <w:rFonts w:hint="eastAsia" w:cs="Times New Roman"/>
                <w:color w:val="000000" w:themeColor="text1"/>
                <w:lang w:val="en-US" w:eastAsia="zh-CN"/>
                <w14:textFill>
                  <w14:solidFill>
                    <w14:schemeClr w14:val="tx1"/>
                  </w14:solidFill>
                </w14:textFill>
              </w:rPr>
              <w:t>。废除尘袋属于《国家危险废物名录（2025年版）》，危废类别 HW49，代码为900-041-49，暂存于危险废物贮存库，定期交由有资质单位处置。</w:t>
            </w:r>
          </w:p>
          <w:p>
            <w:pPr>
              <w:pStyle w:val="27"/>
              <w:ind w:firstLine="480"/>
              <w:jc w:val="both"/>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④废乳化液</w:t>
            </w:r>
          </w:p>
          <w:p>
            <w:pPr>
              <w:pStyle w:val="27"/>
              <w:ind w:firstLine="480"/>
              <w:jc w:val="both"/>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轧制</w:t>
            </w:r>
            <w:r>
              <w:rPr>
                <w:rFonts w:hint="default" w:cs="Times New Roman"/>
                <w:color w:val="000000" w:themeColor="text1"/>
                <w:lang w:val="en-US" w:eastAsia="zh-CN"/>
                <w14:textFill>
                  <w14:solidFill>
                    <w14:schemeClr w14:val="tx1"/>
                  </w14:solidFill>
                </w14:textFill>
              </w:rPr>
              <w:t>会产生一定量的废乳化液，废乳化液的产生量约为</w:t>
            </w:r>
            <w:r>
              <w:rPr>
                <w:rFonts w:hint="eastAsia" w:cs="Times New Roman"/>
                <w:color w:val="000000" w:themeColor="text1"/>
                <w:lang w:val="en-US" w:eastAsia="zh-CN"/>
                <w14:textFill>
                  <w14:solidFill>
                    <w14:schemeClr w14:val="tx1"/>
                  </w14:solidFill>
                </w14:textFill>
              </w:rPr>
              <w:t>4</w:t>
            </w:r>
            <w:r>
              <w:rPr>
                <w:rFonts w:hint="default" w:cs="Times New Roman"/>
                <w:color w:val="000000" w:themeColor="text1"/>
                <w:lang w:val="en-US" w:eastAsia="zh-CN"/>
                <w14:textFill>
                  <w14:solidFill>
                    <w14:schemeClr w14:val="tx1"/>
                  </w14:solidFill>
                </w14:textFill>
              </w:rPr>
              <w:t>t/a</w:t>
            </w:r>
            <w:r>
              <w:rPr>
                <w:rFonts w:hint="eastAsia" w:cs="Times New Roman"/>
                <w:color w:val="000000" w:themeColor="text1"/>
                <w:lang w:val="en-US" w:eastAsia="zh-CN"/>
                <w14:textFill>
                  <w14:solidFill>
                    <w14:schemeClr w14:val="tx1"/>
                  </w14:solidFill>
                </w14:textFill>
              </w:rPr>
              <w:t>，</w:t>
            </w:r>
            <w:r>
              <w:rPr>
                <w:rFonts w:hint="default" w:cs="Times New Roman"/>
                <w:color w:val="000000" w:themeColor="text1"/>
                <w:lang w:val="en-US" w:eastAsia="zh-CN"/>
                <w14:textFill>
                  <w14:solidFill>
                    <w14:schemeClr w14:val="tx1"/>
                  </w14:solidFill>
                </w14:textFill>
              </w:rPr>
              <w:t>废皂化液</w:t>
            </w:r>
            <w:r>
              <w:rPr>
                <w:rFonts w:hint="eastAsia" w:cs="Times New Roman"/>
                <w:color w:val="000000" w:themeColor="text1"/>
                <w:lang w:val="en-US" w:eastAsia="zh-CN"/>
                <w14:textFill>
                  <w14:solidFill>
                    <w14:schemeClr w14:val="tx1"/>
                  </w14:solidFill>
                </w14:textFill>
              </w:rPr>
              <w:t>属于《国家危险废物名录（2025年版）》，危废类别 HW09，代码为900-007-09，暂存于危险废物贮存库，定期交由有资质单位处置。</w:t>
            </w:r>
          </w:p>
          <w:p>
            <w:pPr>
              <w:pStyle w:val="27"/>
              <w:ind w:firstLine="480"/>
              <w:jc w:val="both"/>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⑤废活性炭</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本项目活性炭半年更换1次，每次更换的量为1吨，废活性炭年产量为 2t/a。项目活性炭吸附装置采用蜂窝活性炭作为吸附介质，项目活性炭吸附装置设计吸附速率低于1.2 米/秒，符合《吸附法工业有机废气治理工程技术规范》（HJ2026-2013）中的设计要求。项目采用活性炭作为吸附剂时，其碘值不宜低于 800 毫克/克。废活性炭属于危险废物，危废代码为 HW49（900-039-49），暂存于危险废物贮存库，交由资质单位进行处置。</w:t>
            </w:r>
          </w:p>
          <w:p>
            <w:pPr>
              <w:pStyle w:val="27"/>
              <w:ind w:firstLine="480"/>
              <w:jc w:val="both"/>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⑥废催化剂</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本项目挤塑工序产生的非甲烷总烃采用“活性炭吸附+蓄热催化燃烧”处置，根据催化剂的使用寿命，一般2年更换1次，每次更换产生废催化剂 0.24 吨，折算到年均废催化剂产生量约为0.12 t/a。根据《国家危险废物名录（2025年版）》规定，废催化剂属于危险废物，危废类别为HW49，废物代码：900-041-49，集中收集在危险废物贮存库内，定期交由具有相关资质的单位进行清运处置。</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⑦废润滑油</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w:t>
            </w:r>
            <w:r>
              <w:rPr>
                <w:rFonts w:hint="eastAsia" w:cs="Times New Roman"/>
                <w:b w:val="0"/>
                <w:color w:val="000000" w:themeColor="text1"/>
                <w:kern w:val="0"/>
                <w:sz w:val="24"/>
                <w:szCs w:val="24"/>
                <w:lang w:val="en-US" w:eastAsia="zh-CN" w:bidi="ar-SA"/>
                <w14:textFill>
                  <w14:solidFill>
                    <w14:schemeClr w14:val="tx1"/>
                  </w14:solidFill>
                </w14:textFill>
              </w:rPr>
              <w:t>维修</w:t>
            </w:r>
            <w:r>
              <w:rPr>
                <w:rFonts w:hint="eastAsia" w:cs="Times New Roman"/>
                <w:color w:val="000000" w:themeColor="text1"/>
                <w:lang w:val="en-US" w:eastAsia="zh-CN"/>
                <w14:textFill>
                  <w14:solidFill>
                    <w14:schemeClr w14:val="tx1"/>
                  </w14:solidFill>
                </w14:textFill>
              </w:rPr>
              <w:t>过程中会产生废润滑油，废润滑油产生量为 0.3t/a，属于《国家危险废物名录（2025年版）》中危险废物，危废类别为HW08，危险废物代码为：900-217-08，暂存于危险废物贮存库，委托有资质单位处置。</w:t>
            </w:r>
          </w:p>
          <w:p>
            <w:pPr>
              <w:pStyle w:val="27"/>
              <w:ind w:firstLine="480"/>
              <w:jc w:val="both"/>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⑧废润滑油桶</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w:t>
            </w:r>
            <w:r>
              <w:rPr>
                <w:rFonts w:hint="eastAsia" w:cs="Times New Roman"/>
                <w:b w:val="0"/>
                <w:color w:val="000000" w:themeColor="text1"/>
                <w:kern w:val="0"/>
                <w:sz w:val="24"/>
                <w:szCs w:val="24"/>
                <w:lang w:val="en-US" w:eastAsia="zh-CN" w:bidi="ar-SA"/>
                <w14:textFill>
                  <w14:solidFill>
                    <w14:schemeClr w14:val="tx1"/>
                  </w14:solidFill>
                </w14:textFill>
              </w:rPr>
              <w:t>维修</w:t>
            </w:r>
            <w:r>
              <w:rPr>
                <w:rFonts w:hint="eastAsia" w:cs="Times New Roman"/>
                <w:color w:val="000000" w:themeColor="text1"/>
                <w:lang w:val="en-US" w:eastAsia="zh-CN"/>
                <w14:textFill>
                  <w14:solidFill>
                    <w14:schemeClr w14:val="tx1"/>
                  </w14:solidFill>
                </w14:textFill>
              </w:rPr>
              <w:t>过程中会产生废润滑油桶，废润滑油产生量为0.1t/a，属于《国家危险废物名录（2025年版）》中危险废物，危废类别为HW08，危险废物代码为：900-249-08，暂存于危险废物贮存库，委托有资质单位处置。</w:t>
            </w:r>
          </w:p>
          <w:p>
            <w:pPr>
              <w:pStyle w:val="27"/>
              <w:widowControl w:val="0"/>
              <w:numPr>
                <w:ilvl w:val="0"/>
                <w:numId w:val="0"/>
              </w:numPr>
              <w:spacing w:line="360" w:lineRule="auto"/>
              <w:ind w:firstLine="480" w:firstLineChars="200"/>
              <w:jc w:val="both"/>
              <w:rPr>
                <w:rFonts w:hint="default" w:cs="Times New Roman"/>
                <w:b w:val="0"/>
                <w:color w:val="000000" w:themeColor="text1"/>
                <w:kern w:val="0"/>
                <w:sz w:val="24"/>
                <w:szCs w:val="24"/>
                <w:lang w:val="en-US" w:eastAsia="zh-CN" w:bidi="ar-SA"/>
                <w14:textFill>
                  <w14:solidFill>
                    <w14:schemeClr w14:val="tx1"/>
                  </w14:solidFill>
                </w14:textFill>
              </w:rPr>
            </w:pPr>
            <w:r>
              <w:rPr>
                <w:rFonts w:hint="eastAsia" w:cs="Times New Roman"/>
                <w:b w:val="0"/>
                <w:color w:val="000000" w:themeColor="text1"/>
                <w:kern w:val="0"/>
                <w:sz w:val="24"/>
                <w:szCs w:val="24"/>
                <w:lang w:val="en-US" w:eastAsia="zh-CN" w:bidi="ar-SA"/>
                <w14:textFill>
                  <w14:solidFill>
                    <w14:schemeClr w14:val="tx1"/>
                  </w14:solidFill>
                </w14:textFill>
              </w:rPr>
              <w:t>⑨废过滤网</w:t>
            </w:r>
          </w:p>
          <w:p>
            <w:pPr>
              <w:pStyle w:val="27"/>
              <w:widowControl w:val="0"/>
              <w:numPr>
                <w:ilvl w:val="0"/>
                <w:numId w:val="0"/>
              </w:numPr>
              <w:spacing w:line="360" w:lineRule="auto"/>
              <w:ind w:firstLine="480" w:firstLineChars="200"/>
              <w:jc w:val="both"/>
              <w:rPr>
                <w:rFonts w:hint="default" w:cs="Times New Roman"/>
                <w:b w:val="0"/>
                <w:color w:val="000000" w:themeColor="text1"/>
                <w:kern w:val="0"/>
                <w:sz w:val="24"/>
                <w:szCs w:val="24"/>
                <w:lang w:val="en-US" w:eastAsia="zh-CN" w:bidi="ar-SA"/>
                <w14:textFill>
                  <w14:solidFill>
                    <w14:schemeClr w14:val="tx1"/>
                  </w14:solidFill>
                </w14:textFill>
              </w:rPr>
            </w:pPr>
            <w:r>
              <w:rPr>
                <w:rFonts w:hint="eastAsia" w:cs="Times New Roman"/>
                <w:b w:val="0"/>
                <w:color w:val="000000" w:themeColor="text1"/>
                <w:kern w:val="0"/>
                <w:sz w:val="24"/>
                <w:szCs w:val="24"/>
                <w:lang w:val="en-US" w:eastAsia="zh-CN" w:bidi="ar-SA"/>
                <w14:textFill>
                  <w14:solidFill>
                    <w14:schemeClr w14:val="tx1"/>
                  </w14:solidFill>
                </w14:textFill>
              </w:rPr>
              <w:t>本项目油雾废气经动态拦截器+丝网过滤器处理会产生废过滤网，废过滤网产生量为7t/a，属于</w:t>
            </w:r>
            <w:r>
              <w:rPr>
                <w:rFonts w:hint="eastAsia" w:cs="Times New Roman"/>
                <w:color w:val="000000" w:themeColor="text1"/>
                <w:lang w:val="en-US" w:eastAsia="zh-CN"/>
                <w14:textFill>
                  <w14:solidFill>
                    <w14:schemeClr w14:val="tx1"/>
                  </w14:solidFill>
                </w14:textFill>
              </w:rPr>
              <w:t>《国家危险废物名录（2025年版）》中危险废物，危废类别 HW49，代码为900-041-49，暂存于危险废物贮存库，定期交由有资质单位处置。</w:t>
            </w:r>
          </w:p>
          <w:p>
            <w:pPr>
              <w:pStyle w:val="27"/>
              <w:widowControl w:val="0"/>
              <w:numPr>
                <w:ilvl w:val="0"/>
                <w:numId w:val="0"/>
              </w:numPr>
              <w:spacing w:line="360" w:lineRule="auto"/>
              <w:ind w:firstLine="480" w:firstLineChars="200"/>
              <w:jc w:val="both"/>
              <w:rPr>
                <w:rFonts w:hint="eastAsia" w:cs="Times New Roman"/>
                <w:b w:val="0"/>
                <w:color w:val="000000" w:themeColor="text1"/>
                <w:kern w:val="0"/>
                <w:sz w:val="24"/>
                <w:szCs w:val="24"/>
                <w:lang w:val="en-US" w:eastAsia="zh-CN" w:bidi="ar-SA"/>
                <w14:textFill>
                  <w14:solidFill>
                    <w14:schemeClr w14:val="tx1"/>
                  </w14:solidFill>
                </w14:textFill>
              </w:rPr>
            </w:pPr>
            <w:r>
              <w:rPr>
                <w:rFonts w:hint="eastAsia" w:cs="Times New Roman"/>
                <w:b w:val="0"/>
                <w:color w:val="000000" w:themeColor="text1"/>
                <w:kern w:val="0"/>
                <w:sz w:val="24"/>
                <w:szCs w:val="24"/>
                <w:lang w:val="en-US" w:eastAsia="zh-CN" w:bidi="ar-SA"/>
                <w14:textFill>
                  <w14:solidFill>
                    <w14:schemeClr w14:val="tx1"/>
                  </w14:solidFill>
                </w14:textFill>
              </w:rPr>
              <w:t>⑩废洗涤液、废洗涤液桶</w:t>
            </w:r>
          </w:p>
          <w:p>
            <w:pPr>
              <w:pStyle w:val="27"/>
              <w:widowControl w:val="0"/>
              <w:numPr>
                <w:ilvl w:val="0"/>
                <w:numId w:val="0"/>
              </w:numPr>
              <w:spacing w:line="360" w:lineRule="auto"/>
              <w:ind w:firstLine="480" w:firstLineChars="200"/>
              <w:jc w:val="both"/>
              <w:rPr>
                <w:rFonts w:hint="default" w:cs="Times New Roman"/>
                <w:b w:val="0"/>
                <w:color w:val="000000" w:themeColor="text1"/>
                <w:kern w:val="0"/>
                <w:sz w:val="24"/>
                <w:szCs w:val="24"/>
                <w:lang w:val="en-US" w:eastAsia="zh-CN" w:bidi="ar-SA"/>
                <w14:textFill>
                  <w14:solidFill>
                    <w14:schemeClr w14:val="tx1"/>
                  </w14:solidFill>
                </w14:textFill>
              </w:rPr>
            </w:pPr>
            <w:r>
              <w:rPr>
                <w:rFonts w:hint="eastAsia" w:cs="Times New Roman"/>
                <w:b w:val="0"/>
                <w:color w:val="000000" w:themeColor="text1"/>
                <w:kern w:val="0"/>
                <w:sz w:val="24"/>
                <w:szCs w:val="24"/>
                <w:lang w:val="en-US" w:eastAsia="zh-CN" w:bidi="ar-SA"/>
                <w14:textFill>
                  <w14:solidFill>
                    <w14:schemeClr w14:val="tx1"/>
                  </w14:solidFill>
                </w14:textFill>
              </w:rPr>
              <w:t>本项目油雾处理装置会产生废洗涤液、废洗涤液桶，每半年更换一次，一次产生量为0.06t，每年两次，合计年产生量为0.12t，属于</w:t>
            </w:r>
            <w:r>
              <w:rPr>
                <w:rFonts w:hint="eastAsia" w:cs="Times New Roman"/>
                <w:color w:val="000000" w:themeColor="text1"/>
                <w:lang w:val="en-US" w:eastAsia="zh-CN"/>
                <w14:textFill>
                  <w14:solidFill>
                    <w14:schemeClr w14:val="tx1"/>
                  </w14:solidFill>
                </w14:textFill>
              </w:rPr>
              <w:t>《国家危险废物名录（2025年版）》中危险废物，废洗涤液危废类别HW09，代码900-007-09，废洗涤液桶危废类别 HW49，代码为900-041-49，暂存于危险废物贮存库，定期交由有资质单位处置。</w:t>
            </w:r>
          </w:p>
          <w:p>
            <w:pPr>
              <w:pStyle w:val="27"/>
              <w:widowControl w:val="0"/>
              <w:numPr>
                <w:ilvl w:val="0"/>
                <w:numId w:val="0"/>
              </w:numPr>
              <w:spacing w:line="360" w:lineRule="auto"/>
              <w:ind w:firstLine="480" w:firstLineChars="200"/>
              <w:jc w:val="both"/>
              <w:rPr>
                <w:rFonts w:hint="eastAsia" w:cs="Times New Roman"/>
                <w:b w:val="0"/>
                <w:color w:val="000000" w:themeColor="text1"/>
                <w:kern w:val="0"/>
                <w:sz w:val="24"/>
                <w:szCs w:val="24"/>
                <w:lang w:val="en-US" w:eastAsia="zh-CN" w:bidi="ar-SA"/>
                <w14:textFill>
                  <w14:solidFill>
                    <w14:schemeClr w14:val="tx1"/>
                  </w14:solidFill>
                </w14:textFill>
              </w:rPr>
            </w:pPr>
            <w:r>
              <w:rPr>
                <w:rFonts w:hint="eastAsia" w:cs="Times New Roman"/>
                <w:b w:val="0"/>
                <w:color w:val="000000" w:themeColor="text1"/>
                <w:kern w:val="0"/>
                <w:sz w:val="24"/>
                <w:szCs w:val="24"/>
                <w:lang w:val="en-US" w:eastAsia="zh-CN" w:bidi="ar-SA"/>
                <w14:textFill>
                  <w14:solidFill>
                    <w14:schemeClr w14:val="tx1"/>
                  </w14:solidFill>
                </w14:textFill>
              </w:rPr>
              <w:t>⑪废弃的含油抹布、劳保用品</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b w:val="0"/>
                <w:color w:val="000000" w:themeColor="text1"/>
                <w:kern w:val="0"/>
                <w:sz w:val="24"/>
                <w:szCs w:val="24"/>
                <w:lang w:val="en-US" w:eastAsia="zh-CN" w:bidi="ar-SA"/>
                <w14:textFill>
                  <w14:solidFill>
                    <w14:schemeClr w14:val="tx1"/>
                  </w14:solidFill>
                </w14:textFill>
              </w:rPr>
              <w:t>项目维修过程中会产生废弃的含油抹布、劳保用品，废弃的含油抹布、劳保用品约为0.01t/a。根据《国家危险废物名录（2025年）》附录危险废物豁免管理清单，本项目产生的含油抹布、劳保用品属于900-041-49废弃的含油抹布、劳保用品，全过程不按危险废物管理，豁免环节为全部环节。因此，本项目产生的含油抹布、劳保用品按照一般固废处理，即收集至厂区内垃圾站，经由环卫部门统一清运处理。</w:t>
            </w:r>
          </w:p>
          <w:p>
            <w:pPr>
              <w:pStyle w:val="44"/>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表4-</w:t>
            </w: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lang w:val="en-US" w:eastAsia="zh-CN"/>
                <w14:textFill>
                  <w14:solidFill>
                    <w14:schemeClr w14:val="tx1"/>
                  </w14:solidFill>
                </w14:textFill>
              </w:rPr>
              <w:t>运营</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期固废产排情况一览表</w:t>
            </w:r>
          </w:p>
          <w:tbl>
            <w:tblPr>
              <w:tblStyle w:val="32"/>
              <w:tblW w:w="490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56"/>
              <w:gridCol w:w="1815"/>
              <w:gridCol w:w="1373"/>
              <w:gridCol w:w="1183"/>
              <w:gridCol w:w="186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324" w:type="pct"/>
                  <w:noWrap w:val="0"/>
                  <w:vAlign w:val="center"/>
                </w:tcPr>
                <w:p>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序号</w:t>
                  </w:r>
                </w:p>
              </w:tc>
              <w:tc>
                <w:tcPr>
                  <w:tcW w:w="736" w:type="pct"/>
                  <w:noWrap w:val="0"/>
                  <w:vAlign w:val="center"/>
                </w:tcPr>
                <w:p>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名称</w:t>
                  </w:r>
                </w:p>
              </w:tc>
              <w:tc>
                <w:tcPr>
                  <w:tcW w:w="915" w:type="pct"/>
                  <w:noWrap w:val="0"/>
                  <w:vAlign w:val="center"/>
                </w:tcPr>
                <w:p>
                  <w:pPr>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废物代码</w:t>
                  </w:r>
                </w:p>
              </w:tc>
              <w:tc>
                <w:tcPr>
                  <w:tcW w:w="948" w:type="pct"/>
                  <w:noWrap w:val="0"/>
                  <w:vAlign w:val="center"/>
                </w:tcPr>
                <w:p>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物理性状</w:t>
                  </w:r>
                </w:p>
              </w:tc>
              <w:tc>
                <w:tcPr>
                  <w:tcW w:w="819" w:type="pct"/>
                  <w:noWrap w:val="0"/>
                  <w:vAlign w:val="center"/>
                </w:tcPr>
                <w:p>
                  <w:pPr>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年产生量</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t/a</w:t>
                  </w:r>
                  <w:r>
                    <w:rPr>
                      <w:rFonts w:hint="eastAsia" w:cs="Times New Roman"/>
                      <w:color w:val="000000" w:themeColor="text1"/>
                      <w:sz w:val="21"/>
                      <w:szCs w:val="21"/>
                      <w:lang w:eastAsia="zh-CN"/>
                      <w14:textFill>
                        <w14:solidFill>
                          <w14:schemeClr w14:val="tx1"/>
                        </w14:solidFill>
                      </w14:textFill>
                    </w:rPr>
                    <w:t>）</w:t>
                  </w:r>
                </w:p>
              </w:tc>
              <w:tc>
                <w:tcPr>
                  <w:tcW w:w="1254" w:type="pct"/>
                  <w:noWrap w:val="0"/>
                  <w:vAlign w:val="center"/>
                </w:tcPr>
                <w:p>
                  <w:pPr>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处理方式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324" w:type="pct"/>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1</w:t>
                  </w:r>
                </w:p>
              </w:tc>
              <w:tc>
                <w:tcPr>
                  <w:tcW w:w="736" w:type="pct"/>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14:textFill>
                        <w14:solidFill>
                          <w14:schemeClr w14:val="tx1"/>
                        </w14:solidFill>
                      </w14:textFill>
                    </w:rPr>
                    <w:t>生活垃圾</w:t>
                  </w:r>
                </w:p>
              </w:tc>
              <w:tc>
                <w:tcPr>
                  <w:tcW w:w="915" w:type="pct"/>
                  <w:noWrap w:val="0"/>
                  <w:vAlign w:val="center"/>
                </w:tcPr>
                <w:p>
                  <w:pPr>
                    <w:widowControl/>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900-099-S64</w:t>
                  </w:r>
                </w:p>
              </w:tc>
              <w:tc>
                <w:tcPr>
                  <w:tcW w:w="948" w:type="pct"/>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42.3</w:t>
                  </w:r>
                </w:p>
              </w:tc>
              <w:tc>
                <w:tcPr>
                  <w:tcW w:w="1254" w:type="pct"/>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集中收集后由</w:t>
                  </w:r>
                  <w:r>
                    <w:rPr>
                      <w:rFonts w:hint="default" w:ascii="Times New Roman" w:hAnsi="Times New Roman" w:cs="Times New Roman"/>
                      <w:b w:val="0"/>
                      <w:bCs/>
                      <w:color w:val="000000" w:themeColor="text1"/>
                      <w:sz w:val="21"/>
                      <w:szCs w:val="21"/>
                      <w:lang w:val="en-GB" w:eastAsia="zh-CN"/>
                      <w14:textFill>
                        <w14:solidFill>
                          <w14:schemeClr w14:val="tx1"/>
                        </w14:solidFill>
                      </w14:textFill>
                    </w:rPr>
                    <w:t>环卫部门定期清运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5000" w:type="pct"/>
                  <w:gridSpan w:val="6"/>
                  <w:noWrap w:val="0"/>
                  <w:vAlign w:val="center"/>
                </w:tcPr>
                <w:p>
                  <w:pPr>
                    <w:widowControl/>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一般工业固体废物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324"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w:t>
                  </w:r>
                </w:p>
              </w:tc>
              <w:tc>
                <w:tcPr>
                  <w:tcW w:w="736" w:type="pct"/>
                  <w:noWrap w:val="0"/>
                  <w:vAlign w:val="center"/>
                </w:tcPr>
                <w:p>
                  <w:pPr>
                    <w:jc w:val="cente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t>废边角料</w:t>
                  </w:r>
                </w:p>
              </w:tc>
              <w:tc>
                <w:tcPr>
                  <w:tcW w:w="915" w:type="pct"/>
                  <w:noWrap w:val="0"/>
                  <w:vAlign w:val="center"/>
                </w:tcPr>
                <w:p>
                  <w:pPr>
                    <w:widowControl/>
                    <w:jc w:val="cente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t>325-001-S01</w:t>
                  </w:r>
                </w:p>
              </w:tc>
              <w:tc>
                <w:tcPr>
                  <w:tcW w:w="948" w:type="pct"/>
                  <w:noWrap w:val="0"/>
                  <w:vAlign w:val="center"/>
                </w:tcPr>
                <w:p>
                  <w:pPr>
                    <w:widowControl/>
                    <w:jc w:val="center"/>
                    <w:rPr>
                      <w:rFonts w:hint="default" w:ascii="Times New Roman" w:hAnsi="Times New Roman" w:cs="Times New Roman"/>
                      <w:b w:val="0"/>
                      <w:bCs/>
                      <w:color w:val="000000" w:themeColor="text1"/>
                      <w:kern w:val="0"/>
                      <w:sz w:val="21"/>
                      <w:szCs w:val="21"/>
                      <w:highlight w:val="none"/>
                      <w:lang w:bidi="ar"/>
                      <w14:textFill>
                        <w14:solidFill>
                          <w14:schemeClr w14:val="tx1"/>
                        </w14:solidFill>
                      </w14:textFill>
                    </w:rPr>
                  </w:pPr>
                  <w:r>
                    <w:rPr>
                      <w:rFonts w:hint="default" w:ascii="Times New Roman" w:hAnsi="Times New Roman" w:cs="Times New Roman"/>
                      <w:b w:val="0"/>
                      <w:bCs/>
                      <w:color w:val="000000" w:themeColor="text1"/>
                      <w:kern w:val="0"/>
                      <w:sz w:val="21"/>
                      <w:szCs w:val="21"/>
                      <w:highlight w:val="none"/>
                      <w:lang w:bidi="ar"/>
                      <w14:textFill>
                        <w14:solidFill>
                          <w14:schemeClr w14:val="tx1"/>
                        </w14:solidFill>
                      </w14:textFill>
                    </w:rPr>
                    <w:t>固态</w:t>
                  </w:r>
                </w:p>
              </w:tc>
              <w:tc>
                <w:tcPr>
                  <w:tcW w:w="819" w:type="pct"/>
                  <w:noWrap w:val="0"/>
                  <w:vAlign w:val="center"/>
                </w:tcPr>
                <w:p>
                  <w:pPr>
                    <w:jc w:val="cente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pPr>
                  <w:r>
                    <w:rPr>
                      <w:rFonts w:hint="eastAsia" w:cs="Times New Roman"/>
                      <w:b w:val="0"/>
                      <w:bCs/>
                      <w:color w:val="000000" w:themeColor="text1"/>
                      <w:kern w:val="0"/>
                      <w:sz w:val="21"/>
                      <w:szCs w:val="21"/>
                      <w:highlight w:val="none"/>
                      <w:lang w:val="en-US" w:eastAsia="zh-CN" w:bidi="ar"/>
                      <w14:textFill>
                        <w14:solidFill>
                          <w14:schemeClr w14:val="tx1"/>
                        </w14:solidFill>
                      </w14:textFill>
                    </w:rPr>
                    <w:t>10530</w:t>
                  </w:r>
                </w:p>
              </w:tc>
              <w:tc>
                <w:tcPr>
                  <w:tcW w:w="1254" w:type="pct"/>
                  <w:noWrap w:val="0"/>
                  <w:vAlign w:val="center"/>
                </w:tcPr>
                <w:p>
                  <w:pPr>
                    <w:widowControl/>
                    <w:jc w:val="cente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pPr>
                  <w:r>
                    <w:rPr>
                      <w:rFonts w:hint="eastAsia" w:cs="Times New Roman"/>
                      <w:b w:val="0"/>
                      <w:bCs/>
                      <w:color w:val="000000" w:themeColor="text1"/>
                      <w:kern w:val="0"/>
                      <w:sz w:val="21"/>
                      <w:szCs w:val="21"/>
                      <w:highlight w:val="none"/>
                      <w:lang w:val="en-US" w:eastAsia="zh-CN" w:bidi="ar"/>
                      <w14:textFill>
                        <w14:solidFill>
                          <w14:schemeClr w14:val="tx1"/>
                        </w14:solidFill>
                      </w14:textFill>
                    </w:rPr>
                    <w:t>回用于生产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324" w:type="pct"/>
                  <w:noWrap w:val="0"/>
                  <w:vAlign w:val="center"/>
                </w:tcPr>
                <w:p>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w:t>
                  </w:r>
                </w:p>
              </w:tc>
              <w:tc>
                <w:tcPr>
                  <w:tcW w:w="736" w:type="pct"/>
                  <w:noWrap w:val="0"/>
                  <w:vAlign w:val="center"/>
                </w:tcPr>
                <w:p>
                  <w:pPr>
                    <w:jc w:val="cente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t>废金属线（头）、废包装材料</w:t>
                  </w:r>
                </w:p>
              </w:tc>
              <w:tc>
                <w:tcPr>
                  <w:tcW w:w="915" w:type="pct"/>
                  <w:noWrap w:val="0"/>
                  <w:vAlign w:val="center"/>
                </w:tcPr>
                <w:p>
                  <w:pPr>
                    <w:widowControl/>
                    <w:jc w:val="cente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t>900-003-S17</w:t>
                  </w:r>
                </w:p>
              </w:tc>
              <w:tc>
                <w:tcPr>
                  <w:tcW w:w="948" w:type="pct"/>
                  <w:noWrap w:val="0"/>
                  <w:vAlign w:val="center"/>
                </w:tcPr>
                <w:p>
                  <w:pPr>
                    <w:widowControl/>
                    <w:jc w:val="center"/>
                    <w:rPr>
                      <w:rFonts w:hint="default" w:ascii="Times New Roman" w:hAnsi="Times New Roman" w:cs="Times New Roman"/>
                      <w:b w:val="0"/>
                      <w:bCs/>
                      <w:color w:val="000000" w:themeColor="text1"/>
                      <w:kern w:val="0"/>
                      <w:sz w:val="21"/>
                      <w:szCs w:val="21"/>
                      <w:highlight w:val="none"/>
                      <w:lang w:bidi="ar"/>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pPr>
                  <w:r>
                    <w:rPr>
                      <w:rFonts w:hint="eastAsia" w:cs="Times New Roman"/>
                      <w:b w:val="0"/>
                      <w:bCs/>
                      <w:color w:val="000000" w:themeColor="text1"/>
                      <w:kern w:val="0"/>
                      <w:sz w:val="21"/>
                      <w:szCs w:val="21"/>
                      <w:highlight w:val="none"/>
                      <w:lang w:val="en-US" w:eastAsia="zh-CN" w:bidi="ar"/>
                      <w14:textFill>
                        <w14:solidFill>
                          <w14:schemeClr w14:val="tx1"/>
                        </w14:solidFill>
                      </w14:textFill>
                    </w:rPr>
                    <w:t>20.95</w:t>
                  </w:r>
                </w:p>
              </w:tc>
              <w:tc>
                <w:tcPr>
                  <w:tcW w:w="1254" w:type="pct"/>
                  <w:noWrap w:val="0"/>
                  <w:vAlign w:val="center"/>
                </w:tcPr>
                <w:p>
                  <w:pPr>
                    <w:widowControl/>
                    <w:jc w:val="cente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t>收集后集中外售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324" w:type="pct"/>
                  <w:noWrap w:val="0"/>
                  <w:vAlign w:val="center"/>
                </w:tcPr>
                <w:p>
                  <w:pPr>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3</w:t>
                  </w:r>
                </w:p>
              </w:tc>
              <w:tc>
                <w:tcPr>
                  <w:tcW w:w="736" w:type="pct"/>
                  <w:noWrap w:val="0"/>
                  <w:vAlign w:val="center"/>
                </w:tcPr>
                <w:p>
                  <w:pPr>
                    <w:jc w:val="cente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t>挤塑废料</w:t>
                  </w:r>
                </w:p>
              </w:tc>
              <w:tc>
                <w:tcPr>
                  <w:tcW w:w="915" w:type="pct"/>
                  <w:shd w:val="clear" w:color="auto" w:fill="auto"/>
                  <w:noWrap w:val="0"/>
                  <w:vAlign w:val="center"/>
                </w:tcPr>
                <w:p>
                  <w:pPr>
                    <w:widowControl/>
                    <w:jc w:val="cente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t>265-002-S16</w:t>
                  </w:r>
                </w:p>
              </w:tc>
              <w:tc>
                <w:tcPr>
                  <w:tcW w:w="948" w:type="pct"/>
                  <w:shd w:val="clear" w:color="auto" w:fill="auto"/>
                  <w:noWrap w:val="0"/>
                  <w:vAlign w:val="center"/>
                </w:tcPr>
                <w:p>
                  <w:pPr>
                    <w:widowControl/>
                    <w:jc w:val="cente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pPr>
                  <w:r>
                    <w:rPr>
                      <w:rFonts w:hint="eastAsia" w:cs="Times New Roman"/>
                      <w:b w:val="0"/>
                      <w:bCs/>
                      <w:color w:val="000000" w:themeColor="text1"/>
                      <w:kern w:val="0"/>
                      <w:sz w:val="21"/>
                      <w:szCs w:val="21"/>
                      <w:highlight w:val="none"/>
                      <w:lang w:val="en-US" w:eastAsia="zh-CN" w:bidi="ar"/>
                      <w14:textFill>
                        <w14:solidFill>
                          <w14:schemeClr w14:val="tx1"/>
                        </w14:solidFill>
                      </w14:textFill>
                    </w:rPr>
                    <w:t>2.1</w:t>
                  </w:r>
                </w:p>
              </w:tc>
              <w:tc>
                <w:tcPr>
                  <w:tcW w:w="1254" w:type="pct"/>
                  <w:noWrap w:val="0"/>
                  <w:vAlign w:val="center"/>
                </w:tcPr>
                <w:p>
                  <w:pPr>
                    <w:widowControl/>
                    <w:jc w:val="center"/>
                    <w:rPr>
                      <w:rFonts w:hint="eastAsia"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t>收集后集中外售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24"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不合格产品</w:t>
                  </w:r>
                </w:p>
              </w:tc>
              <w:tc>
                <w:tcPr>
                  <w:tcW w:w="915" w:type="pct"/>
                  <w:noWrap w:val="0"/>
                  <w:vAlign w:val="center"/>
                </w:tcPr>
                <w:p>
                  <w:pPr>
                    <w:widowControl/>
                    <w:jc w:val="center"/>
                    <w:rPr>
                      <w:rFonts w:hint="default" w:ascii="Times New Roman" w:hAnsi="Times New Roman" w:cs="Times New Roman"/>
                      <w:b w:val="0"/>
                      <w:bCs/>
                      <w:color w:val="000000" w:themeColor="text1"/>
                      <w:kern w:val="0"/>
                      <w:sz w:val="21"/>
                      <w:szCs w:val="21"/>
                      <w:lang w:bidi="ar"/>
                      <w14:textFill>
                        <w14:solidFill>
                          <w14:schemeClr w14:val="tx1"/>
                        </w14:solidFill>
                      </w14:textFill>
                    </w:rPr>
                  </w:pPr>
                  <w:r>
                    <w:rPr>
                      <w:rFonts w:hint="default" w:ascii="Times New Roman" w:hAnsi="Times New Roman" w:cs="Times New Roman"/>
                      <w:b w:val="0"/>
                      <w:bCs/>
                      <w:color w:val="000000" w:themeColor="text1"/>
                      <w:kern w:val="0"/>
                      <w:sz w:val="21"/>
                      <w:szCs w:val="21"/>
                      <w:highlight w:val="none"/>
                      <w:lang w:val="en-US" w:eastAsia="zh-CN" w:bidi="ar"/>
                      <w14:textFill>
                        <w14:solidFill>
                          <w14:schemeClr w14:val="tx1"/>
                        </w14:solidFill>
                      </w14:textFill>
                    </w:rPr>
                    <w:t>900-099-S59</w:t>
                  </w:r>
                </w:p>
              </w:tc>
              <w:tc>
                <w:tcPr>
                  <w:tcW w:w="948" w:type="pct"/>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6</w:t>
                  </w:r>
                </w:p>
              </w:tc>
              <w:tc>
                <w:tcPr>
                  <w:tcW w:w="1254" w:type="pct"/>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eastAsia" w:cs="Times New Roman"/>
                      <w:b w:val="0"/>
                      <w:bCs/>
                      <w:color w:val="000000" w:themeColor="text1"/>
                      <w:kern w:val="0"/>
                      <w:sz w:val="21"/>
                      <w:szCs w:val="21"/>
                      <w:highlight w:val="none"/>
                      <w:lang w:val="en-US" w:eastAsia="zh-CN" w:bidi="ar"/>
                      <w14:textFill>
                        <w14:solidFill>
                          <w14:schemeClr w14:val="tx1"/>
                        </w14:solidFill>
                      </w14:textFill>
                    </w:rPr>
                    <w:t>回用于生产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000" w:type="pct"/>
                  <w:gridSpan w:val="6"/>
                  <w:noWrap w:val="0"/>
                  <w:vAlign w:val="center"/>
                </w:tcPr>
                <w:p>
                  <w:pPr>
                    <w:widowControl/>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危险废物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铝灰渣</w:t>
                  </w:r>
                </w:p>
              </w:tc>
              <w:tc>
                <w:tcPr>
                  <w:tcW w:w="915" w:type="pct"/>
                  <w:noWrap w:val="0"/>
                  <w:vAlign w:val="center"/>
                </w:tcPr>
                <w:p>
                  <w:pPr>
                    <w:widowControl/>
                    <w:jc w:val="cente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t>HW</w:t>
                  </w:r>
                  <w:r>
                    <w:rPr>
                      <w:rFonts w:hint="eastAsia" w:cs="Times New Roman"/>
                      <w:b w:val="0"/>
                      <w:bCs/>
                      <w:color w:val="000000" w:themeColor="text1"/>
                      <w:kern w:val="0"/>
                      <w:sz w:val="21"/>
                      <w:szCs w:val="21"/>
                      <w:lang w:val="en-US" w:eastAsia="zh-CN" w:bidi="ar"/>
                      <w14:textFill>
                        <w14:solidFill>
                          <w14:schemeClr w14:val="tx1"/>
                        </w14:solidFill>
                      </w14:textFill>
                    </w:rPr>
                    <w:t>48</w:t>
                  </w:r>
                </w:p>
                <w:p>
                  <w:pPr>
                    <w:widowControl/>
                    <w:jc w:val="center"/>
                    <w:rPr>
                      <w:rFonts w:hint="default" w:ascii="Times New Roman" w:hAnsi="Times New Roman" w:cs="Times New Roman"/>
                      <w:b w:val="0"/>
                      <w:bCs/>
                      <w:color w:val="000000" w:themeColor="text1"/>
                      <w:kern w:val="0"/>
                      <w:sz w:val="21"/>
                      <w:szCs w:val="21"/>
                      <w:lang w:val="en-US" w:bidi="ar"/>
                      <w14:textFill>
                        <w14:solidFill>
                          <w14:schemeClr w14:val="tx1"/>
                        </w14:solidFill>
                      </w14:textFill>
                    </w:rPr>
                  </w:pPr>
                  <w: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t>321-026-48</w:t>
                  </w:r>
                </w:p>
              </w:tc>
              <w:tc>
                <w:tcPr>
                  <w:tcW w:w="948" w:type="pct"/>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1320</w:t>
                  </w:r>
                </w:p>
              </w:tc>
              <w:tc>
                <w:tcPr>
                  <w:tcW w:w="1254" w:type="pct"/>
                  <w:vMerge w:val="restart"/>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暂存于危险废物贮存库，定期交由有资质单位处置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w:t>
                  </w:r>
                </w:p>
              </w:tc>
              <w:tc>
                <w:tcPr>
                  <w:tcW w:w="736" w:type="pct"/>
                  <w:noWrap w:val="0"/>
                  <w:vAlign w:val="center"/>
                </w:tcPr>
                <w:p>
                  <w:pPr>
                    <w:widowControl w:val="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除尘器收尘灰</w:t>
                  </w:r>
                </w:p>
              </w:tc>
              <w:tc>
                <w:tcPr>
                  <w:tcW w:w="915" w:type="pct"/>
                  <w:noWrap w:val="0"/>
                  <w:vAlign w:val="center"/>
                </w:tcPr>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HW48</w:t>
                  </w:r>
                </w:p>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321-034-48</w:t>
                  </w:r>
                </w:p>
              </w:tc>
              <w:tc>
                <w:tcPr>
                  <w:tcW w:w="948" w:type="pct"/>
                  <w:noWrap w:val="0"/>
                  <w:vAlign w:val="center"/>
                </w:tcPr>
                <w:p>
                  <w:pPr>
                    <w:jc w:val="center"/>
                    <w:rPr>
                      <w:rFonts w:hint="default" w:ascii="Times New Roman" w:hAnsi="Times New Roman" w:cs="Times New Roman"/>
                      <w:b w:val="0"/>
                      <w:bCs/>
                      <w:color w:val="000000" w:themeColor="text1"/>
                      <w:kern w:val="0"/>
                      <w:sz w:val="21"/>
                      <w:szCs w:val="21"/>
                      <w:lang w:bidi="ar"/>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216.56</w:t>
                  </w:r>
                </w:p>
              </w:tc>
              <w:tc>
                <w:tcPr>
                  <w:tcW w:w="1254" w:type="pct"/>
                  <w:vMerge w:val="continue"/>
                  <w:noWrap w:val="0"/>
                  <w:vAlign w:val="center"/>
                </w:tcPr>
                <w:p>
                  <w:pPr>
                    <w:widowControl/>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3</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废除尘袋</w:t>
                  </w:r>
                </w:p>
              </w:tc>
              <w:tc>
                <w:tcPr>
                  <w:tcW w:w="915" w:type="pct"/>
                  <w:noWrap w:val="0"/>
                  <w:vAlign w:val="center"/>
                </w:tcPr>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HW49</w:t>
                  </w:r>
                </w:p>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900-041-49</w:t>
                  </w:r>
                </w:p>
              </w:tc>
              <w:tc>
                <w:tcPr>
                  <w:tcW w:w="948" w:type="pct"/>
                  <w:noWrap w:val="0"/>
                  <w:vAlign w:val="center"/>
                </w:tcPr>
                <w:p>
                  <w:pPr>
                    <w:jc w:val="center"/>
                    <w:rPr>
                      <w:rFonts w:hint="default" w:ascii="Times New Roman" w:hAnsi="Times New Roman" w:cs="Times New Roman"/>
                      <w:b w:val="0"/>
                      <w:bCs/>
                      <w:color w:val="000000" w:themeColor="text1"/>
                      <w:kern w:val="0"/>
                      <w:sz w:val="21"/>
                      <w:szCs w:val="21"/>
                      <w:lang w:bidi="ar"/>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eastAsia"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0.1t/5a</w:t>
                  </w:r>
                </w:p>
              </w:tc>
              <w:tc>
                <w:tcPr>
                  <w:tcW w:w="1254" w:type="pct"/>
                  <w:vMerge w:val="continue"/>
                  <w:noWrap w:val="0"/>
                  <w:vAlign w:val="center"/>
                </w:tcPr>
                <w:p>
                  <w:pPr>
                    <w:widowControl/>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废乳化液</w:t>
                  </w:r>
                </w:p>
              </w:tc>
              <w:tc>
                <w:tcPr>
                  <w:tcW w:w="915" w:type="pct"/>
                  <w:noWrap w:val="0"/>
                  <w:vAlign w:val="center"/>
                </w:tcPr>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HW09</w:t>
                  </w:r>
                </w:p>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900-007-09</w:t>
                  </w:r>
                </w:p>
              </w:tc>
              <w:tc>
                <w:tcPr>
                  <w:tcW w:w="948" w:type="pct"/>
                  <w:noWrap w:val="0"/>
                  <w:vAlign w:val="center"/>
                </w:tcPr>
                <w:p>
                  <w:pPr>
                    <w:jc w:val="center"/>
                    <w:rPr>
                      <w:rFonts w:hint="default" w:ascii="Times New Roman" w:hAnsi="Times New Roman" w:cs="Times New Roman"/>
                      <w:b w:val="0"/>
                      <w:bCs/>
                      <w:color w:val="000000" w:themeColor="text1"/>
                      <w:kern w:val="0"/>
                      <w:sz w:val="21"/>
                      <w:szCs w:val="21"/>
                      <w:lang w:bidi="ar"/>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液态</w:t>
                  </w:r>
                </w:p>
              </w:tc>
              <w:tc>
                <w:tcPr>
                  <w:tcW w:w="819"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4.0</w:t>
                  </w:r>
                </w:p>
              </w:tc>
              <w:tc>
                <w:tcPr>
                  <w:tcW w:w="1254" w:type="pct"/>
                  <w:vMerge w:val="continue"/>
                  <w:noWrap w:val="0"/>
                  <w:vAlign w:val="center"/>
                </w:tcPr>
                <w:p>
                  <w:pPr>
                    <w:widowControl/>
                    <w:jc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5</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废活性炭</w:t>
                  </w:r>
                </w:p>
              </w:tc>
              <w:tc>
                <w:tcPr>
                  <w:tcW w:w="915" w:type="pct"/>
                  <w:noWrap w:val="0"/>
                  <w:vAlign w:val="center"/>
                </w:tcPr>
                <w:p>
                  <w:pPr>
                    <w:widowControl/>
                    <w:jc w:val="cente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t>HW49</w:t>
                  </w:r>
                </w:p>
                <w:p>
                  <w:pPr>
                    <w:widowControl/>
                    <w:jc w:val="center"/>
                    <w:rPr>
                      <w:rFonts w:hint="default" w:ascii="Times New Roman" w:hAnsi="Times New Roman" w:cs="Times New Roman"/>
                      <w:b w:val="0"/>
                      <w:bCs/>
                      <w:color w:val="000000" w:themeColor="text1"/>
                      <w:kern w:val="0"/>
                      <w:sz w:val="21"/>
                      <w:szCs w:val="21"/>
                      <w:lang w:bidi="ar"/>
                      <w14:textFill>
                        <w14:solidFill>
                          <w14:schemeClr w14:val="tx1"/>
                        </w14:solidFill>
                      </w14:textFill>
                    </w:rPr>
                  </w:pPr>
                  <w: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t>900-039-49</w:t>
                  </w:r>
                </w:p>
              </w:tc>
              <w:tc>
                <w:tcPr>
                  <w:tcW w:w="948" w:type="pct"/>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2.0</w:t>
                  </w:r>
                </w:p>
              </w:tc>
              <w:tc>
                <w:tcPr>
                  <w:tcW w:w="1254" w:type="pct"/>
                  <w:vMerge w:val="continue"/>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6</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废催化剂</w:t>
                  </w:r>
                </w:p>
              </w:tc>
              <w:tc>
                <w:tcPr>
                  <w:tcW w:w="915" w:type="pct"/>
                  <w:noWrap w:val="0"/>
                  <w:vAlign w:val="center"/>
                </w:tcPr>
                <w:p>
                  <w:pPr>
                    <w:widowControl/>
                    <w:jc w:val="cente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t>HW49</w:t>
                  </w:r>
                </w:p>
                <w:p>
                  <w:pPr>
                    <w:widowControl/>
                    <w:jc w:val="center"/>
                    <w:rPr>
                      <w:rFonts w:hint="default" w:ascii="Times New Roman" w:hAnsi="Times New Roman" w:cs="Times New Roman"/>
                      <w:b w:val="0"/>
                      <w:bCs/>
                      <w:color w:val="000000" w:themeColor="text1"/>
                      <w:kern w:val="0"/>
                      <w:sz w:val="21"/>
                      <w:szCs w:val="21"/>
                      <w:lang w:bidi="ar"/>
                      <w14:textFill>
                        <w14:solidFill>
                          <w14:schemeClr w14:val="tx1"/>
                        </w14:solidFill>
                      </w14:textFill>
                    </w:rPr>
                  </w:pPr>
                  <w: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t>900-041-49</w:t>
                  </w:r>
                </w:p>
              </w:tc>
              <w:tc>
                <w:tcPr>
                  <w:tcW w:w="948" w:type="pct"/>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0.12</w:t>
                  </w:r>
                </w:p>
              </w:tc>
              <w:tc>
                <w:tcPr>
                  <w:tcW w:w="1254" w:type="pct"/>
                  <w:vMerge w:val="continue"/>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7</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废润滑油</w:t>
                  </w:r>
                </w:p>
              </w:tc>
              <w:tc>
                <w:tcPr>
                  <w:tcW w:w="915" w:type="pct"/>
                  <w:noWrap w:val="0"/>
                  <w:vAlign w:val="center"/>
                </w:tcPr>
                <w:p>
                  <w:pPr>
                    <w:widowControl/>
                    <w:jc w:val="cente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t>HW08</w:t>
                  </w:r>
                </w:p>
                <w:p>
                  <w:pPr>
                    <w:widowControl/>
                    <w:jc w:val="center"/>
                    <w:rPr>
                      <w:rFonts w:hint="default" w:ascii="Times New Roman" w:hAnsi="Times New Roman" w:cs="Times New Roman"/>
                      <w:b w:val="0"/>
                      <w:bCs/>
                      <w:color w:val="000000" w:themeColor="text1"/>
                      <w:kern w:val="0"/>
                      <w:sz w:val="21"/>
                      <w:szCs w:val="21"/>
                      <w:lang w:bidi="ar"/>
                      <w14:textFill>
                        <w14:solidFill>
                          <w14:schemeClr w14:val="tx1"/>
                        </w14:solidFill>
                      </w14:textFill>
                    </w:rPr>
                  </w:pPr>
                  <w: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t>900-21</w:t>
                  </w:r>
                  <w:r>
                    <w:rPr>
                      <w:rFonts w:hint="eastAsia" w:cs="Times New Roman"/>
                      <w:b w:val="0"/>
                      <w:bCs/>
                      <w:color w:val="000000" w:themeColor="text1"/>
                      <w:kern w:val="0"/>
                      <w:sz w:val="21"/>
                      <w:szCs w:val="21"/>
                      <w:lang w:val="en-US" w:eastAsia="zh-CN" w:bidi="ar"/>
                      <w14:textFill>
                        <w14:solidFill>
                          <w14:schemeClr w14:val="tx1"/>
                        </w14:solidFill>
                      </w14:textFill>
                    </w:rPr>
                    <w:t>7</w:t>
                  </w:r>
                  <w:r>
                    <w:rPr>
                      <w:rFonts w:hint="default" w:ascii="Times New Roman" w:hAnsi="Times New Roman" w:cs="Times New Roman"/>
                      <w:b w:val="0"/>
                      <w:bCs/>
                      <w:color w:val="000000" w:themeColor="text1"/>
                      <w:kern w:val="0"/>
                      <w:sz w:val="21"/>
                      <w:szCs w:val="21"/>
                      <w:lang w:val="en-US" w:eastAsia="zh-CN" w:bidi="ar"/>
                      <w14:textFill>
                        <w14:solidFill>
                          <w14:schemeClr w14:val="tx1"/>
                        </w14:solidFill>
                      </w14:textFill>
                    </w:rPr>
                    <w:t>-08</w:t>
                  </w:r>
                </w:p>
              </w:tc>
              <w:tc>
                <w:tcPr>
                  <w:tcW w:w="948" w:type="pct"/>
                  <w:noWrap w:val="0"/>
                  <w:vAlign w:val="center"/>
                </w:tcPr>
                <w:p>
                  <w:pPr>
                    <w:jc w:val="cente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液态</w:t>
                  </w:r>
                </w:p>
              </w:tc>
              <w:tc>
                <w:tcPr>
                  <w:tcW w:w="819"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0.3</w:t>
                  </w:r>
                </w:p>
              </w:tc>
              <w:tc>
                <w:tcPr>
                  <w:tcW w:w="1254" w:type="pct"/>
                  <w:vMerge w:val="continue"/>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8</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废润滑油桶</w:t>
                  </w:r>
                </w:p>
              </w:tc>
              <w:tc>
                <w:tcPr>
                  <w:tcW w:w="915" w:type="pct"/>
                  <w:noWrap w:val="0"/>
                  <w:vAlign w:val="center"/>
                </w:tcPr>
                <w:p>
                  <w:pPr>
                    <w:widowControl/>
                    <w:jc w:val="cente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HW08</w:t>
                  </w:r>
                </w:p>
                <w:p>
                  <w:pPr>
                    <w:widowControl/>
                    <w:jc w:val="cente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900-249-08</w:t>
                  </w:r>
                </w:p>
              </w:tc>
              <w:tc>
                <w:tcPr>
                  <w:tcW w:w="948" w:type="pct"/>
                  <w:noWrap w:val="0"/>
                  <w:vAlign w:val="center"/>
                </w:tcPr>
                <w:p>
                  <w:pPr>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w:t>
                  </w:r>
                </w:p>
              </w:tc>
              <w:tc>
                <w:tcPr>
                  <w:tcW w:w="1254" w:type="pct"/>
                  <w:vMerge w:val="continue"/>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9</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废过滤网</w:t>
                  </w:r>
                </w:p>
              </w:tc>
              <w:tc>
                <w:tcPr>
                  <w:tcW w:w="915" w:type="pct"/>
                  <w:noWrap w:val="0"/>
                  <w:vAlign w:val="center"/>
                </w:tcPr>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HW49</w:t>
                  </w:r>
                </w:p>
                <w:p>
                  <w:pPr>
                    <w:widowControl/>
                    <w:jc w:val="cente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900-041-49</w:t>
                  </w:r>
                </w:p>
              </w:tc>
              <w:tc>
                <w:tcPr>
                  <w:tcW w:w="948" w:type="pct"/>
                  <w:noWrap w:val="0"/>
                  <w:vAlign w:val="center"/>
                </w:tcPr>
                <w:p>
                  <w:pPr>
                    <w:jc w:val="center"/>
                    <w:rPr>
                      <w:rFonts w:hint="default" w:ascii="Times New Roman" w:hAnsi="Times New Roman" w:cs="Times New Roman"/>
                      <w:b w:val="0"/>
                      <w:bCs/>
                      <w:color w:val="000000" w:themeColor="text1"/>
                      <w:kern w:val="0"/>
                      <w:sz w:val="21"/>
                      <w:szCs w:val="21"/>
                      <w:lang w:bidi="ar"/>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7.0</w:t>
                  </w:r>
                </w:p>
              </w:tc>
              <w:tc>
                <w:tcPr>
                  <w:tcW w:w="1254" w:type="pct"/>
                  <w:vMerge w:val="continue"/>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10</w:t>
                  </w:r>
                </w:p>
              </w:tc>
              <w:tc>
                <w:tcPr>
                  <w:tcW w:w="736" w:type="pct"/>
                  <w:noWrap w:val="0"/>
                  <w:vAlign w:val="center"/>
                </w:tcPr>
                <w:p>
                  <w:pPr>
                    <w:jc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废洗涤液、废洗涤液桶</w:t>
                  </w:r>
                </w:p>
              </w:tc>
              <w:tc>
                <w:tcPr>
                  <w:tcW w:w="915" w:type="pct"/>
                  <w:noWrap w:val="0"/>
                  <w:vAlign w:val="center"/>
                </w:tcPr>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HW09</w:t>
                  </w:r>
                </w:p>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900-007-09/HW49</w:t>
                  </w:r>
                </w:p>
                <w:p>
                  <w:pPr>
                    <w:widowControl/>
                    <w:jc w:val="center"/>
                    <w:rPr>
                      <w:rFonts w:hint="eastAsia" w:cs="Times New Roman"/>
                      <w:b w:val="0"/>
                      <w:bCs/>
                      <w:color w:val="000000" w:themeColor="text1"/>
                      <w:kern w:val="0"/>
                      <w:sz w:val="21"/>
                      <w:szCs w:val="21"/>
                      <w:lang w:val="en-US" w:eastAsia="zh-CN" w:bidi="ar"/>
                      <w14:textFill>
                        <w14:solidFill>
                          <w14:schemeClr w14:val="tx1"/>
                        </w14:solidFill>
                      </w14:textFill>
                    </w:rPr>
                  </w:pPr>
                  <w:r>
                    <w:rPr>
                      <w:rFonts w:hint="eastAsia" w:cs="Times New Roman"/>
                      <w:b w:val="0"/>
                      <w:bCs/>
                      <w:color w:val="000000" w:themeColor="text1"/>
                      <w:kern w:val="0"/>
                      <w:sz w:val="21"/>
                      <w:szCs w:val="21"/>
                      <w:lang w:val="en-US" w:eastAsia="zh-CN" w:bidi="ar"/>
                      <w14:textFill>
                        <w14:solidFill>
                          <w14:schemeClr w14:val="tx1"/>
                        </w14:solidFill>
                      </w14:textFill>
                    </w:rPr>
                    <w:t>900-041-4</w:t>
                  </w:r>
                </w:p>
              </w:tc>
              <w:tc>
                <w:tcPr>
                  <w:tcW w:w="948" w:type="pct"/>
                  <w:noWrap w:val="0"/>
                  <w:vAlign w:val="center"/>
                </w:tcPr>
                <w:p>
                  <w:pPr>
                    <w:jc w:val="cente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r>
                    <w:rPr>
                      <w:rFonts w:hint="eastAsia" w:cs="Times New Roman"/>
                      <w:b w:val="0"/>
                      <w:bCs/>
                      <w:color w:val="000000" w:themeColor="text1"/>
                      <w:kern w:val="0"/>
                      <w:sz w:val="21"/>
                      <w:szCs w:val="21"/>
                      <w:lang w:val="en-US" w:eastAsia="zh-CN" w:bidi="ar"/>
                      <w14:textFill>
                        <w14:solidFill>
                          <w14:schemeClr w14:val="tx1"/>
                        </w14:solidFill>
                      </w14:textFill>
                    </w:rPr>
                    <w:t>/液态</w:t>
                  </w:r>
                </w:p>
              </w:tc>
              <w:tc>
                <w:tcPr>
                  <w:tcW w:w="819"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w:t>
                  </w:r>
                </w:p>
              </w:tc>
              <w:tc>
                <w:tcPr>
                  <w:tcW w:w="1254" w:type="pct"/>
                  <w:vMerge w:val="continue"/>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4" w:type="pct"/>
                  <w:noWrap w:val="0"/>
                  <w:vAlign w:val="center"/>
                </w:tcPr>
                <w:p>
                  <w:pPr>
                    <w:jc w:val="center"/>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11</w:t>
                  </w:r>
                </w:p>
              </w:tc>
              <w:tc>
                <w:tcPr>
                  <w:tcW w:w="736" w:type="pct"/>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废弃的含油抹布、劳保用品</w:t>
                  </w: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（豁免）</w:t>
                  </w:r>
                </w:p>
              </w:tc>
              <w:tc>
                <w:tcPr>
                  <w:tcW w:w="915" w:type="pct"/>
                  <w:shd w:val="clear" w:color="auto" w:fill="auto"/>
                  <w:noWrap w:val="0"/>
                  <w:vAlign w:val="center"/>
                </w:tcPr>
                <w:p>
                  <w:pPr>
                    <w:widowControl/>
                    <w:jc w:val="cente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900-041-49</w:t>
                  </w:r>
                </w:p>
              </w:tc>
              <w:tc>
                <w:tcPr>
                  <w:tcW w:w="948" w:type="pct"/>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21"/>
                      <w:szCs w:val="21"/>
                      <w:lang w:bidi="ar"/>
                      <w14:textFill>
                        <w14:solidFill>
                          <w14:schemeClr w14:val="tx1"/>
                        </w14:solidFill>
                      </w14:textFill>
                    </w:rPr>
                    <w:t>固态</w:t>
                  </w:r>
                </w:p>
              </w:tc>
              <w:tc>
                <w:tcPr>
                  <w:tcW w:w="819" w:type="pct"/>
                  <w:shd w:val="clear" w:color="auto" w:fill="auto"/>
                  <w:noWrap w:val="0"/>
                  <w:vAlign w:val="center"/>
                </w:tcPr>
                <w:p>
                  <w:pPr>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t>0.01</w:t>
                  </w:r>
                </w:p>
              </w:tc>
              <w:tc>
                <w:tcPr>
                  <w:tcW w:w="1254" w:type="pct"/>
                  <w:noWrap w:val="0"/>
                  <w:vAlign w:val="center"/>
                </w:tcPr>
                <w:p>
                  <w:pPr>
                    <w:widowControl/>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环卫部门统一清运</w:t>
                  </w:r>
                </w:p>
              </w:tc>
            </w:tr>
          </w:tbl>
          <w:p>
            <w:pPr>
              <w:pStyle w:val="27"/>
              <w:ind w:left="0" w:leftChars="0" w:firstLine="0" w:firstLineChars="0"/>
              <w:jc w:val="both"/>
              <w:rPr>
                <w:rFonts w:hint="default" w:ascii="Times New Roman" w:hAnsi="Times New Roman" w:cs="Times New Roman"/>
                <w:b/>
                <w:bCs/>
                <w:color w:val="000000" w:themeColor="text1"/>
                <w:kern w:val="0"/>
                <w:sz w:val="24"/>
                <w:lang w:val="en-US" w:eastAsia="zh-CN"/>
                <w14:textFill>
                  <w14:solidFill>
                    <w14:schemeClr w14:val="tx1"/>
                  </w14:solidFill>
                </w14:textFill>
              </w:rPr>
            </w:pPr>
            <w:r>
              <w:rPr>
                <w:rFonts w:hint="default" w:ascii="Times New Roman" w:hAnsi="Times New Roman" w:cs="Times New Roman"/>
                <w:b/>
                <w:bCs/>
                <w:color w:val="000000" w:themeColor="text1"/>
                <w:kern w:val="0"/>
                <w:sz w:val="24"/>
                <w:lang w:val="en-US" w:eastAsia="zh-CN"/>
                <w14:textFill>
                  <w14:solidFill>
                    <w14:schemeClr w14:val="tx1"/>
                  </w14:solidFill>
                </w14:textFill>
              </w:rPr>
              <w:t>4.2 固废环境管理要求</w:t>
            </w:r>
          </w:p>
          <w:p>
            <w:pPr>
              <w:pStyle w:val="27"/>
              <w:numPr>
                <w:ilvl w:val="0"/>
                <w:numId w:val="0"/>
              </w:numPr>
              <w:ind w:firstLine="480" w:firstLineChars="200"/>
              <w:jc w:val="both"/>
              <w:rPr>
                <w:rFonts w:hint="eastAsia" w:cs="Times New Roman"/>
                <w:b w:val="0"/>
                <w:color w:val="000000" w:themeColor="text1"/>
                <w:kern w:val="0"/>
                <w:sz w:val="24"/>
                <w:szCs w:val="24"/>
                <w:lang w:val="en-US" w:eastAsia="zh-CN" w:bidi="ar-SA"/>
                <w14:textFill>
                  <w14:solidFill>
                    <w14:schemeClr w14:val="tx1"/>
                  </w14:solidFill>
                </w14:textFill>
              </w:rPr>
            </w:pPr>
            <w:r>
              <w:rPr>
                <w:rFonts w:hint="eastAsia" w:cs="Times New Roman"/>
                <w:b w:val="0"/>
                <w:color w:val="000000" w:themeColor="text1"/>
                <w:kern w:val="0"/>
                <w:sz w:val="24"/>
                <w:szCs w:val="24"/>
                <w:lang w:val="en-US" w:eastAsia="zh-CN" w:bidi="ar-SA"/>
                <w14:textFill>
                  <w14:solidFill>
                    <w14:schemeClr w14:val="tx1"/>
                  </w14:solidFill>
                </w14:textFill>
              </w:rPr>
              <w:t>（1）一般固体废物环境管理要求</w:t>
            </w:r>
          </w:p>
          <w:p>
            <w:pPr>
              <w:pStyle w:val="27"/>
              <w:ind w:firstLine="48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建设单位严格按照《一般工业固体废物贮存和填埋污染控制标准》</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GB18599-2020</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对固体废物进行处理处置</w:t>
            </w:r>
            <w:r>
              <w:rPr>
                <w:rFonts w:hint="eastAsia" w:cs="Times New Roman"/>
                <w:color w:val="000000" w:themeColor="text1"/>
                <w:kern w:val="0"/>
                <w:sz w:val="24"/>
                <w:lang w:val="en-US" w:eastAsia="zh-CN"/>
                <w14:textFill>
                  <w14:solidFill>
                    <w14:schemeClr w14:val="tx1"/>
                  </w14:solidFill>
                </w14:textFill>
              </w:rPr>
              <w:t>，做好防扬散、防流失、防渗漏措施</w:t>
            </w:r>
            <w:r>
              <w:rPr>
                <w:rFonts w:hint="default" w:ascii="Times New Roman" w:hAnsi="Times New Roman" w:cs="Times New Roman"/>
                <w:color w:val="000000" w:themeColor="text1"/>
                <w:kern w:val="0"/>
                <w:sz w:val="24"/>
                <w:lang w:val="en-US" w:eastAsia="zh-CN"/>
                <w14:textFill>
                  <w14:solidFill>
                    <w14:schemeClr w14:val="tx1"/>
                  </w14:solidFill>
                </w14:textFill>
              </w:rPr>
              <w:t>。</w:t>
            </w:r>
          </w:p>
          <w:p>
            <w:pPr>
              <w:pStyle w:val="27"/>
              <w:ind w:firstLine="48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根据《一般工业固体废物管理台账制定指南</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试行</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》对固体废物台账进行以下要求：</w:t>
            </w:r>
          </w:p>
          <w:p>
            <w:pPr>
              <w:pStyle w:val="27"/>
              <w:ind w:firstLine="48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①台账主要用于记录固体废物在产废单位内部的贮存、利用、处置等信息。填写时应确保固体废物的来源信息、流向信息完整准确；根据固体废物产生周期，可按日或按班次，批次填写。</w:t>
            </w:r>
          </w:p>
          <w:p>
            <w:pPr>
              <w:pStyle w:val="27"/>
              <w:ind w:firstLine="48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②</w:t>
            </w:r>
            <w:r>
              <w:rPr>
                <w:rFonts w:hint="eastAsia" w:ascii="Times New Roman" w:hAnsi="Times New Roman" w:cs="Times New Roman"/>
                <w:color w:val="000000" w:themeColor="text1"/>
                <w:kern w:val="0"/>
                <w:sz w:val="24"/>
                <w:lang w:val="en-US" w:eastAsia="zh-CN"/>
                <w14:textFill>
                  <w14:solidFill>
                    <w14:schemeClr w14:val="tx1"/>
                  </w14:solidFill>
                </w14:textFill>
              </w:rPr>
              <w:t>产</w:t>
            </w:r>
            <w:r>
              <w:rPr>
                <w:rFonts w:hint="default" w:ascii="Times New Roman" w:hAnsi="Times New Roman" w:cs="Times New Roman"/>
                <w:color w:val="000000" w:themeColor="text1"/>
                <w:kern w:val="0"/>
                <w:sz w:val="24"/>
                <w:lang w:val="en-US" w:eastAsia="zh-CN"/>
                <w14:textFill>
                  <w14:solidFill>
                    <w14:schemeClr w14:val="tx1"/>
                  </w14:solidFill>
                </w14:textFill>
              </w:rPr>
              <w:t>废单位填写台账记录表时，应当根据自身固体废物产生情况，选择本厂对应的固体废物种类和代码，并根据固体废物种类确定固体废物的具体名称。</w:t>
            </w:r>
          </w:p>
          <w:p>
            <w:pPr>
              <w:pStyle w:val="27"/>
              <w:ind w:firstLine="48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③鼓励产废单位采用国家建立的一般工业固体废物管理电子台账，简化数据填写、台账管理等工作。地方和企业自行开发的电子台账要实现与国家系统对接。建立电子台账的产废单位，可不再记录纸质台账。</w:t>
            </w:r>
          </w:p>
          <w:p>
            <w:pPr>
              <w:pStyle w:val="27"/>
              <w:numPr>
                <w:ilvl w:val="0"/>
                <w:numId w:val="0"/>
              </w:numPr>
              <w:ind w:firstLine="480" w:firstLineChars="200"/>
              <w:jc w:val="both"/>
              <w:rPr>
                <w:rFonts w:hint="eastAsia" w:cs="Times New Roman"/>
                <w:b w:val="0"/>
                <w:color w:val="000000" w:themeColor="text1"/>
                <w:kern w:val="0"/>
                <w:sz w:val="24"/>
                <w:szCs w:val="24"/>
                <w:lang w:val="en-US" w:eastAsia="zh-CN" w:bidi="ar-SA"/>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④产废单位应当设立专人负责台账的管理与归档，一般工业固体废物管理台账保存期限不少于5年</w:t>
            </w:r>
          </w:p>
          <w:p>
            <w:pPr>
              <w:pStyle w:val="27"/>
              <w:numPr>
                <w:ilvl w:val="0"/>
                <w:numId w:val="0"/>
              </w:numPr>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eastAsia" w:cs="Times New Roman"/>
                <w:b w:val="0"/>
                <w:color w:val="000000" w:themeColor="text1"/>
                <w:kern w:val="0"/>
                <w:sz w:val="24"/>
                <w:szCs w:val="24"/>
                <w:lang w:val="en-US" w:eastAsia="zh-CN" w:bidi="ar-SA"/>
                <w14:textFill>
                  <w14:solidFill>
                    <w14:schemeClr w14:val="tx1"/>
                  </w14:solidFill>
                </w14:textFill>
              </w:rPr>
              <w:t>（2）</w:t>
            </w:r>
            <w:r>
              <w:rPr>
                <w:rFonts w:hint="default" w:ascii="Times New Roman" w:hAnsi="Times New Roman" w:cs="Times New Roman"/>
                <w:color w:val="000000" w:themeColor="text1"/>
                <w:kern w:val="0"/>
                <w:sz w:val="24"/>
                <w:lang w:val="en-US" w:eastAsia="zh-CN"/>
                <w14:textFill>
                  <w14:solidFill>
                    <w14:schemeClr w14:val="tx1"/>
                  </w14:solidFill>
                </w14:textFill>
              </w:rPr>
              <w:t>危险废物环境管理要求</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按照《危险废物贮存污染控制标准》</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GB18597-2023</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中的要求，建设</w:t>
            </w:r>
            <w:r>
              <w:rPr>
                <w:rFonts w:hint="eastAsia" w:cs="Times New Roman"/>
                <w:color w:val="000000" w:themeColor="text1"/>
                <w:kern w:val="0"/>
                <w:sz w:val="24"/>
                <w:lang w:val="en-US" w:eastAsia="zh-CN"/>
                <w14:textFill>
                  <w14:solidFill>
                    <w14:schemeClr w14:val="tx1"/>
                  </w14:solidFill>
                </w14:textFill>
              </w:rPr>
              <w:t>危险废物贮存库</w:t>
            </w:r>
            <w:r>
              <w:rPr>
                <w:rFonts w:hint="default" w:ascii="Times New Roman" w:hAnsi="Times New Roman" w:cs="Times New Roman"/>
                <w:color w:val="000000" w:themeColor="text1"/>
                <w:kern w:val="0"/>
                <w:sz w:val="24"/>
                <w:lang w:val="en-US" w:eastAsia="zh-CN"/>
                <w14:textFill>
                  <w14:solidFill>
                    <w14:schemeClr w14:val="tx1"/>
                  </w14:solidFill>
                </w14:textFill>
              </w:rPr>
              <w:t>必须做防渗处理，并满足生态环境管理部门的要求，在醒目的位置安装危废的标识牌。</w:t>
            </w:r>
            <w:r>
              <w:rPr>
                <w:rFonts w:hint="eastAsia" w:cs="Times New Roman"/>
                <w:color w:val="000000" w:themeColor="text1"/>
                <w:kern w:val="0"/>
                <w:sz w:val="24"/>
                <w:lang w:val="en-US" w:eastAsia="zh-CN"/>
                <w14:textFill>
                  <w14:solidFill>
                    <w14:schemeClr w14:val="tx1"/>
                  </w14:solidFill>
                </w14:textFill>
              </w:rPr>
              <w:t>危险废物</w:t>
            </w:r>
            <w:r>
              <w:rPr>
                <w:rFonts w:hint="default" w:ascii="Times New Roman" w:hAnsi="Times New Roman" w:cs="Times New Roman"/>
                <w:color w:val="000000" w:themeColor="text1"/>
                <w:kern w:val="0"/>
                <w:sz w:val="24"/>
                <w:lang w:val="en-US" w:eastAsia="zh-CN"/>
                <w14:textFill>
                  <w14:solidFill>
                    <w14:schemeClr w14:val="tx1"/>
                  </w14:solidFill>
                </w14:textFill>
              </w:rPr>
              <w:t>收集后存放于</w:t>
            </w:r>
            <w:r>
              <w:rPr>
                <w:rFonts w:hint="eastAsia" w:cs="Times New Roman"/>
                <w:color w:val="000000" w:themeColor="text1"/>
                <w:kern w:val="0"/>
                <w:sz w:val="24"/>
                <w:lang w:val="en-US" w:eastAsia="zh-CN"/>
                <w14:textFill>
                  <w14:solidFill>
                    <w14:schemeClr w14:val="tx1"/>
                  </w14:solidFill>
                </w14:textFill>
              </w:rPr>
              <w:t>危险废物贮存库</w:t>
            </w:r>
            <w:r>
              <w:rPr>
                <w:rFonts w:hint="default" w:ascii="Times New Roman" w:hAnsi="Times New Roman" w:cs="Times New Roman"/>
                <w:color w:val="000000" w:themeColor="text1"/>
                <w:kern w:val="0"/>
                <w:sz w:val="24"/>
                <w:lang w:val="en-US" w:eastAsia="zh-CN"/>
                <w14:textFill>
                  <w14:solidFill>
                    <w14:schemeClr w14:val="tx1"/>
                  </w14:solidFill>
                </w14:textFill>
              </w:rPr>
              <w:t>，并做好防扬散、防流失、防渗漏措施，由危废处置单位委托具有危险货物专业运输资质的运输单位进行承运，引用《危险废物转移管理办法》</w:t>
            </w:r>
            <w:r>
              <w:rPr>
                <w:rFonts w:hint="eastAsia" w:cs="Times New Roman"/>
                <w:color w:val="000000" w:themeColor="text1"/>
                <w:kern w:val="0"/>
                <w:sz w:val="24"/>
                <w:lang w:val="en-US" w:eastAsia="zh-CN"/>
                <w14:textFill>
                  <w14:solidFill>
                    <w14:schemeClr w14:val="tx1"/>
                  </w14:solidFill>
                </w14:textFill>
              </w:rPr>
              <w:t>进行运输。</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危险废物的转移和处理必须按照国家危险废弃物管理的规定，危险废物贮存必须按照《危险废物贮存污染控制标准》</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GB18597-2023</w:t>
            </w:r>
            <w:r>
              <w:rPr>
                <w:rFonts w:hint="eastAsia" w:cs="Times New Roman"/>
                <w:color w:val="000000" w:themeColor="text1"/>
                <w:kern w:val="0"/>
                <w:sz w:val="24"/>
                <w:lang w:val="en-US" w:eastAsia="zh-CN"/>
                <w14:textFill>
                  <w14:solidFill>
                    <w14:schemeClr w14:val="tx1"/>
                  </w14:solidFill>
                </w14:textFill>
              </w:rPr>
              <w:t>）、《危险废物识别标志设置技术规范》（HJ 1276-2022）</w:t>
            </w:r>
            <w:r>
              <w:rPr>
                <w:rFonts w:hint="default" w:ascii="Times New Roman" w:hAnsi="Times New Roman" w:cs="Times New Roman"/>
                <w:color w:val="000000" w:themeColor="text1"/>
                <w:kern w:val="0"/>
                <w:sz w:val="24"/>
                <w:lang w:val="en-US" w:eastAsia="zh-CN"/>
                <w14:textFill>
                  <w14:solidFill>
                    <w14:schemeClr w14:val="tx1"/>
                  </w14:solidFill>
                </w14:textFill>
              </w:rPr>
              <w:t>的规定进行，具体要求如下：</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①危险废物贮存设施必须按照规定设置警示标志；</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②危险废物贮存设施地面、裙脚做表面防渗层，防渗防腐材料必须和废物、渗滤液物料相容；防渗层完整覆盖地面、墙裙、围堰、接触危废墙体，无裂缝缺陷；墙裙防渗向上翻边高度≥250mm；腐蚀性危废贮存区域墙裙防渗高度不宜小于1000mm</w:t>
            </w:r>
            <w:r>
              <w:rPr>
                <w:rFonts w:hint="eastAsia" w:cs="Times New Roman"/>
                <w:color w:val="000000" w:themeColor="text1"/>
                <w:kern w:val="0"/>
                <w:sz w:val="24"/>
                <w:lang w:val="en-US" w:eastAsia="zh-CN"/>
                <w14:textFill>
                  <w14:solidFill>
                    <w14:schemeClr w14:val="tx1"/>
                  </w14:solidFill>
                </w14:textFill>
              </w:rPr>
              <w:t>；</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③危险废物贮存设施应配备通讯设备、照明设施、安全防护服装及工具，并设有应急防护设施；</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④危险废物贮存设施内清理出来的泄漏物，一律按危险废物处理；</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⑤危险废物盛放容器要有识别标志、密闭加盖，必须分类储存、禁止混放</w:t>
            </w:r>
            <w:r>
              <w:rPr>
                <w:rFonts w:hint="eastAsia" w:cs="Times New Roman"/>
                <w:color w:val="000000" w:themeColor="text1"/>
                <w:kern w:val="0"/>
                <w:sz w:val="24"/>
                <w:lang w:val="en-US" w:eastAsia="zh-CN"/>
                <w14:textFill>
                  <w14:solidFill>
                    <w14:schemeClr w14:val="tx1"/>
                  </w14:solidFill>
                </w14:textFill>
              </w:rPr>
              <w:t>，</w:t>
            </w:r>
            <w:r>
              <w:rPr>
                <w:rFonts w:hint="default" w:ascii="Times New Roman" w:hAnsi="Times New Roman" w:cs="Times New Roman"/>
                <w:color w:val="000000" w:themeColor="text1"/>
                <w:kern w:val="0"/>
                <w:sz w:val="24"/>
                <w:lang w:val="en-US" w:eastAsia="zh-CN"/>
                <w14:textFill>
                  <w14:solidFill>
                    <w14:schemeClr w14:val="tx1"/>
                  </w14:solidFill>
                </w14:textFill>
              </w:rPr>
              <w:t>标签内容：废物名称、废物代码、主要成分、危险特性、产生单位、产生日期、重量、联系方式、数字识别码；标签底色橙黄色，规格根据包装物大小匹配，固定牢固，不得涂改覆盖；</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⑥装载液体、半固体的危险废物的容器内需留足够的空间，容器顶部与液体需留有100mm的空间；</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⑦危险废物贮存设施必须由专人管理，其他人未经允许不得进入库内，危险废物管理人员定期检查危险废物储存容器是否有渗漏，如发现应及时采取措施更换；</w:t>
            </w:r>
          </w:p>
          <w:p>
            <w:pPr>
              <w:pStyle w:val="27"/>
              <w:widowControl w:val="0"/>
              <w:numPr>
                <w:ilvl w:val="0"/>
                <w:numId w:val="0"/>
              </w:numPr>
              <w:spacing w:line="360" w:lineRule="auto"/>
              <w:ind w:firstLine="480" w:firstLineChars="20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⑧产生的危险废物每次送危险废物贮存设施要进行登记，并做好记录保存完好，每月汇总一次；</w:t>
            </w:r>
          </w:p>
          <w:p>
            <w:pPr>
              <w:pStyle w:val="27"/>
              <w:ind w:firstLine="480"/>
              <w:jc w:val="both"/>
              <w:rPr>
                <w:rFonts w:hint="eastAsia" w:ascii="Times New Roman" w:hAnsi="Times New Roman" w:cs="Times New Roman"/>
                <w:color w:val="000000" w:themeColor="text1"/>
                <w:kern w:val="0"/>
                <w:sz w:val="24"/>
                <w:lang w:val="en-US" w:eastAsia="zh-CN"/>
                <w14:textFill>
                  <w14:solidFill>
                    <w14:schemeClr w14:val="tx1"/>
                  </w14:solidFill>
                </w14:textFill>
              </w:rPr>
            </w:pPr>
            <w:r>
              <w:rPr>
                <w:rFonts w:hint="default" w:ascii="Times New Roman" w:hAnsi="Times New Roman" w:cs="Times New Roman"/>
                <w:color w:val="000000" w:themeColor="text1"/>
                <w:kern w:val="0"/>
                <w:sz w:val="24"/>
                <w:lang w:val="en-US" w:eastAsia="zh-CN"/>
                <w14:textFill>
                  <w14:solidFill>
                    <w14:schemeClr w14:val="tx1"/>
                  </w14:solidFill>
                </w14:textFill>
              </w:rPr>
              <w:t>⑨危险废物贮存设施内的危险废物应分类登记存放、禁止混放</w:t>
            </w:r>
            <w:r>
              <w:rPr>
                <w:rFonts w:hint="eastAsia" w:cs="Times New Roman"/>
                <w:color w:val="000000" w:themeColor="text1"/>
                <w:kern w:val="0"/>
                <w:sz w:val="24"/>
                <w:lang w:val="en-US" w:eastAsia="zh-CN"/>
                <w14:textFill>
                  <w14:solidFill>
                    <w14:schemeClr w14:val="tx1"/>
                  </w14:solidFill>
                </w14:textFill>
              </w:rPr>
              <w:t>，库内张贴分区平面分布图，标注各分区位置、贮存废物类别、危险特性；分区标志清晰标明危险废物贮存分区标志</w:t>
            </w:r>
            <w:r>
              <w:rPr>
                <w:rFonts w:hint="eastAsia" w:ascii="Times New Roman" w:hAnsi="Times New Roman" w:cs="Times New Roman"/>
                <w:color w:val="000000" w:themeColor="text1"/>
                <w:kern w:val="0"/>
                <w:sz w:val="24"/>
                <w:lang w:val="en-US" w:eastAsia="zh-CN"/>
                <w14:textFill>
                  <w14:solidFill>
                    <w14:schemeClr w14:val="tx1"/>
                  </w14:solidFill>
                </w14:textFill>
              </w:rPr>
              <w:t>。</w:t>
            </w:r>
          </w:p>
          <w:p>
            <w:pPr>
              <w:pStyle w:val="27"/>
              <w:ind w:firstLine="480"/>
              <w:jc w:val="both"/>
              <w:rPr>
                <w:rFonts w:hint="default" w:ascii="Times New Roman" w:hAnsi="Times New Roman"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（3）危险废物贮存库可行性分析</w:t>
            </w:r>
          </w:p>
          <w:p>
            <w:pPr>
              <w:pStyle w:val="27"/>
              <w:widowControl w:val="0"/>
              <w:numPr>
                <w:ilvl w:val="0"/>
                <w:numId w:val="0"/>
              </w:numPr>
              <w:spacing w:line="360" w:lineRule="auto"/>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本项目危险废物实行分库暂存，除铝灰渣依托本次扩建危险废物贮存库暂存外，除尘器收尘灰（除铝灰渣外）、废除尘袋、废乳化液、废活性炭、废催化剂、废润滑油、废过滤网、废润滑油桶、废洗涤液、废洗涤液桶等其余危险废物，依托特变电工新疆电缆有限公司智能电缆产业园一期已通过竣工环境保护验收的现有50m² 危险废物贮存库暂存。</w:t>
            </w:r>
          </w:p>
          <w:p>
            <w:pPr>
              <w:pStyle w:val="27"/>
              <w:widowControl w:val="0"/>
              <w:numPr>
                <w:ilvl w:val="0"/>
                <w:numId w:val="0"/>
              </w:numPr>
              <w:spacing w:line="360" w:lineRule="auto"/>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现有危废贮存库严格按照《危险废物贮存污染控制标准》（GB 18597</w:t>
            </w:r>
            <w:r>
              <w:rPr>
                <w:rFonts w:hint="eastAsia" w:cs="Times New Roman"/>
                <w:color w:val="000000" w:themeColor="text1"/>
                <w:kern w:val="0"/>
                <w:sz w:val="24"/>
                <w:lang w:val="en-US" w:eastAsia="zh-CN"/>
                <w14:textFill>
                  <w14:solidFill>
                    <w14:schemeClr w14:val="tx1"/>
                  </w14:solidFill>
                </w14:textFill>
              </w:rPr>
              <w:noBreakHyphen/>
            </w:r>
            <w:r>
              <w:rPr>
                <w:rFonts w:hint="eastAsia" w:cs="Times New Roman"/>
                <w:color w:val="000000" w:themeColor="text1"/>
                <w:kern w:val="0"/>
                <w:sz w:val="24"/>
                <w:lang w:val="en-US" w:eastAsia="zh-CN"/>
                <w14:textFill>
                  <w14:solidFill>
                    <w14:schemeClr w14:val="tx1"/>
                  </w14:solidFill>
                </w14:textFill>
              </w:rPr>
              <w:t>2023）建设，配套防渗、防腐、防雨、防风、集液、导流及应急收集设施，设置规范危险废物识别标识，库内满足危险废物分区存放管理要求。现有危废库中一期项目危险废物占用贮存面积20m²，扣除库内通道、集液沟、围堰等构筑物占地后，本项目可利用的有效贮存面积约20m²。结合本项目其余危险废物产生量及定期转运处置管理要求，剩余有效贮存面积能够满足本项目除铝灰渣以外其他危险废物厂内周转暂存需求，依托现有危废库具备可行性。</w:t>
            </w:r>
          </w:p>
          <w:p>
            <w:pPr>
              <w:pStyle w:val="27"/>
              <w:widowControl w:val="0"/>
              <w:numPr>
                <w:ilvl w:val="0"/>
                <w:numId w:val="0"/>
              </w:numPr>
              <w:spacing w:line="360" w:lineRule="auto"/>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为满足铝灰渣暂存需求，本项目扩建建筑面积50m²危险废物贮存库，扩建库按照《危险废物贮存污染控制标准》（GB 18597</w:t>
            </w:r>
            <w:r>
              <w:rPr>
                <w:rFonts w:hint="eastAsia" w:cs="Times New Roman"/>
                <w:color w:val="000000" w:themeColor="text1"/>
                <w:kern w:val="0"/>
                <w:sz w:val="24"/>
                <w:lang w:val="en-US" w:eastAsia="zh-CN"/>
                <w14:textFill>
                  <w14:solidFill>
                    <w14:schemeClr w14:val="tx1"/>
                  </w14:solidFill>
                </w14:textFill>
              </w:rPr>
              <w:noBreakHyphen/>
            </w:r>
            <w:r>
              <w:rPr>
                <w:rFonts w:hint="eastAsia" w:cs="Times New Roman"/>
                <w:color w:val="000000" w:themeColor="text1"/>
                <w:kern w:val="0"/>
                <w:sz w:val="24"/>
                <w:lang w:val="en-US" w:eastAsia="zh-CN"/>
                <w14:textFill>
                  <w14:solidFill>
                    <w14:schemeClr w14:val="tx1"/>
                  </w14:solidFill>
                </w14:textFill>
              </w:rPr>
              <w:t>2023）设计建设，库内设置防渗地面，落实分区存放、危险废物标识等规范化管理要求。</w:t>
            </w:r>
          </w:p>
          <w:p>
            <w:pPr>
              <w:pStyle w:val="27"/>
              <w:widowControl w:val="0"/>
              <w:numPr>
                <w:ilvl w:val="0"/>
                <w:numId w:val="0"/>
              </w:numPr>
              <w:spacing w:line="360" w:lineRule="auto"/>
              <w:ind w:firstLine="480" w:firstLineChars="200"/>
              <w:jc w:val="both"/>
              <w:rPr>
                <w:rFonts w:hint="eastAsia"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铝灰渣采用吨包密封包装，单个吨包占地面积约1.21m²，单包装载铝灰渣约1t，固态危险废物堆高不大于 2层。经核算，扩建危废库铝灰渣理论最大同时暂存量约 82t。建设单位须与具备相应资质的危险废物处置单位签订处置协议，铝灰渣转运频次不大于15天/次，铝灰渣入库后分区堆放、及时转运出厂，不在厂内长期堆存。在严格落实危废规范化管理、按期转运处置的前提下，扩建50m²危险废物贮存库可满足本项目铝灰渣的厂内周转暂存要求。</w:t>
            </w:r>
          </w:p>
          <w:p>
            <w:pPr>
              <w:pStyle w:val="27"/>
              <w:widowControl w:val="0"/>
              <w:numPr>
                <w:ilvl w:val="0"/>
                <w:numId w:val="0"/>
              </w:numPr>
              <w:spacing w:line="360" w:lineRule="auto"/>
              <w:ind w:firstLine="480" w:firstLineChars="200"/>
              <w:jc w:val="both"/>
              <w:rPr>
                <w:rFonts w:hint="eastAsia" w:ascii="Times New Roman" w:hAnsi="Times New Roman" w:cs="Times New Roman"/>
                <w:color w:val="000000" w:themeColor="text1"/>
                <w:kern w:val="0"/>
                <w:sz w:val="24"/>
                <w:lang w:val="en-US" w:eastAsia="zh-CN"/>
                <w14:textFill>
                  <w14:solidFill>
                    <w14:schemeClr w14:val="tx1"/>
                  </w14:solidFill>
                </w14:textFill>
              </w:rPr>
            </w:pPr>
            <w:r>
              <w:rPr>
                <w:rFonts w:hint="eastAsia" w:ascii="Times New Roman" w:hAnsi="Times New Roman" w:cs="Times New Roman"/>
                <w:color w:val="000000" w:themeColor="text1"/>
                <w:kern w:val="0"/>
                <w:sz w:val="24"/>
                <w:lang w:val="en-US" w:eastAsia="zh-CN"/>
                <w14:textFill>
                  <w14:solidFill>
                    <w14:schemeClr w14:val="tx1"/>
                  </w14:solidFill>
                </w14:textFill>
              </w:rPr>
              <w:t>经分析，在落实定期转运、规范堆存、分类存放的前提下，可满足本项目的暂存需求，危险废物贮存库可行</w:t>
            </w:r>
            <w:r>
              <w:rPr>
                <w:rFonts w:hint="eastAsia" w:cs="Times New Roman"/>
                <w:color w:val="000000" w:themeColor="text1"/>
                <w:kern w:val="0"/>
                <w:sz w:val="24"/>
                <w:lang w:val="en-US" w:eastAsia="zh-CN"/>
                <w14:textFill>
                  <w14:solidFill>
                    <w14:schemeClr w14:val="tx1"/>
                  </w14:solidFill>
                </w14:textFill>
              </w:rPr>
              <w:t>。</w:t>
            </w:r>
          </w:p>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地下水、土壤污染影响及防治措施</w:t>
            </w:r>
          </w:p>
          <w:p>
            <w:pPr>
              <w:autoSpaceDE w:val="0"/>
              <w:autoSpaceDN w:val="0"/>
              <w:spacing w:line="360" w:lineRule="auto"/>
              <w:ind w:firstLine="480" w:firstLineChars="200"/>
              <w:jc w:val="left"/>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本项目对厂区可能</w:t>
            </w:r>
            <w:r>
              <w:rPr>
                <w:rFonts w:hint="default" w:ascii="Times New Roman" w:hAnsi="Times New Roman" w:cs="Times New Roman"/>
                <w:b w:val="0"/>
                <w:bCs/>
                <w:color w:val="000000" w:themeColor="text1"/>
                <w:sz w:val="24"/>
                <w:lang w:eastAsia="zh-CN"/>
                <w14:textFill>
                  <w14:solidFill>
                    <w14:schemeClr w14:val="tx1"/>
                  </w14:solidFill>
                </w14:textFill>
              </w:rPr>
              <w:t>泄漏</w:t>
            </w:r>
            <w:r>
              <w:rPr>
                <w:rFonts w:hint="default" w:ascii="Times New Roman" w:hAnsi="Times New Roman" w:cs="Times New Roman"/>
                <w:b w:val="0"/>
                <w:bCs/>
                <w:color w:val="000000" w:themeColor="text1"/>
                <w:sz w:val="24"/>
                <w14:textFill>
                  <w14:solidFill>
                    <w14:schemeClr w14:val="tx1"/>
                  </w14:solidFill>
                </w14:textFill>
              </w:rPr>
              <w:t>污染物的地面进行防渗处理，可有效</w:t>
            </w:r>
            <w:r>
              <w:rPr>
                <w:rFonts w:hint="default" w:ascii="Times New Roman" w:hAnsi="Times New Roman" w:cs="Times New Roman"/>
                <w:b w:val="0"/>
                <w:bCs/>
                <w:color w:val="000000" w:themeColor="text1"/>
                <w:sz w:val="24"/>
                <w:lang w:eastAsia="zh-CN"/>
                <w14:textFill>
                  <w14:solidFill>
                    <w14:schemeClr w14:val="tx1"/>
                  </w14:solidFill>
                </w14:textFill>
              </w:rPr>
              <w:t>防止</w:t>
            </w:r>
            <w:r>
              <w:rPr>
                <w:rFonts w:hint="default" w:ascii="Times New Roman" w:hAnsi="Times New Roman" w:cs="Times New Roman"/>
                <w:b w:val="0"/>
                <w:bCs/>
                <w:color w:val="000000" w:themeColor="text1"/>
                <w:sz w:val="24"/>
                <w14:textFill>
                  <w14:solidFill>
                    <w14:schemeClr w14:val="tx1"/>
                  </w14:solidFill>
                </w14:textFill>
              </w:rPr>
              <w:t>污染物渗入地下及土壤，并及时将渗漏、泄漏的污染物收集并进行集中处理。依据地下水导则中相关分区防控措施，结合项目的性质、包气带岩性结构、污染控制难易程度及地下水环境风险，按照重点防渗区、简单防渗区和一般污染防渗区进行分区防渗，防渗层结构依据不同防渗区要求单独使用一种材料或者多种材料结合使用。根据本项目特点，环评要求项目采取的防渗措施包括：</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简单防渗区：</w:t>
            </w:r>
            <w:r>
              <w:rPr>
                <w:rFonts w:hint="default" w:ascii="Times New Roman" w:hAnsi="Times New Roman" w:cs="Times New Roman"/>
                <w:b w:val="0"/>
                <w:bCs/>
                <w:color w:val="000000" w:themeColor="text1"/>
                <w:sz w:val="24"/>
                <w:lang w:val="en-US" w:eastAsia="zh-CN"/>
                <w14:textFill>
                  <w14:solidFill>
                    <w14:schemeClr w14:val="tx1"/>
                  </w14:solidFill>
                </w14:textFill>
              </w:rPr>
              <w:t>厂区</w:t>
            </w:r>
            <w:r>
              <w:rPr>
                <w:rFonts w:hint="eastAsia" w:cs="Times New Roman"/>
                <w:b w:val="0"/>
                <w:bCs/>
                <w:color w:val="000000" w:themeColor="text1"/>
                <w:sz w:val="24"/>
                <w:lang w:val="en-US" w:eastAsia="zh-CN"/>
                <w14:textFill>
                  <w14:solidFill>
                    <w14:schemeClr w14:val="tx1"/>
                  </w14:solidFill>
                </w14:textFill>
              </w:rPr>
              <w:t>办公生活区</w:t>
            </w:r>
            <w:r>
              <w:rPr>
                <w:rFonts w:hint="eastAsia" w:ascii="Times New Roman" w:hAnsi="Times New Roman" w:cs="Times New Roman"/>
                <w:b w:val="0"/>
                <w:bCs/>
                <w:color w:val="000000" w:themeColor="text1"/>
                <w:sz w:val="24"/>
                <w:lang w:val="en-US" w:eastAsia="zh-CN"/>
                <w14:textFill>
                  <w14:solidFill>
                    <w14:schemeClr w14:val="tx1"/>
                  </w14:solidFill>
                </w14:textFill>
              </w:rPr>
              <w:t>以地面水泥硬化为主</w:t>
            </w:r>
            <w:r>
              <w:rPr>
                <w:rFonts w:hint="default" w:ascii="Times New Roman" w:hAnsi="Times New Roman" w:cs="Times New Roman"/>
                <w:b w:val="0"/>
                <w:bCs/>
                <w:color w:val="000000" w:themeColor="text1"/>
                <w:sz w:val="24"/>
                <w14:textFill>
                  <w14:solidFill>
                    <w14:schemeClr w14:val="tx1"/>
                  </w14:solidFill>
                </w14:textFill>
              </w:rPr>
              <w:t>。</w:t>
            </w:r>
          </w:p>
          <w:p>
            <w:pPr>
              <w:spacing w:line="360" w:lineRule="auto"/>
              <w:ind w:firstLine="480" w:firstLineChars="200"/>
              <w:jc w:val="both"/>
              <w:rPr>
                <w:rFonts w:hint="default" w:ascii="Times New Roman" w:hAnsi="Times New Roman" w:cs="Times New Roman"/>
                <w:b w:val="0"/>
                <w:bCs/>
                <w:color w:val="000000" w:themeColor="text1"/>
                <w:sz w:val="24"/>
                <w:lang w:val="en-US" w:eastAsia="zh-CN"/>
                <w14:textFill>
                  <w14:solidFill>
                    <w14:schemeClr w14:val="tx1"/>
                  </w14:solidFill>
                </w14:textFill>
              </w:rPr>
            </w:pPr>
            <w:r>
              <w:rPr>
                <w:rFonts w:hint="eastAsia" w:cs="Times New Roman"/>
                <w:b w:val="0"/>
                <w:bCs/>
                <w:color w:val="000000" w:themeColor="text1"/>
                <w:sz w:val="24"/>
                <w:lang w:val="en-US" w:eastAsia="zh-CN"/>
                <w14:textFill>
                  <w14:solidFill>
                    <w14:schemeClr w14:val="tx1"/>
                  </w14:solidFill>
                </w14:textFill>
              </w:rPr>
              <w:t xml:space="preserve">一般防渗区：厂区生产车间、循环水池采用一般防渗方式，要求采用厚度Mb=1.5m，渗透系数K≤10 </w:t>
            </w:r>
            <w:r>
              <w:rPr>
                <w:rFonts w:hint="eastAsia" w:cs="Times New Roman"/>
                <w:b w:val="0"/>
                <w:bCs/>
                <w:color w:val="000000" w:themeColor="text1"/>
                <w:sz w:val="24"/>
                <w:vertAlign w:val="superscript"/>
                <w:lang w:val="en-US" w:eastAsia="zh-CN"/>
                <w14:textFill>
                  <w14:solidFill>
                    <w14:schemeClr w14:val="tx1"/>
                  </w14:solidFill>
                </w14:textFill>
              </w:rPr>
              <w:t>-7</w:t>
            </w:r>
            <w:r>
              <w:rPr>
                <w:rFonts w:hint="eastAsia" w:cs="Times New Roman"/>
                <w:b w:val="0"/>
                <w:bCs/>
                <w:color w:val="000000" w:themeColor="text1"/>
                <w:sz w:val="24"/>
                <w:lang w:val="en-US" w:eastAsia="zh-CN"/>
                <w14:textFill>
                  <w14:solidFill>
                    <w14:schemeClr w14:val="tx1"/>
                  </w14:solidFill>
                </w14:textFill>
              </w:rPr>
              <w:t>cm/s 防渗等效的20cm 厚P4等级混凝土进行防渗。防渗技术满足。</w:t>
            </w:r>
          </w:p>
          <w:p>
            <w:pPr>
              <w:spacing w:line="360" w:lineRule="auto"/>
              <w:ind w:firstLine="480" w:firstLineChars="200"/>
              <w:jc w:val="both"/>
              <w:rPr>
                <w:rFonts w:hint="eastAsia" w:ascii="Times New Roman" w:hAnsi="Times New Roman" w:eastAsia="宋体" w:cs="Times New Roman"/>
                <w:b w:val="0"/>
                <w:bCs/>
                <w:color w:val="000000" w:themeColor="text1"/>
                <w:sz w:val="24"/>
                <w:lang w:eastAsia="zh-CN"/>
                <w14:textFill>
                  <w14:solidFill>
                    <w14:schemeClr w14:val="tx1"/>
                  </w14:solidFill>
                </w14:textFill>
              </w:rPr>
            </w:pPr>
            <w:r>
              <w:rPr>
                <w:rFonts w:hint="default" w:ascii="Times New Roman" w:hAnsi="Times New Roman" w:cs="Times New Roman"/>
                <w:b w:val="0"/>
                <w:bCs/>
                <w:color w:val="000000" w:themeColor="text1"/>
                <w:sz w:val="24"/>
                <w:lang w:val="en-US" w:eastAsia="zh-CN"/>
                <w14:textFill>
                  <w14:solidFill>
                    <w14:schemeClr w14:val="tx1"/>
                  </w14:solidFill>
                </w14:textFill>
              </w:rPr>
              <w:t>重点防渗区：</w:t>
            </w:r>
            <w:r>
              <w:rPr>
                <w:rFonts w:hint="eastAsia" w:cs="Times New Roman"/>
                <w:b w:val="0"/>
                <w:bCs/>
                <w:color w:val="000000" w:themeColor="text1"/>
                <w:sz w:val="24"/>
                <w:lang w:val="en-US" w:eastAsia="zh-CN"/>
                <w14:textFill>
                  <w14:solidFill>
                    <w14:schemeClr w14:val="tx1"/>
                  </w14:solidFill>
                </w14:textFill>
              </w:rPr>
              <w:t>扩建的</w:t>
            </w:r>
            <w:r>
              <w:rPr>
                <w:rFonts w:hint="eastAsia" w:cs="Times New Roman"/>
                <w:b w:val="0"/>
                <w:bCs/>
                <w:color w:val="000000" w:themeColor="text1"/>
                <w:sz w:val="24"/>
                <w:lang w:eastAsia="zh-CN"/>
                <w14:textFill>
                  <w14:solidFill>
                    <w14:schemeClr w14:val="tx1"/>
                  </w14:solidFill>
                </w14:textFill>
              </w:rPr>
              <w:t>危险废物贮存库（</w:t>
            </w:r>
            <w:r>
              <w:rPr>
                <w:rFonts w:hint="eastAsia" w:cs="Times New Roman"/>
                <w:b w:val="0"/>
                <w:bCs/>
                <w:color w:val="000000" w:themeColor="text1"/>
                <w:sz w:val="24"/>
                <w:lang w:val="en-US" w:eastAsia="zh-CN"/>
                <w14:textFill>
                  <w14:solidFill>
                    <w14:schemeClr w14:val="tx1"/>
                  </w14:solidFill>
                </w14:textFill>
              </w:rPr>
              <w:t>50m</w:t>
            </w:r>
            <w:r>
              <w:rPr>
                <w:rFonts w:hint="eastAsia" w:cs="Times New Roman"/>
                <w:b w:val="0"/>
                <w:bCs/>
                <w:color w:val="000000" w:themeColor="text1"/>
                <w:sz w:val="24"/>
                <w:vertAlign w:val="superscript"/>
                <w:lang w:val="en-US" w:eastAsia="zh-CN"/>
                <w14:textFill>
                  <w14:solidFill>
                    <w14:schemeClr w14:val="tx1"/>
                  </w14:solidFill>
                </w14:textFill>
              </w:rPr>
              <w:t>2</w:t>
            </w:r>
            <w:r>
              <w:rPr>
                <w:rFonts w:hint="eastAsia" w:cs="Times New Roman"/>
                <w:b w:val="0"/>
                <w:bCs/>
                <w:color w:val="000000" w:themeColor="text1"/>
                <w:sz w:val="24"/>
                <w:lang w:eastAsia="zh-CN"/>
                <w14:textFill>
                  <w14:solidFill>
                    <w14:schemeClr w14:val="tx1"/>
                  </w14:solidFill>
                </w14:textFill>
              </w:rPr>
              <w:t>）</w:t>
            </w:r>
            <w:r>
              <w:rPr>
                <w:rFonts w:hint="eastAsia" w:cs="Times New Roman"/>
                <w:b w:val="0"/>
                <w:bCs/>
                <w:color w:val="000000" w:themeColor="text1"/>
                <w:sz w:val="24"/>
                <w:lang w:val="en-US" w:eastAsia="zh-CN"/>
                <w14:textFill>
                  <w14:solidFill>
                    <w14:schemeClr w14:val="tx1"/>
                  </w14:solidFill>
                </w14:textFill>
              </w:rPr>
              <w:t>，表面防渗材料应与所接触的物料或污染物相容，可采用抗渗混凝土、高密度聚乙烯膜、钠基膨润土防水毯或其他防渗性能等效的材料，要求</w:t>
            </w:r>
            <w:r>
              <w:rPr>
                <w:rFonts w:hint="default" w:ascii="Times New Roman" w:hAnsi="Times New Roman" w:cs="Times New Roman"/>
                <w:b w:val="0"/>
                <w:bCs/>
                <w:color w:val="000000" w:themeColor="text1"/>
                <w:sz w:val="24"/>
                <w14:textFill>
                  <w14:solidFill>
                    <w14:schemeClr w14:val="tx1"/>
                  </w14:solidFill>
                </w14:textFill>
              </w:rPr>
              <w:t>地面防渗层为至少1m厚黏土层</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渗透系数不大于10</w:t>
            </w:r>
            <w:r>
              <w:rPr>
                <w:rFonts w:hint="eastAsia" w:cs="Times New Roman"/>
                <w:b w:val="0"/>
                <w:bCs/>
                <w:color w:val="000000" w:themeColor="text1"/>
                <w:sz w:val="24"/>
                <w:vertAlign w:val="superscript"/>
                <w:lang w:val="en-US" w:eastAsia="zh-CN"/>
                <w14:textFill>
                  <w14:solidFill>
                    <w14:schemeClr w14:val="tx1"/>
                  </w14:solidFill>
                </w14:textFill>
              </w:rPr>
              <w:t>-7</w:t>
            </w:r>
            <w:r>
              <w:rPr>
                <w:rFonts w:hint="default" w:ascii="Times New Roman" w:hAnsi="Times New Roman" w:cs="Times New Roman"/>
                <w:b w:val="0"/>
                <w:bCs/>
                <w:color w:val="000000" w:themeColor="text1"/>
                <w:sz w:val="24"/>
                <w14:textFill>
                  <w14:solidFill>
                    <w14:schemeClr w14:val="tx1"/>
                  </w14:solidFill>
                </w14:textFill>
              </w:rPr>
              <w:t>cm/s</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，或至少2mm厚高密度聚乙烯膜等人工防渗材料</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渗透系数不大于</w:t>
            </w:r>
            <w:r>
              <w:rPr>
                <w:rFonts w:hint="eastAsia" w:cs="Times New Roman"/>
                <w:b w:val="0"/>
                <w:bCs/>
                <w:color w:val="000000" w:themeColor="text1"/>
                <w:sz w:val="24"/>
                <w:vertAlign w:val="superscript"/>
                <w:lang w:val="en-US" w:eastAsia="zh-CN"/>
                <w14:textFill>
                  <w14:solidFill>
                    <w14:schemeClr w14:val="tx1"/>
                  </w14:solidFill>
                </w14:textFill>
              </w:rPr>
              <w:t>-</w:t>
            </w:r>
            <w:r>
              <w:rPr>
                <w:rFonts w:hint="default" w:ascii="Times New Roman" w:hAnsi="Times New Roman" w:cs="Times New Roman"/>
                <w:b w:val="0"/>
                <w:bCs/>
                <w:color w:val="000000" w:themeColor="text1"/>
                <w:sz w:val="24"/>
                <w:vertAlign w:val="superscript"/>
                <w14:textFill>
                  <w14:solidFill>
                    <w14:schemeClr w14:val="tx1"/>
                  </w14:solidFill>
                </w14:textFill>
              </w:rPr>
              <w:t>10</w:t>
            </w:r>
            <w:r>
              <w:rPr>
                <w:rFonts w:hint="default" w:ascii="Times New Roman" w:hAnsi="Times New Roman" w:cs="Times New Roman"/>
                <w:b w:val="0"/>
                <w:bCs/>
                <w:color w:val="000000" w:themeColor="text1"/>
                <w:sz w:val="24"/>
                <w14:textFill>
                  <w14:solidFill>
                    <w14:schemeClr w14:val="tx1"/>
                  </w14:solidFill>
                </w14:textFill>
              </w:rPr>
              <w:t>cm/s</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，保证无渗漏缝</w:t>
            </w:r>
            <w:r>
              <w:rPr>
                <w:rFonts w:hint="eastAsia" w:cs="Times New Roman"/>
                <w:b w:val="0"/>
                <w:bCs/>
                <w:color w:val="000000" w:themeColor="text1"/>
                <w:sz w:val="24"/>
                <w:lang w:eastAsia="zh-CN"/>
                <w14:textFill>
                  <w14:solidFill>
                    <w14:schemeClr w14:val="tx1"/>
                  </w14:solidFill>
                </w14:textFill>
              </w:rPr>
              <w:t>，</w:t>
            </w:r>
            <w:r>
              <w:rPr>
                <w:rFonts w:hint="eastAsia" w:cs="Times New Roman"/>
                <w:b w:val="0"/>
                <w:bCs/>
                <w:color w:val="000000" w:themeColor="text1"/>
                <w:sz w:val="24"/>
                <w:lang w:val="en-US" w:eastAsia="zh-CN"/>
                <w14:textFill>
                  <w14:solidFill>
                    <w14:schemeClr w14:val="tx1"/>
                  </w14:solidFill>
                </w14:textFill>
              </w:rPr>
              <w:t>按照《危险废物贮存污染控制标准》（GB18597-2023）、《环境影响评价技术导则 地下水环境》（HJ 610-2016）落实防渗措施。</w:t>
            </w:r>
          </w:p>
          <w:p>
            <w:pPr>
              <w:autoSpaceDE w:val="0"/>
              <w:autoSpaceDN w:val="0"/>
              <w:spacing w:line="360" w:lineRule="auto"/>
              <w:ind w:firstLine="480" w:firstLineChars="200"/>
              <w:jc w:val="left"/>
              <w:rPr>
                <w:rFonts w:hint="default" w:ascii="Times New Roman" w:hAnsi="Times New Roman" w:eastAsia="宋体" w:cs="Times New Roman"/>
                <w:b w:val="0"/>
                <w:bCs/>
                <w:color w:val="000000" w:themeColor="text1"/>
                <w:sz w:val="24"/>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lang w:val="en-US" w:eastAsia="zh-CN"/>
                <w14:textFill>
                  <w14:solidFill>
                    <w14:schemeClr w14:val="tx1"/>
                  </w14:solidFill>
                </w14:textFill>
              </w:rPr>
              <w:t>在认真采取以上措施的基础上，一旦发生溢出与渗漏事故，渗漏物质将由于防渗层的保护作用，积聚在地面上，不会对地下水及土壤造成影响</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w:t>
            </w:r>
          </w:p>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eastAsia="宋体" w:cs="Times New Roman"/>
                <w:color w:val="000000" w:themeColor="text1"/>
                <w:lang w:val="en-US" w:eastAsia="zh-CN"/>
                <w14:textFill>
                  <w14:solidFill>
                    <w14:schemeClr w14:val="tx1"/>
                  </w14:solidFill>
                </w14:textFill>
              </w:rPr>
              <w:t>环境风险分析</w:t>
            </w:r>
          </w:p>
          <w:p>
            <w:pPr>
              <w:keepNext/>
              <w:keepLines/>
              <w:widowControl w:val="0"/>
              <w:wordWrap w:val="0"/>
              <w:topLinePunct/>
              <w:spacing w:line="360" w:lineRule="auto"/>
              <w:ind w:firstLine="0" w:firstLineChars="0"/>
              <w:jc w:val="both"/>
              <w:outlineLvl w:val="2"/>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6.1</w:t>
            </w:r>
            <w:r>
              <w:rPr>
                <w:rFonts w:hint="eastAsia" w:cs="Times New Roman"/>
                <w:b/>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风险</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物质分布</w:t>
            </w:r>
          </w:p>
          <w:p>
            <w:pPr>
              <w:bidi w:val="0"/>
              <w:spacing w:line="360" w:lineRule="auto"/>
              <w:ind w:firstLine="480" w:firstLineChars="200"/>
              <w:jc w:val="both"/>
              <w:rPr>
                <w:rFonts w:hint="default" w:eastAsia="宋体"/>
                <w:b w:val="0"/>
                <w:bCs w:val="0"/>
                <w:color w:val="000000" w:themeColor="text1"/>
                <w:sz w:val="24"/>
                <w:szCs w:val="22"/>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根据《建设项目环境风险评价技术导则》（HJ</w:t>
            </w:r>
            <w:r>
              <w:rPr>
                <w:rFonts w:hint="eastAsia"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169-2018）中附录B</w:t>
            </w:r>
            <w:r>
              <w:rPr>
                <w:rFonts w:hint="eastAsia" w:cs="Times New Roman"/>
                <w:b w:val="0"/>
                <w:bCs w:val="0"/>
                <w:color w:val="000000" w:themeColor="text1"/>
                <w:sz w:val="24"/>
                <w:szCs w:val="24"/>
                <w:lang w:val="en-US" w:eastAsia="zh-CN"/>
                <w14:textFill>
                  <w14:solidFill>
                    <w14:schemeClr w14:val="tx1"/>
                  </w14:solidFill>
                </w14:textFill>
              </w:rPr>
              <w:t>及《企业突发环境事件风险分级方法》（HJ 941-2018）附录A</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中的危险物质，本项目废润滑油、废乳化液</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废洗涤液</w:t>
            </w:r>
            <w:r>
              <w:rPr>
                <w:rFonts w:hint="eastAsia"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天然气为环境风险物质</w:t>
            </w:r>
            <w:r>
              <w:rPr>
                <w:rFonts w:hint="eastAsia" w:cs="Times New Roman"/>
                <w:b w:val="0"/>
                <w:bCs w:val="0"/>
                <w:color w:val="000000" w:themeColor="text1"/>
                <w:sz w:val="24"/>
                <w:szCs w:val="24"/>
                <w:lang w:val="en-US" w:eastAsia="zh-CN"/>
                <w14:textFill>
                  <w14:solidFill>
                    <w14:schemeClr w14:val="tx1"/>
                  </w14:solidFill>
                </w14:textFill>
              </w:rPr>
              <w:t>，详见下表。</w:t>
            </w:r>
          </w:p>
          <w:p>
            <w:pPr>
              <w:widowControl w:val="0"/>
              <w:wordWrap w:val="0"/>
              <w:autoSpaceDE w:val="0"/>
              <w:autoSpaceDN w:val="0"/>
              <w:adjustRightInd w:val="0"/>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kern w:val="0"/>
                <w:sz w:val="21"/>
                <w:szCs w:val="21"/>
                <w:lang w:val="en-US" w:eastAsia="zh-CN" w:bidi="zh-CN"/>
                <w14:textFill>
                  <w14:solidFill>
                    <w14:schemeClr w14:val="tx1"/>
                  </w14:solidFill>
                </w14:textFill>
              </w:rPr>
            </w:pPr>
            <w:bookmarkStart w:id="10" w:name="_Toc58589477"/>
            <w:bookmarkStart w:id="11" w:name="_Toc43373980"/>
            <w:r>
              <w:rPr>
                <w:rFonts w:hint="default" w:ascii="Times New Roman" w:hAnsi="Times New Roman" w:eastAsia="宋体" w:cs="Times New Roman"/>
                <w:b/>
                <w:bCs/>
                <w:color w:val="000000" w:themeColor="text1"/>
                <w:kern w:val="0"/>
                <w:sz w:val="21"/>
                <w:szCs w:val="21"/>
                <w:lang w:val="en-US" w:eastAsia="zh-CN" w:bidi="zh-CN"/>
                <w14:textFill>
                  <w14:solidFill>
                    <w14:schemeClr w14:val="tx1"/>
                  </w14:solidFill>
                </w14:textFill>
              </w:rPr>
              <w:t>表4-</w:t>
            </w:r>
            <w:r>
              <w:rPr>
                <w:rFonts w:hint="default" w:ascii="Times New Roman" w:hAnsi="Times New Roman" w:cs="Times New Roman"/>
                <w:b/>
                <w:bCs/>
                <w:color w:val="000000" w:themeColor="text1"/>
                <w:kern w:val="0"/>
                <w:sz w:val="21"/>
                <w:szCs w:val="21"/>
                <w:lang w:val="en-US" w:eastAsia="zh-CN" w:bidi="zh-CN"/>
                <w14:textFill>
                  <w14:solidFill>
                    <w14:schemeClr w14:val="tx1"/>
                  </w14:solidFill>
                </w14:textFill>
              </w:rPr>
              <w:t>1</w:t>
            </w:r>
            <w:r>
              <w:rPr>
                <w:rFonts w:hint="eastAsia" w:cs="Times New Roman"/>
                <w:b/>
                <w:bCs/>
                <w:color w:val="000000" w:themeColor="text1"/>
                <w:kern w:val="0"/>
                <w:sz w:val="21"/>
                <w:szCs w:val="21"/>
                <w:lang w:val="en-US" w:eastAsia="zh-CN" w:bidi="zh-CN"/>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zh-CN"/>
                <w14:textFill>
                  <w14:solidFill>
                    <w14:schemeClr w14:val="tx1"/>
                  </w14:solidFill>
                </w14:textFill>
              </w:rPr>
              <w:t xml:space="preserve">  </w:t>
            </w:r>
            <w:r>
              <w:rPr>
                <w:rFonts w:hint="default" w:ascii="Times New Roman" w:hAnsi="Times New Roman" w:cs="Times New Roman"/>
                <w:b/>
                <w:bCs/>
                <w:color w:val="000000" w:themeColor="text1"/>
                <w:kern w:val="0"/>
                <w:sz w:val="21"/>
                <w:szCs w:val="21"/>
                <w:lang w:val="en-US" w:eastAsia="zh-CN" w:bidi="zh-CN"/>
                <w14:textFill>
                  <w14:solidFill>
                    <w14:schemeClr w14:val="tx1"/>
                  </w14:solidFill>
                </w14:textFill>
              </w:rPr>
              <w:t xml:space="preserve"> </w:t>
            </w:r>
            <w:r>
              <w:rPr>
                <w:rFonts w:hint="default" w:ascii="Times New Roman" w:hAnsi="Times New Roman" w:eastAsia="宋体" w:cs="Times New Roman"/>
                <w:b/>
                <w:bCs/>
                <w:color w:val="000000" w:themeColor="text1"/>
                <w:kern w:val="0"/>
                <w:sz w:val="21"/>
                <w:szCs w:val="21"/>
                <w:lang w:val="en-US" w:eastAsia="zh-CN" w:bidi="zh-CN"/>
                <w14:textFill>
                  <w14:solidFill>
                    <w14:schemeClr w14:val="tx1"/>
                  </w14:solidFill>
                </w14:textFill>
              </w:rPr>
              <w:t>本项目危险物质数量与临界量比值</w:t>
            </w:r>
          </w:p>
          <w:tbl>
            <w:tblPr>
              <w:tblStyle w:val="32"/>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610"/>
              <w:gridCol w:w="1525"/>
              <w:gridCol w:w="1432"/>
              <w:gridCol w:w="1890"/>
              <w:gridCol w:w="1168"/>
              <w:gridCol w:w="1240"/>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388" w:type="pct"/>
                  <w:tcBorders>
                    <w:bottom w:val="single" w:color="000000" w:sz="12" w:space="0"/>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t>序号</w:t>
                  </w:r>
                </w:p>
              </w:tc>
              <w:tc>
                <w:tcPr>
                  <w:tcW w:w="969" w:type="pct"/>
                  <w:tcBorders>
                    <w:bottom w:val="single" w:color="000000" w:sz="12" w:space="0"/>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t>危险物质名称</w:t>
                  </w:r>
                </w:p>
              </w:tc>
              <w:tc>
                <w:tcPr>
                  <w:tcW w:w="910" w:type="pct"/>
                  <w:tcBorders>
                    <w:bottom w:val="single" w:color="000000" w:sz="12" w:space="0"/>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t>储存位置</w:t>
                  </w:r>
                </w:p>
              </w:tc>
              <w:tc>
                <w:tcPr>
                  <w:tcW w:w="1201" w:type="pct"/>
                  <w:tcBorders>
                    <w:bottom w:val="single" w:color="000000" w:sz="12" w:space="0"/>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t>最大存在总量qn/</w:t>
                  </w:r>
                  <w:r>
                    <w:rPr>
                      <w:rFonts w:hint="default" w:ascii="Times New Roman" w:hAnsi="Times New Roman" w:cs="Times New Roman"/>
                      <w:b/>
                      <w:bCs/>
                      <w:color w:val="000000" w:themeColor="text1"/>
                      <w:kern w:val="0"/>
                      <w:sz w:val="21"/>
                      <w:szCs w:val="20"/>
                      <w:lang w:val="en-US" w:eastAsia="zh-CN" w:bidi="zh-CN"/>
                      <w14:textFill>
                        <w14:solidFill>
                          <w14:schemeClr w14:val="tx1"/>
                        </w14:solidFill>
                      </w14:textFill>
                    </w:rPr>
                    <w:t>吨</w:t>
                  </w:r>
                </w:p>
              </w:tc>
              <w:tc>
                <w:tcPr>
                  <w:tcW w:w="742" w:type="pct"/>
                  <w:tcBorders>
                    <w:bottom w:val="single" w:color="000000" w:sz="12" w:space="0"/>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t>临界量Qn/</w:t>
                  </w:r>
                  <w:r>
                    <w:rPr>
                      <w:rFonts w:hint="default" w:ascii="Times New Roman" w:hAnsi="Times New Roman" w:cs="Times New Roman"/>
                      <w:b/>
                      <w:bCs/>
                      <w:color w:val="000000" w:themeColor="text1"/>
                      <w:kern w:val="0"/>
                      <w:sz w:val="21"/>
                      <w:szCs w:val="20"/>
                      <w:lang w:val="en-US" w:eastAsia="zh-CN" w:bidi="zh-CN"/>
                      <w14:textFill>
                        <w14:solidFill>
                          <w14:schemeClr w14:val="tx1"/>
                        </w14:solidFill>
                      </w14:textFill>
                    </w:rPr>
                    <w:t>吨</w:t>
                  </w:r>
                </w:p>
              </w:tc>
              <w:tc>
                <w:tcPr>
                  <w:tcW w:w="788" w:type="pct"/>
                  <w:tcBorders>
                    <w:bottom w:val="single" w:color="000000" w:sz="12" w:space="0"/>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t>危险物质</w:t>
                  </w:r>
                </w:p>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bCs/>
                      <w:color w:val="000000" w:themeColor="text1"/>
                      <w:kern w:val="0"/>
                      <w:sz w:val="21"/>
                      <w:szCs w:val="20"/>
                      <w:lang w:val="en-US" w:eastAsia="zh-CN" w:bidi="zh-CN"/>
                      <w14:textFill>
                        <w14:solidFill>
                          <w14:schemeClr w14:val="tx1"/>
                        </w14:solidFill>
                      </w14:textFill>
                    </w:rPr>
                    <w:t>Q值</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388"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t>1</w:t>
                  </w:r>
                </w:p>
              </w:tc>
              <w:tc>
                <w:tcPr>
                  <w:tcW w:w="969"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t>废润滑油</w:t>
                  </w:r>
                </w:p>
              </w:tc>
              <w:tc>
                <w:tcPr>
                  <w:tcW w:w="910"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危险废物贮存库</w:t>
                  </w:r>
                </w:p>
              </w:tc>
              <w:tc>
                <w:tcPr>
                  <w:tcW w:w="1201"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t>0.</w:t>
                  </w:r>
                  <w:r>
                    <w:rPr>
                      <w:rFonts w:hint="eastAsia" w:cs="Times New Roman"/>
                      <w:b w:val="0"/>
                      <w:bCs w:val="0"/>
                      <w:color w:val="000000" w:themeColor="text1"/>
                      <w:kern w:val="0"/>
                      <w:sz w:val="21"/>
                      <w:szCs w:val="20"/>
                      <w:lang w:val="en-US" w:eastAsia="zh-CN" w:bidi="zh-CN"/>
                      <w14:textFill>
                        <w14:solidFill>
                          <w14:schemeClr w14:val="tx1"/>
                        </w14:solidFill>
                      </w14:textFill>
                    </w:rPr>
                    <w:t>3</w:t>
                  </w:r>
                </w:p>
              </w:tc>
              <w:tc>
                <w:tcPr>
                  <w:tcW w:w="742"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t>2500</w:t>
                  </w:r>
                </w:p>
              </w:tc>
              <w:tc>
                <w:tcPr>
                  <w:tcW w:w="788"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t>0.000</w:t>
                  </w:r>
                  <w:r>
                    <w:rPr>
                      <w:rFonts w:hint="eastAsia" w:cs="Times New Roman"/>
                      <w:b w:val="0"/>
                      <w:bCs w:val="0"/>
                      <w:color w:val="000000" w:themeColor="text1"/>
                      <w:kern w:val="0"/>
                      <w:sz w:val="21"/>
                      <w:szCs w:val="20"/>
                      <w:lang w:val="en-US" w:eastAsia="zh-CN" w:bidi="zh-CN"/>
                      <w14:textFill>
                        <w14:solidFill>
                          <w14:schemeClr w14:val="tx1"/>
                        </w14:solidFill>
                      </w14:textFill>
                    </w:rPr>
                    <w:t>12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388"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2</w:t>
                  </w:r>
                </w:p>
              </w:tc>
              <w:tc>
                <w:tcPr>
                  <w:tcW w:w="969"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废乳化液</w:t>
                  </w:r>
                </w:p>
              </w:tc>
              <w:tc>
                <w:tcPr>
                  <w:tcW w:w="910"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eastAsia"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危险废物贮存库</w:t>
                  </w:r>
                </w:p>
              </w:tc>
              <w:tc>
                <w:tcPr>
                  <w:tcW w:w="1201"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4.0</w:t>
                  </w:r>
                </w:p>
              </w:tc>
              <w:tc>
                <w:tcPr>
                  <w:tcW w:w="742"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2500</w:t>
                  </w:r>
                </w:p>
              </w:tc>
              <w:tc>
                <w:tcPr>
                  <w:tcW w:w="788"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0.0016</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388"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3</w:t>
                  </w:r>
                </w:p>
              </w:tc>
              <w:tc>
                <w:tcPr>
                  <w:tcW w:w="969"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废洗涤液</w:t>
                  </w:r>
                </w:p>
              </w:tc>
              <w:tc>
                <w:tcPr>
                  <w:tcW w:w="910"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eastAsia"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危险废物贮存库</w:t>
                  </w:r>
                </w:p>
              </w:tc>
              <w:tc>
                <w:tcPr>
                  <w:tcW w:w="1201"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0.12</w:t>
                  </w:r>
                </w:p>
              </w:tc>
              <w:tc>
                <w:tcPr>
                  <w:tcW w:w="742"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2500</w:t>
                  </w:r>
                </w:p>
              </w:tc>
              <w:tc>
                <w:tcPr>
                  <w:tcW w:w="788"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0.00005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388"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4</w:t>
                  </w:r>
                </w:p>
              </w:tc>
              <w:tc>
                <w:tcPr>
                  <w:tcW w:w="969"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天然气</w:t>
                  </w:r>
                </w:p>
              </w:tc>
              <w:tc>
                <w:tcPr>
                  <w:tcW w:w="910"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eastAsia" w:ascii="Times New Roman" w:hAnsi="Times New Roman" w:cs="Times New Roman"/>
                      <w:b w:val="0"/>
                      <w:bCs w:val="0"/>
                      <w:color w:val="000000" w:themeColor="text1"/>
                      <w:kern w:val="0"/>
                      <w:sz w:val="21"/>
                      <w:szCs w:val="20"/>
                      <w:lang w:val="en-US" w:eastAsia="zh-CN" w:bidi="zh-CN"/>
                      <w14:textFill>
                        <w14:solidFill>
                          <w14:schemeClr w14:val="tx1"/>
                        </w14:solidFill>
                      </w14:textFill>
                    </w:rPr>
                    <w:t>天然气管道</w:t>
                  </w:r>
                </w:p>
              </w:tc>
              <w:tc>
                <w:tcPr>
                  <w:tcW w:w="1201"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燃气管线选用无缝钢管，管径为40cm，厂区管线全长约780m，设计压力为0.1MPa，最大在线量约为</w:t>
                  </w:r>
                  <w: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t>0.0014</w:t>
                  </w:r>
                  <w:r>
                    <w:rPr>
                      <w:rFonts w:hint="eastAsia" w:cs="Times New Roman"/>
                      <w:b w:val="0"/>
                      <w:bCs w:val="0"/>
                      <w:color w:val="000000" w:themeColor="text1"/>
                      <w:kern w:val="0"/>
                      <w:sz w:val="21"/>
                      <w:szCs w:val="20"/>
                      <w:lang w:val="en-US" w:eastAsia="zh-CN" w:bidi="zh-CN"/>
                      <w14:textFill>
                        <w14:solidFill>
                          <w14:schemeClr w14:val="tx1"/>
                        </w14:solidFill>
                      </w14:textFill>
                    </w:rPr>
                    <w:t>t</w:t>
                  </w:r>
                </w:p>
              </w:tc>
              <w:tc>
                <w:tcPr>
                  <w:tcW w:w="742"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10</w:t>
                  </w:r>
                </w:p>
              </w:tc>
              <w:tc>
                <w:tcPr>
                  <w:tcW w:w="788" w:type="pct"/>
                  <w:tcBorders>
                    <w:top w:val="single" w:color="000000" w:sz="12" w:space="0"/>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pPr>
                  <w:r>
                    <w:rPr>
                      <w:rFonts w:hint="default" w:ascii="Times New Roman" w:hAnsi="Times New Roman" w:cs="Times New Roman"/>
                      <w:b w:val="0"/>
                      <w:bCs w:val="0"/>
                      <w:color w:val="000000" w:themeColor="text1"/>
                      <w:kern w:val="0"/>
                      <w:sz w:val="21"/>
                      <w:szCs w:val="20"/>
                      <w:lang w:val="en-US" w:eastAsia="zh-CN" w:bidi="zh-CN"/>
                      <w14:textFill>
                        <w14:solidFill>
                          <w14:schemeClr w14:val="tx1"/>
                        </w14:solidFill>
                      </w14:textFill>
                    </w:rPr>
                    <w:t>0.00014</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98" w:hRule="atLeast"/>
                <w:jc w:val="center"/>
              </w:trPr>
              <w:tc>
                <w:tcPr>
                  <w:tcW w:w="1357" w:type="pct"/>
                  <w:gridSpan w:val="2"/>
                  <w:tcBorders>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t>合计</w:t>
                  </w:r>
                </w:p>
              </w:tc>
              <w:tc>
                <w:tcPr>
                  <w:tcW w:w="910" w:type="pct"/>
                  <w:tcBorders>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w:t>
                  </w:r>
                </w:p>
              </w:tc>
              <w:tc>
                <w:tcPr>
                  <w:tcW w:w="1201" w:type="pct"/>
                  <w:tcBorders>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w:t>
                  </w:r>
                </w:p>
              </w:tc>
              <w:tc>
                <w:tcPr>
                  <w:tcW w:w="742" w:type="pct"/>
                  <w:tcBorders>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w:t>
                  </w:r>
                </w:p>
              </w:tc>
              <w:tc>
                <w:tcPr>
                  <w:tcW w:w="788" w:type="pct"/>
                  <w:tcBorders>
                    <w:tl2br w:val="nil"/>
                    <w:tr2bl w:val="nil"/>
                  </w:tcBorders>
                  <w:noWrap w:val="0"/>
                  <w:vAlign w:val="center"/>
                </w:tcPr>
                <w:p>
                  <w:pPr>
                    <w:widowControl w:val="0"/>
                    <w:wordWrap w:val="0"/>
                    <w:autoSpaceDE w:val="0"/>
                    <w:autoSpaceDN w:val="0"/>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kern w:val="0"/>
                      <w:sz w:val="21"/>
                      <w:szCs w:val="20"/>
                      <w:lang w:val="en-US" w:eastAsia="zh-CN" w:bidi="zh-CN"/>
                      <w14:textFill>
                        <w14:solidFill>
                          <w14:schemeClr w14:val="tx1"/>
                        </w14:solidFill>
                      </w14:textFill>
                    </w:rPr>
                  </w:pPr>
                  <w:r>
                    <w:rPr>
                      <w:rFonts w:hint="eastAsia" w:cs="Times New Roman"/>
                      <w:b w:val="0"/>
                      <w:bCs w:val="0"/>
                      <w:color w:val="000000" w:themeColor="text1"/>
                      <w:kern w:val="0"/>
                      <w:sz w:val="21"/>
                      <w:szCs w:val="20"/>
                      <w:lang w:val="en-US" w:eastAsia="zh-CN" w:bidi="zh-CN"/>
                      <w14:textFill>
                        <w14:solidFill>
                          <w14:schemeClr w14:val="tx1"/>
                        </w14:solidFill>
                      </w14:textFill>
                    </w:rPr>
                    <w:t>0.00191</w:t>
                  </w:r>
                </w:p>
              </w:tc>
            </w:tr>
          </w:tbl>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危险物质数量与临界量比值</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Q</w:t>
            </w:r>
            <w:r>
              <w:rPr>
                <w:rFonts w:hint="eastAsia" w:cs="Times New Roman"/>
                <w:b w:val="0"/>
                <w:bCs w:val="0"/>
                <w:iCs/>
                <w:color w:val="000000" w:themeColor="text1"/>
                <w:sz w:val="24"/>
                <w:szCs w:val="24"/>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计算所涉及的每种危险物质在厂界内的最大存在总量与其在《建设项目环境风险评价技术导则》</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HJ</w:t>
            </w:r>
            <w:r>
              <w:rPr>
                <w:rFonts w:hint="eastAsia" w:cs="Times New Roman"/>
                <w:b w:val="0"/>
                <w:bCs w:val="0"/>
                <w:i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169-2018</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附录B中对应临界量的比值Q。在不同厂区的同一种物质，按其在厂界内的最大存在总量计算。</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pP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1</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当企业只涉及一种风险物质时，该物质的数量与其临界量比值，即为Q。</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pP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2</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当企业存在多种风险物质时，则按</w:t>
            </w:r>
            <w:r>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式计算：</w:t>
            </w:r>
          </w:p>
          <w:p>
            <w:pPr>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default" w:ascii="Times New Roman" w:hAnsi="Times New Roman" w:eastAsia="宋体" w:cs="Times New Roman"/>
                <w:b w:val="0"/>
                <w:bCs w:val="0"/>
                <w:i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mc:AlternateContent>
                <mc:Choice Requires="wpc">
                  <w:drawing>
                    <wp:inline distT="0" distB="0" distL="114300" distR="114300">
                      <wp:extent cx="4930775" cy="713105"/>
                      <wp:effectExtent l="0" t="0" r="0" b="0"/>
                      <wp:docPr id="44" name="画布 44"/>
                      <wp:cNvGraphicFramePr/>
                      <a:graphic xmlns:a="http://schemas.openxmlformats.org/drawingml/2006/main">
                        <a:graphicData uri="http://schemas.microsoft.com/office/word/2010/wordprocessingCanvas">
                          <wpc:wpc>
                            <wpc:bg/>
                            <wpc:whole/>
                            <pic:pic xmlns:pic="http://schemas.openxmlformats.org/drawingml/2006/picture">
                              <pic:nvPicPr>
                                <pic:cNvPr id="45" name="图片 6"/>
                                <pic:cNvPicPr>
                                  <a:picLocks noChangeAspect="1"/>
                                </pic:cNvPicPr>
                              </pic:nvPicPr>
                              <pic:blipFill>
                                <a:blip r:embed="rId31"/>
                                <a:stretch>
                                  <a:fillRect/>
                                </a:stretch>
                              </pic:blipFill>
                              <pic:spPr>
                                <a:xfrm>
                                  <a:off x="965200" y="48895"/>
                                  <a:ext cx="2826385" cy="511175"/>
                                </a:xfrm>
                                <a:prstGeom prst="rect">
                                  <a:avLst/>
                                </a:prstGeom>
                                <a:noFill/>
                                <a:ln>
                                  <a:noFill/>
                                </a:ln>
                              </pic:spPr>
                            </pic:pic>
                          </wpc:wpc>
                        </a:graphicData>
                      </a:graphic>
                    </wp:inline>
                  </w:drawing>
                </mc:Choice>
                <mc:Fallback>
                  <w:pict>
                    <v:group id="_x0000_s1026" o:spid="_x0000_s1026" o:spt="203" style="height:56.15pt;width:388.25pt;" coordsize="4930775,713105" editas="canvas" o:gfxdata="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">
                      <o:lock v:ext="edit" aspectratio="f"/>
                      <v:shape id="_x0000_s1026" o:spid="_x0000_s1026" style="position:absolute;left:0;top:0;height:713105;width:4930775;" filled="f" stroked="f" coordsize="21600,21600" o:gfxdata="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">
                        <v:fill on="f" focussize="0,0"/>
                        <v:stroke on="f"/>
                        <v:imagedata o:title=""/>
                        <o:lock v:ext="edit" aspectratio="f"/>
                      </v:shape>
                      <v:shape id="图片 6" o:spid="_x0000_s1026" o:spt="75" type="#_x0000_t75" style="position:absolute;left:965200;top:48895;height:511175;width:2826385;" filled="f" o:preferrelative="t" stroked="f" coordsize="21600,21600" o:gfxdata="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">
                        <v:fill on="f" focussize="0,0"/>
                        <v:stroke on="f"/>
                        <v:imagedata r:id="rId31" o:title=""/>
                        <o:lock v:ext="edit" aspectratio="t"/>
                      </v:shape>
                      <w10:wrap type="none"/>
                      <w10:anchorlock/>
                    </v:group>
                  </w:pict>
                </mc:Fallback>
              </mc:AlternateConten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式中：w1，w2，...，wn——每种风险物质的存在量，</w:t>
            </w:r>
            <w:r>
              <w:rPr>
                <w:rFonts w:hint="default" w:ascii="Times New Roman" w:hAnsi="Times New Roman" w:cs="Times New Roman"/>
                <w:b w:val="0"/>
                <w:bCs w:val="0"/>
                <w:iCs/>
                <w:color w:val="000000" w:themeColor="text1"/>
                <w:sz w:val="24"/>
                <w:szCs w:val="24"/>
                <w:highlight w:val="none"/>
                <w:lang w:val="en-US" w:eastAsia="zh-CN"/>
                <w14:textFill>
                  <w14:solidFill>
                    <w14:schemeClr w14:val="tx1"/>
                  </w14:solidFill>
                </w14:textFill>
              </w:rPr>
              <w:t>吨</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W1，W2，...，Wn——每种风险物质的临界量，</w:t>
            </w:r>
            <w:r>
              <w:rPr>
                <w:rFonts w:hint="default" w:ascii="Times New Roman" w:hAnsi="Times New Roman" w:cs="Times New Roman"/>
                <w:b w:val="0"/>
                <w:bCs w:val="0"/>
                <w:iCs/>
                <w:color w:val="000000" w:themeColor="text1"/>
                <w:sz w:val="24"/>
                <w:szCs w:val="24"/>
                <w:highlight w:val="none"/>
                <w:lang w:val="en-US" w:eastAsia="zh-CN"/>
                <w14:textFill>
                  <w14:solidFill>
                    <w14:schemeClr w14:val="tx1"/>
                  </w14:solidFill>
                </w14:textFill>
              </w:rPr>
              <w:t>吨</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t>当</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Q＜1，该项目环境风险潜势为Ⅰ；</w:t>
            </w: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t>当Q＞1时，将Q值分为</w:t>
            </w:r>
            <w:r>
              <w:rPr>
                <w:rFonts w:hint="eastAsia" w:cs="Times New Roman"/>
                <w:b w:val="0"/>
                <w:bCs w:val="0"/>
                <w:i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t>1</w:t>
            </w:r>
            <w:r>
              <w:rPr>
                <w:rFonts w:hint="eastAsia" w:cs="Times New Roman"/>
                <w:b w:val="0"/>
                <w:bCs w:val="0"/>
                <w:i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1≤Q＜10；</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t>2</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10≤Q＜100；</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t>3</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Q≥100。</w:t>
            </w:r>
          </w:p>
          <w:p>
            <w:pPr>
              <w:keepNext/>
              <w:keepLines/>
              <w:widowControl w:val="0"/>
              <w:wordWrap w:val="0"/>
              <w:topLinePunct/>
              <w:spacing w:line="360" w:lineRule="auto"/>
              <w:ind w:firstLine="480" w:firstLineChars="200"/>
              <w:jc w:val="both"/>
              <w:outlineLvl w:val="2"/>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由</w:t>
            </w:r>
            <w:r>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t>上式计算得知</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t>本项目Q值为</w:t>
            </w:r>
            <w:r>
              <w:rPr>
                <w:rFonts w:hint="eastAsia" w:cs="Times New Roman"/>
                <w:b w:val="0"/>
                <w:bCs w:val="0"/>
                <w:iCs/>
                <w:color w:val="000000" w:themeColor="text1"/>
                <w:sz w:val="24"/>
                <w:szCs w:val="24"/>
                <w:highlight w:val="none"/>
                <w:lang w:val="en-US" w:eastAsia="zh-CN"/>
                <w14:textFill>
                  <w14:solidFill>
                    <w14:schemeClr w14:val="tx1"/>
                  </w14:solidFill>
                </w14:textFill>
              </w:rPr>
              <w:t>0.00191</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＜1，当Q&lt;1时，该项目环境风险潜势为I</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14:textFill>
                  <w14:solidFill>
                    <w14:schemeClr w14:val="tx1"/>
                  </w14:solidFill>
                </w14:textFill>
              </w:rPr>
              <w:t>只需要进行简单分析</w:t>
            </w:r>
            <w:r>
              <w:rPr>
                <w:rFonts w:hint="eastAsia" w:cs="Times New Roman"/>
                <w:b w:val="0"/>
                <w:bCs w:val="0"/>
                <w:i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iCs/>
                <w:color w:val="000000" w:themeColor="text1"/>
                <w:sz w:val="24"/>
                <w:szCs w:val="24"/>
                <w:highlight w:val="none"/>
                <w:lang w:val="en-US" w:eastAsia="zh-CN"/>
                <w14:textFill>
                  <w14:solidFill>
                    <w14:schemeClr w14:val="tx1"/>
                  </w14:solidFill>
                </w14:textFill>
              </w:rPr>
              <w:t>可不开展专项分析</w:t>
            </w:r>
            <w:r>
              <w:rPr>
                <w:rFonts w:hint="eastAsia" w:cs="Times New Roman"/>
                <w:b w:val="0"/>
                <w:bCs w:val="0"/>
                <w:iCs/>
                <w:color w:val="000000" w:themeColor="text1"/>
                <w:sz w:val="24"/>
                <w:szCs w:val="24"/>
                <w:highlight w:val="none"/>
                <w:lang w:val="en-US" w:eastAsia="zh-CN"/>
                <w14:textFill>
                  <w14:solidFill>
                    <w14:schemeClr w14:val="tx1"/>
                  </w14:solidFill>
                </w14:textFill>
              </w:rPr>
              <w:t>。</w:t>
            </w:r>
          </w:p>
          <w:p>
            <w:pPr>
              <w:keepNext/>
              <w:keepLines/>
              <w:widowControl w:val="0"/>
              <w:wordWrap w:val="0"/>
              <w:topLinePunct/>
              <w:spacing w:line="360" w:lineRule="auto"/>
              <w:ind w:firstLine="0" w:firstLineChars="0"/>
              <w:jc w:val="both"/>
              <w:outlineLvl w:val="2"/>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6.2</w:t>
            </w:r>
            <w:r>
              <w:rPr>
                <w:rFonts w:hint="eastAsia" w:cs="Times New Roman"/>
                <w:b/>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环境风险影响</w:t>
            </w:r>
            <w:bookmarkEnd w:id="10"/>
            <w:bookmarkEnd w:id="11"/>
            <w:r>
              <w:rPr>
                <w:rFonts w:hint="eastAsia" w:cs="Times New Roman"/>
                <w:b/>
                <w:bCs/>
                <w:color w:val="000000" w:themeColor="text1"/>
                <w:kern w:val="2"/>
                <w:sz w:val="24"/>
                <w:szCs w:val="24"/>
                <w:lang w:val="en-US" w:eastAsia="zh-CN" w:bidi="ar-SA"/>
                <w14:textFill>
                  <w14:solidFill>
                    <w14:schemeClr w14:val="tx1"/>
                  </w14:solidFill>
                </w14:textFill>
              </w:rPr>
              <w:t>分析</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bookmarkStart w:id="12" w:name="_Toc58589478"/>
            <w:r>
              <w:rPr>
                <w:rFonts w:hint="default" w:ascii="Times New Roman" w:hAnsi="Times New Roman" w:cs="Times New Roman"/>
                <w:b w:val="0"/>
                <w:bCs/>
                <w:color w:val="000000" w:themeColor="text1"/>
                <w:sz w:val="24"/>
                <w14:textFill>
                  <w14:solidFill>
                    <w14:schemeClr w14:val="tx1"/>
                  </w14:solidFill>
                </w14:textFill>
              </w:rPr>
              <w:t>本项目</w:t>
            </w:r>
            <w:r>
              <w:rPr>
                <w:rFonts w:hint="default" w:ascii="Times New Roman" w:hAnsi="Times New Roman" w:cs="Times New Roman"/>
                <w:b w:val="0"/>
                <w:bCs/>
                <w:color w:val="000000" w:themeColor="text1"/>
                <w:sz w:val="24"/>
                <w:lang w:val="en-US" w:eastAsia="zh-CN"/>
                <w14:textFill>
                  <w14:solidFill>
                    <w14:schemeClr w14:val="tx1"/>
                  </w14:solidFill>
                </w14:textFill>
              </w:rPr>
              <w:t>环境</w:t>
            </w:r>
            <w:r>
              <w:rPr>
                <w:rFonts w:hint="default" w:ascii="Times New Roman" w:hAnsi="Times New Roman" w:cs="Times New Roman"/>
                <w:b w:val="0"/>
                <w:bCs/>
                <w:color w:val="000000" w:themeColor="text1"/>
                <w:sz w:val="24"/>
                <w14:textFill>
                  <w14:solidFill>
                    <w14:schemeClr w14:val="tx1"/>
                  </w14:solidFill>
                </w14:textFill>
              </w:rPr>
              <w:t>风险为</w:t>
            </w:r>
            <w:r>
              <w:rPr>
                <w:rFonts w:hint="default" w:ascii="Times New Roman" w:hAnsi="Times New Roman" w:cs="Times New Roman"/>
                <w:b w:val="0"/>
                <w:bCs/>
                <w:color w:val="000000" w:themeColor="text1"/>
                <w:sz w:val="24"/>
                <w:lang w:val="en-US" w:eastAsia="zh-CN"/>
                <w14:textFill>
                  <w14:solidFill>
                    <w14:schemeClr w14:val="tx1"/>
                  </w14:solidFill>
                </w14:textFill>
              </w:rPr>
              <w:t>废润滑油</w:t>
            </w:r>
            <w:r>
              <w:rPr>
                <w:rFonts w:hint="default" w:ascii="Times New Roman" w:hAnsi="Times New Roman" w:cs="Times New Roman"/>
                <w:b w:val="0"/>
                <w:bCs/>
                <w:color w:val="000000" w:themeColor="text1"/>
                <w:sz w:val="24"/>
                <w14:textFill>
                  <w14:solidFill>
                    <w14:schemeClr w14:val="tx1"/>
                  </w14:solidFill>
                </w14:textFill>
              </w:rPr>
              <w:t>泄漏和</w:t>
            </w:r>
            <w:r>
              <w:rPr>
                <w:rFonts w:hint="eastAsia" w:cs="Times New Roman"/>
                <w:b w:val="0"/>
                <w:bCs w:val="0"/>
                <w:color w:val="000000" w:themeColor="text1"/>
                <w:sz w:val="24"/>
                <w:szCs w:val="24"/>
                <w:lang w:val="en-US" w:eastAsia="zh-CN"/>
                <w14:textFill>
                  <w14:solidFill>
                    <w14:schemeClr w14:val="tx1"/>
                  </w14:solidFill>
                </w14:textFill>
              </w:rPr>
              <w:t>天然气</w:t>
            </w:r>
            <w:r>
              <w:rPr>
                <w:rFonts w:hint="eastAsia" w:cs="Times New Roman"/>
                <w:b w:val="0"/>
                <w:bCs/>
                <w:color w:val="000000" w:themeColor="text1"/>
                <w:sz w:val="24"/>
                <w:lang w:val="en-US" w:eastAsia="zh-CN"/>
                <w14:textFill>
                  <w14:solidFill>
                    <w14:schemeClr w14:val="tx1"/>
                  </w14:solidFill>
                </w14:textFill>
              </w:rPr>
              <w:t>泄漏引起的</w:t>
            </w:r>
            <w:r>
              <w:rPr>
                <w:rFonts w:hint="default" w:ascii="Times New Roman" w:hAnsi="Times New Roman" w:cs="Times New Roman"/>
                <w:b w:val="0"/>
                <w:bCs/>
                <w:color w:val="000000" w:themeColor="text1"/>
                <w:sz w:val="24"/>
                <w14:textFill>
                  <w14:solidFill>
                    <w14:schemeClr w14:val="tx1"/>
                  </w14:solidFill>
                </w14:textFill>
              </w:rPr>
              <w:t>火灾，根据实际情况，</w:t>
            </w:r>
            <w:r>
              <w:rPr>
                <w:rFonts w:hint="eastAsia" w:cs="Times New Roman"/>
                <w:b w:val="0"/>
                <w:bCs/>
                <w:color w:val="000000" w:themeColor="text1"/>
                <w:sz w:val="24"/>
                <w:lang w:val="en-US" w:eastAsia="zh-CN"/>
                <w14:textFill>
                  <w14:solidFill>
                    <w14:schemeClr w14:val="tx1"/>
                  </w14:solidFill>
                </w14:textFill>
              </w:rPr>
              <w:t>对以上风险物质进行影响分析</w:t>
            </w:r>
            <w:r>
              <w:rPr>
                <w:rFonts w:hint="default" w:ascii="Times New Roman" w:hAnsi="Times New Roman" w:cs="Times New Roman"/>
                <w:b w:val="0"/>
                <w:bCs/>
                <w:color w:val="000000" w:themeColor="text1"/>
                <w:sz w:val="24"/>
                <w14:textFill>
                  <w14:solidFill>
                    <w14:schemeClr w14:val="tx1"/>
                  </w14:solidFill>
                </w14:textFill>
              </w:rPr>
              <w:t>。</w:t>
            </w:r>
          </w:p>
          <w:p>
            <w:pPr>
              <w:bidi w:val="0"/>
              <w:spacing w:line="360" w:lineRule="auto"/>
              <w:ind w:firstLine="480" w:firstLineChars="200"/>
              <w:jc w:val="both"/>
              <w:rPr>
                <w:rFonts w:hint="eastAsia" w:cs="Times New Roman"/>
                <w:b w:val="0"/>
                <w:bCs w:val="0"/>
                <w:color w:val="000000" w:themeColor="text1"/>
                <w:sz w:val="24"/>
                <w:szCs w:val="24"/>
                <w:lang w:val="en-US"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天然气主要成分为甲烷，属于易燃易爆气体。管道、阀门发生破损泄漏后，甲烷快速扩散，在密闭空间积聚，达到爆炸极限区间，遇点火源可发生火灾、爆炸。燃烧供氧不足时，会大量次生一氧化碳（CO）有毒烟气。火灾产生的高温热辐射威胁周边人员安全；CO 为有毒窒息性气体，伴随浓烟扩散，造成周边区域大气短时污染，对厂区作业人员、厂界近距离敏感点人群产生中毒、窒息健康风险；爆炸冲击波会造成设备损毁。</w:t>
            </w:r>
          </w:p>
          <w:p>
            <w:pPr>
              <w:bidi w:val="0"/>
              <w:spacing w:line="360" w:lineRule="auto"/>
              <w:ind w:firstLine="480" w:firstLineChars="200"/>
              <w:jc w:val="both"/>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eastAsia" w:cs="Times New Roman"/>
                <w:b w:val="0"/>
                <w:bCs w:val="0"/>
                <w:color w:val="000000" w:themeColor="text1"/>
                <w:sz w:val="24"/>
                <w:szCs w:val="24"/>
                <w:lang w:val="en-US" w:eastAsia="zh-CN"/>
                <w14:textFill>
                  <w14:solidFill>
                    <w14:schemeClr w14:val="tx1"/>
                  </w14:solidFill>
                </w14:textFill>
              </w:rPr>
              <w:t>废润滑油、废乳化液及废洗涤液属于油类危险物质，贮存于危废贮存库内，若包装桶破损、倾倒发生泄漏，废润滑油会流淌扩散，可污染地面、土壤，若漫流外溢，可进入雨水管网，进一步影响地表水体。油品不完全燃烧，释放大量浓烟、次生一氧化碳CO、烃类烟气，CO具有强毒性，短时间高浓度暴露可造成人员中毒；燃烧烟气对厂界及周边大气环境造成短时污染；火灾热辐射对周边人员、建构筑物构成威胁。废润滑油、废乳化液及废洗涤液火灾消防灭火过程会产生大量含油消防废水，废油、燃烧裂解产物混入消防废水中。若消防废水得不到有效截流收集，漫流进入雨水管网，可直接外排，污染周边地表水体。</w:t>
            </w:r>
          </w:p>
          <w:p>
            <w:pPr>
              <w:keepNext/>
              <w:keepLines/>
              <w:widowControl w:val="0"/>
              <w:wordWrap w:val="0"/>
              <w:topLinePunct/>
              <w:spacing w:line="360" w:lineRule="auto"/>
              <w:ind w:firstLine="0" w:firstLineChars="0"/>
              <w:jc w:val="both"/>
              <w:outlineLvl w:val="2"/>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6.3</w:t>
            </w:r>
            <w:r>
              <w:rPr>
                <w:rFonts w:hint="eastAsia" w:cs="Times New Roman"/>
                <w:b/>
                <w:b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环境风险防范措施</w:t>
            </w:r>
            <w:bookmarkEnd w:id="12"/>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为避免风险事故，尤其是避免风险事故发生后对环境造成严重的污染，建设单位应树立并强化环境风险意识，增加对环境风险的防范措施，并使这些措施在实际工作中得到落实。为进一步减少事故的发生，减缓该项目运营过程中对环境的潜在威胁，建设单位应采取综合防范措施，并从技术、工艺、管理等方面对以下几方面予以重视：</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1</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树立环境风险意识</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该项目客观</w:t>
            </w:r>
            <w:r>
              <w:rPr>
                <w:rFonts w:hint="eastAsia" w:ascii="Times New Roman" w:hAnsi="Times New Roman" w:cs="Times New Roman"/>
                <w:b w:val="0"/>
                <w:bCs/>
                <w:color w:val="000000" w:themeColor="text1"/>
                <w:sz w:val="24"/>
                <w:lang w:eastAsia="zh-CN"/>
                <w14:textFill>
                  <w14:solidFill>
                    <w14:schemeClr w14:val="tx1"/>
                  </w14:solidFill>
                </w14:textFill>
              </w:rPr>
              <w:t>上存在一定</w:t>
            </w:r>
            <w:r>
              <w:rPr>
                <w:rFonts w:hint="default" w:ascii="Times New Roman" w:hAnsi="Times New Roman" w:cs="Times New Roman"/>
                <w:b w:val="0"/>
                <w:bCs/>
                <w:color w:val="000000" w:themeColor="text1"/>
                <w:sz w:val="24"/>
                <w14:textFill>
                  <w14:solidFill>
                    <w14:schemeClr w14:val="tx1"/>
                  </w14:solidFill>
                </w14:textFill>
              </w:rPr>
              <w:t>的不安全因素，对周围环境存在着潜在的威胁。发生环境安全事故后，对周围环境有难以弥补的损害，所以在贯彻</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安全第一，预防为主</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的方针同时，应树立环境风险意识，强化环境风险责任，体现出环境保护的内容。</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2</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实行全面环境安全管理制度</w:t>
            </w:r>
          </w:p>
          <w:p>
            <w:pPr>
              <w:spacing w:line="360" w:lineRule="auto"/>
              <w:ind w:firstLine="480" w:firstLineChars="200"/>
              <w:jc w:val="both"/>
              <w:rPr>
                <w:rFonts w:hint="eastAsia" w:ascii="Times New Roman" w:hAnsi="Times New Roman" w:eastAsia="宋体" w:cs="Times New Roman"/>
                <w:b w:val="0"/>
                <w:bCs/>
                <w:color w:val="000000" w:themeColor="text1"/>
                <w:sz w:val="24"/>
                <w:lang w:eastAsia="zh-CN"/>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项目在生产过程中有可能发生各种事故，事故发生后均会对环境造成不同程度的污染，因此应该针对该项目开展全面、全员、全过程的系数安全管理，把环境安全工作的重点放在消除系统的潜在危险上，并从整体和全局上促进该项目各个环节的环境安全运作，并建立监察、管理、检测、信息系统和科学决策体系，实行环境安全目标管理。</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3</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加强资料的日常记录与管理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加强对生产过程中的各项操作参数等资料的日常记录及管理，及时发现问题并采取</w:t>
            </w:r>
            <w:r>
              <w:rPr>
                <w:rFonts w:hint="default" w:ascii="Times New Roman" w:hAnsi="Times New Roman" w:cs="Times New Roman"/>
                <w:b w:val="0"/>
                <w:bCs/>
                <w:color w:val="000000" w:themeColor="text1"/>
                <w:sz w:val="24"/>
                <w:lang w:eastAsia="zh-CN"/>
                <w14:textFill>
                  <w14:solidFill>
                    <w14:schemeClr w14:val="tx1"/>
                  </w14:solidFill>
                </w14:textFill>
              </w:rPr>
              <w:t>减轻</w:t>
            </w:r>
            <w:r>
              <w:rPr>
                <w:rFonts w:hint="default" w:ascii="Times New Roman" w:hAnsi="Times New Roman" w:cs="Times New Roman"/>
                <w:b w:val="0"/>
                <w:bCs/>
                <w:color w:val="000000" w:themeColor="text1"/>
                <w:sz w:val="24"/>
                <w14:textFill>
                  <w14:solidFill>
                    <w14:schemeClr w14:val="tx1"/>
                  </w14:solidFill>
                </w14:textFill>
              </w:rPr>
              <w:t>危害的措施。</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4</w:t>
            </w:r>
            <w:r>
              <w:rPr>
                <w:rFonts w:hint="eastAsia" w:cs="Times New Roman"/>
                <w:b w:val="0"/>
                <w:bCs/>
                <w:color w:val="000000" w:themeColor="text1"/>
                <w:sz w:val="24"/>
                <w:lang w:eastAsia="zh-CN"/>
                <w14:textFill>
                  <w14:solidFill>
                    <w14:schemeClr w14:val="tx1"/>
                  </w14:solidFill>
                </w14:textFill>
              </w:rPr>
              <w:t>）</w:t>
            </w:r>
            <w:r>
              <w:rPr>
                <w:rFonts w:hint="default" w:ascii="Times New Roman" w:hAnsi="Times New Roman" w:cs="Times New Roman"/>
                <w:b w:val="0"/>
                <w:bCs/>
                <w:color w:val="000000" w:themeColor="text1"/>
                <w:sz w:val="24"/>
                <w14:textFill>
                  <w14:solidFill>
                    <w14:schemeClr w14:val="tx1"/>
                  </w14:solidFill>
                </w14:textFill>
              </w:rPr>
              <w:t>应对措施</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事故发生的可能性总是存在的，为减少事故发生后造成的损失，尤其是减少对环境造成严重的污染，建设单位除一方面要落实已制定的各种安全管理制度以及上述所列各项风险减缓措施，另一方面，建设单位还应对发生各类风险事故后采取必要的事故应急措施，建议建设单位对以下几方面予以着重考虑：</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①发生事故后，应进行事故后果评价，并将有关情况通报给上级环保主管部门。</w:t>
            </w:r>
          </w:p>
          <w:p>
            <w:pPr>
              <w:pStyle w:val="27"/>
              <w:ind w:firstLine="480"/>
              <w:jc w:val="both"/>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b w:val="0"/>
                <w:bCs/>
                <w:color w:val="000000" w:themeColor="text1"/>
                <w:sz w:val="24"/>
                <w14:textFill>
                  <w14:solidFill>
                    <w14:schemeClr w14:val="tx1"/>
                  </w14:solidFill>
                </w14:textFill>
              </w:rPr>
              <w:t>②定期举行应急培训活动，对该项目相关人员进行事故应急培训，提高事故发生后的应急处理能力；对新上岗的工作人员、实习人员、进行岗前安全、环保培训，重点部门的人员定期轮训；在对项目相关系统人员进行知识培训后，还对其进行了责任分配制度，确保不出现意外</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pPr>
              <w:spacing w:line="360" w:lineRule="auto"/>
              <w:ind w:firstLine="480" w:firstLineChars="200"/>
              <w:jc w:val="both"/>
              <w:rPr>
                <w:rFonts w:hint="default" w:ascii="Times New Roman" w:hAnsi="Times New Roman" w:cs="Times New Roman"/>
                <w:b w:val="0"/>
                <w:bCs/>
                <w:color w:val="000000" w:themeColor="text1"/>
                <w:sz w:val="24"/>
                <w14:textFill>
                  <w14:solidFill>
                    <w14:schemeClr w14:val="tx1"/>
                  </w14:solidFill>
                </w14:textFill>
              </w:rPr>
            </w:pPr>
            <w:r>
              <w:rPr>
                <w:rFonts w:hint="eastAsia" w:cs="Times New Roman"/>
                <w:b w:val="0"/>
                <w:bCs/>
                <w:color w:val="000000" w:themeColor="text1"/>
                <w:sz w:val="24"/>
                <w:lang w:val="en-US" w:eastAsia="zh-CN"/>
                <w14:textFill>
                  <w14:solidFill>
                    <w14:schemeClr w14:val="tx1"/>
                  </w14:solidFill>
                </w14:textFill>
              </w:rPr>
              <w:t>③天然气管道、调压阀设置可燃气体检测报警装置，报警探头布置在易泄漏点位（阀门、接头处），报警信号接入中控，当泄漏甲烷浓度达到报警阈值，声光报警提醒现场人员；配套紧急切断阀，报警后可实现气源紧急切断</w:t>
            </w:r>
            <w:r>
              <w:rPr>
                <w:rFonts w:hint="default" w:ascii="Times New Roman" w:hAnsi="Times New Roman" w:cs="Times New Roman"/>
                <w:b w:val="0"/>
                <w:bCs/>
                <w:color w:val="000000" w:themeColor="text1"/>
                <w:sz w:val="24"/>
                <w14:textFill>
                  <w14:solidFill>
                    <w14:schemeClr w14:val="tx1"/>
                  </w14:solidFill>
                </w14:textFill>
              </w:rPr>
              <w:t>。</w:t>
            </w:r>
          </w:p>
          <w:p>
            <w:pPr>
              <w:pStyle w:val="27"/>
              <w:ind w:firstLine="480"/>
              <w:jc w:val="both"/>
              <w:rPr>
                <w:rFonts w:hint="eastAsia"/>
                <w:color w:val="000000" w:themeColor="text1"/>
                <w:sz w:val="24"/>
                <w:lang w:val="en-US" w:eastAsia="zh-CN"/>
                <w14:textFill>
                  <w14:solidFill>
                    <w14:schemeClr w14:val="tx1"/>
                  </w14:solidFill>
                </w14:textFill>
              </w:rPr>
            </w:pPr>
            <w:r>
              <w:rPr>
                <w:rFonts w:hint="eastAsia" w:cs="Times New Roman"/>
                <w:b w:val="0"/>
                <w:bCs/>
                <w:color w:val="000000" w:themeColor="text1"/>
                <w:sz w:val="24"/>
                <w:lang w:val="en-US" w:eastAsia="zh-CN"/>
                <w14:textFill>
                  <w14:solidFill>
                    <w14:schemeClr w14:val="tx1"/>
                  </w14:solidFill>
                </w14:textFill>
              </w:rPr>
              <w:t>④本项目应急系统应与周边企业、园区、昌吉市等区域环境风险应急系统对接联动，实现区域联防联控。项目厂区应配备足够的</w:t>
            </w:r>
            <w:r>
              <w:rPr>
                <w:rFonts w:hint="default" w:ascii="Times New Roman" w:hAnsi="Times New Roman" w:cs="Times New Roman"/>
                <w:b w:val="0"/>
                <w:bCs/>
                <w:color w:val="000000" w:themeColor="text1"/>
                <w:sz w:val="24"/>
                <w14:textFill>
                  <w14:solidFill>
                    <w14:schemeClr w14:val="tx1"/>
                  </w14:solidFill>
                </w14:textFill>
              </w:rPr>
              <w:t>消防设施和灭火器材，建立健全岗位责任制</w:t>
            </w:r>
            <w:r>
              <w:rPr>
                <w:rFonts w:hint="eastAsia" w:cs="Times New Roman"/>
                <w:b w:val="0"/>
                <w:bCs/>
                <w:color w:val="000000" w:themeColor="text1"/>
                <w:sz w:val="24"/>
                <w:lang w:val="en-US" w:eastAsia="zh-CN"/>
                <w14:textFill>
                  <w14:solidFill>
                    <w14:schemeClr w14:val="tx1"/>
                  </w14:solidFill>
                </w14:textFill>
              </w:rPr>
              <w:t>，能够立即响应，立即汇报，立即事故处置等。本项目应</w:t>
            </w:r>
            <w:r>
              <w:rPr>
                <w:rFonts w:hint="default" w:ascii="Times New Roman" w:hAnsi="Times New Roman" w:cs="Times New Roman"/>
                <w:b w:val="0"/>
                <w:bCs/>
                <w:color w:val="000000" w:themeColor="text1"/>
                <w:sz w:val="24"/>
                <w14:textFill>
                  <w14:solidFill>
                    <w14:schemeClr w14:val="tx1"/>
                  </w14:solidFill>
                </w14:textFill>
              </w:rPr>
              <w:t>制定突发环境事件应急预案，定期进行应急演练</w:t>
            </w:r>
            <w:r>
              <w:rPr>
                <w:rFonts w:hint="eastAsia"/>
                <w:color w:val="000000" w:themeColor="text1"/>
                <w:sz w:val="24"/>
                <w:lang w:val="en-US" w:eastAsia="zh-CN"/>
                <w14:textFill>
                  <w14:solidFill>
                    <w14:schemeClr w14:val="tx1"/>
                  </w14:solidFill>
                </w14:textFill>
              </w:rPr>
              <w:t>。</w:t>
            </w:r>
          </w:p>
          <w:p>
            <w:pPr>
              <w:pStyle w:val="27"/>
              <w:ind w:firstLine="480"/>
              <w:jc w:val="both"/>
              <w:rPr>
                <w:rFonts w:hint="default"/>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⑤废润滑油全部采用密闭金属桶盛装，单层摆放，桶下设置接油托盘；不同类别危废分区隔离存放，不相容物质分开；库房禁止明火，配备干粉灭火器材。</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val="0"/>
                <w:bCs/>
                <w:color w:val="000000" w:themeColor="text1"/>
                <w:spacing w:val="0"/>
                <w:sz w:val="24"/>
                <w:szCs w:val="20"/>
                <w:highlight w:val="none"/>
                <w:lang w:val="en-US" w:eastAsia="zh-CN"/>
                <w14:textFill>
                  <w14:solidFill>
                    <w14:schemeClr w14:val="tx1"/>
                  </w14:solidFill>
                </w14:textFill>
              </w:rPr>
            </w:pPr>
            <w:r>
              <w:rPr>
                <w:rFonts w:hint="eastAsia" w:ascii="Times New Roman" w:hAnsi="Times New Roman" w:cs="Times New Roman"/>
                <w:b/>
                <w:bCs/>
                <w:color w:val="000000" w:themeColor="text1"/>
                <w:spacing w:val="0"/>
                <w:sz w:val="21"/>
                <w:szCs w:val="21"/>
                <w:highlight w:val="none"/>
                <w:lang w:eastAsia="zh-CN"/>
                <w14:textFill>
                  <w14:solidFill>
                    <w14:schemeClr w14:val="tx1"/>
                  </w14:solidFill>
                </w14:textFill>
              </w:rPr>
              <w:t>表</w:t>
            </w:r>
            <w:r>
              <w:rPr>
                <w:rFonts w:hint="eastAsia" w:ascii="Times New Roman" w:hAnsi="Times New Roman" w:cs="Times New Roman"/>
                <w:b/>
                <w:bCs/>
                <w:color w:val="000000" w:themeColor="text1"/>
                <w:spacing w:val="0"/>
                <w:sz w:val="21"/>
                <w:szCs w:val="21"/>
                <w:highlight w:val="none"/>
                <w:lang w:val="en-US" w:eastAsia="zh-CN"/>
                <w14:textFill>
                  <w14:solidFill>
                    <w14:schemeClr w14:val="tx1"/>
                  </w14:solidFill>
                </w14:textFill>
              </w:rPr>
              <w:t>4-1</w:t>
            </w:r>
            <w:r>
              <w:rPr>
                <w:rFonts w:hint="eastAsia" w:cs="Times New Roman"/>
                <w:b/>
                <w:bCs/>
                <w:color w:val="000000" w:themeColor="text1"/>
                <w:spacing w:val="0"/>
                <w:sz w:val="21"/>
                <w:szCs w:val="21"/>
                <w:highlight w:val="none"/>
                <w:lang w:val="en-US" w:eastAsia="zh-CN"/>
                <w14:textFill>
                  <w14:solidFill>
                    <w14:schemeClr w14:val="tx1"/>
                  </w14:solidFill>
                </w14:textFill>
              </w:rPr>
              <w:t>4</w:t>
            </w:r>
            <w:r>
              <w:rPr>
                <w:rFonts w:hint="eastAsia" w:ascii="Times New Roman" w:hAnsi="Times New Roman" w:cs="Times New Roman"/>
                <w:b/>
                <w:bCs/>
                <w:color w:val="000000" w:themeColor="text1"/>
                <w:spacing w:val="0"/>
                <w:sz w:val="21"/>
                <w:szCs w:val="21"/>
                <w:highlight w:val="none"/>
                <w:lang w:val="en-US" w:eastAsia="zh-CN"/>
                <w14:textFill>
                  <w14:solidFill>
                    <w14:schemeClr w14:val="tx1"/>
                  </w14:solidFill>
                </w14:textFill>
              </w:rPr>
              <w:t xml:space="preserve">   建设项目环境风险简单分析内容表</w:t>
            </w:r>
          </w:p>
          <w:tbl>
            <w:tblPr>
              <w:tblStyle w:val="3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172"/>
              <w:gridCol w:w="1640"/>
              <w:gridCol w:w="884"/>
              <w:gridCol w:w="209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3" w:type="pct"/>
                  <w:tcBorders>
                    <w:bottom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t>建设项目名称</w:t>
                  </w:r>
                </w:p>
              </w:tc>
              <w:tc>
                <w:tcPr>
                  <w:tcW w:w="3676" w:type="pct"/>
                  <w:gridSpan w:val="4"/>
                  <w:tcBorders>
                    <w:bottom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特变电工智能电缆产业园建设项目（三期）（重新报批）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3"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t>建设地点</w:t>
                  </w:r>
                </w:p>
              </w:tc>
              <w:tc>
                <w:tcPr>
                  <w:tcW w:w="745"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t>新疆</w:t>
                  </w:r>
                  <w:r>
                    <w:rPr>
                      <w:rFonts w:hint="eastAsia"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维吾尔自治区</w:t>
                  </w:r>
                </w:p>
              </w:tc>
              <w:tc>
                <w:tcPr>
                  <w:tcW w:w="1042"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pacing w:val="0"/>
                      <w:sz w:val="21"/>
                      <w:szCs w:val="21"/>
                      <w:highlight w:val="none"/>
                      <w:vertAlign w:val="baseline"/>
                      <w:lang w:val="en-US" w:eastAsia="zh-CN"/>
                      <w14:textFill>
                        <w14:solidFill>
                          <w14:schemeClr w14:val="tx1"/>
                        </w14:solidFill>
                      </w14:textFill>
                    </w:rPr>
                    <w:t>昌吉回族自治州</w:t>
                  </w:r>
                </w:p>
              </w:tc>
              <w:tc>
                <w:tcPr>
                  <w:tcW w:w="562"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eastAsia" w:cs="Times New Roman"/>
                      <w:b w:val="0"/>
                      <w:bCs/>
                      <w:color w:val="000000" w:themeColor="text1"/>
                      <w:spacing w:val="0"/>
                      <w:sz w:val="21"/>
                      <w:szCs w:val="21"/>
                      <w:highlight w:val="none"/>
                      <w:vertAlign w:val="baseline"/>
                      <w:lang w:val="en-US" w:eastAsia="zh-CN"/>
                      <w14:textFill>
                        <w14:solidFill>
                          <w14:schemeClr w14:val="tx1"/>
                        </w14:solidFill>
                      </w14:textFill>
                    </w:rPr>
                    <w:t>昌吉</w:t>
                  </w:r>
                  <w:r>
                    <w:rPr>
                      <w:rFonts w:hint="eastAsia"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市</w:t>
                  </w:r>
                </w:p>
              </w:tc>
              <w:tc>
                <w:tcPr>
                  <w:tcW w:w="1325"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昌吉国家高新技术产业开发区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t>地理坐标</w:t>
                  </w:r>
                </w:p>
              </w:tc>
              <w:tc>
                <w:tcPr>
                  <w:tcW w:w="74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t>经度</w:t>
                  </w:r>
                </w:p>
              </w:tc>
              <w:tc>
                <w:tcPr>
                  <w:tcW w:w="104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87°</w:t>
                  </w:r>
                  <w:r>
                    <w:rPr>
                      <w:rFonts w:hint="eastAsia" w:cs="Times New Roman"/>
                      <w:b w:val="0"/>
                      <w:bCs/>
                      <w:color w:val="000000" w:themeColor="text1"/>
                      <w:spacing w:val="0"/>
                      <w:sz w:val="21"/>
                      <w:szCs w:val="21"/>
                      <w:highlight w:val="none"/>
                      <w:vertAlign w:val="baseline"/>
                      <w:lang w:val="en-US" w:eastAsia="zh-CN"/>
                      <w14:textFill>
                        <w14:solidFill>
                          <w14:schemeClr w14:val="tx1"/>
                        </w14:solidFill>
                      </w14:textFill>
                    </w:rPr>
                    <w:t>0</w:t>
                  </w: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4'2</w:t>
                  </w:r>
                  <w:r>
                    <w:rPr>
                      <w:rFonts w:hint="eastAsia" w:cs="Times New Roman"/>
                      <w:b w:val="0"/>
                      <w:bCs/>
                      <w:color w:val="000000" w:themeColor="text1"/>
                      <w:spacing w:val="0"/>
                      <w:sz w:val="21"/>
                      <w:szCs w:val="21"/>
                      <w:highlight w:val="none"/>
                      <w:vertAlign w:val="baseline"/>
                      <w:lang w:val="en-US" w:eastAsia="zh-CN"/>
                      <w14:textFill>
                        <w14:solidFill>
                          <w14:schemeClr w14:val="tx1"/>
                        </w14:solidFill>
                      </w14:textFill>
                    </w:rPr>
                    <w:t>4</w:t>
                  </w: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w:t>
                  </w:r>
                  <w:r>
                    <w:rPr>
                      <w:rFonts w:hint="eastAsia" w:cs="Times New Roman"/>
                      <w:b w:val="0"/>
                      <w:bCs/>
                      <w:color w:val="000000" w:themeColor="text1"/>
                      <w:spacing w:val="0"/>
                      <w:sz w:val="21"/>
                      <w:szCs w:val="21"/>
                      <w:highlight w:val="none"/>
                      <w:vertAlign w:val="baseline"/>
                      <w:lang w:val="en-US" w:eastAsia="zh-CN"/>
                      <w14:textFill>
                        <w14:solidFill>
                          <w14:schemeClr w14:val="tx1"/>
                        </w14:solidFill>
                      </w14:textFill>
                    </w:rPr>
                    <w:t>484</w:t>
                  </w: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w:t>
                  </w:r>
                </w:p>
              </w:tc>
              <w:tc>
                <w:tcPr>
                  <w:tcW w:w="56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t>纬度</w:t>
                  </w:r>
                </w:p>
              </w:tc>
              <w:tc>
                <w:tcPr>
                  <w:tcW w:w="132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44°0</w:t>
                  </w:r>
                  <w:r>
                    <w:rPr>
                      <w:rFonts w:hint="eastAsia" w:cs="Times New Roman"/>
                      <w:b w:val="0"/>
                      <w:bCs/>
                      <w:color w:val="000000" w:themeColor="text1"/>
                      <w:spacing w:val="0"/>
                      <w:sz w:val="21"/>
                      <w:szCs w:val="21"/>
                      <w:highlight w:val="none"/>
                      <w:vertAlign w:val="baseline"/>
                      <w:lang w:val="en-US" w:eastAsia="zh-CN"/>
                      <w14:textFill>
                        <w14:solidFill>
                          <w14:schemeClr w14:val="tx1"/>
                        </w14:solidFill>
                      </w14:textFill>
                    </w:rPr>
                    <w:t>5</w:t>
                  </w: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w:t>
                  </w:r>
                  <w:r>
                    <w:rPr>
                      <w:rFonts w:hint="eastAsia" w:cs="Times New Roman"/>
                      <w:b w:val="0"/>
                      <w:bCs/>
                      <w:color w:val="000000" w:themeColor="text1"/>
                      <w:spacing w:val="0"/>
                      <w:sz w:val="21"/>
                      <w:szCs w:val="21"/>
                      <w:highlight w:val="none"/>
                      <w:vertAlign w:val="baseline"/>
                      <w:lang w:val="en-US" w:eastAsia="zh-CN"/>
                      <w14:textFill>
                        <w14:solidFill>
                          <w14:schemeClr w14:val="tx1"/>
                        </w14:solidFill>
                      </w14:textFill>
                    </w:rPr>
                    <w:t>24</w:t>
                  </w: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w:t>
                  </w:r>
                  <w:r>
                    <w:rPr>
                      <w:rFonts w:hint="eastAsia" w:cs="Times New Roman"/>
                      <w:b w:val="0"/>
                      <w:bCs/>
                      <w:color w:val="000000" w:themeColor="text1"/>
                      <w:spacing w:val="0"/>
                      <w:sz w:val="21"/>
                      <w:szCs w:val="21"/>
                      <w:highlight w:val="none"/>
                      <w:vertAlign w:val="baseline"/>
                      <w:lang w:val="en-US" w:eastAsia="zh-CN"/>
                      <w14:textFill>
                        <w14:solidFill>
                          <w14:schemeClr w14:val="tx1"/>
                        </w14:solidFill>
                      </w14:textFill>
                    </w:rPr>
                    <w:t>505</w:t>
                  </w: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3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t>主要危险物质及分布</w:t>
                  </w:r>
                </w:p>
              </w:tc>
              <w:tc>
                <w:tcPr>
                  <w:tcW w:w="3676" w:type="pct"/>
                  <w:gridSpan w:val="4"/>
                  <w:tcBorders>
                    <w:tl2br w:val="nil"/>
                    <w:tr2bl w:val="nil"/>
                  </w:tcBorders>
                  <w:noWrap w:val="0"/>
                  <w:vAlign w:val="center"/>
                </w:tcPr>
                <w:p>
                  <w:pPr>
                    <w:pStyle w:val="65"/>
                    <w:rPr>
                      <w:rFonts w:hint="default" w:ascii="Times New Roman" w:hAnsi="Times New Roman" w:eastAsia="宋体" w:cs="Times New Roman"/>
                      <w:b w:val="0"/>
                      <w:bCs/>
                      <w:color w:val="000000" w:themeColor="text1"/>
                      <w:spacing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pacing w:val="0"/>
                      <w:kern w:val="2"/>
                      <w:sz w:val="21"/>
                      <w:szCs w:val="21"/>
                      <w:highlight w:val="none"/>
                      <w:vertAlign w:val="baseline"/>
                      <w:lang w:val="en-US" w:eastAsia="zh-CN" w:bidi="ar-SA"/>
                      <w14:textFill>
                        <w14:solidFill>
                          <w14:schemeClr w14:val="tx1"/>
                        </w14:solidFill>
                      </w14:textFill>
                    </w:rPr>
                    <w:t>废润滑油</w:t>
                  </w:r>
                  <w:r>
                    <w:rPr>
                      <w:rFonts w:hint="eastAsia" w:ascii="Times New Roman" w:eastAsia="宋体" w:cs="Times New Roman"/>
                      <w:b w:val="0"/>
                      <w:bCs/>
                      <w:color w:val="000000" w:themeColor="text1"/>
                      <w:spacing w:val="0"/>
                      <w:kern w:val="2"/>
                      <w:sz w:val="21"/>
                      <w:szCs w:val="21"/>
                      <w:highlight w:val="none"/>
                      <w:vertAlign w:val="baseline"/>
                      <w:lang w:val="en-US" w:eastAsia="zh-CN" w:bidi="ar-SA"/>
                      <w14:textFill>
                        <w14:solidFill>
                          <w14:schemeClr w14:val="tx1"/>
                        </w14:solidFill>
                      </w14:textFill>
                    </w:rPr>
                    <w:t>、废乳化液、废洗涤液</w:t>
                  </w:r>
                  <w:r>
                    <w:rPr>
                      <w:rFonts w:hint="eastAsia" w:ascii="Times New Roman" w:hAnsi="Times New Roman" w:eastAsia="宋体" w:cs="Times New Roman"/>
                      <w:b w:val="0"/>
                      <w:bCs/>
                      <w:color w:val="000000" w:themeColor="text1"/>
                      <w:spacing w:val="0"/>
                      <w:kern w:val="2"/>
                      <w:sz w:val="21"/>
                      <w:szCs w:val="21"/>
                      <w:highlight w:val="none"/>
                      <w:vertAlign w:val="baseline"/>
                      <w:lang w:val="en-US" w:eastAsia="zh-CN" w:bidi="ar-SA"/>
                      <w14:textFill>
                        <w14:solidFill>
                          <w14:schemeClr w14:val="tx1"/>
                        </w14:solidFill>
                      </w14:textFill>
                    </w:rPr>
                    <w:t>、天然气；分布在危险废物贮存库，生产车间等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t>环境影响途径及危害后果（大气、地表水、地下水等）</w:t>
                  </w:r>
                </w:p>
              </w:tc>
              <w:tc>
                <w:tcPr>
                  <w:tcW w:w="3676"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b w:val="0"/>
                      <w:bCs/>
                      <w:color w:val="000000" w:themeColor="text1"/>
                      <w:spacing w:val="0"/>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pacing w:val="0"/>
                      <w:sz w:val="21"/>
                      <w:szCs w:val="21"/>
                      <w:highlight w:val="none"/>
                      <w:vertAlign w:val="baseline"/>
                      <w:lang w:val="en-US" w:eastAsia="zh-CN"/>
                      <w14:textFill>
                        <w14:solidFill>
                          <w14:schemeClr w14:val="tx1"/>
                        </w14:solidFill>
                      </w14:textFill>
                    </w:rPr>
                    <w:t>建设项目环境风险事故主要为危险</w:t>
                  </w:r>
                  <w:r>
                    <w:rPr>
                      <w:rFonts w:hint="eastAsia" w:ascii="Times New Roman" w:hAnsi="Times New Roman" w:eastAsia="宋体" w:cs="Times New Roman"/>
                      <w:b w:val="0"/>
                      <w:bCs/>
                      <w:color w:val="000000" w:themeColor="text1"/>
                      <w:spacing w:val="0"/>
                      <w:sz w:val="21"/>
                      <w:szCs w:val="21"/>
                      <w:highlight w:val="none"/>
                      <w:vertAlign w:val="baseline"/>
                      <w:lang w:val="en-US" w:eastAsia="zh-CN"/>
                      <w14:textFill>
                        <w14:solidFill>
                          <w14:schemeClr w14:val="tx1"/>
                        </w14:solidFill>
                      </w14:textFill>
                    </w:rPr>
                    <w:t>废物</w:t>
                  </w:r>
                  <w:r>
                    <w:rPr>
                      <w:rFonts w:hint="default" w:ascii="Times New Roman" w:hAnsi="Times New Roman" w:eastAsia="宋体" w:cs="Times New Roman"/>
                      <w:b w:val="0"/>
                      <w:bCs/>
                      <w:color w:val="000000" w:themeColor="text1"/>
                      <w:spacing w:val="0"/>
                      <w:sz w:val="21"/>
                      <w:szCs w:val="21"/>
                      <w:highlight w:val="none"/>
                      <w:vertAlign w:val="baseline"/>
                      <w:lang w:val="en-US" w:eastAsia="zh-CN"/>
                      <w14:textFill>
                        <w14:solidFill>
                          <w14:schemeClr w14:val="tx1"/>
                        </w14:solidFill>
                      </w14:textFill>
                    </w:rPr>
                    <w:t>泄漏、火灾风险。将会给附近地下水、大气、土壤带来一定污染，短时间难以修复</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eastAsia="zh-CN"/>
                      <w14:textFill>
                        <w14:solidFill>
                          <w14:schemeClr w14:val="tx1"/>
                        </w14:solidFill>
                      </w14:textFill>
                    </w:rPr>
                    <w:t>风险防范措施要求</w:t>
                  </w:r>
                </w:p>
              </w:tc>
              <w:tc>
                <w:tcPr>
                  <w:tcW w:w="3676"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vertAlign w:val="baseline"/>
                      <w:lang w:val="en-US" w:eastAsia="zh-CN"/>
                      <w14:textFill>
                        <w14:solidFill>
                          <w14:schemeClr w14:val="tx1"/>
                        </w14:solidFill>
                      </w14:textFill>
                    </w:rPr>
                    <w:t>详见报告章节 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b w:val="0"/>
                      <w:bCs/>
                      <w:color w:val="000000" w:themeColor="text1"/>
                      <w:spacing w:val="0"/>
                      <w:sz w:val="21"/>
                      <w:szCs w:val="21"/>
                      <w:highlight w:val="no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lang w:eastAsia="zh-CN"/>
                      <w14:textFill>
                        <w14:solidFill>
                          <w14:schemeClr w14:val="tx1"/>
                        </w14:solidFill>
                      </w14:textFill>
                    </w:rPr>
                    <w:t>填表说明（列出项目相关信息及评价说明）：</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val="0"/>
                      <w:bCs/>
                      <w:color w:val="000000" w:themeColor="text1"/>
                      <w:spacing w:val="0"/>
                      <w:highlight w:val="none"/>
                      <w:lang w:eastAsia="zh-CN"/>
                      <w14:textFill>
                        <w14:solidFill>
                          <w14:schemeClr w14:val="tx1"/>
                        </w14:solidFill>
                      </w14:textFill>
                    </w:rPr>
                  </w:pPr>
                  <w:r>
                    <w:rPr>
                      <w:rFonts w:hint="default" w:ascii="Times New Roman" w:hAnsi="Times New Roman" w:cs="Times New Roman"/>
                      <w:b w:val="0"/>
                      <w:bCs/>
                      <w:color w:val="000000" w:themeColor="text1"/>
                      <w:spacing w:val="0"/>
                      <w:sz w:val="21"/>
                      <w:szCs w:val="21"/>
                      <w:highlight w:val="none"/>
                      <w:lang w:eastAsia="zh-CN"/>
                      <w14:textFill>
                        <w14:solidFill>
                          <w14:schemeClr w14:val="tx1"/>
                        </w14:solidFill>
                      </w14:textFill>
                    </w:rPr>
                    <w:t>本项目风险评价根据《建设项目环境风险评价技术导则》（HJ169-2018）进行分析。</w:t>
                  </w:r>
                  <w:r>
                    <w:rPr>
                      <w:rFonts w:hint="eastAsia" w:ascii="Times New Roman" w:hAnsi="Times New Roman" w:cs="Times New Roman"/>
                      <w:b w:val="0"/>
                      <w:bCs/>
                      <w:color w:val="000000" w:themeColor="text1"/>
                      <w:spacing w:val="0"/>
                      <w:sz w:val="21"/>
                      <w:szCs w:val="21"/>
                      <w:highlight w:val="none"/>
                      <w:lang w:val="en-US" w:eastAsia="zh-CN"/>
                      <w14:textFill>
                        <w14:solidFill>
                          <w14:schemeClr w14:val="tx1"/>
                        </w14:solidFill>
                      </w14:textFill>
                    </w:rPr>
                    <w:t>本项目</w:t>
                  </w:r>
                  <w:r>
                    <w:rPr>
                      <w:rFonts w:hint="default" w:ascii="Times New Roman" w:hAnsi="Times New Roman" w:cs="Times New Roman"/>
                      <w:b w:val="0"/>
                      <w:bCs/>
                      <w:color w:val="000000" w:themeColor="text1"/>
                      <w:spacing w:val="0"/>
                      <w:sz w:val="21"/>
                      <w:szCs w:val="21"/>
                      <w:highlight w:val="none"/>
                      <w:lang w:eastAsia="zh-CN"/>
                      <w14:textFill>
                        <w14:solidFill>
                          <w14:schemeClr w14:val="tx1"/>
                        </w14:solidFill>
                      </w14:textFill>
                    </w:rPr>
                    <w:t>环境风险潜势为</w:t>
                  </w:r>
                  <w:r>
                    <w:rPr>
                      <w:rFonts w:hint="default" w:ascii="Times New Roman" w:hAnsi="Times New Roman" w:eastAsia="仿宋" w:cs="Times New Roman"/>
                      <w:b w:val="0"/>
                      <w:bCs/>
                      <w:color w:val="000000" w:themeColor="text1"/>
                      <w:spacing w:val="0"/>
                      <w:sz w:val="21"/>
                      <w:szCs w:val="21"/>
                      <w:highlight w:val="none"/>
                      <w:lang w:eastAsia="zh-CN"/>
                      <w14:textFill>
                        <w14:solidFill>
                          <w14:schemeClr w14:val="tx1"/>
                        </w14:solidFill>
                      </w14:textFill>
                    </w:rPr>
                    <w:t>Ⅰ</w:t>
                  </w:r>
                  <w:r>
                    <w:rPr>
                      <w:rFonts w:hint="default" w:ascii="Times New Roman" w:hAnsi="Times New Roman" w:cs="Times New Roman"/>
                      <w:b w:val="0"/>
                      <w:bCs/>
                      <w:color w:val="000000" w:themeColor="text1"/>
                      <w:spacing w:val="0"/>
                      <w:sz w:val="21"/>
                      <w:szCs w:val="21"/>
                      <w:highlight w:val="none"/>
                      <w:lang w:eastAsia="zh-CN"/>
                      <w14:textFill>
                        <w14:solidFill>
                          <w14:schemeClr w14:val="tx1"/>
                        </w14:solidFill>
                      </w14:textFill>
                    </w:rPr>
                    <w:t>，评价等级为简单分析。在落实了环评提出的风险防范措施后，环境风险可控，不会对周围环境造成较大风险。</w:t>
                  </w:r>
                </w:p>
              </w:tc>
            </w:tr>
          </w:tbl>
          <w:p>
            <w:pPr>
              <w:spacing w:line="360" w:lineRule="auto"/>
              <w:ind w:firstLine="480" w:firstLineChars="200"/>
              <w:jc w:val="both"/>
              <w:rPr>
                <w:rFonts w:hint="eastAsia" w:cs="Times New Roman"/>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因此，本项目严格采取上述措施以后，运营期间发生环境风险概率较小，所以本项目的事故风险水平是可以接受的。</w:t>
            </w:r>
          </w:p>
          <w:p>
            <w:pPr>
              <w:pStyle w:val="8"/>
              <w:jc w:val="both"/>
              <w:outlineLvl w:val="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 xml:space="preserve">7 </w:t>
            </w:r>
            <w:r>
              <w:rPr>
                <w:rFonts w:hint="default" w:ascii="Times New Roman" w:hAnsi="Times New Roman" w:eastAsia="宋体" w:cs="Times New Roman"/>
                <w:color w:val="000000" w:themeColor="text1"/>
                <w:lang w:val="en-US" w:eastAsia="zh-CN"/>
                <w14:textFill>
                  <w14:solidFill>
                    <w14:schemeClr w14:val="tx1"/>
                  </w14:solidFill>
                </w14:textFill>
              </w:rPr>
              <w:t>环保投资估算</w:t>
            </w:r>
          </w:p>
          <w:p>
            <w:pPr>
              <w:pStyle w:val="27"/>
              <w:ind w:firstLine="48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本项目总投资</w:t>
            </w:r>
            <w:r>
              <w:rPr>
                <w:rFonts w:hint="default" w:ascii="Times New Roman" w:hAnsi="Times New Roman" w:cs="Times New Roman"/>
                <w:color w:val="000000" w:themeColor="text1"/>
                <w:lang w:val="en-US" w:eastAsia="zh-CN"/>
                <w14:textFill>
                  <w14:solidFill>
                    <w14:schemeClr w14:val="tx1"/>
                  </w14:solidFill>
                </w14:textFill>
              </w:rPr>
              <w:t>104884</w:t>
            </w:r>
            <w:r>
              <w:rPr>
                <w:rFonts w:hint="default" w:ascii="Times New Roman" w:hAnsi="Times New Roman" w:cs="Times New Roman"/>
                <w:color w:val="000000" w:themeColor="text1"/>
                <w14:textFill>
                  <w14:solidFill>
                    <w14:schemeClr w14:val="tx1"/>
                  </w14:solidFill>
                </w14:textFill>
              </w:rPr>
              <w:t>万元，环保投资</w:t>
            </w:r>
            <w:r>
              <w:rPr>
                <w:rFonts w:hint="eastAsia" w:cs="Times New Roman"/>
                <w:color w:val="000000" w:themeColor="text1"/>
                <w:lang w:val="en-US" w:eastAsia="zh-CN"/>
                <w14:textFill>
                  <w14:solidFill>
                    <w14:schemeClr w14:val="tx1"/>
                  </w14:solidFill>
                </w14:textFill>
              </w:rPr>
              <w:t>437.4</w:t>
            </w:r>
            <w:r>
              <w:rPr>
                <w:rFonts w:hint="default" w:ascii="Times New Roman" w:hAnsi="Times New Roman" w:cs="Times New Roman"/>
                <w:color w:val="000000" w:themeColor="text1"/>
                <w14:textFill>
                  <w14:solidFill>
                    <w14:schemeClr w14:val="tx1"/>
                  </w14:solidFill>
                </w14:textFill>
              </w:rPr>
              <w:t>万元，占总投资的</w:t>
            </w:r>
            <w:r>
              <w:rPr>
                <w:rFonts w:hint="eastAsia" w:cs="Times New Roman"/>
                <w:color w:val="000000" w:themeColor="text1"/>
                <w:lang w:val="en-US" w:eastAsia="zh-CN"/>
                <w14:textFill>
                  <w14:solidFill>
                    <w14:schemeClr w14:val="tx1"/>
                  </w14:solidFill>
                </w14:textFill>
              </w:rPr>
              <w:t>0.42</w:t>
            </w:r>
            <w:r>
              <w:rPr>
                <w:rFonts w:hint="default" w:ascii="Times New Roman" w:hAnsi="Times New Roman" w:cs="Times New Roman"/>
                <w:color w:val="000000" w:themeColor="text1"/>
                <w14:textFill>
                  <w14:solidFill>
                    <w14:schemeClr w14:val="tx1"/>
                  </w14:solidFill>
                </w14:textFill>
              </w:rPr>
              <w:t>%。本项目环保工程主要包括</w:t>
            </w:r>
            <w:r>
              <w:rPr>
                <w:rFonts w:hint="eastAsia" w:cs="Times New Roman"/>
                <w:color w:val="000000" w:themeColor="text1"/>
                <w:lang w:val="en-US" w:eastAsia="zh-CN"/>
                <w14:textFill>
                  <w14:solidFill>
                    <w14:schemeClr w14:val="tx1"/>
                  </w14:solidFill>
                </w14:textFill>
              </w:rPr>
              <w:t>环境风险</w:t>
            </w:r>
            <w:r>
              <w:rPr>
                <w:rFonts w:hint="default" w:ascii="Times New Roman" w:hAnsi="Times New Roman" w:cs="Times New Roman"/>
                <w:color w:val="000000" w:themeColor="text1"/>
                <w14:textFill>
                  <w14:solidFill>
                    <w14:schemeClr w14:val="tx1"/>
                  </w14:solidFill>
                </w14:textFill>
              </w:rPr>
              <w:t>、噪声治理工程</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环境监测及管理、</w:t>
            </w:r>
            <w:r>
              <w:rPr>
                <w:rFonts w:hint="eastAsia" w:cs="Times New Roman"/>
                <w:color w:val="000000" w:themeColor="text1"/>
                <w:lang w:val="en-US" w:eastAsia="zh-CN"/>
                <w14:textFill>
                  <w14:solidFill>
                    <w14:schemeClr w14:val="tx1"/>
                  </w14:solidFill>
                </w14:textFill>
              </w:rPr>
              <w:t>运行维护</w:t>
            </w:r>
            <w:r>
              <w:rPr>
                <w:rFonts w:hint="default" w:ascii="Times New Roman" w:hAnsi="Times New Roman" w:cs="Times New Roman"/>
                <w:color w:val="000000" w:themeColor="text1"/>
                <w14:textFill>
                  <w14:solidFill>
                    <w14:schemeClr w14:val="tx1"/>
                  </w14:solidFill>
                </w14:textFill>
              </w:rPr>
              <w:t>，具体见表4-</w:t>
            </w:r>
            <w:r>
              <w:rPr>
                <w:rFonts w:hint="eastAsia" w:cs="Times New Roman"/>
                <w:color w:val="000000" w:themeColor="text1"/>
                <w:lang w:val="en-US" w:eastAsia="zh-CN"/>
                <w14:textFill>
                  <w14:solidFill>
                    <w14:schemeClr w14:val="tx1"/>
                  </w14:solidFill>
                </w14:textFill>
              </w:rPr>
              <w:t>15</w:t>
            </w:r>
            <w:r>
              <w:rPr>
                <w:rFonts w:hint="default" w:ascii="Times New Roman" w:hAnsi="Times New Roman" w:cs="Times New Roman"/>
                <w:color w:val="000000" w:themeColor="text1"/>
                <w14:textFill>
                  <w14:solidFill>
                    <w14:schemeClr w14:val="tx1"/>
                  </w14:solidFill>
                </w14:textFill>
              </w:rPr>
              <w:t>。</w:t>
            </w:r>
          </w:p>
          <w:p>
            <w:pPr>
              <w:pStyle w:val="44"/>
              <w:spacing w:line="240" w:lineRule="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表4-</w:t>
            </w:r>
            <w:r>
              <w:rPr>
                <w:rFonts w:hint="eastAsia" w:cs="Times New Roman"/>
                <w:color w:val="000000" w:themeColor="text1"/>
                <w:sz w:val="21"/>
                <w:szCs w:val="21"/>
                <w:lang w:val="en-US" w:eastAsia="zh-CN"/>
                <w14:textFill>
                  <w14:solidFill>
                    <w14:schemeClr w14:val="tx1"/>
                  </w14:solidFill>
                </w14:textFill>
              </w:rPr>
              <w:t xml:space="preserve">15 </w:t>
            </w:r>
            <w:r>
              <w:rPr>
                <w:rFonts w:hint="default" w:ascii="Times New Roman" w:hAnsi="Times New Roman" w:cs="Times New Roman"/>
                <w:color w:val="000000" w:themeColor="text1"/>
                <w:sz w:val="21"/>
                <w:szCs w:val="21"/>
                <w14:textFill>
                  <w14:solidFill>
                    <w14:schemeClr w14:val="tx1"/>
                  </w14:solidFill>
                </w14:textFill>
              </w:rPr>
              <w:t xml:space="preserve">  </w:t>
            </w:r>
            <w:r>
              <w:rPr>
                <w:rFonts w:hint="eastAsia" w:cs="Times New Roman"/>
                <w:color w:val="000000" w:themeColor="text1"/>
                <w:sz w:val="21"/>
                <w:szCs w:val="21"/>
                <w:lang w:val="en-US" w:eastAsia="zh-CN"/>
                <w14:textFill>
                  <w14:solidFill>
                    <w14:schemeClr w14:val="tx1"/>
                  </w14:solidFill>
                </w14:textFill>
              </w:rPr>
              <w:t>本项目</w:t>
            </w:r>
            <w:r>
              <w:rPr>
                <w:rFonts w:hint="default" w:ascii="Times New Roman" w:hAnsi="Times New Roman" w:cs="Times New Roman"/>
                <w:color w:val="000000" w:themeColor="text1"/>
                <w:sz w:val="21"/>
                <w:szCs w:val="21"/>
                <w14:textFill>
                  <w14:solidFill>
                    <w14:schemeClr w14:val="tx1"/>
                  </w14:solidFill>
                </w14:textFill>
              </w:rPr>
              <w:t>环保工程</w:t>
            </w:r>
            <w:r>
              <w:rPr>
                <w:rFonts w:hint="eastAsia" w:cs="Times New Roman"/>
                <w:color w:val="000000" w:themeColor="text1"/>
                <w:sz w:val="21"/>
                <w:szCs w:val="21"/>
                <w:lang w:val="en-US" w:eastAsia="zh-CN"/>
                <w14:textFill>
                  <w14:solidFill>
                    <w14:schemeClr w14:val="tx1"/>
                  </w14:solidFill>
                </w14:textFill>
              </w:rPr>
              <w:t>投</w:t>
            </w:r>
            <w:r>
              <w:rPr>
                <w:rFonts w:hint="default" w:ascii="Times New Roman" w:hAnsi="Times New Roman" w:cs="Times New Roman"/>
                <w:color w:val="000000" w:themeColor="text1"/>
                <w:sz w:val="21"/>
                <w:szCs w:val="21"/>
                <w14:textFill>
                  <w14:solidFill>
                    <w14:schemeClr w14:val="tx1"/>
                  </w14:solidFill>
                </w14:textFill>
              </w:rPr>
              <w:t>资估算</w:t>
            </w:r>
            <w:r>
              <w:rPr>
                <w:rFonts w:hint="eastAsia" w:cs="Times New Roman"/>
                <w:color w:val="000000" w:themeColor="text1"/>
                <w:sz w:val="21"/>
                <w:szCs w:val="21"/>
                <w:lang w:val="en-US" w:eastAsia="zh-CN"/>
                <w14:textFill>
                  <w14:solidFill>
                    <w14:schemeClr w14:val="tx1"/>
                  </w14:solidFill>
                </w14:textFill>
              </w:rPr>
              <w:t>表</w:t>
            </w:r>
          </w:p>
          <w:tbl>
            <w:tblPr>
              <w:tblStyle w:val="32"/>
              <w:tblW w:w="49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629"/>
              <w:gridCol w:w="1464"/>
              <w:gridCol w:w="3444"/>
              <w:gridCol w:w="1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12" w:space="0"/>
                    <w:left w:val="nil"/>
                    <w:bottom w:val="single" w:color="auto" w:sz="12" w:space="0"/>
                    <w:right w:val="single" w:color="auto" w:sz="4" w:space="0"/>
                  </w:tcBorders>
                  <w:vAlign w:val="center"/>
                </w:tcPr>
                <w:p>
                  <w:pPr>
                    <w:pStyle w:val="4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序号</w:t>
                  </w:r>
                </w:p>
              </w:tc>
              <w:tc>
                <w:tcPr>
                  <w:tcW w:w="1357" w:type="pct"/>
                  <w:gridSpan w:val="2"/>
                  <w:tcBorders>
                    <w:top w:val="single" w:color="auto" w:sz="12" w:space="0"/>
                    <w:left w:val="nil"/>
                    <w:bottom w:val="single" w:color="auto" w:sz="12" w:space="0"/>
                    <w:right w:val="single" w:color="auto" w:sz="4" w:space="0"/>
                  </w:tcBorders>
                  <w:vAlign w:val="center"/>
                </w:tcPr>
                <w:p>
                  <w:pPr>
                    <w:pStyle w:val="4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内容</w:t>
                  </w:r>
                </w:p>
              </w:tc>
              <w:tc>
                <w:tcPr>
                  <w:tcW w:w="2231" w:type="pct"/>
                  <w:tcBorders>
                    <w:top w:val="single" w:color="auto" w:sz="12" w:space="0"/>
                    <w:left w:val="nil"/>
                    <w:bottom w:val="single" w:color="auto" w:sz="12" w:space="0"/>
                    <w:right w:val="single" w:color="auto" w:sz="4" w:space="0"/>
                  </w:tcBorders>
                  <w:vAlign w:val="center"/>
                </w:tcPr>
                <w:p>
                  <w:pPr>
                    <w:pStyle w:val="45"/>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环保设施</w:t>
                  </w:r>
                </w:p>
              </w:tc>
              <w:tc>
                <w:tcPr>
                  <w:tcW w:w="979" w:type="pct"/>
                  <w:tcBorders>
                    <w:top w:val="single" w:color="auto" w:sz="12" w:space="0"/>
                    <w:left w:val="nil"/>
                    <w:bottom w:val="single" w:color="auto" w:sz="12" w:space="0"/>
                    <w:right w:val="nil"/>
                  </w:tcBorders>
                  <w:vAlign w:val="center"/>
                </w:tcPr>
                <w:p>
                  <w:pPr>
                    <w:pStyle w:val="45"/>
                    <w:rPr>
                      <w:rFonts w:hint="eastAsia" w:ascii="Times New Roman" w:hAnsi="Times New Roman" w:eastAsia="宋体"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投资</w:t>
                  </w:r>
                  <w:r>
                    <w:rPr>
                      <w:rFonts w:hint="eastAsia"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万元</w:t>
                  </w:r>
                  <w:r>
                    <w:rPr>
                      <w:rFonts w:hint="eastAsia" w:cs="Times New Roman"/>
                      <w:b/>
                      <w:bCs/>
                      <w:color w:val="000000" w:themeColor="text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12" w:space="0"/>
                    <w:left w:val="nil"/>
                    <w:bottom w:val="single" w:color="auto" w:sz="12"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1</w:t>
                  </w:r>
                </w:p>
              </w:tc>
              <w:tc>
                <w:tcPr>
                  <w:tcW w:w="408" w:type="pct"/>
                  <w:vMerge w:val="restart"/>
                  <w:tcBorders>
                    <w:top w:val="single" w:color="auto" w:sz="12" w:space="0"/>
                    <w:left w:val="nil"/>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2"/>
                      <w:sz w:val="21"/>
                      <w:szCs w:val="21"/>
                      <w:shd w:val="clear" w:color="auto" w:fill="auto"/>
                      <w:lang w:val="en-US" w:eastAsia="zh-CN" w:bidi="ar-SA"/>
                      <w14:textFill>
                        <w14:solidFill>
                          <w14:schemeClr w14:val="tx1"/>
                        </w14:solidFill>
                      </w14:textFill>
                    </w:rPr>
                    <w:t>施工期</w:t>
                  </w:r>
                </w:p>
              </w:tc>
              <w:tc>
                <w:tcPr>
                  <w:tcW w:w="949" w:type="pct"/>
                  <w:tcBorders>
                    <w:top w:val="single" w:color="auto" w:sz="12" w:space="0"/>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eastAsia"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shd w:val="clear" w:color="auto" w:fill="auto"/>
                      <w:lang w:val="en-US" w:eastAsia="zh-CN"/>
                      <w14:textFill>
                        <w14:solidFill>
                          <w14:schemeClr w14:val="tx1"/>
                        </w14:solidFill>
                      </w14:textFill>
                    </w:rPr>
                    <w:t>废气治理</w:t>
                  </w:r>
                </w:p>
              </w:tc>
              <w:tc>
                <w:tcPr>
                  <w:tcW w:w="2231" w:type="pct"/>
                  <w:tcBorders>
                    <w:top w:val="single" w:color="auto" w:sz="12" w:space="0"/>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shd w:val="clear" w:color="auto" w:fill="auto"/>
                      <w:lang w:eastAsia="zh-CN"/>
                      <w14:textFill>
                        <w14:solidFill>
                          <w14:schemeClr w14:val="tx1"/>
                        </w14:solidFill>
                      </w14:textFill>
                    </w:rPr>
                    <w:t>洒水降尘</w:t>
                  </w:r>
                  <w:r>
                    <w:rPr>
                      <w:rFonts w:hint="default" w:ascii="Times New Roman" w:hAnsi="Times New Roman" w:cs="Times New Roman"/>
                      <w:b w:val="0"/>
                      <w:bCs w:val="0"/>
                      <w:color w:val="000000" w:themeColor="text1"/>
                      <w:sz w:val="21"/>
                      <w:szCs w:val="21"/>
                      <w:shd w:val="clear" w:color="auto" w:fill="auto"/>
                      <w14:textFill>
                        <w14:solidFill>
                          <w14:schemeClr w14:val="tx1"/>
                        </w14:solidFill>
                      </w14:textFill>
                    </w:rPr>
                    <w:t>，车辆篷布覆盖封闭运输</w:t>
                  </w:r>
                  <w:r>
                    <w:rPr>
                      <w:rFonts w:hint="default" w:ascii="Times New Roman" w:hAnsi="Times New Roman" w:cs="Times New Roman"/>
                      <w:b w:val="0"/>
                      <w:bCs w:val="0"/>
                      <w:color w:val="000000" w:themeColor="text1"/>
                      <w:sz w:val="21"/>
                      <w:szCs w:val="21"/>
                      <w:shd w:val="clear" w:color="auto" w:fill="auto"/>
                      <w:lang w:eastAsia="zh-CN"/>
                      <w14:textFill>
                        <w14:solidFill>
                          <w14:schemeClr w14:val="tx1"/>
                        </w14:solidFill>
                      </w14:textFill>
                    </w:rPr>
                    <w:t>等</w:t>
                  </w:r>
                </w:p>
              </w:tc>
              <w:tc>
                <w:tcPr>
                  <w:tcW w:w="979" w:type="pct"/>
                  <w:tcBorders>
                    <w:top w:val="single" w:color="auto" w:sz="12" w:space="0"/>
                    <w:left w:val="nil"/>
                    <w:bottom w:val="single" w:color="auto" w:sz="12" w:space="0"/>
                    <w:right w:val="nil"/>
                  </w:tcBorders>
                  <w:shd w:val="clear" w:color="auto" w:fill="auto"/>
                  <w:vAlign w:val="center"/>
                </w:tcPr>
                <w:p>
                  <w:pPr>
                    <w:pStyle w:val="19"/>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0"/>
                      <w:sz w:val="21"/>
                      <w:szCs w:val="21"/>
                      <w:shd w:val="clear" w:color="auto" w:fill="auto"/>
                      <w:lang w:val="en-US" w:eastAsia="zh-CN" w:bidi="ar-SA"/>
                      <w14:textFill>
                        <w14:solidFill>
                          <w14:schemeClr w14:val="tx1"/>
                        </w14:solidFill>
                      </w14:textFill>
                    </w:rPr>
                  </w:pPr>
                  <w:r>
                    <w:rPr>
                      <w:rFonts w:hint="eastAsia" w:cs="Times New Roman"/>
                      <w:b w:val="0"/>
                      <w:bCs w:val="0"/>
                      <w:color w:val="000000" w:themeColor="text1"/>
                      <w:kern w:val="0"/>
                      <w:sz w:val="21"/>
                      <w:szCs w:val="21"/>
                      <w:shd w:val="clear" w:color="auto" w:fill="auto"/>
                      <w:lang w:val="en-US" w:eastAsia="zh-CN" w:bidi="ar-SA"/>
                      <w14:textFill>
                        <w14:solidFill>
                          <w14:schemeClr w14:val="tx1"/>
                        </w14:solidFill>
                      </w14:textFill>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12" w:space="0"/>
                    <w:left w:val="nil"/>
                    <w:bottom w:val="single" w:color="auto" w:sz="12"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2</w:t>
                  </w:r>
                </w:p>
              </w:tc>
              <w:tc>
                <w:tcPr>
                  <w:tcW w:w="408" w:type="pct"/>
                  <w:vMerge w:val="continue"/>
                  <w:tcBorders>
                    <w:left w:val="nil"/>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p>
              </w:tc>
              <w:tc>
                <w:tcPr>
                  <w:tcW w:w="949" w:type="pct"/>
                  <w:tcBorders>
                    <w:top w:val="single" w:color="auto" w:sz="12" w:space="0"/>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eastAsia"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shd w:val="clear" w:color="auto" w:fill="auto"/>
                      <w:lang w:val="en-US" w:eastAsia="zh-CN"/>
                      <w14:textFill>
                        <w14:solidFill>
                          <w14:schemeClr w14:val="tx1"/>
                        </w14:solidFill>
                      </w14:textFill>
                    </w:rPr>
                    <w:t>废水治理</w:t>
                  </w:r>
                </w:p>
              </w:tc>
              <w:tc>
                <w:tcPr>
                  <w:tcW w:w="2231" w:type="pct"/>
                  <w:tcBorders>
                    <w:top w:val="single" w:color="auto" w:sz="12" w:space="0"/>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shd w:val="clear" w:color="auto" w:fill="auto"/>
                      <w:lang w:eastAsia="zh-CN"/>
                      <w14:textFill>
                        <w14:solidFill>
                          <w14:schemeClr w14:val="tx1"/>
                        </w14:solidFill>
                      </w14:textFill>
                    </w:rPr>
                    <w:t>临时</w:t>
                  </w:r>
                  <w:r>
                    <w:rPr>
                      <w:rFonts w:hint="default" w:ascii="Times New Roman" w:hAnsi="Times New Roman" w:cs="Times New Roman"/>
                      <w:b w:val="0"/>
                      <w:bCs w:val="0"/>
                      <w:color w:val="000000" w:themeColor="text1"/>
                      <w:sz w:val="21"/>
                      <w:szCs w:val="21"/>
                      <w:shd w:val="clear" w:color="auto" w:fill="auto"/>
                      <w14:textFill>
                        <w14:solidFill>
                          <w14:schemeClr w14:val="tx1"/>
                        </w14:solidFill>
                      </w14:textFill>
                    </w:rPr>
                    <w:t>防渗沉淀池</w:t>
                  </w:r>
                </w:p>
              </w:tc>
              <w:tc>
                <w:tcPr>
                  <w:tcW w:w="979" w:type="pct"/>
                  <w:tcBorders>
                    <w:top w:val="single" w:color="auto" w:sz="12" w:space="0"/>
                    <w:left w:val="nil"/>
                    <w:bottom w:val="single" w:color="auto" w:sz="12" w:space="0"/>
                    <w:right w:val="nil"/>
                  </w:tcBorders>
                  <w:shd w:val="clear" w:color="auto" w:fill="auto"/>
                  <w:vAlign w:val="center"/>
                </w:tcPr>
                <w:p>
                  <w:pPr>
                    <w:pStyle w:val="19"/>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0"/>
                      <w:sz w:val="21"/>
                      <w:szCs w:val="21"/>
                      <w:shd w:val="clear" w:color="auto" w:fill="auto"/>
                      <w:lang w:val="en-US" w:eastAsia="zh-CN" w:bidi="ar-SA"/>
                      <w14:textFill>
                        <w14:solidFill>
                          <w14:schemeClr w14:val="tx1"/>
                        </w14:solidFill>
                      </w14:textFill>
                    </w:rPr>
                  </w:pPr>
                  <w:r>
                    <w:rPr>
                      <w:rFonts w:hint="eastAsia" w:cs="Times New Roman"/>
                      <w:b w:val="0"/>
                      <w:bCs w:val="0"/>
                      <w:color w:val="000000" w:themeColor="text1"/>
                      <w:kern w:val="0"/>
                      <w:sz w:val="21"/>
                      <w:szCs w:val="21"/>
                      <w:shd w:val="clear" w:color="auto" w:fill="auto"/>
                      <w:lang w:val="en-US" w:eastAsia="zh-CN" w:bidi="ar-SA"/>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12" w:space="0"/>
                    <w:left w:val="nil"/>
                    <w:bottom w:val="single" w:color="auto" w:sz="12"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3</w:t>
                  </w:r>
                </w:p>
              </w:tc>
              <w:tc>
                <w:tcPr>
                  <w:tcW w:w="408" w:type="pct"/>
                  <w:vMerge w:val="continue"/>
                  <w:tcBorders>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p>
              </w:tc>
              <w:tc>
                <w:tcPr>
                  <w:tcW w:w="949" w:type="pct"/>
                  <w:tcBorders>
                    <w:top w:val="single" w:color="auto" w:sz="12" w:space="0"/>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eastAsia"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shd w:val="clear" w:color="auto" w:fill="auto"/>
                      <w:lang w:val="en-US" w:eastAsia="zh-CN"/>
                      <w14:textFill>
                        <w14:solidFill>
                          <w14:schemeClr w14:val="tx1"/>
                        </w14:solidFill>
                      </w14:textFill>
                    </w:rPr>
                    <w:t>噪声治理</w:t>
                  </w:r>
                </w:p>
              </w:tc>
              <w:tc>
                <w:tcPr>
                  <w:tcW w:w="2231" w:type="pct"/>
                  <w:tcBorders>
                    <w:top w:val="single" w:color="auto" w:sz="12" w:space="0"/>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shd w:val="clear" w:color="auto" w:fill="auto"/>
                      <w:lang w:eastAsia="zh-CN"/>
                      <w14:textFill>
                        <w14:solidFill>
                          <w14:schemeClr w14:val="tx1"/>
                        </w14:solidFill>
                      </w14:textFill>
                    </w:rPr>
                    <w:t>隔声减震、配备防噪用具</w:t>
                  </w:r>
                </w:p>
              </w:tc>
              <w:tc>
                <w:tcPr>
                  <w:tcW w:w="979" w:type="pct"/>
                  <w:tcBorders>
                    <w:top w:val="single" w:color="auto" w:sz="12" w:space="0"/>
                    <w:left w:val="nil"/>
                    <w:bottom w:val="single" w:color="auto" w:sz="12" w:space="0"/>
                    <w:right w:val="nil"/>
                  </w:tcBorders>
                  <w:shd w:val="clear" w:color="auto" w:fill="auto"/>
                  <w:vAlign w:val="center"/>
                </w:tcPr>
                <w:p>
                  <w:pPr>
                    <w:pStyle w:val="19"/>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0"/>
                      <w:sz w:val="21"/>
                      <w:szCs w:val="21"/>
                      <w:shd w:val="clear" w:color="auto" w:fill="auto"/>
                      <w:lang w:val="en-US" w:eastAsia="zh-CN" w:bidi="ar-SA"/>
                      <w14:textFill>
                        <w14:solidFill>
                          <w14:schemeClr w14:val="tx1"/>
                        </w14:solidFill>
                      </w14:textFill>
                    </w:rPr>
                  </w:pPr>
                  <w:r>
                    <w:rPr>
                      <w:rFonts w:hint="eastAsia" w:cs="Times New Roman"/>
                      <w:b w:val="0"/>
                      <w:bCs w:val="0"/>
                      <w:color w:val="000000" w:themeColor="text1"/>
                      <w:kern w:val="0"/>
                      <w:sz w:val="21"/>
                      <w:szCs w:val="21"/>
                      <w:shd w:val="clear" w:color="auto" w:fill="auto"/>
                      <w:lang w:val="en-US" w:eastAsia="zh-CN" w:bidi="ar-SA"/>
                      <w14:textFill>
                        <w14:solidFill>
                          <w14:schemeClr w14:val="tx1"/>
                        </w14:solidFill>
                      </w14:textFill>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12" w:space="0"/>
                    <w:left w:val="nil"/>
                    <w:bottom w:val="single" w:color="auto" w:sz="12" w:space="0"/>
                    <w:right w:val="single" w:color="auto" w:sz="4" w:space="0"/>
                  </w:tcBorders>
                  <w:shd w:val="clear" w:color="auto" w:fill="auto"/>
                  <w:vAlign w:val="center"/>
                </w:tcPr>
                <w:p>
                  <w:pPr>
                    <w:pStyle w:val="45"/>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4</w:t>
                  </w:r>
                </w:p>
              </w:tc>
              <w:tc>
                <w:tcPr>
                  <w:tcW w:w="408" w:type="pct"/>
                  <w:tcBorders>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p>
              </w:tc>
              <w:tc>
                <w:tcPr>
                  <w:tcW w:w="949" w:type="pct"/>
                  <w:tcBorders>
                    <w:top w:val="single" w:color="auto" w:sz="12" w:space="0"/>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cs="Times New Roman"/>
                      <w:b w:val="0"/>
                      <w:bCs w:val="0"/>
                      <w:color w:val="000000" w:themeColor="text1"/>
                      <w:sz w:val="21"/>
                      <w:szCs w:val="21"/>
                      <w:shd w:val="clear" w:color="auto" w:fill="auto"/>
                      <w:lang w:val="en-US" w:eastAsia="zh-CN"/>
                      <w14:textFill>
                        <w14:solidFill>
                          <w14:schemeClr w14:val="tx1"/>
                        </w14:solidFill>
                      </w14:textFill>
                    </w:rPr>
                  </w:pPr>
                  <w:r>
                    <w:rPr>
                      <w:rFonts w:hint="eastAsia" w:cs="Times New Roman"/>
                      <w:b w:val="0"/>
                      <w:bCs w:val="0"/>
                      <w:color w:val="000000" w:themeColor="text1"/>
                      <w:sz w:val="21"/>
                      <w:szCs w:val="21"/>
                      <w:shd w:val="clear" w:color="auto" w:fill="auto"/>
                      <w:lang w:val="en-US" w:eastAsia="zh-CN"/>
                      <w14:textFill>
                        <w14:solidFill>
                          <w14:schemeClr w14:val="tx1"/>
                        </w14:solidFill>
                      </w14:textFill>
                    </w:rPr>
                    <w:t>固废治理</w:t>
                  </w:r>
                </w:p>
              </w:tc>
              <w:tc>
                <w:tcPr>
                  <w:tcW w:w="2231" w:type="pct"/>
                  <w:tcBorders>
                    <w:top w:val="single" w:color="auto" w:sz="12" w:space="0"/>
                    <w:left w:val="nil"/>
                    <w:bottom w:val="single" w:color="auto" w:sz="12" w:space="0"/>
                    <w:right w:val="single" w:color="auto" w:sz="4" w:space="0"/>
                  </w:tcBorders>
                  <w:shd w:val="clear" w:color="auto" w:fill="auto"/>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cs="Times New Roman"/>
                      <w:b w:val="0"/>
                      <w:bCs w:val="0"/>
                      <w:color w:val="000000" w:themeColor="text1"/>
                      <w:sz w:val="21"/>
                      <w:szCs w:val="21"/>
                      <w:shd w:val="clear" w:color="auto" w:fill="auto"/>
                      <w:lang w:val="en-US" w:eastAsia="zh-CN"/>
                      <w14:textFill>
                        <w14:solidFill>
                          <w14:schemeClr w14:val="tx1"/>
                        </w14:solidFill>
                      </w14:textFill>
                    </w:rPr>
                  </w:pPr>
                  <w:r>
                    <w:rPr>
                      <w:rFonts w:hint="eastAsia" w:cs="Times New Roman"/>
                      <w:b w:val="0"/>
                      <w:bCs w:val="0"/>
                      <w:color w:val="000000" w:themeColor="text1"/>
                      <w:sz w:val="21"/>
                      <w:szCs w:val="21"/>
                      <w:shd w:val="clear" w:color="auto" w:fill="auto"/>
                      <w:lang w:val="en-US" w:eastAsia="zh-CN"/>
                      <w14:textFill>
                        <w14:solidFill>
                          <w14:schemeClr w14:val="tx1"/>
                        </w14:solidFill>
                      </w14:textFill>
                    </w:rPr>
                    <w:t>建筑垃圾定期清运</w:t>
                  </w:r>
                </w:p>
              </w:tc>
              <w:tc>
                <w:tcPr>
                  <w:tcW w:w="979" w:type="pct"/>
                  <w:tcBorders>
                    <w:top w:val="single" w:color="auto" w:sz="12" w:space="0"/>
                    <w:left w:val="nil"/>
                    <w:bottom w:val="single" w:color="auto" w:sz="12" w:space="0"/>
                    <w:right w:val="nil"/>
                  </w:tcBorders>
                  <w:shd w:val="clear" w:color="auto" w:fill="auto"/>
                  <w:vAlign w:val="center"/>
                </w:tcPr>
                <w:p>
                  <w:pPr>
                    <w:pStyle w:val="19"/>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cs="Times New Roman"/>
                      <w:b w:val="0"/>
                      <w:bCs w:val="0"/>
                      <w:color w:val="000000" w:themeColor="text1"/>
                      <w:sz w:val="21"/>
                      <w:szCs w:val="21"/>
                      <w:shd w:val="clear" w:color="auto" w:fill="auto"/>
                      <w:lang w:val="en-US" w:eastAsia="zh-CN"/>
                      <w14:textFill>
                        <w14:solidFill>
                          <w14:schemeClr w14:val="tx1"/>
                        </w14:solidFill>
                      </w14:textFill>
                    </w:rPr>
                  </w:pPr>
                  <w:r>
                    <w:rPr>
                      <w:rFonts w:hint="eastAsia" w:cs="Times New Roman"/>
                      <w:b w:val="0"/>
                      <w:bCs w:val="0"/>
                      <w:color w:val="000000" w:themeColor="text1"/>
                      <w:sz w:val="21"/>
                      <w:szCs w:val="21"/>
                      <w:shd w:val="clear" w:color="auto" w:fill="auto"/>
                      <w:lang w:val="en-US" w:eastAsia="zh-CN"/>
                      <w14:textFill>
                        <w14:solidFill>
                          <w14:schemeClr w14:val="tx1"/>
                        </w14:solidFill>
                      </w14:textFill>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12" w:space="0"/>
                    <w:left w:val="nil"/>
                    <w:bottom w:val="single" w:color="auto" w:sz="12"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2"/>
                      <w:sz w:val="21"/>
                      <w:szCs w:val="24"/>
                      <w:lang w:val="en-US" w:eastAsia="zh-CN" w:bidi="ar-SA"/>
                      <w14:textFill>
                        <w14:solidFill>
                          <w14:schemeClr w14:val="tx1"/>
                        </w14:solidFill>
                      </w14:textFill>
                    </w:rPr>
                    <w:t>5</w:t>
                  </w:r>
                </w:p>
              </w:tc>
              <w:tc>
                <w:tcPr>
                  <w:tcW w:w="408" w:type="pct"/>
                  <w:vMerge w:val="restart"/>
                  <w:tcBorders>
                    <w:top w:val="single" w:color="auto" w:sz="12" w:space="0"/>
                    <w:left w:val="nil"/>
                    <w:right w:val="single" w:color="auto" w:sz="4" w:space="0"/>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2"/>
                      <w:sz w:val="21"/>
                      <w:szCs w:val="24"/>
                      <w:lang w:val="en-US" w:eastAsia="zh-CN" w:bidi="ar-SA"/>
                      <w14:textFill>
                        <w14:solidFill>
                          <w14:schemeClr w14:val="tx1"/>
                        </w14:solidFill>
                      </w14:textFill>
                    </w:rPr>
                    <w:t>运营期</w:t>
                  </w:r>
                </w:p>
              </w:tc>
              <w:tc>
                <w:tcPr>
                  <w:tcW w:w="949" w:type="pct"/>
                  <w:tcBorders>
                    <w:top w:val="single" w:color="auto" w:sz="12" w:space="0"/>
                    <w:left w:val="nil"/>
                    <w:bottom w:val="single" w:color="auto" w:sz="12"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zh-TW" w:eastAsia="zh-CN" w:bidi="ar-SA"/>
                      <w14:textFill>
                        <w14:solidFill>
                          <w14:schemeClr w14:val="tx1"/>
                        </w14:solidFill>
                      </w14:textFill>
                    </w:rPr>
                  </w:pPr>
                  <w:r>
                    <w:rPr>
                      <w:rFonts w:hint="default" w:ascii="Times New Roman" w:hAnsi="Times New Roman" w:cs="Times New Roman"/>
                      <w:b w:val="0"/>
                      <w:bCs w:val="0"/>
                      <w:color w:val="000000" w:themeColor="text1"/>
                      <w:lang w:eastAsia="zh-CN"/>
                      <w14:textFill>
                        <w14:solidFill>
                          <w14:schemeClr w14:val="tx1"/>
                        </w14:solidFill>
                      </w14:textFill>
                    </w:rPr>
                    <w:t>废气治理</w:t>
                  </w:r>
                </w:p>
              </w:tc>
              <w:tc>
                <w:tcPr>
                  <w:tcW w:w="2231" w:type="pct"/>
                  <w:tcBorders>
                    <w:top w:val="single" w:color="auto" w:sz="12" w:space="0"/>
                    <w:left w:val="nil"/>
                    <w:bottom w:val="single" w:color="auto" w:sz="12" w:space="0"/>
                    <w:right w:val="single" w:color="auto" w:sz="4" w:space="0"/>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2"/>
                      <w:sz w:val="21"/>
                      <w:szCs w:val="24"/>
                      <w:lang w:val="en-US" w:eastAsia="zh-CN" w:bidi="ar-SA"/>
                      <w14:textFill>
                        <w14:solidFill>
                          <w14:schemeClr w14:val="tx1"/>
                        </w14:solidFill>
                      </w14:textFill>
                    </w:rPr>
                    <w:t>铝基车间安装布袋除尘器、低氮燃烧器、除油设施；新能源车间安装活性炭吸附+催化燃烧</w:t>
                  </w:r>
                </w:p>
              </w:tc>
              <w:tc>
                <w:tcPr>
                  <w:tcW w:w="979" w:type="pct"/>
                  <w:tcBorders>
                    <w:top w:val="single" w:color="auto" w:sz="12" w:space="0"/>
                    <w:left w:val="nil"/>
                    <w:bottom w:val="single" w:color="auto" w:sz="12" w:space="0"/>
                    <w:right w:val="nil"/>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375.2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4" w:space="0"/>
                    <w:left w:val="nil"/>
                    <w:bottom w:val="single" w:color="auto" w:sz="4"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2"/>
                      <w:sz w:val="21"/>
                      <w:szCs w:val="24"/>
                      <w:lang w:val="en-US" w:eastAsia="zh-CN" w:bidi="ar-SA"/>
                      <w14:textFill>
                        <w14:solidFill>
                          <w14:schemeClr w14:val="tx1"/>
                        </w14:solidFill>
                      </w14:textFill>
                    </w:rPr>
                    <w:t>6</w:t>
                  </w:r>
                </w:p>
              </w:tc>
              <w:tc>
                <w:tcPr>
                  <w:tcW w:w="408" w:type="pct"/>
                  <w:vMerge w:val="continue"/>
                  <w:tcBorders>
                    <w:left w:val="nil"/>
                    <w:right w:val="single" w:color="auto" w:sz="4" w:space="0"/>
                  </w:tcBorders>
                  <w:vAlign w:val="center"/>
                </w:tcPr>
                <w:p>
                  <w:pPr>
                    <w:pStyle w:val="45"/>
                    <w:rPr>
                      <w:rFonts w:hint="default" w:ascii="Times New Roman" w:hAnsi="Times New Roman" w:cs="Times New Roman"/>
                      <w:b w:val="0"/>
                      <w:bCs w:val="0"/>
                      <w:color w:val="000000" w:themeColor="text1"/>
                      <w14:textFill>
                        <w14:solidFill>
                          <w14:schemeClr w14:val="tx1"/>
                        </w14:solidFill>
                      </w14:textFill>
                    </w:rPr>
                  </w:pPr>
                </w:p>
              </w:tc>
              <w:tc>
                <w:tcPr>
                  <w:tcW w:w="949" w:type="pct"/>
                  <w:tcBorders>
                    <w:top w:val="single" w:color="auto" w:sz="4" w:space="0"/>
                    <w:left w:val="nil"/>
                    <w:bottom w:val="single" w:color="auto" w:sz="4"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zh-TW" w:eastAsia="zh-TW" w:bidi="ar-SA"/>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噪声治理</w:t>
                  </w:r>
                </w:p>
              </w:tc>
              <w:tc>
                <w:tcPr>
                  <w:tcW w:w="2231" w:type="pct"/>
                  <w:tcBorders>
                    <w:top w:val="single" w:color="auto" w:sz="4" w:space="0"/>
                    <w:left w:val="nil"/>
                    <w:bottom w:val="single" w:color="auto" w:sz="4" w:space="0"/>
                    <w:right w:val="single" w:color="auto" w:sz="4" w:space="0"/>
                  </w:tcBorders>
                  <w:vAlign w:val="center"/>
                </w:tcPr>
                <w:p>
                  <w:pPr>
                    <w:pStyle w:val="45"/>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基础隔声、降噪</w:t>
                  </w:r>
                </w:p>
              </w:tc>
              <w:tc>
                <w:tcPr>
                  <w:tcW w:w="979" w:type="pct"/>
                  <w:tcBorders>
                    <w:top w:val="single" w:color="auto" w:sz="4" w:space="0"/>
                    <w:left w:val="nil"/>
                    <w:bottom w:val="single" w:color="auto" w:sz="4" w:space="0"/>
                    <w:right w:val="nil"/>
                  </w:tcBorders>
                  <w:vAlign w:val="center"/>
                </w:tcPr>
                <w:p>
                  <w:pPr>
                    <w:pStyle w:val="45"/>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4" w:space="0"/>
                    <w:left w:val="nil"/>
                    <w:right w:val="single" w:color="auto" w:sz="4" w:space="0"/>
                  </w:tcBorders>
                  <w:shd w:val="clear" w:color="auto" w:fill="auto"/>
                  <w:vAlign w:val="center"/>
                </w:tcPr>
                <w:p>
                  <w:pPr>
                    <w:pStyle w:val="45"/>
                    <w:rPr>
                      <w:rFonts w:hint="eastAsia"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2"/>
                      <w:sz w:val="21"/>
                      <w:szCs w:val="24"/>
                      <w:lang w:val="en-US" w:eastAsia="zh-CN" w:bidi="ar-SA"/>
                      <w14:textFill>
                        <w14:solidFill>
                          <w14:schemeClr w14:val="tx1"/>
                        </w14:solidFill>
                      </w14:textFill>
                    </w:rPr>
                    <w:t>7</w:t>
                  </w:r>
                </w:p>
              </w:tc>
              <w:tc>
                <w:tcPr>
                  <w:tcW w:w="408" w:type="pct"/>
                  <w:vMerge w:val="continue"/>
                  <w:tcBorders>
                    <w:left w:val="nil"/>
                    <w:right w:val="single" w:color="auto" w:sz="4" w:space="0"/>
                  </w:tcBorders>
                  <w:vAlign w:val="center"/>
                </w:tcPr>
                <w:p>
                  <w:pPr>
                    <w:pStyle w:val="45"/>
                    <w:rPr>
                      <w:rFonts w:hint="default" w:ascii="Times New Roman" w:hAnsi="Times New Roman" w:cs="Times New Roman"/>
                      <w:b w:val="0"/>
                      <w:bCs w:val="0"/>
                      <w:color w:val="000000" w:themeColor="text1"/>
                      <w:lang w:eastAsia="zh-CN"/>
                      <w14:textFill>
                        <w14:solidFill>
                          <w14:schemeClr w14:val="tx1"/>
                        </w14:solidFill>
                      </w14:textFill>
                    </w:rPr>
                  </w:pPr>
                </w:p>
              </w:tc>
              <w:tc>
                <w:tcPr>
                  <w:tcW w:w="949" w:type="pct"/>
                  <w:tcBorders>
                    <w:top w:val="single" w:color="auto" w:sz="4" w:space="0"/>
                    <w:left w:val="nil"/>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zh-TW" w:eastAsia="zh-CN" w:bidi="ar-SA"/>
                      <w14:textFill>
                        <w14:solidFill>
                          <w14:schemeClr w14:val="tx1"/>
                        </w14:solidFill>
                      </w14:textFill>
                    </w:rPr>
                  </w:pPr>
                  <w:r>
                    <w:rPr>
                      <w:rFonts w:hint="default" w:ascii="Times New Roman" w:hAnsi="Times New Roman" w:cs="Times New Roman"/>
                      <w:b w:val="0"/>
                      <w:bCs w:val="0"/>
                      <w:color w:val="000000" w:themeColor="text1"/>
                      <w:lang w:eastAsia="zh-CN"/>
                      <w14:textFill>
                        <w14:solidFill>
                          <w14:schemeClr w14:val="tx1"/>
                        </w14:solidFill>
                      </w14:textFill>
                    </w:rPr>
                    <w:t>废</w:t>
                  </w:r>
                  <w:r>
                    <w:rPr>
                      <w:rFonts w:hint="eastAsia" w:cs="Times New Roman"/>
                      <w:b w:val="0"/>
                      <w:bCs w:val="0"/>
                      <w:color w:val="000000" w:themeColor="text1"/>
                      <w:lang w:val="en-US" w:eastAsia="zh-CN"/>
                      <w14:textFill>
                        <w14:solidFill>
                          <w14:schemeClr w14:val="tx1"/>
                        </w14:solidFill>
                      </w14:textFill>
                    </w:rPr>
                    <w:t>水</w:t>
                  </w:r>
                  <w:r>
                    <w:rPr>
                      <w:rFonts w:hint="default" w:ascii="Times New Roman" w:hAnsi="Times New Roman" w:cs="Times New Roman"/>
                      <w:b w:val="0"/>
                      <w:bCs w:val="0"/>
                      <w:color w:val="000000" w:themeColor="text1"/>
                      <w:lang w:eastAsia="zh-CN"/>
                      <w14:textFill>
                        <w14:solidFill>
                          <w14:schemeClr w14:val="tx1"/>
                        </w14:solidFill>
                      </w14:textFill>
                    </w:rPr>
                    <w:t>治理</w:t>
                  </w:r>
                </w:p>
              </w:tc>
              <w:tc>
                <w:tcPr>
                  <w:tcW w:w="2231" w:type="pct"/>
                  <w:tcBorders>
                    <w:top w:val="single" w:color="auto" w:sz="4" w:space="0"/>
                    <w:left w:val="nil"/>
                    <w:bottom w:val="single" w:color="auto" w:sz="4" w:space="0"/>
                    <w:right w:val="single" w:color="auto" w:sz="4" w:space="0"/>
                  </w:tcBorders>
                  <w:vAlign w:val="center"/>
                </w:tcPr>
                <w:p>
                  <w:pPr>
                    <w:pStyle w:val="45"/>
                    <w:rPr>
                      <w:rFonts w:hint="default" w:ascii="Times New Roman" w:hAnsi="Times New Roman"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w:t>
                  </w:r>
                </w:p>
              </w:tc>
              <w:tc>
                <w:tcPr>
                  <w:tcW w:w="979" w:type="pct"/>
                  <w:tcBorders>
                    <w:top w:val="single" w:color="auto" w:sz="4" w:space="0"/>
                    <w:left w:val="nil"/>
                    <w:bottom w:val="single" w:color="auto" w:sz="4" w:space="0"/>
                    <w:right w:val="nil"/>
                  </w:tcBorders>
                  <w:vAlign w:val="center"/>
                </w:tcPr>
                <w:p>
                  <w:pPr>
                    <w:pStyle w:val="45"/>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4" w:space="0"/>
                    <w:left w:val="nil"/>
                    <w:bottom w:val="single" w:color="auto" w:sz="4" w:space="0"/>
                    <w:right w:val="single" w:color="auto" w:sz="4" w:space="0"/>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2"/>
                      <w:sz w:val="21"/>
                      <w:szCs w:val="24"/>
                      <w:lang w:val="en-US" w:eastAsia="zh-CN" w:bidi="ar-SA"/>
                      <w14:textFill>
                        <w14:solidFill>
                          <w14:schemeClr w14:val="tx1"/>
                        </w14:solidFill>
                      </w14:textFill>
                    </w:rPr>
                    <w:t>8</w:t>
                  </w:r>
                </w:p>
              </w:tc>
              <w:tc>
                <w:tcPr>
                  <w:tcW w:w="408" w:type="pct"/>
                  <w:vMerge w:val="continue"/>
                  <w:tcBorders>
                    <w:left w:val="nil"/>
                    <w:right w:val="single" w:color="auto" w:sz="4" w:space="0"/>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p>
              </w:tc>
              <w:tc>
                <w:tcPr>
                  <w:tcW w:w="949" w:type="pct"/>
                  <w:tcBorders>
                    <w:top w:val="single" w:color="auto" w:sz="4" w:space="0"/>
                    <w:left w:val="nil"/>
                    <w:bottom w:val="single" w:color="auto" w:sz="4"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固废治理</w:t>
                  </w:r>
                </w:p>
              </w:tc>
              <w:tc>
                <w:tcPr>
                  <w:tcW w:w="2231" w:type="pct"/>
                  <w:tcBorders>
                    <w:top w:val="single" w:color="auto" w:sz="4" w:space="0"/>
                    <w:left w:val="nil"/>
                    <w:bottom w:val="single" w:color="auto" w:sz="4" w:space="0"/>
                    <w:right w:val="single" w:color="auto" w:sz="4" w:space="0"/>
                  </w:tcBorders>
                  <w:vAlign w:val="center"/>
                </w:tcPr>
                <w:p>
                  <w:pPr>
                    <w:pStyle w:val="45"/>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生活垃圾箱、生活垃圾定期清运、固体废物清运，</w:t>
                  </w:r>
                  <w:r>
                    <w:rPr>
                      <w:rFonts w:hint="default" w:ascii="Times New Roman" w:hAnsi="Times New Roman" w:cs="Times New Roman"/>
                      <w:b w:val="0"/>
                      <w:bCs w:val="0"/>
                      <w:color w:val="000000" w:themeColor="text1"/>
                      <w:kern w:val="2"/>
                      <w:sz w:val="21"/>
                      <w:szCs w:val="21"/>
                      <w:lang w:val="en-US" w:eastAsia="zh-CN" w:bidi="ar-SA"/>
                      <w14:textFill>
                        <w14:solidFill>
                          <w14:schemeClr w14:val="tx1"/>
                        </w14:solidFill>
                      </w14:textFill>
                    </w:rPr>
                    <w:t>危险废物</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委托</w:t>
                  </w:r>
                  <w:r>
                    <w:rPr>
                      <w:rFonts w:hint="default" w:ascii="Times New Roman" w:hAnsi="Times New Roman" w:cs="Times New Roman"/>
                      <w:b w:val="0"/>
                      <w:bCs w:val="0"/>
                      <w:color w:val="000000" w:themeColor="text1"/>
                      <w:kern w:val="2"/>
                      <w:sz w:val="21"/>
                      <w:szCs w:val="21"/>
                      <w:lang w:val="en-US" w:eastAsia="zh-CN" w:bidi="ar-SA"/>
                      <w14:textFill>
                        <w14:solidFill>
                          <w14:schemeClr w14:val="tx1"/>
                        </w14:solidFill>
                      </w14:textFill>
                    </w:rPr>
                    <w:t>有</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资质单位处置</w:t>
                  </w:r>
                </w:p>
              </w:tc>
              <w:tc>
                <w:tcPr>
                  <w:tcW w:w="979" w:type="pct"/>
                  <w:tcBorders>
                    <w:top w:val="single" w:color="auto" w:sz="4" w:space="0"/>
                    <w:left w:val="nil"/>
                    <w:bottom w:val="single" w:color="auto" w:sz="4" w:space="0"/>
                    <w:right w:val="nil"/>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2"/>
                      <w:sz w:val="21"/>
                      <w:szCs w:val="24"/>
                      <w:lang w:val="en-US" w:eastAsia="zh-CN" w:bidi="ar-SA"/>
                      <w14:textFill>
                        <w14:solidFill>
                          <w14:schemeClr w14:val="tx1"/>
                        </w14:solidFill>
                      </w14:textFill>
                    </w:rPr>
                    <w:t>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4" w:space="0"/>
                    <w:left w:val="nil"/>
                    <w:bottom w:val="single" w:color="auto" w:sz="4" w:space="0"/>
                    <w:right w:val="single" w:color="auto" w:sz="4" w:space="0"/>
                  </w:tcBorders>
                  <w:vAlign w:val="center"/>
                </w:tcPr>
                <w:p>
                  <w:pPr>
                    <w:pStyle w:val="45"/>
                    <w:rPr>
                      <w:rFonts w:hint="default" w:ascii="Times New Roman" w:hAnsi="Times New Roman"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9</w:t>
                  </w:r>
                </w:p>
              </w:tc>
              <w:tc>
                <w:tcPr>
                  <w:tcW w:w="408" w:type="pct"/>
                  <w:vMerge w:val="continue"/>
                  <w:tcBorders>
                    <w:left w:val="nil"/>
                    <w:right w:val="single" w:color="auto" w:sz="4" w:space="0"/>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p>
              </w:tc>
              <w:tc>
                <w:tcPr>
                  <w:tcW w:w="949" w:type="pct"/>
                  <w:tcBorders>
                    <w:top w:val="single" w:color="auto" w:sz="4" w:space="0"/>
                    <w:left w:val="nil"/>
                    <w:bottom w:val="single" w:color="auto" w:sz="4"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lang w:val="en-US" w:eastAsia="zh-CN"/>
                      <w14:textFill>
                        <w14:solidFill>
                          <w14:schemeClr w14:val="tx1"/>
                        </w14:solidFill>
                      </w14:textFill>
                    </w:rPr>
                    <w:t>环境监测及管理</w:t>
                  </w:r>
                </w:p>
              </w:tc>
              <w:tc>
                <w:tcPr>
                  <w:tcW w:w="2231" w:type="pct"/>
                  <w:tcBorders>
                    <w:top w:val="single" w:color="auto" w:sz="4" w:space="0"/>
                    <w:left w:val="nil"/>
                    <w:bottom w:val="single" w:color="auto" w:sz="4" w:space="0"/>
                    <w:right w:val="single" w:color="auto" w:sz="4" w:space="0"/>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lang w:val="en-US" w:eastAsia="zh-CN"/>
                      <w14:textFill>
                        <w14:solidFill>
                          <w14:schemeClr w14:val="tx1"/>
                        </w14:solidFill>
                      </w14:textFill>
                    </w:rPr>
                    <w:t>建立环境管理和监测体系</w:t>
                  </w:r>
                  <w:r>
                    <w:rPr>
                      <w:rFonts w:hint="eastAsia" w:cs="Times New Roman"/>
                      <w:b w:val="0"/>
                      <w:bCs w:val="0"/>
                      <w:color w:val="000000" w:themeColor="text1"/>
                      <w:lang w:val="en-US" w:eastAsia="zh-CN"/>
                      <w14:textFill>
                        <w14:solidFill>
                          <w14:schemeClr w14:val="tx1"/>
                        </w14:solidFill>
                      </w14:textFill>
                    </w:rPr>
                    <w:t>、三同时验收</w:t>
                  </w:r>
                </w:p>
              </w:tc>
              <w:tc>
                <w:tcPr>
                  <w:tcW w:w="979" w:type="pct"/>
                  <w:tcBorders>
                    <w:top w:val="single" w:color="auto" w:sz="4" w:space="0"/>
                    <w:left w:val="nil"/>
                    <w:bottom w:val="single" w:color="auto" w:sz="4" w:space="0"/>
                    <w:right w:val="nil"/>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2"/>
                      <w:sz w:val="21"/>
                      <w:szCs w:val="24"/>
                      <w:lang w:val="en-US" w:eastAsia="zh-CN" w:bidi="ar-SA"/>
                      <w14:textFill>
                        <w14:solidFill>
                          <w14:schemeClr w14:val="tx1"/>
                        </w14:solidFill>
                      </w14:textFill>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Borders>
                    <w:top w:val="single" w:color="auto" w:sz="4" w:space="0"/>
                    <w:left w:val="nil"/>
                    <w:bottom w:val="single" w:color="auto" w:sz="4" w:space="0"/>
                    <w:right w:val="single" w:color="auto" w:sz="4" w:space="0"/>
                  </w:tcBorders>
                  <w:vAlign w:val="center"/>
                </w:tcPr>
                <w:p>
                  <w:pPr>
                    <w:pStyle w:val="45"/>
                    <w:rPr>
                      <w:rFonts w:hint="default" w:ascii="Times New Roman" w:hAnsi="Times New Roman"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10</w:t>
                  </w:r>
                </w:p>
              </w:tc>
              <w:tc>
                <w:tcPr>
                  <w:tcW w:w="408" w:type="pct"/>
                  <w:vMerge w:val="continue"/>
                  <w:tcBorders>
                    <w:left w:val="nil"/>
                    <w:bottom w:val="single" w:color="auto" w:sz="4" w:space="0"/>
                    <w:right w:val="single" w:color="auto" w:sz="4" w:space="0"/>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p>
              </w:tc>
              <w:tc>
                <w:tcPr>
                  <w:tcW w:w="949" w:type="pct"/>
                  <w:tcBorders>
                    <w:top w:val="single" w:color="auto" w:sz="4" w:space="0"/>
                    <w:left w:val="nil"/>
                    <w:bottom w:val="single" w:color="auto" w:sz="4" w:space="0"/>
                    <w:right w:val="single" w:color="auto" w:sz="4" w:space="0"/>
                  </w:tcBorders>
                  <w:shd w:val="clear" w:color="auto" w:fill="auto"/>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运行维护</w:t>
                  </w:r>
                </w:p>
              </w:tc>
              <w:tc>
                <w:tcPr>
                  <w:tcW w:w="2231" w:type="pct"/>
                  <w:tcBorders>
                    <w:top w:val="single" w:color="auto" w:sz="4" w:space="0"/>
                    <w:left w:val="nil"/>
                    <w:bottom w:val="single" w:color="auto" w:sz="4" w:space="0"/>
                    <w:right w:val="single" w:color="auto" w:sz="4" w:space="0"/>
                  </w:tcBorders>
                  <w:vAlign w:val="center"/>
                </w:tcPr>
                <w:p>
                  <w:pPr>
                    <w:pStyle w:val="45"/>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Cs w:val="21"/>
                      <w:highlight w:val="none"/>
                      <w:lang w:eastAsia="zh-CN"/>
                      <w14:textFill>
                        <w14:solidFill>
                          <w14:schemeClr w14:val="tx1"/>
                        </w14:solidFill>
                      </w14:textFill>
                    </w:rPr>
                    <w:t>环保设施运行维护费用</w:t>
                  </w:r>
                </w:p>
              </w:tc>
              <w:tc>
                <w:tcPr>
                  <w:tcW w:w="979" w:type="pct"/>
                  <w:tcBorders>
                    <w:top w:val="single" w:color="auto" w:sz="4" w:space="0"/>
                    <w:left w:val="nil"/>
                    <w:bottom w:val="single" w:color="auto" w:sz="4" w:space="0"/>
                    <w:right w:val="nil"/>
                  </w:tcBorders>
                  <w:vAlign w:val="center"/>
                </w:tcPr>
                <w:p>
                  <w:pPr>
                    <w:pStyle w:val="45"/>
                    <w:rPr>
                      <w:rFonts w:hint="default" w:ascii="Times New Roman" w:hAnsi="Times New Roman" w:eastAsia="宋体" w:cs="Times New Roman"/>
                      <w:b w:val="0"/>
                      <w:bCs w:val="0"/>
                      <w:color w:val="000000" w:themeColor="text1"/>
                      <w:kern w:val="2"/>
                      <w:sz w:val="21"/>
                      <w:szCs w:val="24"/>
                      <w:lang w:val="en-US" w:eastAsia="zh-CN" w:bidi="ar-SA"/>
                      <w14:textFill>
                        <w14:solidFill>
                          <w14:schemeClr w14:val="tx1"/>
                        </w14:solidFill>
                      </w14:textFill>
                    </w:rPr>
                  </w:pPr>
                  <w:r>
                    <w:rPr>
                      <w:rFonts w:hint="eastAsia" w:cs="Times New Roman"/>
                      <w:b w:val="0"/>
                      <w:bCs w:val="0"/>
                      <w:color w:val="000000" w:themeColor="text1"/>
                      <w:kern w:val="2"/>
                      <w:sz w:val="21"/>
                      <w:szCs w:val="24"/>
                      <w:lang w:val="en-US" w:eastAsia="zh-CN" w:bidi="ar-SA"/>
                      <w14:textFill>
                        <w14:solidFill>
                          <w14:schemeClr w14:val="tx1"/>
                        </w14:solidFill>
                      </w14:textFill>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20" w:type="pct"/>
                  <w:gridSpan w:val="4"/>
                  <w:tcBorders>
                    <w:top w:val="single" w:color="auto" w:sz="4" w:space="0"/>
                    <w:left w:val="nil"/>
                    <w:bottom w:val="single" w:color="auto" w:sz="12" w:space="0"/>
                    <w:right w:val="single" w:color="auto" w:sz="4" w:space="0"/>
                  </w:tcBorders>
                  <w:vAlign w:val="center"/>
                </w:tcPr>
                <w:p>
                  <w:pPr>
                    <w:pStyle w:val="45"/>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合计</w:t>
                  </w:r>
                </w:p>
              </w:tc>
              <w:tc>
                <w:tcPr>
                  <w:tcW w:w="979" w:type="pct"/>
                  <w:tcBorders>
                    <w:top w:val="single" w:color="auto" w:sz="4" w:space="0"/>
                    <w:left w:val="nil"/>
                    <w:bottom w:val="single" w:color="auto" w:sz="12" w:space="0"/>
                    <w:right w:val="nil"/>
                  </w:tcBorders>
                  <w:vAlign w:val="center"/>
                </w:tcPr>
                <w:p>
                  <w:pPr>
                    <w:pStyle w:val="45"/>
                    <w:rPr>
                      <w:rFonts w:hint="default" w:ascii="Times New Roman" w:hAnsi="Times New Roman"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437.4</w:t>
                  </w:r>
                </w:p>
              </w:tc>
            </w:tr>
          </w:tbl>
          <w:p>
            <w:pPr>
              <w:pStyle w:val="8"/>
              <w:jc w:val="both"/>
              <w:outlineLvl w:val="2"/>
              <w:rPr>
                <w:rFonts w:hint="eastAsia"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8 环保“三同时”验收</w:t>
            </w:r>
          </w:p>
          <w:p>
            <w:pPr>
              <w:pStyle w:val="27"/>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根据《建设项目环境保护管理条例》</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2017年版</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有关规定，建设单位应当按照国务院生态环境主管部门规定的标准和程序</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对配套建设的环境保护设施进行自主验收，编制验收报告，验收小组应由建设单位、环保设施设计单位、施工单位、环评机构等共同组成，对</w:t>
            </w:r>
            <w:r>
              <w:rPr>
                <w:rFonts w:hint="default" w:ascii="Times New Roman" w:hAnsi="Times New Roman" w:eastAsia="宋体" w:cs="Times New Roman"/>
                <w:color w:val="000000" w:themeColor="text1"/>
                <w:lang w:val="en-US" w:eastAsia="zh-CN"/>
                <w14:textFill>
                  <w14:solidFill>
                    <w14:schemeClr w14:val="tx1"/>
                  </w14:solidFill>
                </w14:textFill>
              </w:rPr>
              <w:t>环境</w:t>
            </w:r>
            <w:r>
              <w:rPr>
                <w:rFonts w:hint="default" w:ascii="Times New Roman" w:hAnsi="Times New Roman" w:eastAsia="宋体" w:cs="Times New Roman"/>
                <w:color w:val="000000" w:themeColor="text1"/>
                <w14:textFill>
                  <w14:solidFill>
                    <w14:schemeClr w14:val="tx1"/>
                  </w14:solidFill>
                </w14:textFill>
              </w:rPr>
              <w:t>治理设施进行竣工验收，并在运营期间检查各项</w:t>
            </w:r>
            <w:r>
              <w:rPr>
                <w:rFonts w:hint="default" w:ascii="Times New Roman" w:hAnsi="Times New Roman" w:eastAsia="宋体" w:cs="Times New Roman"/>
                <w:color w:val="000000" w:themeColor="text1"/>
                <w:lang w:val="en-US" w:eastAsia="zh-CN"/>
                <w14:textFill>
                  <w14:solidFill>
                    <w14:schemeClr w14:val="tx1"/>
                  </w14:solidFill>
                </w14:textFill>
              </w:rPr>
              <w:t>环境</w:t>
            </w:r>
            <w:r>
              <w:rPr>
                <w:rFonts w:hint="default" w:ascii="Times New Roman" w:hAnsi="Times New Roman" w:eastAsia="宋体" w:cs="Times New Roman"/>
                <w:color w:val="000000" w:themeColor="text1"/>
                <w14:textFill>
                  <w14:solidFill>
                    <w14:schemeClr w14:val="tx1"/>
                  </w14:solidFill>
                </w14:textFill>
              </w:rPr>
              <w:t>治理设施的运转情况和治理效果</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含对排污口污染物浓度的监测</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，切实做好</w:t>
            </w:r>
            <w:r>
              <w:rPr>
                <w:rFonts w:hint="default"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14:textFill>
                  <w14:solidFill>
                    <w14:schemeClr w14:val="tx1"/>
                  </w14:solidFill>
                </w14:textFill>
              </w:rPr>
              <w:t>三同时</w:t>
            </w:r>
            <w:r>
              <w:rPr>
                <w:rFonts w:hint="default" w:ascii="Times New Roman" w:hAnsi="Times New Roman" w:eastAsia="宋体" w:cs="Times New Roman"/>
                <w:color w:val="000000" w:themeColor="text1"/>
                <w:lang w:eastAsia="zh-CN"/>
                <w14:textFill>
                  <w14:solidFill>
                    <w14:schemeClr w14:val="tx1"/>
                  </w14:solidFill>
                </w14:textFill>
              </w:rPr>
              <w:t>”</w:t>
            </w:r>
            <w:r>
              <w:rPr>
                <w:rFonts w:hint="eastAsia" w:eastAsia="宋体" w:cs="Times New Roman"/>
                <w:color w:val="000000" w:themeColor="text1"/>
                <w:lang w:eastAsia="zh-CN"/>
                <w14:textFill>
                  <w14:solidFill>
                    <w14:schemeClr w14:val="tx1"/>
                  </w14:solidFill>
                </w14:textFill>
              </w:rPr>
              <w:t>。</w:t>
            </w:r>
          </w:p>
          <w:p>
            <w:pPr>
              <w:pStyle w:val="44"/>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w:t>
            </w:r>
            <w:r>
              <w:rPr>
                <w:rFonts w:hint="eastAsia" w:eastAsia="宋体" w:cs="Times New Roman"/>
                <w:color w:val="000000" w:themeColor="text1"/>
                <w:sz w:val="21"/>
                <w:szCs w:val="21"/>
                <w:lang w:val="en-US" w:eastAsia="zh-CN"/>
                <w14:textFill>
                  <w14:solidFill>
                    <w14:schemeClr w14:val="tx1"/>
                  </w14:solidFill>
                </w14:textFill>
              </w:rPr>
              <w:t>4-1</w:t>
            </w:r>
            <w:r>
              <w:rPr>
                <w:rFonts w:hint="eastAsia" w:cs="Times New Roman"/>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 xml:space="preserve">   建设项目环境保护“三同时”验收一览表</w:t>
            </w:r>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916"/>
              <w:gridCol w:w="968"/>
              <w:gridCol w:w="2559"/>
              <w:gridCol w:w="263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99" w:type="pct"/>
                  <w:tcBorders>
                    <w:bottom w:val="single" w:color="auto" w:sz="12" w:space="0"/>
                  </w:tcBorders>
                  <w:noWrap w:val="0"/>
                  <w:vAlign w:val="center"/>
                </w:tcPr>
                <w:p>
                  <w:pPr>
                    <w:pStyle w:val="45"/>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类别</w:t>
                  </w:r>
                </w:p>
              </w:tc>
              <w:tc>
                <w:tcPr>
                  <w:tcW w:w="1197" w:type="pct"/>
                  <w:gridSpan w:val="2"/>
                  <w:tcBorders>
                    <w:bottom w:val="single" w:color="auto" w:sz="12" w:space="0"/>
                  </w:tcBorders>
                  <w:noWrap w:val="0"/>
                  <w:vAlign w:val="center"/>
                </w:tcPr>
                <w:p>
                  <w:pPr>
                    <w:pStyle w:val="45"/>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治理项目</w:t>
                  </w:r>
                </w:p>
              </w:tc>
              <w:tc>
                <w:tcPr>
                  <w:tcW w:w="1626" w:type="pct"/>
                  <w:tcBorders>
                    <w:bottom w:val="single" w:color="auto" w:sz="12" w:space="0"/>
                  </w:tcBorders>
                  <w:noWrap w:val="0"/>
                  <w:vAlign w:val="center"/>
                </w:tcPr>
                <w:p>
                  <w:pPr>
                    <w:pStyle w:val="45"/>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环保措施</w:t>
                  </w:r>
                </w:p>
              </w:tc>
              <w:tc>
                <w:tcPr>
                  <w:tcW w:w="1675" w:type="pct"/>
                  <w:tcBorders>
                    <w:bottom w:val="single" w:color="auto" w:sz="12" w:space="0"/>
                  </w:tcBorders>
                  <w:noWrap w:val="0"/>
                  <w:vAlign w:val="center"/>
                </w:tcPr>
                <w:p>
                  <w:pPr>
                    <w:pStyle w:val="45"/>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验收</w:t>
                  </w:r>
                  <w:r>
                    <w:rPr>
                      <w:rFonts w:hint="default" w:ascii="Times New Roman" w:hAnsi="Times New Roman" w:eastAsia="宋体" w:cs="Times New Roman"/>
                      <w:b/>
                      <w:bCs/>
                      <w:color w:val="000000" w:themeColor="text1"/>
                      <w:lang w:val="en-US" w:eastAsia="zh-CN"/>
                      <w14:textFill>
                        <w14:solidFill>
                          <w14:schemeClr w14:val="tx1"/>
                        </w14:solidFill>
                      </w14:textFill>
                    </w:rPr>
                    <w:t>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499" w:type="pct"/>
                  <w:vMerge w:val="restar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废气</w:t>
                  </w:r>
                </w:p>
              </w:tc>
              <w:tc>
                <w:tcPr>
                  <w:tcW w:w="582"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DA00</w:t>
                  </w:r>
                  <w:r>
                    <w:rPr>
                      <w:rFonts w:hint="eastAsia" w:cs="Times New Roman"/>
                      <w:b w:val="0"/>
                      <w:bCs w:val="0"/>
                      <w:color w:val="000000" w:themeColor="text1"/>
                      <w:sz w:val="21"/>
                      <w:szCs w:val="21"/>
                      <w:shd w:val="clear" w:color="auto" w:fill="auto"/>
                      <w:lang w:val="en-US" w:eastAsia="zh-CN"/>
                      <w14:textFill>
                        <w14:solidFill>
                          <w14:schemeClr w14:val="tx1"/>
                        </w14:solidFill>
                      </w14:textFill>
                    </w:rPr>
                    <w:t>7</w:t>
                  </w:r>
                </w:p>
              </w:tc>
              <w:tc>
                <w:tcPr>
                  <w:tcW w:w="615"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颗粒物、二氧化硫、氮氧化物</w:t>
                  </w:r>
                  <w:r>
                    <w:rPr>
                      <w:rFonts w:hint="eastAsia" w:eastAsia="宋体" w:cs="Times New Roman"/>
                      <w:b w:val="0"/>
                      <w:bCs w:val="0"/>
                      <w:color w:val="000000" w:themeColor="text1"/>
                      <w:sz w:val="21"/>
                      <w:szCs w:val="21"/>
                      <w:shd w:val="clear" w:color="auto" w:fill="auto"/>
                      <w:lang w:val="en-US" w:eastAsia="zh-CN"/>
                      <w14:textFill>
                        <w14:solidFill>
                          <w14:schemeClr w14:val="tx1"/>
                        </w14:solidFill>
                      </w14:textFill>
                    </w:rPr>
                    <w:t>、林格曼黑度</w:t>
                  </w:r>
                </w:p>
              </w:tc>
              <w:tc>
                <w:tcPr>
                  <w:tcW w:w="1626"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熔铝炉、保温炉炉膛废气（颗粒物）及熔铝炉、保温炉天然气燃烧废气氮氧化物采用低氮燃烧器+烟气再循环装置处理，颗粒物使用布袋除尘器处理，处理后的废气通过1根20m 的烟囱排放。</w:t>
                  </w:r>
                </w:p>
              </w:tc>
              <w:tc>
                <w:tcPr>
                  <w:tcW w:w="1675"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both"/>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eastAsia="宋体" w:cs="Times New Roman"/>
                      <w:b w:val="0"/>
                      <w:bCs w:val="0"/>
                      <w:color w:val="000000" w:themeColor="text1"/>
                      <w:sz w:val="21"/>
                      <w:szCs w:val="21"/>
                      <w:shd w:val="clear" w:color="auto" w:fill="auto"/>
                      <w:lang w:val="en-US" w:eastAsia="zh-CN"/>
                      <w14:textFill>
                        <w14:solidFill>
                          <w14:schemeClr w14:val="tx1"/>
                        </w14:solidFill>
                      </w14:textFill>
                    </w:rPr>
                    <w:t>颗粒物、二氧化硫、氮氧化物执行《关于印发〈新疆维吾尔自治区工业炉窑大气污染综合治理实施方案〉的通知》（新大气发〔2019〕127 号）；林格曼黑度执行《工业炉窑大气污染物排放标准》（GB9078-1996）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499" w:type="pct"/>
                  <w:vMerge w:val="continue"/>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p>
              </w:tc>
              <w:tc>
                <w:tcPr>
                  <w:tcW w:w="582"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DA00</w:t>
                  </w:r>
                  <w:r>
                    <w:rPr>
                      <w:rFonts w:hint="eastAsia" w:cs="Times New Roman"/>
                      <w:b w:val="0"/>
                      <w:bCs w:val="0"/>
                      <w:color w:val="000000" w:themeColor="text1"/>
                      <w:sz w:val="21"/>
                      <w:szCs w:val="21"/>
                      <w:shd w:val="clear" w:color="auto" w:fill="auto"/>
                      <w:lang w:val="en-US" w:eastAsia="zh-CN"/>
                      <w14:textFill>
                        <w14:solidFill>
                          <w14:schemeClr w14:val="tx1"/>
                        </w14:solidFill>
                      </w14:textFill>
                    </w:rPr>
                    <w:t>8</w:t>
                  </w:r>
                </w:p>
              </w:tc>
              <w:tc>
                <w:tcPr>
                  <w:tcW w:w="615"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非甲烷总烃</w:t>
                  </w:r>
                </w:p>
              </w:tc>
              <w:tc>
                <w:tcPr>
                  <w:tcW w:w="1626"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轧机废气经丝网过滤+动态拦截+活性炭吸附装置处理，处理后的废气通过1根18m 的排气筒排放。</w:t>
                  </w:r>
                </w:p>
              </w:tc>
              <w:tc>
                <w:tcPr>
                  <w:tcW w:w="1675"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《大气污染物综合排放标准》（GB16297-1996）表2新污染源二级排放限值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499" w:type="pct"/>
                  <w:vMerge w:val="continue"/>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p>
              </w:tc>
              <w:tc>
                <w:tcPr>
                  <w:tcW w:w="582"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cs="Times New Roman"/>
                      <w:b w:val="0"/>
                      <w:bCs w:val="0"/>
                      <w:color w:val="000000" w:themeColor="text1"/>
                      <w:sz w:val="21"/>
                      <w:szCs w:val="21"/>
                      <w:shd w:val="clear" w:color="auto" w:fill="auto"/>
                      <w:lang w:val="en-US" w:eastAsia="zh-CN"/>
                      <w14:textFill>
                        <w14:solidFill>
                          <w14:schemeClr w14:val="tx1"/>
                        </w14:solidFill>
                      </w14:textFill>
                    </w:rPr>
                    <w:t>DA012</w:t>
                  </w:r>
                </w:p>
              </w:tc>
              <w:tc>
                <w:tcPr>
                  <w:tcW w:w="615"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非甲烷总烃</w:t>
                  </w:r>
                </w:p>
              </w:tc>
              <w:tc>
                <w:tcPr>
                  <w:tcW w:w="1626" w:type="pct"/>
                  <w:tcBorders>
                    <w:top w:val="single" w:color="auto" w:sz="12" w:space="0"/>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挤出工序废气经集气罩收集后经活性炭吸附+催化燃烧处理后由15m 高的烟囱排放</w:t>
                  </w:r>
                </w:p>
              </w:tc>
              <w:tc>
                <w:tcPr>
                  <w:tcW w:w="1675"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《合成树脂工业污染物排放标准》（GB31572-2015，含2024 年修改单）表 5大气污染物特别排放限值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99" w:type="pct"/>
                  <w:vMerge w:val="continue"/>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p>
              </w:tc>
              <w:tc>
                <w:tcPr>
                  <w:tcW w:w="582"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厂界四周</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颗粒物、</w:t>
                  </w:r>
                  <w:r>
                    <w:rPr>
                      <w:rFonts w:hint="eastAsia" w:eastAsia="宋体" w:cs="Times New Roman"/>
                      <w:b w:val="0"/>
                      <w:bCs w:val="0"/>
                      <w:color w:val="000000" w:themeColor="text1"/>
                      <w:sz w:val="21"/>
                      <w:szCs w:val="21"/>
                      <w:shd w:val="clear" w:color="auto" w:fill="auto"/>
                      <w:lang w:val="en-US" w:eastAsia="zh-CN"/>
                      <w14:textFill>
                        <w14:solidFill>
                          <w14:schemeClr w14:val="tx1"/>
                        </w14:solidFill>
                      </w14:textFill>
                    </w:rPr>
                    <w:t>非甲烷总烃</w:t>
                  </w:r>
                </w:p>
              </w:tc>
              <w:tc>
                <w:tcPr>
                  <w:tcW w:w="1626" w:type="pct"/>
                  <w:vMerge w:val="restar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封闭车间，顶部设排风扇通风</w:t>
                  </w:r>
                </w:p>
              </w:tc>
              <w:tc>
                <w:tcPr>
                  <w:tcW w:w="1675"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cs="Times New Roman"/>
                      <w:b w:val="0"/>
                      <w:bCs w:val="0"/>
                      <w:color w:val="000000" w:themeColor="text1"/>
                      <w:sz w:val="21"/>
                      <w:szCs w:val="21"/>
                      <w:shd w:val="clear" w:color="auto" w:fill="auto"/>
                      <w:lang w:val="en-US" w:eastAsia="zh-CN"/>
                      <w14:textFill>
                        <w14:solidFill>
                          <w14:schemeClr w14:val="tx1"/>
                        </w14:solidFill>
                      </w14:textFill>
                    </w:rPr>
                    <w:t>颗粒物执行</w:t>
                  </w: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《大气污染物综合排放标准》（GB16297-1996）表2厂界无组织排放监控浓度限值</w:t>
                  </w:r>
                  <w:r>
                    <w:rPr>
                      <w:rFonts w:hint="eastAsia" w:cs="Times New Roman"/>
                      <w:b w:val="0"/>
                      <w:bCs w:val="0"/>
                      <w:color w:val="000000" w:themeColor="text1"/>
                      <w:sz w:val="21"/>
                      <w:szCs w:val="21"/>
                      <w:shd w:val="clear" w:color="auto" w:fill="auto"/>
                      <w:lang w:val="en-US" w:eastAsia="zh-CN"/>
                      <w14:textFill>
                        <w14:solidFill>
                          <w14:schemeClr w14:val="tx1"/>
                        </w14:solidFill>
                      </w14:textFill>
                    </w:rPr>
                    <w:t>；非甲烷总烃执行《合成树脂工业污染物排放标准》（GB31572-2015，含2024 年修改单）表9无组织排放限值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99" w:type="pct"/>
                  <w:vMerge w:val="continue"/>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p>
              </w:tc>
              <w:tc>
                <w:tcPr>
                  <w:tcW w:w="582"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eastAsia="宋体" w:cs="Times New Roman"/>
                      <w:b w:val="0"/>
                      <w:bCs w:val="0"/>
                      <w:color w:val="000000" w:themeColor="text1"/>
                      <w:sz w:val="21"/>
                      <w:szCs w:val="21"/>
                      <w:shd w:val="clear" w:color="auto" w:fill="auto"/>
                      <w:lang w:val="en-US" w:eastAsia="zh-CN"/>
                      <w14:textFill>
                        <w14:solidFill>
                          <w14:schemeClr w14:val="tx1"/>
                        </w14:solidFill>
                      </w14:textFill>
                    </w:rPr>
                    <w:t>厂区内</w:t>
                  </w:r>
                </w:p>
              </w:tc>
              <w:tc>
                <w:tcPr>
                  <w:tcW w:w="615"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eastAsia="宋体" w:cs="Times New Roman"/>
                      <w:b w:val="0"/>
                      <w:bCs w:val="0"/>
                      <w:color w:val="000000" w:themeColor="text1"/>
                      <w:sz w:val="21"/>
                      <w:szCs w:val="21"/>
                      <w:shd w:val="clear" w:color="auto" w:fill="auto"/>
                      <w:lang w:val="en-US" w:eastAsia="zh-CN"/>
                      <w14:textFill>
                        <w14:solidFill>
                          <w14:schemeClr w14:val="tx1"/>
                        </w14:solidFill>
                      </w14:textFill>
                    </w:rPr>
                    <w:t>非甲烷总烃</w:t>
                  </w:r>
                </w:p>
              </w:tc>
              <w:tc>
                <w:tcPr>
                  <w:tcW w:w="1626" w:type="pct"/>
                  <w:vMerge w:val="continue"/>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p>
              </w:tc>
              <w:tc>
                <w:tcPr>
                  <w:tcW w:w="1675"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《挥发性有机物无组织排放控制标准》（GB 37822-2019）表A.1 中特别排放限值要求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99" w:type="pct"/>
                  <w:vMerge w:val="restar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废水</w:t>
                  </w:r>
                </w:p>
              </w:tc>
              <w:tc>
                <w:tcPr>
                  <w:tcW w:w="1197" w:type="pct"/>
                  <w:gridSpan w:val="2"/>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eastAsia="宋体" w:cs="Times New Roman"/>
                      <w:b w:val="0"/>
                      <w:bCs w:val="0"/>
                      <w:color w:val="000000" w:themeColor="text1"/>
                      <w:sz w:val="21"/>
                      <w:szCs w:val="21"/>
                      <w:shd w:val="clear" w:color="auto" w:fill="auto"/>
                      <w:lang w:val="en-US" w:eastAsia="zh-CN"/>
                      <w14:textFill>
                        <w14:solidFill>
                          <w14:schemeClr w14:val="tx1"/>
                        </w14:solidFill>
                      </w14:textFill>
                    </w:rPr>
                    <w:t>生产废水</w:t>
                  </w:r>
                </w:p>
              </w:tc>
              <w:tc>
                <w:tcPr>
                  <w:tcW w:w="1626"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cs="Times New Roman"/>
                      <w:b w:val="0"/>
                      <w:bCs w:val="0"/>
                      <w:color w:val="000000" w:themeColor="text1"/>
                      <w:sz w:val="21"/>
                      <w:szCs w:val="21"/>
                      <w:shd w:val="clear" w:color="auto" w:fill="auto"/>
                      <w:lang w:val="en-US" w:eastAsia="zh-CN"/>
                      <w14:textFill>
                        <w14:solidFill>
                          <w14:schemeClr w14:val="tx1"/>
                        </w14:solidFill>
                      </w14:textFill>
                    </w:rPr>
                    <w:t>循环使用，不外排</w:t>
                  </w:r>
                </w:p>
              </w:tc>
              <w:tc>
                <w:tcPr>
                  <w:tcW w:w="1675" w:type="pct"/>
                  <w:vMerge w:val="restar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eastAsia" w:cs="Times New Roman"/>
                      <w:b w:val="0"/>
                      <w:bCs w:val="0"/>
                      <w:color w:val="000000" w:themeColor="text1"/>
                      <w:sz w:val="21"/>
                      <w:szCs w:val="21"/>
                      <w:shd w:val="clear" w:color="auto" w:fill="auto"/>
                      <w:lang w:val="en-US" w:eastAsia="zh-CN"/>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99" w:type="pct"/>
                  <w:vMerge w:val="continue"/>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p>
              </w:tc>
              <w:tc>
                <w:tcPr>
                  <w:tcW w:w="1197" w:type="pct"/>
                  <w:gridSpan w:val="2"/>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生活污水</w:t>
                  </w:r>
                </w:p>
              </w:tc>
              <w:tc>
                <w:tcPr>
                  <w:tcW w:w="1626"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生活污水排入园区污水管网</w:t>
                  </w:r>
                </w:p>
              </w:tc>
              <w:tc>
                <w:tcPr>
                  <w:tcW w:w="1675" w:type="pct"/>
                  <w:vMerge w:val="continue"/>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99"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噪声</w:t>
                  </w:r>
                </w:p>
              </w:tc>
              <w:tc>
                <w:tcPr>
                  <w:tcW w:w="1197" w:type="pct"/>
                  <w:gridSpan w:val="2"/>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机械噪声</w:t>
                  </w:r>
                </w:p>
              </w:tc>
              <w:tc>
                <w:tcPr>
                  <w:tcW w:w="1626"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安装减振基础、减振垫、消声器等</w:t>
                  </w:r>
                </w:p>
              </w:tc>
              <w:tc>
                <w:tcPr>
                  <w:tcW w:w="1675"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《工业企业厂界环境噪声排放标准》（GB12348-2008）中</w:t>
                  </w: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类标准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99" w:type="pct"/>
                  <w:vMerge w:val="restar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固废</w:t>
                  </w:r>
                </w:p>
              </w:tc>
              <w:tc>
                <w:tcPr>
                  <w:tcW w:w="1197" w:type="pct"/>
                  <w:gridSpan w:val="2"/>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一般</w:t>
                  </w:r>
                  <w:r>
                    <w:rPr>
                      <w:rFonts w:hint="eastAsia"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固体废物</w:t>
                  </w:r>
                </w:p>
              </w:tc>
              <w:tc>
                <w:tcPr>
                  <w:tcW w:w="1626"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废铝杆、边角料、挤塑废料、不合格产品</w:t>
                  </w:r>
                  <w:r>
                    <w:rPr>
                      <w:rFonts w:hint="eastAsia" w:cs="Times New Roman"/>
                      <w:b w:val="0"/>
                      <w:bCs w:val="0"/>
                      <w:color w:val="000000" w:themeColor="text1"/>
                      <w:sz w:val="21"/>
                      <w:szCs w:val="21"/>
                      <w:shd w:val="clear" w:color="auto" w:fill="auto"/>
                      <w:lang w:val="en-US" w:eastAsia="zh-CN"/>
                      <w14:textFill>
                        <w14:solidFill>
                          <w14:schemeClr w14:val="tx1"/>
                        </w14:solidFill>
                      </w14:textFill>
                    </w:rPr>
                    <w:t>回用于生产；</w:t>
                  </w: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废金属线（头）、废包装材料收集后集中外售</w:t>
                  </w:r>
                </w:p>
              </w:tc>
              <w:tc>
                <w:tcPr>
                  <w:tcW w:w="1675" w:type="pct"/>
                  <w:tcBorders>
                    <w:tl2br w:val="nil"/>
                    <w:tr2bl w:val="nil"/>
                  </w:tcBorders>
                  <w:shd w:val="clear" w:color="auto" w:fill="auto"/>
                  <w:noWrap w:val="0"/>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t>《一般工业固体废物贮存和填埋污染控制标准》（GB18599-2020）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99" w:type="pct"/>
                  <w:vMerge w:val="continue"/>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p>
              </w:tc>
              <w:tc>
                <w:tcPr>
                  <w:tcW w:w="1197" w:type="pct"/>
                  <w:gridSpan w:val="2"/>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生活垃圾</w:t>
                  </w:r>
                </w:p>
              </w:tc>
              <w:tc>
                <w:tcPr>
                  <w:tcW w:w="1626"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生活垃圾</w:t>
                  </w:r>
                  <w:r>
                    <w:rPr>
                      <w:rFonts w:hint="eastAsia" w:cs="Times New Roman"/>
                      <w:b w:val="0"/>
                      <w:bCs w:val="0"/>
                      <w:color w:val="000000" w:themeColor="text1"/>
                      <w:sz w:val="21"/>
                      <w:szCs w:val="21"/>
                      <w:shd w:val="clear" w:color="auto" w:fill="auto"/>
                      <w:lang w:val="en-US" w:eastAsia="zh-CN"/>
                      <w14:textFill>
                        <w14:solidFill>
                          <w14:schemeClr w14:val="tx1"/>
                        </w14:solidFill>
                      </w14:textFill>
                    </w:rPr>
                    <w:t>、废弃的含油抹布、劳保用品</w:t>
                  </w: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集中收集后由环卫部门定期清运</w:t>
                  </w:r>
                </w:p>
              </w:tc>
              <w:tc>
                <w:tcPr>
                  <w:tcW w:w="1675" w:type="pct"/>
                  <w:tcBorders>
                    <w:tl2br w:val="nil"/>
                    <w:tr2bl w:val="nil"/>
                  </w:tcBorders>
                  <w:shd w:val="clear" w:color="auto" w:fill="auto"/>
                  <w:noWrap w:val="0"/>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99" w:type="pct"/>
                  <w:vMerge w:val="continue"/>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p>
              </w:tc>
              <w:tc>
                <w:tcPr>
                  <w:tcW w:w="1197" w:type="pct"/>
                  <w:gridSpan w:val="2"/>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危险废物</w:t>
                  </w:r>
                </w:p>
              </w:tc>
              <w:tc>
                <w:tcPr>
                  <w:tcW w:w="1626"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铝灰渣、除尘器收尘灰、废除尘袋、废乳化液、废活性炭、废催化剂、废过滤网、废润滑油、废润滑油桶</w:t>
                  </w:r>
                  <w:r>
                    <w:rPr>
                      <w:rFonts w:hint="eastAsia" w:cs="Times New Roman"/>
                      <w:b w:val="0"/>
                      <w:bCs w:val="0"/>
                      <w:color w:val="000000" w:themeColor="text1"/>
                      <w:sz w:val="21"/>
                      <w:szCs w:val="21"/>
                      <w:shd w:val="clear" w:color="auto" w:fill="auto"/>
                      <w:lang w:val="en-US" w:eastAsia="zh-CN"/>
                      <w14:textFill>
                        <w14:solidFill>
                          <w14:schemeClr w14:val="tx1"/>
                        </w14:solidFill>
                      </w14:textFill>
                    </w:rPr>
                    <w:t>、废洗涤液、废洗涤液桶</w:t>
                  </w:r>
                  <w:r>
                    <w:rPr>
                      <w:rFonts w:hint="default" w:ascii="Times New Roman" w:hAnsi="Times New Roman" w:eastAsia="宋体" w:cs="Times New Roman"/>
                      <w:b w:val="0"/>
                      <w:bCs w:val="0"/>
                      <w:color w:val="000000" w:themeColor="text1"/>
                      <w:sz w:val="21"/>
                      <w:szCs w:val="21"/>
                      <w:shd w:val="clear" w:color="auto" w:fill="auto"/>
                      <w:lang w:val="en-US" w:eastAsia="zh-CN"/>
                      <w14:textFill>
                        <w14:solidFill>
                          <w14:schemeClr w14:val="tx1"/>
                        </w14:solidFill>
                      </w14:textFill>
                    </w:rPr>
                    <w:t>收集后暂存于危险废物贮存库，委托有资质单位处置</w:t>
                  </w:r>
                </w:p>
              </w:tc>
              <w:tc>
                <w:tcPr>
                  <w:tcW w:w="1675" w:type="pct"/>
                  <w:tcBorders>
                    <w:tl2br w:val="nil"/>
                    <w:tr2bl w:val="nil"/>
                  </w:tcBorders>
                  <w:noWrap w:val="0"/>
                  <w:vAlign w:val="center"/>
                </w:tcPr>
                <w:p>
                  <w:pPr>
                    <w:keepNext w:val="0"/>
                    <w:keepLines w:val="0"/>
                    <w:pageBreakBefore w:val="0"/>
                    <w:widowControl w:val="0"/>
                    <w:kinsoku/>
                    <w:wordWrap/>
                    <w:overflowPunct/>
                    <w:topLinePunct w:val="0"/>
                    <w:bidi w:val="0"/>
                    <w:snapToGrid w:val="0"/>
                    <w:ind w:left="0" w:leftChars="0" w:firstLine="0" w:firstLineChars="0"/>
                    <w:jc w:val="center"/>
                    <w:textAlignment w:val="auto"/>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t>《危险废物贮存污染控制标准》</w:t>
                  </w:r>
                  <w:r>
                    <w:rPr>
                      <w:rFonts w:hint="eastAsia"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t>GB18597-2023</w:t>
                  </w:r>
                  <w:r>
                    <w:rPr>
                      <w:rFonts w:hint="eastAsia" w:ascii="Times New Roman" w:hAnsi="Times New Roman" w:eastAsia="宋体" w:cs="Times New Roman"/>
                      <w:b w:val="0"/>
                      <w:bCs w:val="0"/>
                      <w:color w:val="000000" w:themeColor="text1"/>
                      <w:kern w:val="2"/>
                      <w:sz w:val="21"/>
                      <w:szCs w:val="21"/>
                      <w:shd w:val="clear" w:color="auto" w:fill="auto"/>
                      <w:lang w:val="en-US" w:eastAsia="zh-CN" w:bidi="ar-SA"/>
                      <w14:textFill>
                        <w14:solidFill>
                          <w14:schemeClr w14:val="tx1"/>
                        </w14:solidFill>
                      </w14:textFill>
                    </w:rPr>
                    <w:t>）</w:t>
                  </w:r>
                </w:p>
              </w:tc>
            </w:tr>
          </w:tbl>
          <w:p>
            <w:pPr>
              <w:pStyle w:val="8"/>
              <w:jc w:val="both"/>
              <w:outlineLvl w:val="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 xml:space="preserve">9 </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三本账</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分析</w:t>
            </w:r>
          </w:p>
          <w:p>
            <w:pPr>
              <w:pStyle w:val="56"/>
              <w:bidi w:val="0"/>
              <w:outlineLvl w:val="9"/>
              <w:rPr>
                <w:rFonts w:hint="default" w:ascii="Times New Roman" w:hAnsi="Times New Roman" w:eastAsia="宋体" w:cs="Times New Roman"/>
                <w:color w:val="000000" w:themeColor="text1"/>
                <w:highlight w:val="none"/>
                <w:lang w:val="en-US"/>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表4-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ascii="Times New Roman" w:eastAsia="宋体" w:cs="Times New Roman"/>
                <w:color w:val="000000" w:themeColor="text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highlight w:val="none"/>
                <w:lang w:val="en-US" w:eastAsia="zh-CN"/>
                <w14:textFill>
                  <w14:solidFill>
                    <w14:schemeClr w14:val="tx1"/>
                  </w14:solidFill>
                </w14:textFill>
              </w:rPr>
              <w:t xml:space="preserve">   项目建成后</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全厂</w:t>
            </w:r>
            <w:r>
              <w:rPr>
                <w:rFonts w:hint="default" w:ascii="Times New Roman" w:hAnsi="Times New Roman" w:eastAsia="宋体" w:cs="Times New Roman"/>
                <w:color w:val="000000" w:themeColor="text1"/>
                <w:highlight w:val="none"/>
                <w:lang w:val="en-US" w:eastAsia="zh-CN"/>
                <w14:textFill>
                  <w14:solidFill>
                    <w14:schemeClr w14:val="tx1"/>
                  </w14:solidFill>
                </w14:textFill>
              </w:rPr>
              <w:t>污染物排放“三本帐”    单位：（t/a）</w:t>
            </w:r>
          </w:p>
          <w:tbl>
            <w:tblPr>
              <w:tblStyle w:val="33"/>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547"/>
              <w:gridCol w:w="1115"/>
              <w:gridCol w:w="1120"/>
              <w:gridCol w:w="1120"/>
              <w:gridCol w:w="1120"/>
              <w:gridCol w:w="1120"/>
              <w:gridCol w:w="11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1" w:type="pct"/>
                  <w:gridSpan w:val="2"/>
                  <w:tcBorders>
                    <w:bottom w:val="single" w:color="auto" w:sz="12" w:space="0"/>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因素</w:t>
                  </w:r>
                </w:p>
              </w:tc>
              <w:tc>
                <w:tcPr>
                  <w:tcW w:w="709" w:type="pct"/>
                  <w:tcBorders>
                    <w:bottom w:val="single" w:color="auto" w:sz="12" w:space="0"/>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w:t>
                  </w:r>
                </w:p>
              </w:tc>
              <w:tc>
                <w:tcPr>
                  <w:tcW w:w="712" w:type="pct"/>
                  <w:tcBorders>
                    <w:bottom w:val="single" w:color="auto" w:sz="12" w:space="0"/>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现有工程排放量</w:t>
                  </w:r>
                </w:p>
              </w:tc>
              <w:tc>
                <w:tcPr>
                  <w:tcW w:w="712" w:type="pct"/>
                  <w:tcBorders>
                    <w:bottom w:val="single" w:color="auto" w:sz="12" w:space="0"/>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以新带老消减量</w:t>
                  </w:r>
                </w:p>
              </w:tc>
              <w:tc>
                <w:tcPr>
                  <w:tcW w:w="712" w:type="pct"/>
                  <w:tcBorders>
                    <w:bottom w:val="single" w:color="auto" w:sz="12" w:space="0"/>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本工程排放量</w:t>
                  </w:r>
                </w:p>
              </w:tc>
              <w:tc>
                <w:tcPr>
                  <w:tcW w:w="712" w:type="pct"/>
                  <w:tcBorders>
                    <w:bottom w:val="single" w:color="auto" w:sz="12" w:space="0"/>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本项目建成后总排放量</w:t>
                  </w:r>
                </w:p>
              </w:tc>
              <w:tc>
                <w:tcPr>
                  <w:tcW w:w="749" w:type="pct"/>
                  <w:tcBorders>
                    <w:bottom w:val="single" w:color="auto" w:sz="12" w:space="0"/>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排放增减量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691" w:type="pct"/>
                  <w:gridSpan w:val="2"/>
                  <w:vMerge w:val="restart"/>
                  <w:tcBorders>
                    <w:top w:val="single" w:color="auto" w:sz="12" w:space="0"/>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废气</w:t>
                  </w:r>
                </w:p>
              </w:tc>
              <w:tc>
                <w:tcPr>
                  <w:tcW w:w="709" w:type="pct"/>
                  <w:tcBorders>
                    <w:top w:val="single" w:color="auto" w:sz="12" w:space="0"/>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颗粒物</w:t>
                  </w:r>
                </w:p>
              </w:tc>
              <w:tc>
                <w:tcPr>
                  <w:tcW w:w="712" w:type="pct"/>
                  <w:tcBorders>
                    <w:top w:val="single" w:color="auto" w:sz="12" w:space="0"/>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12" w:type="pct"/>
                  <w:tcBorders>
                    <w:top w:val="single" w:color="auto" w:sz="12" w:space="0"/>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12" w:type="pct"/>
                  <w:tcBorders>
                    <w:top w:val="single" w:color="auto" w:sz="12" w:space="0"/>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4.422</w:t>
                  </w:r>
                </w:p>
              </w:tc>
              <w:tc>
                <w:tcPr>
                  <w:tcW w:w="712" w:type="pct"/>
                  <w:tcBorders>
                    <w:top w:val="single" w:color="auto" w:sz="12" w:space="0"/>
                    <w:tl2br w:val="nil"/>
                    <w:tr2bl w:val="nil"/>
                  </w:tcBorders>
                  <w:shd w:val="clear" w:color="auto" w:fill="auto"/>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4.422</w:t>
                  </w:r>
                </w:p>
              </w:tc>
              <w:tc>
                <w:tcPr>
                  <w:tcW w:w="749" w:type="pct"/>
                  <w:tcBorders>
                    <w:top w:val="single" w:color="auto" w:sz="12" w:space="0"/>
                    <w:tl2br w:val="nil"/>
                    <w:tr2bl w:val="nil"/>
                  </w:tcBorders>
                  <w:shd w:val="clear" w:color="auto" w:fill="auto"/>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+4.422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1" w:type="pct"/>
                  <w:gridSpan w:val="2"/>
                  <w:vMerge w:val="continue"/>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c>
                <w:tcPr>
                  <w:tcW w:w="709" w:type="pct"/>
                  <w:tcBorders>
                    <w:tl2br w:val="nil"/>
                    <w:tr2bl w:val="nil"/>
                  </w:tcBorders>
                  <w:noWrap w:val="0"/>
                  <w:vAlign w:val="center"/>
                </w:tcPr>
                <w:p>
                  <w:pPr>
                    <w:pStyle w:val="57"/>
                    <w:shd w:val="clear" w:color="auto" w:fill="auto"/>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二氧化硫</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0.739</w:t>
                  </w:r>
                </w:p>
              </w:tc>
              <w:tc>
                <w:tcPr>
                  <w:tcW w:w="712" w:type="pct"/>
                  <w:tcBorders>
                    <w:tl2br w:val="nil"/>
                    <w:tr2bl w:val="nil"/>
                  </w:tcBorders>
                  <w:shd w:val="clear" w:color="auto" w:fill="auto"/>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0.739</w:t>
                  </w:r>
                </w:p>
              </w:tc>
              <w:tc>
                <w:tcPr>
                  <w:tcW w:w="749" w:type="pct"/>
                  <w:tcBorders>
                    <w:tl2br w:val="nil"/>
                    <w:tr2bl w:val="nil"/>
                  </w:tcBorders>
                  <w:shd w:val="clear" w:color="auto" w:fill="auto"/>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+0.739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1" w:type="pct"/>
                  <w:gridSpan w:val="2"/>
                  <w:vMerge w:val="continue"/>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c>
                <w:tcPr>
                  <w:tcW w:w="709" w:type="pct"/>
                  <w:tcBorders>
                    <w:tl2br w:val="nil"/>
                    <w:tr2bl w:val="nil"/>
                  </w:tcBorders>
                  <w:noWrap w:val="0"/>
                  <w:vAlign w:val="center"/>
                </w:tcPr>
                <w:p>
                  <w:pPr>
                    <w:pStyle w:val="57"/>
                    <w:shd w:val="clear" w:color="auto" w:fill="auto"/>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氮氧化物</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5.55</w:t>
                  </w:r>
                </w:p>
              </w:tc>
              <w:tc>
                <w:tcPr>
                  <w:tcW w:w="712" w:type="pct"/>
                  <w:tcBorders>
                    <w:tl2br w:val="nil"/>
                    <w:tr2bl w:val="nil"/>
                  </w:tcBorders>
                  <w:shd w:val="clear" w:color="auto" w:fill="auto"/>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5.55</w:t>
                  </w:r>
                </w:p>
              </w:tc>
              <w:tc>
                <w:tcPr>
                  <w:tcW w:w="749" w:type="pct"/>
                  <w:tcBorders>
                    <w:tl2br w:val="nil"/>
                    <w:tr2bl w:val="nil"/>
                  </w:tcBorders>
                  <w:shd w:val="clear" w:color="auto" w:fill="auto"/>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+5.55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691" w:type="pct"/>
                  <w:gridSpan w:val="2"/>
                  <w:vMerge w:val="continue"/>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c>
                <w:tcPr>
                  <w:tcW w:w="709" w:type="pct"/>
                  <w:tcBorders>
                    <w:tl2br w:val="nil"/>
                    <w:tr2bl w:val="nil"/>
                  </w:tcBorders>
                  <w:noWrap w:val="0"/>
                  <w:vAlign w:val="center"/>
                </w:tcPr>
                <w:p>
                  <w:pPr>
                    <w:pStyle w:val="57"/>
                    <w:shd w:val="clear" w:color="auto" w:fill="auto"/>
                    <w:bidi w:val="0"/>
                    <w:ind w:left="0" w:leftChars="0" w:right="0" w:rightChars="0" w:firstLine="0" w:firstLineChars="0"/>
                    <w:jc w:val="center"/>
                    <w:outlineLvl w:val="9"/>
                    <w:rPr>
                      <w:rFonts w:hint="default"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非甲烷总烃</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0.339</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4.289</w:t>
                  </w:r>
                </w:p>
              </w:tc>
              <w:tc>
                <w:tcPr>
                  <w:tcW w:w="712" w:type="pct"/>
                  <w:tcBorders>
                    <w:tl2br w:val="nil"/>
                    <w:tr2bl w:val="nil"/>
                  </w:tcBorders>
                  <w:shd w:val="clear" w:color="auto" w:fill="auto"/>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4.628</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+4.289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1" w:type="pct"/>
                  <w:gridSpan w:val="2"/>
                  <w:vMerge w:val="restart"/>
                  <w:tcBorders>
                    <w:tl2br w:val="nil"/>
                    <w:tr2bl w:val="nil"/>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废水</w:t>
                  </w: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COD</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1" w:type="pct"/>
                  <w:gridSpan w:val="2"/>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BOD</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1" w:type="pct"/>
                  <w:gridSpan w:val="2"/>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SS</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1" w:type="pct"/>
                  <w:gridSpan w:val="2"/>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NH</w:t>
                  </w:r>
                  <w:r>
                    <w:rPr>
                      <w:rFonts w:hint="default" w:ascii="Times New Roman" w:hAnsi="Times New Roman" w:eastAsia="宋体" w:cs="Times New Roman"/>
                      <w:b w:val="0"/>
                      <w:bCs/>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-N</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p>
              </w:tc>
              <w:tc>
                <w:tcPr>
                  <w:tcW w:w="712" w:type="pct"/>
                  <w:tcBorders>
                    <w:tl2br w:val="nil"/>
                    <w:tr2bl w:val="nil"/>
                  </w:tcBorders>
                  <w:noWrap w:val="0"/>
                  <w:vAlign w:val="center"/>
                </w:tcPr>
                <w:p>
                  <w:pPr>
                    <w:pStyle w:val="57"/>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343" w:type="pct"/>
                  <w:vMerge w:val="restart"/>
                  <w:tcBorders>
                    <w:tl2br w:val="nil"/>
                    <w:tr2bl w:val="nil"/>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固废</w:t>
                  </w:r>
                </w:p>
              </w:tc>
              <w:tc>
                <w:tcPr>
                  <w:tcW w:w="348" w:type="pct"/>
                  <w:tcBorders>
                    <w:tl2br w:val="nil"/>
                    <w:tr2bl w:val="nil"/>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生活垃圾</w:t>
                  </w: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生活垃圾</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21.53</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42.3</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63.83</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+42.3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restart"/>
                  <w:tcBorders>
                    <w:tl2br w:val="nil"/>
                    <w:tr2bl w:val="nil"/>
                  </w:tcBorders>
                  <w:noWrap w:val="0"/>
                  <w:vAlign w:val="center"/>
                </w:tcPr>
                <w:p>
                  <w:pPr>
                    <w:pStyle w:val="57"/>
                    <w:widowControl w:val="0"/>
                    <w:bidi w:val="0"/>
                    <w:ind w:left="0" w:leftChars="0" w:firstLine="0" w:firstLineChars="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一般固废</w:t>
                  </w: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废边角料</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20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10530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10570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+10530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废护套</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120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120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不合格品</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20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6</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26</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废金属线（头）、废包装材料</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20.95</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20.95</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+20.95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挤塑废料</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2.1</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2.1</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restart"/>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w:t>
                  </w: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废催化剂</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1.0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0.12</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1.12</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交联废液</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5.0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废皂化液</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4.0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废助焊剂沾染物</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4.0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废过滤网</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7.0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7.0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废润滑油</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4.9</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0.3</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4.3</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废润滑油</w:t>
                  </w:r>
                  <w:r>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桶</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1.0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1.1</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废活性炭</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10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12.0</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废油墨桶、废弃粘合剂包装桶</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1.5</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1.5</w:t>
                  </w:r>
                </w:p>
              </w:tc>
              <w:tc>
                <w:tcPr>
                  <w:tcW w:w="749" w:type="pct"/>
                  <w:tcBorders>
                    <w:tl2br w:val="nil"/>
                    <w:tr2bl w:val="nil"/>
                  </w:tcBorders>
                  <w:noWrap w:val="0"/>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铝灰渣</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1320</w:t>
                  </w:r>
                </w:p>
              </w:tc>
              <w:tc>
                <w:tcPr>
                  <w:tcW w:w="712"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1320</w:t>
                  </w:r>
                </w:p>
              </w:tc>
              <w:tc>
                <w:tcPr>
                  <w:tcW w:w="749"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+1320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除尘器收尘灰</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216.56</w:t>
                  </w:r>
                </w:p>
              </w:tc>
              <w:tc>
                <w:tcPr>
                  <w:tcW w:w="712"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216.56</w:t>
                  </w:r>
                </w:p>
              </w:tc>
              <w:tc>
                <w:tcPr>
                  <w:tcW w:w="749"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+216.56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废除尘袋</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0.1t/5a</w:t>
                  </w:r>
                </w:p>
              </w:tc>
              <w:tc>
                <w:tcPr>
                  <w:tcW w:w="712"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0.1t/5a</w:t>
                  </w:r>
                </w:p>
              </w:tc>
              <w:tc>
                <w:tcPr>
                  <w:tcW w:w="749"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+0.1t/5a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废乳化液</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4.0</w:t>
                  </w:r>
                </w:p>
              </w:tc>
              <w:tc>
                <w:tcPr>
                  <w:tcW w:w="712"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4.0</w:t>
                  </w:r>
                </w:p>
              </w:tc>
              <w:tc>
                <w:tcPr>
                  <w:tcW w:w="749"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eastAsia"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废洗涤液、废洗涤液桶</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default"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w:t>
                  </w:r>
                </w:p>
              </w:tc>
              <w:tc>
                <w:tcPr>
                  <w:tcW w:w="712"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w:t>
                  </w:r>
                </w:p>
              </w:tc>
              <w:tc>
                <w:tcPr>
                  <w:tcW w:w="749"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43" w:type="pct"/>
                  <w:vMerge w:val="continue"/>
                  <w:tcBorders>
                    <w:tl2br w:val="nil"/>
                    <w:tr2bl w:val="nil"/>
                  </w:tcBorders>
                  <w:noWrap w:val="0"/>
                  <w:vAlign w:val="center"/>
                </w:tcPr>
                <w:p>
                  <w:pPr>
                    <w:pStyle w:val="57"/>
                    <w:widowControl w:val="0"/>
                    <w:bidi w:val="0"/>
                    <w:jc w:val="center"/>
                    <w:outlineLvl w:val="9"/>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348" w:type="pct"/>
                  <w:vMerge w:val="continue"/>
                  <w:tcBorders>
                    <w:tl2br w:val="nil"/>
                    <w:tr2bl w:val="nil"/>
                  </w:tcBorders>
                  <w:noWrap w:val="0"/>
                  <w:vAlign w:val="center"/>
                </w:tcPr>
                <w:p>
                  <w:pPr>
                    <w:pStyle w:val="57"/>
                    <w:widowControl w:val="0"/>
                    <w:bidi w:val="0"/>
                    <w:ind w:left="0" w:leftChars="0" w:firstLine="0" w:firstLineChars="0"/>
                    <w:jc w:val="both"/>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709" w:type="pct"/>
                  <w:tcBorders>
                    <w:tl2br w:val="nil"/>
                    <w:tr2bl w:val="nil"/>
                  </w:tcBorders>
                  <w:noWrap w:val="0"/>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废弃的含油抹布、劳保用品（豁免）</w:t>
                  </w:r>
                </w:p>
              </w:tc>
              <w:tc>
                <w:tcPr>
                  <w:tcW w:w="712" w:type="pct"/>
                  <w:tcBorders>
                    <w:tl2br w:val="nil"/>
                    <w:tr2bl w:val="nil"/>
                  </w:tcBorders>
                  <w:noWrap w:val="0"/>
                  <w:vAlign w:val="center"/>
                </w:tcPr>
                <w:p>
                  <w:pPr>
                    <w:pStyle w:val="57"/>
                    <w:bidi w:val="0"/>
                    <w:ind w:left="0" w:leftChars="0" w:right="0" w:rightChars="0" w:firstLine="0" w:firstLineChars="0"/>
                    <w:jc w:val="center"/>
                    <w:outlineLvl w:val="9"/>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bidi w:val="0"/>
                    <w:ind w:left="0" w:leftChars="0" w:right="0" w:rightChars="0" w:firstLine="0" w:firstLineChars="0"/>
                    <w:jc w:val="center"/>
                    <w:outlineLvl w:val="9"/>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p>
              </w:tc>
              <w:tc>
                <w:tcPr>
                  <w:tcW w:w="712" w:type="pct"/>
                  <w:tcBorders>
                    <w:tl2br w:val="nil"/>
                    <w:tr2bl w:val="nil"/>
                  </w:tcBorders>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0.01</w:t>
                  </w:r>
                </w:p>
              </w:tc>
              <w:tc>
                <w:tcPr>
                  <w:tcW w:w="712"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0.01</w:t>
                  </w:r>
                </w:p>
              </w:tc>
              <w:tc>
                <w:tcPr>
                  <w:tcW w:w="749" w:type="pct"/>
                  <w:tcBorders>
                    <w:tl2br w:val="nil"/>
                    <w:tr2bl w:val="nil"/>
                  </w:tcBorders>
                  <w:shd w:val="clear" w:color="auto" w:fill="auto"/>
                  <w:noWrap w:val="0"/>
                  <w:vAlign w:val="center"/>
                </w:tcPr>
                <w:p>
                  <w:pPr>
                    <w:widowControl w:val="0"/>
                    <w:bidi w:val="0"/>
                    <w:ind w:left="0" w:leftChars="0" w:right="0" w:rightChars="0" w:firstLine="0" w:firstLineChars="0"/>
                    <w:jc w:val="center"/>
                    <w:outlineLvl w:val="9"/>
                    <w:rPr>
                      <w:rFonts w:hint="default"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l2br w:val="nil"/>
                    <w:tr2bl w:val="nil"/>
                  </w:tcBorders>
                  <w:noWrap w:val="0"/>
                  <w:vAlign w:val="center"/>
                </w:tcPr>
                <w:p>
                  <w:pPr>
                    <w:pStyle w:val="57"/>
                    <w:bidi w:val="0"/>
                    <w:jc w:val="both"/>
                    <w:outlineLvl w:val="9"/>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备注：现有工程排放量根据现有工程环评</w:t>
                  </w:r>
                  <w:r>
                    <w:rPr>
                      <w:rFonts w:hint="eastAsia" w:ascii="Times New Roman" w:eastAsia="宋体" w:cs="Times New Roman"/>
                      <w:b w:val="0"/>
                      <w:bCs/>
                      <w:color w:val="000000" w:themeColor="text1"/>
                      <w:sz w:val="21"/>
                      <w:szCs w:val="21"/>
                      <w:highlight w:val="none"/>
                      <w:lang w:val="en-US" w:eastAsia="zh-CN"/>
                      <w14:textFill>
                        <w14:solidFill>
                          <w14:schemeClr w14:val="tx1"/>
                        </w14:solidFill>
                      </w14:textFill>
                    </w:rPr>
                    <w:t>、竣工环境保护验收、</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排污许可</w:t>
                  </w:r>
                  <w:r>
                    <w:rPr>
                      <w:rFonts w:hint="eastAsia" w:ascii="Times New Roman" w:eastAsia="宋体" w:cs="Times New Roman"/>
                      <w:b w:val="0"/>
                      <w:bCs/>
                      <w:color w:val="000000" w:themeColor="text1"/>
                      <w:sz w:val="21"/>
                      <w:szCs w:val="21"/>
                      <w:highlight w:val="none"/>
                      <w:lang w:val="en-US" w:eastAsia="zh-CN"/>
                      <w14:textFill>
                        <w14:solidFill>
                          <w14:schemeClr w14:val="tx1"/>
                        </w14:solidFill>
                      </w14:textFill>
                    </w:rPr>
                    <w:t>及自行监测数据进行核算。</w:t>
                  </w:r>
                </w:p>
              </w:tc>
            </w:tr>
          </w:tbl>
          <w:p>
            <w:pPr>
              <w:pStyle w:val="27"/>
              <w:ind w:firstLine="0" w:firstLineChars="0"/>
              <w:jc w:val="both"/>
              <w:rPr>
                <w:rFonts w:hint="default" w:cs="Times New Roman"/>
                <w:color w:val="000000" w:themeColor="text1"/>
                <w:lang w:val="en-US" w:eastAsia="zh-CN"/>
                <w14:textFill>
                  <w14:solidFill>
                    <w14:schemeClr w14:val="tx1"/>
                  </w14:solidFill>
                </w14:textFill>
              </w:rPr>
            </w:pPr>
          </w:p>
          <w:p>
            <w:pPr>
              <w:pStyle w:val="27"/>
              <w:ind w:firstLine="0" w:firstLineChars="0"/>
              <w:jc w:val="both"/>
              <w:rPr>
                <w:rFonts w:hint="default" w:cs="Times New Roman"/>
                <w:color w:val="000000" w:themeColor="text1"/>
                <w:lang w:val="en-US" w:eastAsia="zh-CN"/>
                <w14:textFill>
                  <w14:solidFill>
                    <w14:schemeClr w14:val="tx1"/>
                  </w14:solidFill>
                </w14:textFill>
              </w:rPr>
            </w:pPr>
          </w:p>
          <w:p>
            <w:pPr>
              <w:pStyle w:val="27"/>
              <w:ind w:firstLine="0" w:firstLineChars="0"/>
              <w:jc w:val="both"/>
              <w:rPr>
                <w:rFonts w:hint="default" w:cs="Times New Roman"/>
                <w:color w:val="000000" w:themeColor="text1"/>
                <w:lang w:val="en-US" w:eastAsia="zh-CN"/>
                <w14:textFill>
                  <w14:solidFill>
                    <w14:schemeClr w14:val="tx1"/>
                  </w14:solidFill>
                </w14:textFill>
              </w:rPr>
            </w:pPr>
          </w:p>
        </w:tc>
      </w:tr>
    </w:tbl>
    <w:p>
      <w:pPr>
        <w:jc w:val="both"/>
        <w:rPr>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6"/>
        <w:numPr>
          <w:ilvl w:val="0"/>
          <w:numId w:val="0"/>
        </w:numPr>
        <w:jc w:val="center"/>
        <w:rPr>
          <w:rFonts w:hint="eastAsia" w:ascii="黑体" w:hAnsi="黑体" w:eastAsia="黑体" w:cs="黑体"/>
          <w:b w:val="0"/>
          <w:bCs/>
          <w:color w:val="000000" w:themeColor="text1"/>
          <w14:textFill>
            <w14:solidFill>
              <w14:schemeClr w14:val="tx1"/>
            </w14:solidFill>
          </w14:textFill>
        </w:rPr>
      </w:pPr>
      <w:bookmarkStart w:id="13" w:name="_Hlk54167917"/>
      <w:r>
        <w:rPr>
          <w:rFonts w:hint="eastAsia" w:ascii="黑体" w:hAnsi="黑体" w:eastAsia="黑体" w:cs="黑体"/>
          <w:b w:val="0"/>
          <w:bCs/>
          <w:color w:val="000000" w:themeColor="text1"/>
          <w:kern w:val="44"/>
          <w:sz w:val="30"/>
          <w:szCs w:val="24"/>
          <w:lang w:val="en-US" w:eastAsia="zh-CN" w:bidi="ar-SA"/>
          <w14:textFill>
            <w14:solidFill>
              <w14:schemeClr w14:val="tx1"/>
            </w14:solidFill>
          </w14:textFill>
        </w:rPr>
        <w:t>五、</w:t>
      </w:r>
      <w:r>
        <w:rPr>
          <w:rFonts w:hint="eastAsia" w:ascii="黑体" w:hAnsi="黑体" w:eastAsia="黑体" w:cs="黑体"/>
          <w:b w:val="0"/>
          <w:bCs/>
          <w:color w:val="000000" w:themeColor="text1"/>
          <w14:textFill>
            <w14:solidFill>
              <w14:schemeClr w14:val="tx1"/>
            </w14:solidFill>
          </w14:textFill>
        </w:rPr>
        <w:t>环境保护措施监督检查清单</w:t>
      </w:r>
      <w:bookmarkEnd w:id="13"/>
    </w:p>
    <w:tbl>
      <w:tblPr>
        <w:tblStyle w:val="33"/>
        <w:tblW w:w="499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496"/>
        <w:gridCol w:w="1336"/>
        <w:gridCol w:w="441"/>
        <w:gridCol w:w="1668"/>
        <w:gridCol w:w="2145"/>
        <w:gridCol w:w="243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291" w:type="pct"/>
            <w:tcBorders>
              <w:tl2br w:val="single" w:color="auto" w:sz="8" w:space="0"/>
            </w:tcBorders>
            <w:vAlign w:val="center"/>
          </w:tcPr>
          <w:p>
            <w:pPr>
              <w:jc w:val="center"/>
              <w:rPr>
                <w:rFonts w:hint="default"/>
                <w:b w:val="0"/>
                <w:bCs/>
                <w:color w:val="000000" w:themeColor="text1"/>
                <w:lang w:val="en-US"/>
                <w14:textFill>
                  <w14:solidFill>
                    <w14:schemeClr w14:val="tx1"/>
                  </w14:solidFill>
                </w14:textFill>
              </w:rPr>
            </w:pPr>
            <w:r>
              <w:rPr>
                <w:rFonts w:hint="eastAsia"/>
                <w:b w:val="0"/>
                <w:bCs/>
                <w:color w:val="000000" w:themeColor="text1"/>
                <w:lang w:val="en-US" w:eastAsia="zh-CN"/>
                <w14:textFill>
                  <w14:solidFill>
                    <w14:schemeClr w14:val="tx1"/>
                  </w14:solidFill>
                </w14:textFill>
              </w:rPr>
              <w:t xml:space="preserve"> 内容</w:t>
            </w:r>
          </w:p>
          <w:p>
            <w:pPr>
              <w:jc w:val="both"/>
              <w:rPr>
                <w:b w:val="0"/>
                <w:bCs/>
                <w:color w:val="000000" w:themeColor="text1"/>
                <w14:textFill>
                  <w14:solidFill>
                    <w14:schemeClr w14:val="tx1"/>
                  </w14:solidFill>
                </w14:textFill>
              </w:rPr>
            </w:pPr>
            <w:r>
              <w:rPr>
                <w:rFonts w:hint="eastAsia"/>
                <w:b w:val="0"/>
                <w:bCs/>
                <w:color w:val="000000" w:themeColor="text1"/>
                <w14:textFill>
                  <w14:solidFill>
                    <w14:schemeClr w14:val="tx1"/>
                  </w14:solidFill>
                </w14:textFill>
              </w:rPr>
              <w:t>要素</w:t>
            </w:r>
          </w:p>
        </w:tc>
        <w:tc>
          <w:tcPr>
            <w:tcW w:w="1043" w:type="pct"/>
            <w:gridSpan w:val="2"/>
            <w:tcBorders>
              <w:tl2br w:val="nil"/>
              <w:tr2bl w:val="nil"/>
            </w:tcBorders>
            <w:vAlign w:val="center"/>
          </w:tcPr>
          <w:p>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排放口</w:t>
            </w:r>
            <w:r>
              <w:rPr>
                <w:rFonts w:hint="eastAsia" w:ascii="宋体" w:hAnsi="宋体" w:cs="宋体"/>
                <w:b w:val="0"/>
                <w:bCs/>
                <w:color w:val="000000" w:themeColor="text1"/>
                <w:szCs w:val="21"/>
                <w:lang w:eastAsia="zh-CN"/>
                <w14:textFill>
                  <w14:solidFill>
                    <w14:schemeClr w14:val="tx1"/>
                  </w14:solidFill>
                </w14:textFill>
              </w:rPr>
              <w:t>（</w:t>
            </w:r>
            <w:r>
              <w:rPr>
                <w:rFonts w:hint="eastAsia" w:ascii="宋体" w:hAnsi="宋体" w:cs="宋体"/>
                <w:b w:val="0"/>
                <w:bCs/>
                <w:color w:val="000000" w:themeColor="text1"/>
                <w:szCs w:val="21"/>
                <w14:textFill>
                  <w14:solidFill>
                    <w14:schemeClr w14:val="tx1"/>
                  </w14:solidFill>
                </w14:textFill>
              </w:rPr>
              <w:t>编号、名称</w:t>
            </w:r>
            <w:r>
              <w:rPr>
                <w:rFonts w:hint="eastAsia" w:ascii="宋体" w:hAnsi="宋体" w:cs="宋体"/>
                <w:b w:val="0"/>
                <w:bCs/>
                <w:color w:val="000000" w:themeColor="text1"/>
                <w:szCs w:val="21"/>
                <w:lang w:eastAsia="zh-CN"/>
                <w14:textFill>
                  <w14:solidFill>
                    <w14:schemeClr w14:val="tx1"/>
                  </w14:solidFill>
                </w14:textFill>
              </w:rPr>
              <w:t>）</w:t>
            </w:r>
            <w:r>
              <w:rPr>
                <w:rFonts w:hint="eastAsia" w:ascii="宋体" w:hAnsi="宋体" w:cs="宋体"/>
                <w:b w:val="0"/>
                <w:bCs/>
                <w:color w:val="000000" w:themeColor="text1"/>
                <w:szCs w:val="21"/>
                <w14:textFill>
                  <w14:solidFill>
                    <w14:schemeClr w14:val="tx1"/>
                  </w14:solidFill>
                </w14:textFill>
              </w:rPr>
              <w:t>/污染源</w:t>
            </w:r>
          </w:p>
        </w:tc>
        <w:tc>
          <w:tcPr>
            <w:tcW w:w="979" w:type="pct"/>
            <w:tcBorders>
              <w:tl2br w:val="nil"/>
              <w:tr2bl w:val="nil"/>
            </w:tcBorders>
            <w:vAlign w:val="center"/>
          </w:tcPr>
          <w:p>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污染物项目</w:t>
            </w:r>
          </w:p>
        </w:tc>
        <w:tc>
          <w:tcPr>
            <w:tcW w:w="1259" w:type="pct"/>
            <w:tcBorders>
              <w:tl2br w:val="nil"/>
              <w:tr2bl w:val="nil"/>
            </w:tcBorders>
            <w:vAlign w:val="center"/>
          </w:tcPr>
          <w:p>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环境保护措施</w:t>
            </w:r>
          </w:p>
        </w:tc>
        <w:tc>
          <w:tcPr>
            <w:tcW w:w="1427" w:type="pct"/>
            <w:tcBorders>
              <w:tl2br w:val="nil"/>
              <w:tr2bl w:val="nil"/>
            </w:tcBorders>
            <w:vAlign w:val="center"/>
          </w:tcPr>
          <w:p>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执行标准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5" w:hRule="atLeast"/>
        </w:trPr>
        <w:tc>
          <w:tcPr>
            <w:tcW w:w="291" w:type="pct"/>
            <w:vMerge w:val="restart"/>
            <w:tcBorders>
              <w:tl2br w:val="nil"/>
              <w:tr2bl w:val="nil"/>
            </w:tcBorders>
            <w:vAlign w:val="center"/>
          </w:tcPr>
          <w:p>
            <w:pPr>
              <w:jc w:val="center"/>
              <w:rPr>
                <w:b w:val="0"/>
                <w:bCs/>
                <w:color w:val="000000" w:themeColor="text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大气环境</w:t>
            </w:r>
          </w:p>
        </w:tc>
        <w:tc>
          <w:tcPr>
            <w:tcW w:w="1043" w:type="pct"/>
            <w:gridSpan w:val="2"/>
            <w:vMerge w:val="restart"/>
            <w:tcBorders>
              <w:tl2br w:val="nil"/>
              <w:tr2bl w:val="nil"/>
            </w:tcBorders>
            <w:vAlign w:val="center"/>
          </w:tcPr>
          <w:p>
            <w:pPr>
              <w:jc w:val="center"/>
              <w:rPr>
                <w:rFonts w:hint="default" w:eastAsia="宋体" w:cs="Times New Roman"/>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DA007</w:t>
            </w:r>
          </w:p>
        </w:tc>
        <w:tc>
          <w:tcPr>
            <w:tcW w:w="979" w:type="pct"/>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颗粒物</w:t>
            </w:r>
          </w:p>
        </w:tc>
        <w:tc>
          <w:tcPr>
            <w:tcW w:w="1259" w:type="pct"/>
            <w:vMerge w:val="restart"/>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r>
              <w:rPr>
                <w:rFonts w:hint="default" w:eastAsia="宋体" w:cs="Times New Roman"/>
                <w:b w:val="0"/>
                <w:bCs/>
                <w:color w:val="000000" w:themeColor="text1"/>
                <w:lang w:val="en-US" w:eastAsia="zh-CN"/>
                <w14:textFill>
                  <w14:solidFill>
                    <w14:schemeClr w14:val="tx1"/>
                  </w14:solidFill>
                </w14:textFill>
              </w:rPr>
              <w:t>熔铝炉、保温炉炉膛废气（颗粒物）及熔铝炉、保温炉天然气燃烧废气氮氧化物采用低氮燃烧器+烟气再循环装置处理，颗粒物使用布袋除尘器处理，处理后的废气通过1根20m 的烟囱排放。</w:t>
            </w:r>
          </w:p>
        </w:tc>
        <w:tc>
          <w:tcPr>
            <w:tcW w:w="1427" w:type="pct"/>
            <w:vMerge w:val="restart"/>
            <w:tcBorders>
              <w:tl2br w:val="nil"/>
              <w:tr2bl w:val="nil"/>
            </w:tcBorders>
            <w:vAlign w:val="center"/>
          </w:tcPr>
          <w:p>
            <w:pPr>
              <w:jc w:val="center"/>
              <w:rPr>
                <w:rFonts w:hint="eastAsia" w:eastAsia="宋体" w:cs="Times New Roman"/>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《关于印发〈新疆维吾尔自治区工业炉窑大气污染综合治理实施方案〉的通知》（新大气发〔2019〕127 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5" w:hRule="atLeast"/>
        </w:trPr>
        <w:tc>
          <w:tcPr>
            <w:tcW w:w="291" w:type="pct"/>
            <w:vMerge w:val="continue"/>
            <w:tcBorders>
              <w:tl2br w:val="nil"/>
              <w:tr2bl w:val="nil"/>
            </w:tcBorders>
            <w:vAlign w:val="center"/>
          </w:tcPr>
          <w:p>
            <w:pPr>
              <w:jc w:val="center"/>
              <w:rPr>
                <w:rFonts w:hint="eastAsia" w:ascii="宋体" w:hAnsi="宋体" w:cs="宋体"/>
                <w:b w:val="0"/>
                <w:bCs/>
                <w:color w:val="000000" w:themeColor="text1"/>
                <w:szCs w:val="21"/>
                <w14:textFill>
                  <w14:solidFill>
                    <w14:schemeClr w14:val="tx1"/>
                  </w14:solidFill>
                </w14:textFill>
              </w:rPr>
            </w:pPr>
          </w:p>
        </w:tc>
        <w:tc>
          <w:tcPr>
            <w:tcW w:w="1043" w:type="pct"/>
            <w:gridSpan w:val="2"/>
            <w:vMerge w:val="continue"/>
            <w:tcBorders>
              <w:tl2br w:val="nil"/>
              <w:tr2bl w:val="nil"/>
            </w:tcBorders>
            <w:vAlign w:val="center"/>
          </w:tcPr>
          <w:p>
            <w:pPr>
              <w:jc w:val="center"/>
              <w:rPr>
                <w:rFonts w:hint="eastAsia" w:cs="Times New Roman"/>
                <w:b w:val="0"/>
                <w:bCs/>
                <w:color w:val="000000" w:themeColor="text1"/>
                <w:lang w:val="en-US" w:eastAsia="zh-CN"/>
                <w14:textFill>
                  <w14:solidFill>
                    <w14:schemeClr w14:val="tx1"/>
                  </w14:solidFill>
                </w14:textFill>
              </w:rPr>
            </w:pPr>
          </w:p>
        </w:tc>
        <w:tc>
          <w:tcPr>
            <w:tcW w:w="979" w:type="pct"/>
            <w:tcBorders>
              <w:tl2br w:val="nil"/>
              <w:tr2bl w:val="nil"/>
            </w:tcBorders>
            <w:vAlign w:val="center"/>
          </w:tcPr>
          <w:p>
            <w:pPr>
              <w:jc w:val="center"/>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二氧化硫</w:t>
            </w:r>
          </w:p>
        </w:tc>
        <w:tc>
          <w:tcPr>
            <w:tcW w:w="1259" w:type="pct"/>
            <w:vMerge w:val="continue"/>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p>
        </w:tc>
        <w:tc>
          <w:tcPr>
            <w:tcW w:w="1427" w:type="pct"/>
            <w:vMerge w:val="continue"/>
            <w:tcBorders>
              <w:tl2br w:val="nil"/>
              <w:tr2bl w:val="nil"/>
            </w:tcBorders>
            <w:vAlign w:val="center"/>
          </w:tcPr>
          <w:p>
            <w:pPr>
              <w:jc w:val="center"/>
              <w:rPr>
                <w:rFonts w:hint="eastAsia" w:ascii="Times New Roman" w:hAnsi="Times New Roman" w:eastAsia="宋体" w:cs="Times New Roman"/>
                <w:b w:val="0"/>
                <w:bCs/>
                <w:color w:val="000000" w:themeColor="text1"/>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5" w:hRule="atLeast"/>
        </w:trPr>
        <w:tc>
          <w:tcPr>
            <w:tcW w:w="291" w:type="pct"/>
            <w:vMerge w:val="continue"/>
            <w:tcBorders>
              <w:tl2br w:val="nil"/>
              <w:tr2bl w:val="nil"/>
            </w:tcBorders>
            <w:vAlign w:val="center"/>
          </w:tcPr>
          <w:p>
            <w:pPr>
              <w:jc w:val="center"/>
              <w:rPr>
                <w:rFonts w:hint="eastAsia" w:ascii="宋体" w:hAnsi="宋体" w:cs="宋体"/>
                <w:b w:val="0"/>
                <w:bCs/>
                <w:color w:val="000000" w:themeColor="text1"/>
                <w:szCs w:val="21"/>
                <w14:textFill>
                  <w14:solidFill>
                    <w14:schemeClr w14:val="tx1"/>
                  </w14:solidFill>
                </w14:textFill>
              </w:rPr>
            </w:pPr>
          </w:p>
        </w:tc>
        <w:tc>
          <w:tcPr>
            <w:tcW w:w="1043" w:type="pct"/>
            <w:gridSpan w:val="2"/>
            <w:vMerge w:val="continue"/>
            <w:tcBorders>
              <w:tl2br w:val="nil"/>
              <w:tr2bl w:val="nil"/>
            </w:tcBorders>
            <w:vAlign w:val="center"/>
          </w:tcPr>
          <w:p>
            <w:pPr>
              <w:jc w:val="center"/>
              <w:rPr>
                <w:rFonts w:hint="eastAsia" w:cs="Times New Roman"/>
                <w:b w:val="0"/>
                <w:bCs/>
                <w:color w:val="000000" w:themeColor="text1"/>
                <w:lang w:val="en-US" w:eastAsia="zh-CN"/>
                <w14:textFill>
                  <w14:solidFill>
                    <w14:schemeClr w14:val="tx1"/>
                  </w14:solidFill>
                </w14:textFill>
              </w:rPr>
            </w:pPr>
          </w:p>
        </w:tc>
        <w:tc>
          <w:tcPr>
            <w:tcW w:w="979" w:type="pct"/>
            <w:tcBorders>
              <w:tl2br w:val="nil"/>
              <w:tr2bl w:val="nil"/>
            </w:tcBorders>
            <w:vAlign w:val="center"/>
          </w:tcPr>
          <w:p>
            <w:pPr>
              <w:jc w:val="center"/>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氮氧化物</w:t>
            </w:r>
          </w:p>
        </w:tc>
        <w:tc>
          <w:tcPr>
            <w:tcW w:w="1259" w:type="pct"/>
            <w:vMerge w:val="continue"/>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p>
        </w:tc>
        <w:tc>
          <w:tcPr>
            <w:tcW w:w="1427" w:type="pct"/>
            <w:vMerge w:val="continue"/>
            <w:tcBorders>
              <w:tl2br w:val="nil"/>
              <w:tr2bl w:val="nil"/>
            </w:tcBorders>
            <w:vAlign w:val="center"/>
          </w:tcPr>
          <w:p>
            <w:pPr>
              <w:jc w:val="center"/>
              <w:rPr>
                <w:rFonts w:hint="eastAsia" w:ascii="Times New Roman" w:hAnsi="Times New Roman" w:eastAsia="宋体" w:cs="Times New Roman"/>
                <w:b w:val="0"/>
                <w:bCs/>
                <w:color w:val="000000" w:themeColor="text1"/>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64" w:hRule="atLeast"/>
        </w:trPr>
        <w:tc>
          <w:tcPr>
            <w:tcW w:w="291" w:type="pct"/>
            <w:vMerge w:val="continue"/>
            <w:tcBorders>
              <w:tl2br w:val="nil"/>
              <w:tr2bl w:val="nil"/>
            </w:tcBorders>
            <w:vAlign w:val="center"/>
          </w:tcPr>
          <w:p>
            <w:pPr>
              <w:jc w:val="center"/>
              <w:rPr>
                <w:rFonts w:hint="eastAsia" w:ascii="宋体" w:hAnsi="宋体" w:cs="宋体"/>
                <w:b w:val="0"/>
                <w:bCs/>
                <w:color w:val="000000" w:themeColor="text1"/>
                <w:szCs w:val="21"/>
                <w14:textFill>
                  <w14:solidFill>
                    <w14:schemeClr w14:val="tx1"/>
                  </w14:solidFill>
                </w14:textFill>
              </w:rPr>
            </w:pPr>
          </w:p>
        </w:tc>
        <w:tc>
          <w:tcPr>
            <w:tcW w:w="1043" w:type="pct"/>
            <w:gridSpan w:val="2"/>
            <w:vMerge w:val="continue"/>
            <w:tcBorders>
              <w:tl2br w:val="nil"/>
              <w:tr2bl w:val="nil"/>
            </w:tcBorders>
            <w:vAlign w:val="center"/>
          </w:tcPr>
          <w:p>
            <w:pPr>
              <w:jc w:val="center"/>
              <w:rPr>
                <w:rFonts w:hint="eastAsia" w:cs="Times New Roman"/>
                <w:b w:val="0"/>
                <w:bCs/>
                <w:color w:val="000000" w:themeColor="text1"/>
                <w:lang w:val="en-US" w:eastAsia="zh-CN"/>
                <w14:textFill>
                  <w14:solidFill>
                    <w14:schemeClr w14:val="tx1"/>
                  </w14:solidFill>
                </w14:textFill>
              </w:rPr>
            </w:pPr>
          </w:p>
        </w:tc>
        <w:tc>
          <w:tcPr>
            <w:tcW w:w="979" w:type="pct"/>
            <w:tcBorders>
              <w:tl2br w:val="nil"/>
              <w:tr2bl w:val="nil"/>
            </w:tcBorders>
            <w:vAlign w:val="center"/>
          </w:tcPr>
          <w:p>
            <w:pPr>
              <w:jc w:val="center"/>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林格曼黑度</w:t>
            </w:r>
          </w:p>
        </w:tc>
        <w:tc>
          <w:tcPr>
            <w:tcW w:w="1259" w:type="pct"/>
            <w:vMerge w:val="continue"/>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p>
        </w:tc>
        <w:tc>
          <w:tcPr>
            <w:tcW w:w="1427" w:type="pct"/>
            <w:tcBorders>
              <w:tl2br w:val="nil"/>
              <w:tr2bl w:val="nil"/>
            </w:tcBorders>
            <w:vAlign w:val="center"/>
          </w:tcPr>
          <w:p>
            <w:pPr>
              <w:jc w:val="center"/>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lang w:val="en-US" w:eastAsia="zh-CN"/>
                <w14:textFill>
                  <w14:solidFill>
                    <w14:schemeClr w14:val="tx1"/>
                  </w14:solidFill>
                </w14:textFill>
              </w:rPr>
              <w:t xml:space="preserve">《工业炉窑大气污染物排放标准》（GB </w:t>
            </w:r>
          </w:p>
          <w:p>
            <w:pPr>
              <w:jc w:val="center"/>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lang w:val="en-US" w:eastAsia="zh-CN"/>
                <w14:textFill>
                  <w14:solidFill>
                    <w14:schemeClr w14:val="tx1"/>
                  </w14:solidFill>
                </w14:textFill>
              </w:rPr>
              <w:t>9078-1996）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5" w:hRule="atLeast"/>
        </w:trPr>
        <w:tc>
          <w:tcPr>
            <w:tcW w:w="291" w:type="pct"/>
            <w:vMerge w:val="continue"/>
            <w:tcBorders>
              <w:tl2br w:val="nil"/>
              <w:tr2bl w:val="nil"/>
            </w:tcBorders>
            <w:vAlign w:val="center"/>
          </w:tcPr>
          <w:p>
            <w:pPr>
              <w:jc w:val="center"/>
              <w:rPr>
                <w:rFonts w:hint="eastAsia" w:ascii="宋体" w:hAnsi="宋体" w:cs="宋体"/>
                <w:b w:val="0"/>
                <w:bCs/>
                <w:color w:val="000000" w:themeColor="text1"/>
                <w:szCs w:val="21"/>
                <w14:textFill>
                  <w14:solidFill>
                    <w14:schemeClr w14:val="tx1"/>
                  </w14:solidFill>
                </w14:textFill>
              </w:rPr>
            </w:pPr>
          </w:p>
        </w:tc>
        <w:tc>
          <w:tcPr>
            <w:tcW w:w="1043" w:type="pct"/>
            <w:gridSpan w:val="2"/>
            <w:tcBorders>
              <w:tl2br w:val="nil"/>
              <w:tr2bl w:val="nil"/>
            </w:tcBorders>
            <w:vAlign w:val="center"/>
          </w:tcPr>
          <w:p>
            <w:pPr>
              <w:jc w:val="center"/>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DA008</w:t>
            </w:r>
          </w:p>
        </w:tc>
        <w:tc>
          <w:tcPr>
            <w:tcW w:w="979" w:type="pct"/>
            <w:tcBorders>
              <w:tl2br w:val="nil"/>
              <w:tr2bl w:val="nil"/>
            </w:tcBorders>
            <w:vAlign w:val="center"/>
          </w:tcPr>
          <w:p>
            <w:pPr>
              <w:jc w:val="center"/>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非甲烷总烃</w:t>
            </w:r>
          </w:p>
        </w:tc>
        <w:tc>
          <w:tcPr>
            <w:tcW w:w="1259" w:type="pct"/>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r>
              <w:rPr>
                <w:rFonts w:hint="default" w:eastAsia="宋体" w:cs="Times New Roman"/>
                <w:b w:val="0"/>
                <w:bCs/>
                <w:color w:val="000000" w:themeColor="text1"/>
                <w:lang w:val="en-US" w:eastAsia="zh-CN"/>
                <w14:textFill>
                  <w14:solidFill>
                    <w14:schemeClr w14:val="tx1"/>
                  </w14:solidFill>
                </w14:textFill>
              </w:rPr>
              <w:t>轧机废气经丝网过滤+动态拦截+活性炭吸附装置处理，处理后的废气通过1根18m 的排气筒排放</w:t>
            </w:r>
            <w:r>
              <w:rPr>
                <w:rFonts w:hint="eastAsia" w:cs="Times New Roman"/>
                <w:b w:val="0"/>
                <w:bCs/>
                <w:color w:val="000000" w:themeColor="text1"/>
                <w:lang w:val="en-US" w:eastAsia="zh-CN"/>
                <w14:textFill>
                  <w14:solidFill>
                    <w14:schemeClr w14:val="tx1"/>
                  </w14:solidFill>
                </w14:textFill>
              </w:rPr>
              <w:t>。</w:t>
            </w:r>
          </w:p>
        </w:tc>
        <w:tc>
          <w:tcPr>
            <w:tcW w:w="1427" w:type="pct"/>
            <w:tcBorders>
              <w:tl2br w:val="nil"/>
              <w:tr2bl w:val="nil"/>
            </w:tcBorders>
            <w:vAlign w:val="center"/>
          </w:tcPr>
          <w:p>
            <w:pPr>
              <w:jc w:val="center"/>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lang w:val="en-US" w:eastAsia="zh-CN"/>
                <w14:textFill>
                  <w14:solidFill>
                    <w14:schemeClr w14:val="tx1"/>
                  </w14:solidFill>
                </w14:textFill>
              </w:rPr>
              <w:t>《大气污染物综合排放标准》（GB16297-1996）表2新污染源二级排放限值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5" w:hRule="atLeast"/>
        </w:trPr>
        <w:tc>
          <w:tcPr>
            <w:tcW w:w="291" w:type="pct"/>
            <w:vMerge w:val="continue"/>
            <w:tcBorders>
              <w:tl2br w:val="nil"/>
              <w:tr2bl w:val="nil"/>
            </w:tcBorders>
            <w:vAlign w:val="center"/>
          </w:tcPr>
          <w:p>
            <w:pPr>
              <w:jc w:val="center"/>
              <w:rPr>
                <w:rFonts w:hint="eastAsia" w:ascii="宋体" w:hAnsi="宋体" w:cs="宋体"/>
                <w:b w:val="0"/>
                <w:bCs/>
                <w:color w:val="000000" w:themeColor="text1"/>
                <w:szCs w:val="21"/>
                <w14:textFill>
                  <w14:solidFill>
                    <w14:schemeClr w14:val="tx1"/>
                  </w14:solidFill>
                </w14:textFill>
              </w:rPr>
            </w:pPr>
          </w:p>
        </w:tc>
        <w:tc>
          <w:tcPr>
            <w:tcW w:w="1043" w:type="pct"/>
            <w:gridSpan w:val="2"/>
            <w:tcBorders>
              <w:tl2br w:val="nil"/>
              <w:tr2bl w:val="nil"/>
            </w:tcBorders>
            <w:vAlign w:val="center"/>
          </w:tcPr>
          <w:p>
            <w:pPr>
              <w:jc w:val="center"/>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DA012</w:t>
            </w:r>
          </w:p>
        </w:tc>
        <w:tc>
          <w:tcPr>
            <w:tcW w:w="979" w:type="pct"/>
            <w:tcBorders>
              <w:tl2br w:val="nil"/>
              <w:tr2bl w:val="nil"/>
            </w:tcBorders>
            <w:vAlign w:val="center"/>
          </w:tcPr>
          <w:p>
            <w:pPr>
              <w:jc w:val="center"/>
              <w:rPr>
                <w:rFonts w:hint="eastAsia"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非甲烷总烃</w:t>
            </w:r>
          </w:p>
        </w:tc>
        <w:tc>
          <w:tcPr>
            <w:tcW w:w="1259" w:type="pct"/>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r>
              <w:rPr>
                <w:rFonts w:hint="default" w:eastAsia="宋体" w:cs="Times New Roman"/>
                <w:b w:val="0"/>
                <w:bCs/>
                <w:color w:val="000000" w:themeColor="text1"/>
                <w:lang w:val="en-US" w:eastAsia="zh-CN"/>
                <w14:textFill>
                  <w14:solidFill>
                    <w14:schemeClr w14:val="tx1"/>
                  </w14:solidFill>
                </w14:textFill>
              </w:rPr>
              <w:t>挤出工序废气经集气罩收集后经活性炭吸附+催化燃烧处理后由15m 高的烟囱排放</w:t>
            </w:r>
          </w:p>
        </w:tc>
        <w:tc>
          <w:tcPr>
            <w:tcW w:w="1427" w:type="pct"/>
            <w:tcBorders>
              <w:tl2br w:val="nil"/>
              <w:tr2bl w:val="nil"/>
            </w:tcBorders>
            <w:vAlign w:val="center"/>
          </w:tcPr>
          <w:p>
            <w:pPr>
              <w:jc w:val="center"/>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lang w:val="en-US" w:eastAsia="zh-CN"/>
                <w14:textFill>
                  <w14:solidFill>
                    <w14:schemeClr w14:val="tx1"/>
                  </w14:solidFill>
                </w14:textFill>
              </w:rPr>
              <w:t>《合成树脂工业污染物排放标准》（GB31572-2015，含2024 年修改单）表 5大气污染物特别排放限值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5" w:hRule="atLeast"/>
        </w:trPr>
        <w:tc>
          <w:tcPr>
            <w:tcW w:w="291" w:type="pct"/>
            <w:vMerge w:val="continue"/>
            <w:tcBorders>
              <w:tl2br w:val="nil"/>
              <w:tr2bl w:val="nil"/>
            </w:tcBorders>
            <w:vAlign w:val="center"/>
          </w:tcPr>
          <w:p>
            <w:pPr>
              <w:jc w:val="center"/>
              <w:rPr>
                <w:rFonts w:hint="eastAsia" w:ascii="宋体" w:hAnsi="宋体" w:cs="宋体"/>
                <w:b w:val="0"/>
                <w:bCs/>
                <w:color w:val="000000" w:themeColor="text1"/>
                <w:szCs w:val="21"/>
                <w14:textFill>
                  <w14:solidFill>
                    <w14:schemeClr w14:val="tx1"/>
                  </w14:solidFill>
                </w14:textFill>
              </w:rPr>
            </w:pPr>
          </w:p>
        </w:tc>
        <w:tc>
          <w:tcPr>
            <w:tcW w:w="1043" w:type="pct"/>
            <w:gridSpan w:val="2"/>
            <w:tcBorders>
              <w:tl2br w:val="nil"/>
              <w:tr2bl w:val="nil"/>
            </w:tcBorders>
            <w:vAlign w:val="center"/>
          </w:tcPr>
          <w:p>
            <w:pPr>
              <w:jc w:val="center"/>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厂区内</w:t>
            </w:r>
          </w:p>
        </w:tc>
        <w:tc>
          <w:tcPr>
            <w:tcW w:w="979" w:type="pct"/>
            <w:tcBorders>
              <w:tl2br w:val="nil"/>
              <w:tr2bl w:val="nil"/>
            </w:tcBorders>
            <w:vAlign w:val="center"/>
          </w:tcPr>
          <w:p>
            <w:pPr>
              <w:jc w:val="center"/>
              <w:rPr>
                <w:rFonts w:hint="eastAsia"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非甲烷总烃</w:t>
            </w:r>
          </w:p>
        </w:tc>
        <w:tc>
          <w:tcPr>
            <w:tcW w:w="1259" w:type="pct"/>
            <w:vMerge w:val="restart"/>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r>
              <w:rPr>
                <w:rFonts w:hint="default" w:eastAsia="宋体" w:cs="Times New Roman"/>
                <w:b w:val="0"/>
                <w:bCs/>
                <w:color w:val="000000" w:themeColor="text1"/>
                <w:lang w:val="en-US" w:eastAsia="zh-CN"/>
                <w14:textFill>
                  <w14:solidFill>
                    <w14:schemeClr w14:val="tx1"/>
                  </w14:solidFill>
                </w14:textFill>
              </w:rPr>
              <w:t>封闭车间，顶部设排风扇通风</w:t>
            </w:r>
          </w:p>
        </w:tc>
        <w:tc>
          <w:tcPr>
            <w:tcW w:w="1427" w:type="pct"/>
            <w:tcBorders>
              <w:tl2br w:val="nil"/>
              <w:tr2bl w:val="nil"/>
            </w:tcBorders>
            <w:vAlign w:val="center"/>
          </w:tcPr>
          <w:p>
            <w:pPr>
              <w:jc w:val="center"/>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lang w:val="en-US" w:eastAsia="zh-CN"/>
                <w14:textFill>
                  <w14:solidFill>
                    <w14:schemeClr w14:val="tx1"/>
                  </w14:solidFill>
                </w14:textFill>
              </w:rPr>
              <w:t>《挥发性有机物无组织排放控制标准》（GB 37822-2019）表A.1 中特别排放限值要求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46" w:hRule="atLeast"/>
        </w:trPr>
        <w:tc>
          <w:tcPr>
            <w:tcW w:w="291" w:type="pct"/>
            <w:vMerge w:val="continue"/>
            <w:tcBorders>
              <w:tl2br w:val="nil"/>
              <w:tr2bl w:val="nil"/>
            </w:tcBorders>
            <w:vAlign w:val="center"/>
          </w:tcPr>
          <w:p>
            <w:pPr>
              <w:jc w:val="center"/>
              <w:rPr>
                <w:rFonts w:hint="eastAsia" w:ascii="宋体" w:hAnsi="宋体" w:eastAsia="宋体" w:cs="宋体"/>
                <w:b w:val="0"/>
                <w:bCs/>
                <w:color w:val="000000" w:themeColor="text1"/>
                <w:szCs w:val="21"/>
                <w:lang w:eastAsia="zh-CN"/>
                <w14:textFill>
                  <w14:solidFill>
                    <w14:schemeClr w14:val="tx1"/>
                  </w14:solidFill>
                </w14:textFill>
              </w:rPr>
            </w:pPr>
          </w:p>
        </w:tc>
        <w:tc>
          <w:tcPr>
            <w:tcW w:w="1043" w:type="pct"/>
            <w:gridSpan w:val="2"/>
            <w:vMerge w:val="restart"/>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厂界四周</w:t>
            </w:r>
          </w:p>
        </w:tc>
        <w:tc>
          <w:tcPr>
            <w:tcW w:w="979" w:type="pct"/>
            <w:tcBorders>
              <w:tl2br w:val="nil"/>
              <w:tr2bl w:val="nil"/>
            </w:tcBorders>
            <w:vAlign w:val="center"/>
          </w:tcPr>
          <w:p>
            <w:pPr>
              <w:jc w:val="center"/>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颗粒物</w:t>
            </w:r>
          </w:p>
        </w:tc>
        <w:tc>
          <w:tcPr>
            <w:tcW w:w="1259" w:type="pct"/>
            <w:vMerge w:val="continue"/>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p>
        </w:tc>
        <w:tc>
          <w:tcPr>
            <w:tcW w:w="1427" w:type="pct"/>
            <w:tcBorders>
              <w:tl2br w:val="nil"/>
              <w:tr2bl w:val="nil"/>
            </w:tcBorders>
            <w:vAlign w:val="center"/>
          </w:tcPr>
          <w:p>
            <w:pPr>
              <w:jc w:val="center"/>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lang w:val="en-US" w:eastAsia="zh-CN"/>
                <w14:textFill>
                  <w14:solidFill>
                    <w14:schemeClr w14:val="tx1"/>
                  </w14:solidFill>
                </w14:textFill>
              </w:rPr>
              <w:t>《大气污染物综合排放标准》（GB16297-1996）表2厂界无组织排放监控浓度限值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46" w:hRule="atLeast"/>
        </w:trPr>
        <w:tc>
          <w:tcPr>
            <w:tcW w:w="291" w:type="pct"/>
            <w:vMerge w:val="continue"/>
            <w:tcBorders>
              <w:tl2br w:val="nil"/>
              <w:tr2bl w:val="nil"/>
            </w:tcBorders>
            <w:vAlign w:val="center"/>
          </w:tcPr>
          <w:p>
            <w:pPr>
              <w:jc w:val="center"/>
              <w:rPr>
                <w:rFonts w:hint="eastAsia" w:ascii="宋体" w:hAnsi="宋体" w:eastAsia="宋体" w:cs="宋体"/>
                <w:b w:val="0"/>
                <w:bCs/>
                <w:color w:val="000000" w:themeColor="text1"/>
                <w:szCs w:val="21"/>
                <w:lang w:eastAsia="zh-CN"/>
                <w14:textFill>
                  <w14:solidFill>
                    <w14:schemeClr w14:val="tx1"/>
                  </w14:solidFill>
                </w14:textFill>
              </w:rPr>
            </w:pPr>
          </w:p>
        </w:tc>
        <w:tc>
          <w:tcPr>
            <w:tcW w:w="1043" w:type="pct"/>
            <w:gridSpan w:val="2"/>
            <w:vMerge w:val="continue"/>
            <w:tcBorders>
              <w:tl2br w:val="nil"/>
              <w:tr2bl w:val="nil"/>
            </w:tcBorders>
            <w:vAlign w:val="center"/>
          </w:tcPr>
          <w:p>
            <w:pPr>
              <w:jc w:val="center"/>
              <w:rPr>
                <w:rFonts w:hint="eastAsia" w:cs="Times New Roman"/>
                <w:b w:val="0"/>
                <w:bCs/>
                <w:color w:val="000000" w:themeColor="text1"/>
                <w:lang w:val="en-US" w:eastAsia="zh-CN"/>
                <w14:textFill>
                  <w14:solidFill>
                    <w14:schemeClr w14:val="tx1"/>
                  </w14:solidFill>
                </w14:textFill>
              </w:rPr>
            </w:pPr>
          </w:p>
        </w:tc>
        <w:tc>
          <w:tcPr>
            <w:tcW w:w="979" w:type="pct"/>
            <w:tcBorders>
              <w:tl2br w:val="nil"/>
              <w:tr2bl w:val="nil"/>
            </w:tcBorders>
            <w:vAlign w:val="center"/>
          </w:tcPr>
          <w:p>
            <w:pPr>
              <w:jc w:val="center"/>
              <w:rPr>
                <w:rFonts w:hint="eastAsia"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非甲烷总烃</w:t>
            </w:r>
          </w:p>
        </w:tc>
        <w:tc>
          <w:tcPr>
            <w:tcW w:w="1259" w:type="pct"/>
            <w:vMerge w:val="continue"/>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p>
        </w:tc>
        <w:tc>
          <w:tcPr>
            <w:tcW w:w="1427" w:type="pct"/>
            <w:tcBorders>
              <w:tl2br w:val="nil"/>
              <w:tr2bl w:val="nil"/>
            </w:tcBorders>
            <w:vAlign w:val="center"/>
          </w:tcPr>
          <w:p>
            <w:pPr>
              <w:jc w:val="center"/>
              <w:rPr>
                <w:rFonts w:hint="eastAsia" w:ascii="Times New Roman" w:hAnsi="Times New Roman"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lang w:val="en-US" w:eastAsia="zh-CN"/>
                <w14:textFill>
                  <w14:solidFill>
                    <w14:schemeClr w14:val="tx1"/>
                  </w14:solidFill>
                </w14:textFill>
              </w:rPr>
              <w:t>《合成树脂工业污染物排放标准》（GB31572-2015，含2024 年修改单）表9无组织排放限值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98" w:hRule="atLeast"/>
        </w:trPr>
        <w:tc>
          <w:tcPr>
            <w:tcW w:w="291" w:type="pct"/>
            <w:tcBorders>
              <w:tl2br w:val="nil"/>
              <w:tr2bl w:val="nil"/>
            </w:tcBorders>
            <w:vAlign w:val="center"/>
          </w:tcPr>
          <w:p>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地表水环境</w:t>
            </w:r>
          </w:p>
        </w:tc>
        <w:tc>
          <w:tcPr>
            <w:tcW w:w="1043" w:type="pct"/>
            <w:gridSpan w:val="2"/>
            <w:tcBorders>
              <w:tl2br w:val="nil"/>
              <w:tr2bl w:val="nil"/>
            </w:tcBorders>
            <w:vAlign w:val="center"/>
          </w:tcPr>
          <w:p>
            <w:pPr>
              <w:jc w:val="center"/>
              <w:rPr>
                <w:rFonts w:hint="eastAsia" w:eastAsia="宋体" w:cs="Times New Roman"/>
                <w:b w:val="0"/>
                <w:bCs/>
                <w:color w:val="000000" w:themeColor="text1"/>
                <w:lang w:val="en-US" w:eastAsia="zh-CN"/>
                <w14:textFill>
                  <w14:solidFill>
                    <w14:schemeClr w14:val="tx1"/>
                  </w14:solidFill>
                </w14:textFill>
              </w:rPr>
            </w:pPr>
            <w:r>
              <w:rPr>
                <w:rFonts w:hint="eastAsia" w:eastAsia="宋体" w:cs="Times New Roman"/>
                <w:b w:val="0"/>
                <w:bCs/>
                <w:color w:val="000000" w:themeColor="text1"/>
                <w:lang w:val="en-US" w:eastAsia="zh-CN"/>
                <w14:textFill>
                  <w14:solidFill>
                    <w14:schemeClr w14:val="tx1"/>
                  </w14:solidFill>
                </w14:textFill>
              </w:rPr>
              <w:t>生活污水</w:t>
            </w:r>
          </w:p>
        </w:tc>
        <w:tc>
          <w:tcPr>
            <w:tcW w:w="979" w:type="pct"/>
            <w:tcBorders>
              <w:tl2br w:val="nil"/>
              <w:tr2bl w:val="nil"/>
            </w:tcBorders>
            <w:vAlign w:val="center"/>
          </w:tcPr>
          <w:p>
            <w:pPr>
              <w:keepNext w:val="0"/>
              <w:keepLines w:val="0"/>
              <w:widowControl/>
              <w:suppressLineNumbers w:val="0"/>
              <w:jc w:val="center"/>
              <w:rPr>
                <w:rFonts w:hint="default"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p</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H</w:t>
            </w:r>
            <w:r>
              <w:rPr>
                <w:rFonts w:hint="eastAsia" w:ascii="宋体" w:hAnsi="宋体" w:eastAsia="宋体" w:cs="宋体"/>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COD</w:t>
            </w:r>
            <w:r>
              <w:rPr>
                <w:rFonts w:hint="default" w:ascii="Times New Roman" w:hAnsi="Times New Roman" w:eastAsia="宋体" w:cs="Times New Roman"/>
                <w:b w:val="0"/>
                <w:bCs/>
                <w:color w:val="000000" w:themeColor="text1"/>
                <w:kern w:val="0"/>
                <w:sz w:val="24"/>
                <w:szCs w:val="24"/>
                <w:vertAlign w:val="subscript"/>
                <w:lang w:val="en-US" w:eastAsia="zh-CN" w:bidi="ar"/>
                <w14:textFill>
                  <w14:solidFill>
                    <w14:schemeClr w14:val="tx1"/>
                  </w14:solidFill>
                </w14:textFill>
              </w:rPr>
              <w:t>Cr</w:t>
            </w:r>
            <w:r>
              <w:rPr>
                <w:rFonts w:hint="eastAsia" w:ascii="宋体" w:hAnsi="宋体" w:eastAsia="宋体" w:cs="宋体"/>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BOD</w:t>
            </w:r>
            <w:r>
              <w:rPr>
                <w:rFonts w:hint="default" w:ascii="Times New Roman" w:hAnsi="Times New Roman" w:eastAsia="宋体" w:cs="Times New Roman"/>
                <w:b w:val="0"/>
                <w:bCs/>
                <w:color w:val="000000" w:themeColor="text1"/>
                <w:kern w:val="0"/>
                <w:sz w:val="24"/>
                <w:szCs w:val="24"/>
                <w:vertAlign w:val="subscript"/>
                <w:lang w:val="en-US" w:eastAsia="zh-CN" w:bidi="ar"/>
                <w14:textFill>
                  <w14:solidFill>
                    <w14:schemeClr w14:val="tx1"/>
                  </w14:solidFill>
                </w14:textFill>
              </w:rPr>
              <w:t>5</w:t>
            </w:r>
            <w:r>
              <w:rPr>
                <w:rFonts w:hint="eastAsia" w:ascii="宋体" w:hAnsi="宋体" w:eastAsia="宋体" w:cs="宋体"/>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SS</w:t>
            </w:r>
            <w:r>
              <w:rPr>
                <w:rFonts w:hint="eastAsia" w:ascii="宋体" w:hAnsi="宋体" w:eastAsia="宋体" w:cs="宋体"/>
                <w:b w:val="0"/>
                <w:bCs/>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NH</w:t>
            </w:r>
            <w:r>
              <w:rPr>
                <w:rFonts w:hint="default" w:ascii="Times New Roman" w:hAnsi="Times New Roman" w:eastAsia="宋体" w:cs="Times New Roman"/>
                <w:b w:val="0"/>
                <w:bCs/>
                <w:color w:val="000000" w:themeColor="text1"/>
                <w:kern w:val="0"/>
                <w:sz w:val="24"/>
                <w:szCs w:val="24"/>
                <w:vertAlign w:val="subscript"/>
                <w:lang w:val="en-US" w:eastAsia="zh-CN" w:bidi="ar"/>
                <w14:textFill>
                  <w14:solidFill>
                    <w14:schemeClr w14:val="tx1"/>
                  </w14:solidFill>
                </w14:textFill>
              </w:rPr>
              <w:t>3</w:t>
            </w:r>
            <w:r>
              <w:rPr>
                <w:rFonts w:hint="default" w:ascii="Times New Roman" w:hAnsi="Times New Roman" w:eastAsia="宋体" w:cs="Times New Roman"/>
                <w:b w:val="0"/>
                <w:bCs/>
                <w:color w:val="000000" w:themeColor="text1"/>
                <w:kern w:val="0"/>
                <w:sz w:val="24"/>
                <w:szCs w:val="24"/>
                <w:lang w:val="en-US" w:eastAsia="zh-CN" w:bidi="ar"/>
                <w14:textFill>
                  <w14:solidFill>
                    <w14:schemeClr w14:val="tx1"/>
                  </w14:solidFill>
                </w14:textFill>
              </w:rPr>
              <w:t>-N</w:t>
            </w:r>
            <w:r>
              <w:rPr>
                <w:rFonts w:hint="eastAsia" w:ascii="宋体" w:hAnsi="宋体" w:eastAsia="宋体" w:cs="宋体"/>
                <w:b w:val="0"/>
                <w:bCs/>
                <w:color w:val="000000" w:themeColor="text1"/>
                <w:kern w:val="0"/>
                <w:sz w:val="24"/>
                <w:szCs w:val="24"/>
                <w:lang w:val="en-US" w:eastAsia="zh-CN" w:bidi="ar"/>
                <w14:textFill>
                  <w14:solidFill>
                    <w14:schemeClr w14:val="tx1"/>
                  </w14:solidFill>
                </w14:textFill>
              </w:rPr>
              <w:t>、动植物油</w:t>
            </w:r>
          </w:p>
        </w:tc>
        <w:tc>
          <w:tcPr>
            <w:tcW w:w="1259" w:type="pct"/>
            <w:tcBorders>
              <w:tl2br w:val="nil"/>
              <w:tr2bl w:val="nil"/>
            </w:tcBorders>
            <w:vAlign w:val="center"/>
          </w:tcPr>
          <w:p>
            <w:pPr>
              <w:keepNext w:val="0"/>
              <w:keepLines w:val="0"/>
              <w:widowControl/>
              <w:suppressLineNumbers w:val="0"/>
              <w:jc w:val="left"/>
              <w:rPr>
                <w:rFonts w:hint="default" w:eastAsia="宋体" w:cs="Times New Roman"/>
                <w:b w:val="0"/>
                <w:bCs/>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lang w:val="en-US" w:eastAsia="zh-CN"/>
                <w14:textFill>
                  <w14:solidFill>
                    <w14:schemeClr w14:val="tx1"/>
                  </w14:solidFill>
                </w14:textFill>
              </w:rPr>
              <w:t>生活污水排入园区污水管网，生产废水</w:t>
            </w:r>
            <w:r>
              <w:rPr>
                <w:rFonts w:hint="eastAsia" w:cs="Times New Roman"/>
                <w:b w:val="0"/>
                <w:bCs/>
                <w:color w:val="000000" w:themeColor="text1"/>
                <w:lang w:val="en-US" w:eastAsia="zh-CN"/>
                <w14:textFill>
                  <w14:solidFill>
                    <w14:schemeClr w14:val="tx1"/>
                  </w14:solidFill>
                </w14:textFill>
              </w:rPr>
              <w:t>循环使用不外排</w:t>
            </w:r>
          </w:p>
        </w:tc>
        <w:tc>
          <w:tcPr>
            <w:tcW w:w="1427" w:type="pct"/>
            <w:tcBorders>
              <w:tl2br w:val="nil"/>
              <w:tr2bl w:val="nil"/>
            </w:tcBorders>
            <w:vAlign w:val="center"/>
          </w:tcPr>
          <w:p>
            <w:pPr>
              <w:jc w:val="center"/>
              <w:rPr>
                <w:rFonts w:hint="eastAsia" w:eastAsia="宋体"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75" w:hRule="atLeast"/>
        </w:trPr>
        <w:tc>
          <w:tcPr>
            <w:tcW w:w="291" w:type="pct"/>
            <w:tcBorders>
              <w:tl2br w:val="nil"/>
              <w:tr2bl w:val="nil"/>
            </w:tcBorders>
            <w:vAlign w:val="center"/>
          </w:tcPr>
          <w:p>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声环境</w:t>
            </w:r>
          </w:p>
        </w:tc>
        <w:tc>
          <w:tcPr>
            <w:tcW w:w="1043" w:type="pct"/>
            <w:gridSpan w:val="2"/>
            <w:tcBorders>
              <w:tl2br w:val="nil"/>
              <w:tr2bl w:val="nil"/>
            </w:tcBorders>
            <w:vAlign w:val="center"/>
          </w:tcPr>
          <w:p>
            <w:pPr>
              <w:jc w:val="center"/>
              <w:rPr>
                <w:rFonts w:hint="default" w:eastAsia="宋体" w:cs="Times New Roman"/>
                <w:b w:val="0"/>
                <w:bCs/>
                <w:color w:val="000000" w:themeColor="text1"/>
                <w:lang w:val="en-US" w:eastAsia="zh-CN"/>
                <w14:textFill>
                  <w14:solidFill>
                    <w14:schemeClr w14:val="tx1"/>
                  </w14:solidFill>
                </w14:textFill>
              </w:rPr>
            </w:pPr>
            <w:r>
              <w:rPr>
                <w:rFonts w:hint="default" w:ascii="Times New Roman" w:hAnsi="Times New Roman" w:eastAsia="宋体" w:cs="Times New Roman"/>
                <w:b w:val="0"/>
                <w:bCs/>
                <w:color w:val="000000" w:themeColor="text1"/>
                <w14:textFill>
                  <w14:solidFill>
                    <w14:schemeClr w14:val="tx1"/>
                  </w14:solidFill>
                </w14:textFill>
              </w:rPr>
              <w:t>生产设备</w:t>
            </w:r>
          </w:p>
        </w:tc>
        <w:tc>
          <w:tcPr>
            <w:tcW w:w="979" w:type="pct"/>
            <w:tcBorders>
              <w:tl2br w:val="nil"/>
              <w:tr2bl w:val="nil"/>
            </w:tcBorders>
            <w:vAlign w:val="center"/>
          </w:tcPr>
          <w:p>
            <w:pPr>
              <w:jc w:val="center"/>
              <w:rPr>
                <w:rFonts w:cs="Times New Roman"/>
                <w:b w:val="0"/>
                <w:bCs/>
                <w:color w:val="000000" w:themeColor="text1"/>
                <w14:textFill>
                  <w14:solidFill>
                    <w14:schemeClr w14:val="tx1"/>
                  </w14:solidFill>
                </w14:textFill>
              </w:rPr>
            </w:pPr>
            <w:r>
              <w:rPr>
                <w:rFonts w:hint="default" w:ascii="Times New Roman" w:hAnsi="Times New Roman" w:eastAsia="宋体" w:cs="Times New Roman"/>
                <w:b w:val="0"/>
                <w:bCs/>
                <w:color w:val="000000" w:themeColor="text1"/>
                <w14:textFill>
                  <w14:solidFill>
                    <w14:schemeClr w14:val="tx1"/>
                  </w14:solidFill>
                </w14:textFill>
              </w:rPr>
              <w:t>等效声级</w:t>
            </w:r>
          </w:p>
        </w:tc>
        <w:tc>
          <w:tcPr>
            <w:tcW w:w="1259" w:type="pct"/>
            <w:tcBorders>
              <w:tl2br w:val="nil"/>
              <w:tr2bl w:val="nil"/>
            </w:tcBorders>
            <w:vAlign w:val="center"/>
          </w:tcPr>
          <w:p>
            <w:pPr>
              <w:jc w:val="center"/>
              <w:rPr>
                <w:rFonts w:cs="Times New Roman"/>
                <w:b w:val="0"/>
                <w:bCs/>
                <w:color w:val="000000" w:themeColor="text1"/>
                <w14:textFill>
                  <w14:solidFill>
                    <w14:schemeClr w14:val="tx1"/>
                  </w14:solidFill>
                </w14:textFill>
              </w:rPr>
            </w:pPr>
            <w:r>
              <w:rPr>
                <w:rFonts w:hint="default" w:ascii="Times New Roman" w:hAnsi="Times New Roman" w:eastAsia="宋体" w:cs="Times New Roman"/>
                <w:b w:val="0"/>
                <w:bCs/>
                <w:color w:val="000000" w:themeColor="text1"/>
                <w14:textFill>
                  <w14:solidFill>
                    <w14:schemeClr w14:val="tx1"/>
                  </w14:solidFill>
                </w14:textFill>
              </w:rPr>
              <w:t>车间密闭、隔声</w:t>
            </w:r>
            <w:r>
              <w:rPr>
                <w:rFonts w:hint="default" w:ascii="Times New Roman" w:hAnsi="Times New Roman" w:eastAsia="宋体" w:cs="Times New Roman"/>
                <w:b w:val="0"/>
                <w:bCs/>
                <w:color w:val="000000" w:themeColor="text1"/>
                <w:lang w:val="en-US" w:eastAsia="zh-CN"/>
                <w14:textFill>
                  <w14:solidFill>
                    <w14:schemeClr w14:val="tx1"/>
                  </w14:solidFill>
                </w14:textFill>
              </w:rPr>
              <w:t>减振</w:t>
            </w:r>
          </w:p>
        </w:tc>
        <w:tc>
          <w:tcPr>
            <w:tcW w:w="1427" w:type="pct"/>
            <w:tcBorders>
              <w:tl2br w:val="nil"/>
              <w:tr2bl w:val="nil"/>
            </w:tcBorders>
            <w:vAlign w:val="center"/>
          </w:tcPr>
          <w:p>
            <w:pPr>
              <w:jc w:val="center"/>
              <w:rPr>
                <w:rFonts w:cs="Times New Roman"/>
                <w:b w:val="0"/>
                <w:bCs/>
                <w:color w:val="000000" w:themeColor="text1"/>
                <w14:textFill>
                  <w14:solidFill>
                    <w14:schemeClr w14:val="tx1"/>
                  </w14:solidFill>
                </w14:textFill>
              </w:rPr>
            </w:pPr>
            <w:r>
              <w:rPr>
                <w:rFonts w:hint="default" w:ascii="Times New Roman" w:hAnsi="Times New Roman" w:eastAsia="宋体" w:cs="Times New Roman"/>
                <w:b w:val="0"/>
                <w:bCs/>
                <w:color w:val="000000" w:themeColor="text1"/>
                <w14:textFill>
                  <w14:solidFill>
                    <w14:schemeClr w14:val="tx1"/>
                  </w14:solidFill>
                </w14:textFill>
              </w:rPr>
              <w:t>《工业企业厂界环境噪声排放标准》（GB12348-2008）</w:t>
            </w:r>
            <w:r>
              <w:rPr>
                <w:rFonts w:hint="eastAsia" w:cs="Times New Roman"/>
                <w:b w:val="0"/>
                <w:bCs/>
                <w:color w:val="000000" w:themeColor="text1"/>
                <w:lang w:val="en-US" w:eastAsia="zh-CN"/>
                <w14:textFill>
                  <w14:solidFill>
                    <w14:schemeClr w14:val="tx1"/>
                  </w14:solidFill>
                </w14:textFill>
              </w:rPr>
              <w:t>3</w:t>
            </w:r>
            <w:r>
              <w:rPr>
                <w:rFonts w:hint="default" w:ascii="Times New Roman" w:hAnsi="Times New Roman" w:eastAsia="宋体" w:cs="Times New Roman"/>
                <w:b w:val="0"/>
                <w:bCs/>
                <w:color w:val="000000" w:themeColor="text1"/>
                <w14:textFill>
                  <w14:solidFill>
                    <w14:schemeClr w14:val="tx1"/>
                  </w14:solidFill>
                </w14:textFill>
              </w:rPr>
              <w:t>类标准（昼间≤6</w:t>
            </w:r>
            <w:r>
              <w:rPr>
                <w:rFonts w:hint="eastAsia" w:cs="Times New Roman"/>
                <w:b w:val="0"/>
                <w:bCs/>
                <w:color w:val="000000" w:themeColor="text1"/>
                <w:lang w:val="en-US" w:eastAsia="zh-CN"/>
                <w14:textFill>
                  <w14:solidFill>
                    <w14:schemeClr w14:val="tx1"/>
                  </w14:solidFill>
                </w14:textFill>
              </w:rPr>
              <w:t>5</w:t>
            </w:r>
            <w:r>
              <w:rPr>
                <w:rFonts w:hint="default" w:ascii="Times New Roman" w:hAnsi="Times New Roman" w:eastAsia="宋体" w:cs="Times New Roman"/>
                <w:b w:val="0"/>
                <w:bCs/>
                <w:color w:val="000000" w:themeColor="text1"/>
                <w14:textFill>
                  <w14:solidFill>
                    <w14:schemeClr w14:val="tx1"/>
                  </w14:solidFill>
                </w14:textFill>
              </w:rPr>
              <w:t>dB（A），夜间≤5</w:t>
            </w:r>
            <w:r>
              <w:rPr>
                <w:rFonts w:hint="eastAsia" w:cs="Times New Roman"/>
                <w:b w:val="0"/>
                <w:bCs/>
                <w:color w:val="000000" w:themeColor="text1"/>
                <w:lang w:val="en-US" w:eastAsia="zh-CN"/>
                <w14:textFill>
                  <w14:solidFill>
                    <w14:schemeClr w14:val="tx1"/>
                  </w14:solidFill>
                </w14:textFill>
              </w:rPr>
              <w:t>5</w:t>
            </w:r>
            <w:r>
              <w:rPr>
                <w:rFonts w:hint="default" w:ascii="Times New Roman" w:hAnsi="Times New Roman" w:eastAsia="宋体" w:cs="Times New Roman"/>
                <w:b w:val="0"/>
                <w:bCs/>
                <w:color w:val="000000" w:themeColor="text1"/>
                <w14:textFill>
                  <w14:solidFill>
                    <w14:schemeClr w14:val="tx1"/>
                  </w14:solidFill>
                </w14:textFill>
              </w:rPr>
              <w:t>dB（A））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52" w:hRule="atLeast"/>
        </w:trPr>
        <w:tc>
          <w:tcPr>
            <w:tcW w:w="291" w:type="pct"/>
            <w:tcBorders>
              <w:tl2br w:val="nil"/>
              <w:tr2bl w:val="nil"/>
            </w:tcBorders>
            <w:vAlign w:val="center"/>
          </w:tcPr>
          <w:p>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电磁辐射</w:t>
            </w:r>
          </w:p>
        </w:tc>
        <w:tc>
          <w:tcPr>
            <w:tcW w:w="4708" w:type="pct"/>
            <w:gridSpan w:val="5"/>
            <w:tcBorders>
              <w:tl2br w:val="nil"/>
              <w:tr2bl w:val="nil"/>
            </w:tcBorders>
            <w:vAlign w:val="center"/>
          </w:tcPr>
          <w:p>
            <w:pPr>
              <w:jc w:val="center"/>
              <w:rPr>
                <w:rFonts w:cs="Times New Roman"/>
                <w:b w:val="0"/>
                <w:bCs/>
                <w:color w:val="000000" w:themeColor="text1"/>
                <w14:textFill>
                  <w14:solidFill>
                    <w14:schemeClr w14:val="tx1"/>
                  </w14:solidFill>
                </w14:textFill>
              </w:rPr>
            </w:pPr>
            <w:r>
              <w:rPr>
                <w:rFonts w:hint="default" w:ascii="Times New Roman" w:hAnsi="Times New Roman" w:cs="Times New Roman"/>
                <w:b w:val="0"/>
                <w:bCs/>
                <w:color w:val="000000" w:themeColor="text1"/>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3" w:hRule="atLeast"/>
        </w:trPr>
        <w:tc>
          <w:tcPr>
            <w:tcW w:w="291" w:type="pct"/>
            <w:vMerge w:val="restart"/>
            <w:tcBorders>
              <w:tl2br w:val="nil"/>
              <w:tr2bl w:val="nil"/>
            </w:tcBorders>
            <w:vAlign w:val="center"/>
          </w:tcPr>
          <w:p>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固体废物</w:t>
            </w:r>
          </w:p>
        </w:tc>
        <w:tc>
          <w:tcPr>
            <w:tcW w:w="784" w:type="pct"/>
            <w:tcBorders>
              <w:tl2br w:val="nil"/>
              <w:tr2bl w:val="nil"/>
            </w:tcBorders>
            <w:shd w:val="clear" w:color="auto" w:fill="auto"/>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cs="Times New Roman"/>
                <w:b w:val="0"/>
                <w:bCs/>
                <w:color w:val="000000" w:themeColor="text1"/>
                <w:kern w:val="2"/>
                <w:sz w:val="24"/>
                <w:szCs w:val="24"/>
                <w:lang w:val="en-US" w:eastAsia="zh-CN" w:bidi="ar-SA"/>
                <w14:textFill>
                  <w14:solidFill>
                    <w14:schemeClr w14:val="tx1"/>
                  </w14:solidFill>
                </w14:textFill>
              </w:rPr>
              <w:t>生活垃圾</w:t>
            </w:r>
          </w:p>
        </w:tc>
        <w:tc>
          <w:tcPr>
            <w:tcW w:w="2497" w:type="pct"/>
            <w:gridSpan w:val="3"/>
            <w:tcBorders>
              <w:tl2br w:val="nil"/>
              <w:tr2bl w:val="nil"/>
            </w:tcBorders>
            <w:shd w:val="clear" w:color="auto" w:fill="auto"/>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cs="Times New Roman"/>
                <w:b w:val="0"/>
                <w:bCs/>
                <w:color w:val="000000" w:themeColor="text1"/>
                <w:kern w:val="2"/>
                <w:sz w:val="24"/>
                <w:szCs w:val="24"/>
                <w:lang w:val="en-US" w:eastAsia="zh-CN" w:bidi="ar-SA"/>
                <w14:textFill>
                  <w14:solidFill>
                    <w14:schemeClr w14:val="tx1"/>
                  </w14:solidFill>
                </w14:textFill>
              </w:rPr>
              <w:t>生活垃圾集中收集后由环卫部门定期清运</w:t>
            </w:r>
          </w:p>
        </w:tc>
        <w:tc>
          <w:tcPr>
            <w:tcW w:w="1427" w:type="pct"/>
            <w:tcBorders>
              <w:tl2br w:val="nil"/>
              <w:tr2bl w:val="nil"/>
            </w:tcBorders>
            <w:shd w:val="clear" w:color="auto" w:fill="auto"/>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cs="Times New Roman"/>
                <w:b w:val="0"/>
                <w:bCs/>
                <w:color w:val="000000" w:themeColor="text1"/>
                <w:kern w:val="2"/>
                <w:sz w:val="24"/>
                <w:szCs w:val="24"/>
                <w:lang w:val="en-US" w:eastAsia="zh-CN" w:bidi="ar-SA"/>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3" w:hRule="atLeast"/>
        </w:trPr>
        <w:tc>
          <w:tcPr>
            <w:tcW w:w="291" w:type="pct"/>
            <w:vMerge w:val="continue"/>
            <w:tcBorders>
              <w:tl2br w:val="nil"/>
              <w:tr2bl w:val="nil"/>
            </w:tcBorders>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color w:val="000000" w:themeColor="text1"/>
                <w14:textFill>
                  <w14:solidFill>
                    <w14:schemeClr w14:val="tx1"/>
                  </w14:solidFill>
                </w14:textFill>
              </w:rPr>
            </w:pPr>
          </w:p>
        </w:tc>
        <w:tc>
          <w:tcPr>
            <w:tcW w:w="784" w:type="pct"/>
            <w:tcBorders>
              <w:tl2br w:val="nil"/>
              <w:tr2bl w:val="nil"/>
            </w:tcBorders>
            <w:shd w:val="clear" w:color="auto" w:fill="auto"/>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cs="Times New Roman"/>
                <w:b w:val="0"/>
                <w:bCs/>
                <w:color w:val="000000" w:themeColor="text1"/>
                <w:kern w:val="2"/>
                <w:sz w:val="24"/>
                <w:szCs w:val="24"/>
                <w:lang w:val="en-US" w:eastAsia="zh-CN" w:bidi="ar-SA"/>
                <w14:textFill>
                  <w14:solidFill>
                    <w14:schemeClr w14:val="tx1"/>
                  </w14:solidFill>
                </w14:textFill>
              </w:rPr>
              <w:t>一般工业固体废物</w:t>
            </w:r>
          </w:p>
        </w:tc>
        <w:tc>
          <w:tcPr>
            <w:tcW w:w="2497" w:type="pct"/>
            <w:gridSpan w:val="3"/>
            <w:tcBorders>
              <w:tl2br w:val="nil"/>
              <w:tr2bl w:val="nil"/>
            </w:tcBorders>
            <w:shd w:val="clear" w:color="auto" w:fill="auto"/>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废铝杆、边角料、挤塑废料、不合格产品回用于生产；废金属线（头）、废包装材料收集后集中外售</w:t>
            </w:r>
          </w:p>
        </w:tc>
        <w:tc>
          <w:tcPr>
            <w:tcW w:w="1427" w:type="pct"/>
            <w:tcBorders>
              <w:tl2br w:val="nil"/>
              <w:tr2bl w:val="nil"/>
            </w:tcBorders>
            <w:shd w:val="clear" w:color="auto" w:fill="auto"/>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《一般工业固体废物贮存和填埋污染控制标准》（GB18599-2020）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3" w:hRule="atLeast"/>
        </w:trPr>
        <w:tc>
          <w:tcPr>
            <w:tcW w:w="291" w:type="pct"/>
            <w:vMerge w:val="continue"/>
            <w:tcBorders>
              <w:tl2br w:val="nil"/>
              <w:tr2bl w:val="nil"/>
            </w:tcBorders>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p>
        </w:tc>
        <w:tc>
          <w:tcPr>
            <w:tcW w:w="784" w:type="pct"/>
            <w:tcBorders>
              <w:tl2br w:val="nil"/>
              <w:tr2bl w:val="nil"/>
            </w:tcBorders>
            <w:shd w:val="clear" w:color="auto" w:fill="auto"/>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危险废物</w:t>
            </w:r>
          </w:p>
        </w:tc>
        <w:tc>
          <w:tcPr>
            <w:tcW w:w="2497" w:type="pct"/>
            <w:gridSpan w:val="3"/>
            <w:tcBorders>
              <w:tl2br w:val="nil"/>
              <w:tr2bl w:val="nil"/>
            </w:tcBorders>
            <w:shd w:val="clear" w:color="auto" w:fill="auto"/>
            <w:vAlign w:val="center"/>
          </w:tcPr>
          <w:p>
            <w:pPr>
              <w:pStyle w:val="51"/>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eastAsia" w:cs="Times New Roman"/>
                <w:b w:val="0"/>
                <w:bCs/>
                <w:color w:val="000000" w:themeColor="text1"/>
                <w:kern w:val="2"/>
                <w:sz w:val="24"/>
                <w:szCs w:val="24"/>
                <w:lang w:val="en-US" w:eastAsia="zh-CN" w:bidi="ar-SA"/>
                <w14:textFill>
                  <w14:solidFill>
                    <w14:schemeClr w14:val="tx1"/>
                  </w14:solidFill>
                </w14:textFill>
              </w:rPr>
              <w:t>铝灰渣、除尘器收尘灰、废除尘袋、废乳化液、废活性炭、废催化剂、废过滤网、废润滑油、废润滑油桶、废洗涤液、废洗涤液桶收集后暂存于危险废物贮存库，委托有资质单位处置；废弃的含油抹布、劳保用品集中收集后由环卫部门定期清运</w:t>
            </w:r>
          </w:p>
        </w:tc>
        <w:tc>
          <w:tcPr>
            <w:tcW w:w="1427" w:type="pct"/>
            <w:tcBorders>
              <w:tl2br w:val="nil"/>
              <w:tr2bl w:val="nil"/>
            </w:tcBorders>
            <w:shd w:val="clear" w:color="auto" w:fill="auto"/>
            <w:vAlign w:val="center"/>
          </w:tcPr>
          <w:p>
            <w:pPr>
              <w:pStyle w:val="51"/>
              <w:keepNext w:val="0"/>
              <w:keepLines w:val="0"/>
              <w:pageBreakBefore w:val="0"/>
              <w:widowControl w:val="0"/>
              <w:kinsoku/>
              <w:wordWrap/>
              <w:overflowPunct/>
              <w:topLinePunct w:val="0"/>
              <w:autoSpaceDE/>
              <w:autoSpaceDN/>
              <w:bidi w:val="0"/>
              <w:spacing w:line="360" w:lineRule="auto"/>
              <w:jc w:val="both"/>
              <w:textAlignment w:val="auto"/>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《危险废物贮存污染控制标准》</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GB18597-2023</w:t>
            </w:r>
            <w:r>
              <w:rPr>
                <w:rFonts w:hint="eastAsia" w:ascii="Times New Roman" w:hAnsi="Times New Roman" w:eastAsia="宋体" w:cs="Times New Roman"/>
                <w:b w:val="0"/>
                <w:bCs/>
                <w:color w:val="000000" w:themeColor="text1"/>
                <w:kern w:val="2"/>
                <w:sz w:val="24"/>
                <w:szCs w:val="24"/>
                <w:lang w:val="en-US" w:eastAsia="zh-CN" w:bidi="ar-SA"/>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91" w:type="pct"/>
            <w:tcBorders>
              <w:tl2br w:val="nil"/>
              <w:tr2bl w:val="nil"/>
            </w:tcBorders>
            <w:vAlign w:val="center"/>
          </w:tcPr>
          <w:p>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土壤及地下水污染防治措施</w:t>
            </w:r>
          </w:p>
        </w:tc>
        <w:tc>
          <w:tcPr>
            <w:tcW w:w="4708" w:type="pct"/>
            <w:gridSpan w:val="5"/>
            <w:tcBorders>
              <w:tl2br w:val="nil"/>
              <w:tr2bl w:val="nil"/>
            </w:tcBorders>
            <w:vAlign w:val="center"/>
          </w:tcPr>
          <w:p>
            <w:pPr>
              <w:pStyle w:val="27"/>
              <w:ind w:firstLine="480"/>
              <w:jc w:val="both"/>
              <w:rPr>
                <w:rFonts w:ascii="宋体" w:hAnsi="宋体" w:cs="宋体"/>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危险废物贮存库按照《危险废物贮存污染控制标准》（</w:t>
            </w:r>
            <w:r>
              <w:rPr>
                <w:rFonts w:hint="default" w:ascii="Times New Roman" w:hAnsi="Times New Roman" w:eastAsia="宋体" w:cs="Times New Roman"/>
                <w:color w:val="000000" w:themeColor="text1"/>
                <w:lang w:val="en-US" w:eastAsia="zh-CN"/>
                <w14:textFill>
                  <w14:solidFill>
                    <w14:schemeClr w14:val="tx1"/>
                  </w14:solidFill>
                </w14:textFill>
              </w:rPr>
              <w:t>GB1859</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eastAsia="宋体" w:cs="Times New Roman"/>
                <w:color w:val="000000" w:themeColor="text1"/>
                <w:lang w:val="en-US" w:eastAsia="zh-CN"/>
                <w14:textFill>
                  <w14:solidFill>
                    <w14:schemeClr w14:val="tx1"/>
                  </w14:solidFill>
                </w14:textFill>
              </w:rPr>
              <w:t>-2023</w:t>
            </w:r>
            <w:r>
              <w:rPr>
                <w:rFonts w:hint="eastAsia" w:ascii="Times New Roman" w:hAnsi="Times New Roman" w:eastAsia="宋体" w:cs="Times New Roman"/>
                <w:color w:val="000000" w:themeColor="text1"/>
                <w:lang w:val="en-US" w:eastAsia="zh-CN"/>
                <w14:textFill>
                  <w14:solidFill>
                    <w14:schemeClr w14:val="tx1"/>
                  </w14:solidFill>
                </w14:textFill>
              </w:rPr>
              <w:t>）落实防渗措施。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91" w:type="pct"/>
            <w:tcBorders>
              <w:tl2br w:val="nil"/>
              <w:tr2bl w:val="nil"/>
            </w:tcBorders>
            <w:vAlign w:val="center"/>
          </w:tcPr>
          <w:p>
            <w:pPr>
              <w:jc w:val="center"/>
              <w:rPr>
                <w:rFonts w:ascii="宋体" w:hAnsi="宋体" w:cs="宋体"/>
                <w:b w:val="0"/>
                <w:bCs/>
                <w:color w:val="000000" w:themeColor="text1"/>
                <w:sz w:val="21"/>
                <w:szCs w:val="21"/>
                <w14:textFill>
                  <w14:solidFill>
                    <w14:schemeClr w14:val="tx1"/>
                  </w14:solidFill>
                </w14:textFill>
              </w:rPr>
            </w:pPr>
            <w:r>
              <w:rPr>
                <w:rFonts w:hint="eastAsia" w:ascii="宋体" w:hAnsi="宋体" w:cs="宋体"/>
                <w:b w:val="0"/>
                <w:bCs/>
                <w:color w:val="000000" w:themeColor="text1"/>
                <w:szCs w:val="21"/>
                <w14:textFill>
                  <w14:solidFill>
                    <w14:schemeClr w14:val="tx1"/>
                  </w14:solidFill>
                </w14:textFill>
              </w:rPr>
              <w:t>生态保护措施</w:t>
            </w:r>
          </w:p>
        </w:tc>
        <w:tc>
          <w:tcPr>
            <w:tcW w:w="4708" w:type="pct"/>
            <w:gridSpan w:val="5"/>
            <w:tcBorders>
              <w:tl2br w:val="nil"/>
              <w:tr2bl w:val="nil"/>
            </w:tcBorders>
            <w:vAlign w:val="center"/>
          </w:tcPr>
          <w:p>
            <w:pPr>
              <w:jc w:val="center"/>
              <w:rPr>
                <w:rFonts w:ascii="宋体" w:hAnsi="宋体" w:cs="宋体"/>
                <w:color w:val="000000" w:themeColor="text1"/>
                <w14:textFill>
                  <w14:solidFill>
                    <w14:schemeClr w14:val="tx1"/>
                  </w14:solidFill>
                </w14:textFill>
              </w:rPr>
            </w:pP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91" w:type="pct"/>
            <w:tcBorders>
              <w:tl2br w:val="nil"/>
              <w:tr2bl w:val="nil"/>
            </w:tcBorders>
            <w:vAlign w:val="center"/>
          </w:tcPr>
          <w:p>
            <w:pPr>
              <w:jc w:val="center"/>
              <w:rPr>
                <w:rFonts w:ascii="宋体" w:hAnsi="宋体" w:cs="宋体"/>
                <w:b w:val="0"/>
                <w:bCs/>
                <w:color w:val="000000" w:themeColor="text1"/>
                <w:spacing w:val="-8"/>
                <w:sz w:val="21"/>
                <w:szCs w:val="21"/>
                <w14:textFill>
                  <w14:solidFill>
                    <w14:schemeClr w14:val="tx1"/>
                  </w14:solidFill>
                </w14:textFill>
              </w:rPr>
            </w:pPr>
            <w:r>
              <w:rPr>
                <w:rFonts w:hint="eastAsia" w:ascii="宋体" w:hAnsi="宋体" w:cs="宋体"/>
                <w:b w:val="0"/>
                <w:bCs/>
                <w:color w:val="000000" w:themeColor="text1"/>
                <w:spacing w:val="-8"/>
                <w:szCs w:val="21"/>
                <w14:textFill>
                  <w14:solidFill>
                    <w14:schemeClr w14:val="tx1"/>
                  </w14:solidFill>
                </w14:textFill>
              </w:rPr>
              <w:t>环境风险防范措施</w:t>
            </w:r>
          </w:p>
        </w:tc>
        <w:tc>
          <w:tcPr>
            <w:tcW w:w="4708" w:type="pct"/>
            <w:gridSpan w:val="5"/>
            <w:tcBorders>
              <w:tl2br w:val="nil"/>
              <w:tr2bl w:val="nil"/>
            </w:tcBorders>
            <w:vAlign w:val="center"/>
          </w:tcPr>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（1）建立完善的安全生产管理制度和消防安全规定，制定设备操作规程并严格遵照执行；</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（2）生产车间等应按照《建筑设计防火规范》等文件的要求设置消防给水和灭火设施、火灾探测及火灾报警系统。生产车间、库房配备灭火器、消防栓等消防器材；</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（3）在有较大危险因素的有关设施、设备上，如压力容器、变压器等处均应设置明显的安全警示标志；</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（4）生产区域应加强管理，避免和及时消除各种激发能源的产生和积累，杜绝火种及违章违纪现象，进入车辆必须装阻火器；</w:t>
            </w:r>
          </w:p>
          <w:p>
            <w:pPr>
              <w:pStyle w:val="27"/>
              <w:ind w:firstLine="480"/>
              <w:jc w:val="both"/>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（5）加强员工的思想、道德教育，提高员工的责任心和主观能动性；完善并严格遵守相关的操作规程，加强岗位培训，落实岗位责任制，加强设备管理；</w:t>
            </w:r>
          </w:p>
          <w:p>
            <w:pPr>
              <w:pStyle w:val="27"/>
              <w:ind w:firstLine="480"/>
              <w:jc w:val="both"/>
              <w:rPr>
                <w:rFonts w:hint="eastAsia"/>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（6）加强事故管理，在生产过程中注意对其他单位相关事故的研究，充分吸取经验和教训。</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97" w:hRule="atLeast"/>
        </w:trPr>
        <w:tc>
          <w:tcPr>
            <w:tcW w:w="291" w:type="pct"/>
            <w:tcBorders>
              <w:tl2br w:val="nil"/>
              <w:tr2bl w:val="nil"/>
            </w:tcBorders>
            <w:vAlign w:val="center"/>
          </w:tcPr>
          <w:p>
            <w:pPr>
              <w:jc w:val="center"/>
              <w:rPr>
                <w:rFonts w:ascii="宋体" w:hAnsi="宋体" w:cs="宋体"/>
                <w:b w:val="0"/>
                <w:bCs/>
                <w:color w:val="000000" w:themeColor="text1"/>
                <w:spacing w:val="-8"/>
                <w:sz w:val="21"/>
                <w:szCs w:val="21"/>
                <w14:textFill>
                  <w14:solidFill>
                    <w14:schemeClr w14:val="tx1"/>
                  </w14:solidFill>
                </w14:textFill>
              </w:rPr>
            </w:pPr>
            <w:r>
              <w:rPr>
                <w:rFonts w:hint="eastAsia" w:ascii="宋体" w:hAnsi="宋体" w:cs="宋体"/>
                <w:b w:val="0"/>
                <w:bCs/>
                <w:color w:val="000000" w:themeColor="text1"/>
                <w:spacing w:val="-8"/>
                <w:szCs w:val="21"/>
                <w14:textFill>
                  <w14:solidFill>
                    <w14:schemeClr w14:val="tx1"/>
                  </w14:solidFill>
                </w14:textFill>
              </w:rPr>
              <w:t>其他环境管理要求</w:t>
            </w:r>
          </w:p>
        </w:tc>
        <w:tc>
          <w:tcPr>
            <w:tcW w:w="4708" w:type="pct"/>
            <w:gridSpan w:val="5"/>
            <w:tcBorders>
              <w:tl2br w:val="nil"/>
              <w:tr2bl w:val="nil"/>
            </w:tcBorders>
            <w:vAlign w:val="top"/>
          </w:tcPr>
          <w:p>
            <w:pPr>
              <w:pStyle w:val="8"/>
              <w:bidi w:val="0"/>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1 </w:t>
            </w:r>
            <w:r>
              <w:rPr>
                <w:rFonts w:hint="eastAsia"/>
                <w:b/>
                <w:bCs/>
                <w:color w:val="000000" w:themeColor="text1"/>
                <w:lang w:val="en-US" w:eastAsia="zh-CN"/>
                <w14:textFill>
                  <w14:solidFill>
                    <w14:schemeClr w14:val="tx1"/>
                  </w14:solidFill>
                </w14:textFill>
              </w:rPr>
              <w:t>污染物排放口管理要求</w:t>
            </w:r>
          </w:p>
          <w:p>
            <w:pPr>
              <w:pStyle w:val="8"/>
              <w:bidi w:val="0"/>
              <w:ind w:firstLine="480" w:firstLineChars="200"/>
              <w:jc w:val="both"/>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本项目应按照《环境保护图形标志一排放口（源）》（GB</w:t>
            </w:r>
            <w:r>
              <w:rPr>
                <w:rFonts w:hint="eastAsia" w:cstheme="minorBidi"/>
                <w:b w:val="0"/>
                <w:color w:val="000000" w:themeColor="text1"/>
                <w:kern w:val="2"/>
                <w:sz w:val="24"/>
                <w:szCs w:val="24"/>
                <w:lang w:val="en-US" w:eastAsia="zh-CN" w:bidi="ar-SA"/>
                <w14:textFill>
                  <w14:solidFill>
                    <w14:schemeClr w14:val="tx1"/>
                  </w14:solidFill>
                </w14:textFill>
              </w:rPr>
              <w:t xml:space="preserve"> </w:t>
            </w: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15562.1-1995）、《环境保护图形标志一固体废物贮存（处置）场》（GB</w:t>
            </w:r>
            <w:r>
              <w:rPr>
                <w:rFonts w:hint="eastAsia" w:cstheme="minorBidi"/>
                <w:b w:val="0"/>
                <w:color w:val="000000" w:themeColor="text1"/>
                <w:kern w:val="2"/>
                <w:sz w:val="24"/>
                <w:szCs w:val="24"/>
                <w:lang w:val="en-US" w:eastAsia="zh-CN" w:bidi="ar-SA"/>
                <w14:textFill>
                  <w14:solidFill>
                    <w14:schemeClr w14:val="tx1"/>
                  </w14:solidFill>
                </w14:textFill>
              </w:rPr>
              <w:t xml:space="preserve"> </w:t>
            </w: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15562.2-1995）修改单</w:t>
            </w:r>
            <w:r>
              <w:rPr>
                <w:rFonts w:hint="eastAsia" w:cstheme="minorBidi"/>
                <w:b w:val="0"/>
                <w:color w:val="000000" w:themeColor="text1"/>
                <w:kern w:val="2"/>
                <w:sz w:val="24"/>
                <w:szCs w:val="24"/>
                <w:lang w:val="en-US" w:eastAsia="zh-CN" w:bidi="ar-SA"/>
                <w14:textFill>
                  <w14:solidFill>
                    <w14:schemeClr w14:val="tx1"/>
                  </w14:solidFill>
                </w14:textFill>
              </w:rPr>
              <w:t>、《排污单位污染物排放口二维码标识技术规范》（HJ 1297—2023）、《危险废物识别标志设置技术规范》（HJ 1276-2022）</w:t>
            </w: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等标准要求，排污口应便于采样与计量检测，便于日常现场监督检查</w:t>
            </w:r>
            <w:r>
              <w:rPr>
                <w:rFonts w:hint="eastAsia" w:cstheme="minorBidi"/>
                <w:b w:val="0"/>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heme="minorBidi"/>
                <w:b w:val="0"/>
                <w:color w:val="000000" w:themeColor="text1"/>
                <w:kern w:val="2"/>
                <w:sz w:val="24"/>
                <w:szCs w:val="24"/>
                <w:lang w:val="en-US" w:eastAsia="zh-CN" w:bidi="ar-SA"/>
                <w14:textFill>
                  <w14:solidFill>
                    <w14:schemeClr w14:val="tx1"/>
                  </w14:solidFill>
                </w14:textFill>
              </w:rPr>
              <w:t>排污口位置必须合理确定，按要求规范化管理。</w:t>
            </w:r>
          </w:p>
          <w:p>
            <w:pPr>
              <w:pStyle w:val="44"/>
              <w:bidi w:val="0"/>
              <w:spacing w:line="240" w:lineRule="auto"/>
              <w:rPr>
                <w:rFonts w:hint="default" w:ascii="Times New Roman" w:hAnsi="Times New Roman" w:cs="Times New Roman"/>
                <w:color w:val="000000" w:themeColor="text1"/>
                <w:sz w:val="21"/>
                <w:szCs w:val="21"/>
                <w14:textFill>
                  <w14:solidFill>
                    <w14:schemeClr w14:val="tx1"/>
                  </w14:solidFill>
                </w14:textFill>
              </w:rPr>
            </w:pPr>
            <w:bookmarkStart w:id="14" w:name="_Ref975"/>
          </w:p>
          <w:p>
            <w:pPr>
              <w:pStyle w:val="44"/>
              <w:bidi w:val="0"/>
              <w:spacing w:line="240" w:lineRule="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表</w:t>
            </w:r>
            <w:r>
              <w:rPr>
                <w:rFonts w:hint="eastAsia" w:ascii="Times New Roman" w:hAnsi="Times New Roman"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14:textFill>
                  <w14:solidFill>
                    <w14:schemeClr w14:val="tx1"/>
                  </w14:solidFill>
                </w14:textFill>
              </w:rPr>
              <w:t>环境保护图形标志设置图形表</w:t>
            </w:r>
            <w:bookmarkEnd w:id="14"/>
          </w:p>
          <w:tbl>
            <w:tblPr>
              <w:tblStyle w:val="3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1686"/>
              <w:gridCol w:w="1956"/>
              <w:gridCol w:w="1623"/>
              <w:gridCol w:w="189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9" w:type="pct"/>
                  <w:tcBorders>
                    <w:bottom w:val="single" w:color="auto" w:sz="12" w:space="0"/>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序号</w:t>
                  </w:r>
                </w:p>
              </w:tc>
              <w:tc>
                <w:tcPr>
                  <w:tcW w:w="1049" w:type="pct"/>
                  <w:tcBorders>
                    <w:bottom w:val="single" w:color="auto" w:sz="12" w:space="0"/>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提示图形标志</w:t>
                  </w:r>
                </w:p>
              </w:tc>
              <w:tc>
                <w:tcPr>
                  <w:tcW w:w="1196" w:type="pct"/>
                  <w:tcBorders>
                    <w:bottom w:val="single" w:color="auto" w:sz="12" w:space="0"/>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警告图形符号</w:t>
                  </w:r>
                </w:p>
              </w:tc>
              <w:tc>
                <w:tcPr>
                  <w:tcW w:w="1069" w:type="pct"/>
                  <w:tcBorders>
                    <w:bottom w:val="single" w:color="auto" w:sz="12" w:space="0"/>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名称</w:t>
                  </w:r>
                </w:p>
              </w:tc>
              <w:tc>
                <w:tcPr>
                  <w:tcW w:w="1245" w:type="pct"/>
                  <w:tcBorders>
                    <w:bottom w:val="single" w:color="auto" w:sz="12" w:space="0"/>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功能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9"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textAlignment w:val="auto"/>
                    <w:rPr>
                      <w:rFonts w:hint="default" w:ascii="Times New Roman" w:hAnsi="Times New Roman" w:eastAsia="黑体" w:cs="Times New Roman"/>
                      <w:b/>
                      <w:color w:val="000000" w:themeColor="text1"/>
                      <w:kern w:val="0"/>
                      <w:sz w:val="20"/>
                      <w:szCs w:val="20"/>
                      <w:lang w:val="en-US" w:eastAsia="zh-CN" w:bidi="zh-CN"/>
                      <w14:textFill>
                        <w14:solidFill>
                          <w14:schemeClr w14:val="tx1"/>
                        </w14:solidFill>
                      </w14:textFill>
                    </w:rPr>
                  </w:pPr>
                  <w:r>
                    <w:rPr>
                      <w:rFonts w:hint="eastAsia" w:ascii="Times New Roman" w:cs="Times New Roman"/>
                      <w:b w:val="0"/>
                      <w:bCs/>
                      <w:color w:val="000000" w:themeColor="text1"/>
                      <w:kern w:val="0"/>
                      <w:sz w:val="20"/>
                      <w:szCs w:val="20"/>
                      <w:lang w:val="en-US" w:eastAsia="zh-CN" w:bidi="zh-CN"/>
                      <w14:textFill>
                        <w14:solidFill>
                          <w14:schemeClr w14:val="tx1"/>
                        </w14:solidFill>
                      </w14:textFill>
                    </w:rPr>
                    <w:t>1</w:t>
                  </w:r>
                </w:p>
              </w:tc>
              <w:tc>
                <w:tcPr>
                  <w:tcW w:w="1049"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textAlignment w:val="auto"/>
                    <w:rPr>
                      <w:rFonts w:hint="default" w:ascii="Times New Roman" w:hAnsi="Times New Roman" w:eastAsia="黑体" w:cs="Times New Roman"/>
                      <w:b/>
                      <w:color w:val="000000" w:themeColor="text1"/>
                      <w:kern w:val="0"/>
                      <w:sz w:val="20"/>
                      <w:szCs w:val="20"/>
                      <w:lang w:val="zh-CN" w:eastAsia="zh-CN" w:bidi="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922655" cy="863600"/>
                        <wp:effectExtent l="0" t="0" r="10795" b="12700"/>
                        <wp:docPr id="1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pic:cNvPicPr>
                                  <a:picLocks noChangeAspect="1"/>
                                </pic:cNvPicPr>
                              </pic:nvPicPr>
                              <pic:blipFill>
                                <a:blip r:embed="rId32"/>
                                <a:stretch>
                                  <a:fillRect/>
                                </a:stretch>
                              </pic:blipFill>
                              <pic:spPr>
                                <a:xfrm>
                                  <a:off x="0" y="0"/>
                                  <a:ext cx="922655" cy="863600"/>
                                </a:xfrm>
                                <a:prstGeom prst="rect">
                                  <a:avLst/>
                                </a:prstGeom>
                                <a:noFill/>
                                <a:ln>
                                  <a:noFill/>
                                </a:ln>
                              </pic:spPr>
                            </pic:pic>
                          </a:graphicData>
                        </a:graphic>
                      </wp:inline>
                    </w:drawing>
                  </w:r>
                </w:p>
              </w:tc>
              <w:tc>
                <w:tcPr>
                  <w:tcW w:w="1196"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textAlignment w:val="auto"/>
                    <w:rPr>
                      <w:rFonts w:hint="default" w:ascii="Times New Roman" w:hAnsi="Times New Roman" w:eastAsia="黑体" w:cs="Times New Roman"/>
                      <w:b/>
                      <w:color w:val="000000" w:themeColor="text1"/>
                      <w:kern w:val="0"/>
                      <w:sz w:val="20"/>
                      <w:szCs w:val="20"/>
                      <w:lang w:val="zh-CN" w:eastAsia="zh-CN" w:bidi="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957580" cy="906145"/>
                        <wp:effectExtent l="0" t="0" r="13970" b="8255"/>
                        <wp:docPr id="1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2"/>
                                <pic:cNvPicPr>
                                  <a:picLocks noChangeAspect="1"/>
                                </pic:cNvPicPr>
                              </pic:nvPicPr>
                              <pic:blipFill>
                                <a:blip r:embed="rId33"/>
                                <a:stretch>
                                  <a:fillRect/>
                                </a:stretch>
                              </pic:blipFill>
                              <pic:spPr>
                                <a:xfrm>
                                  <a:off x="0" y="0"/>
                                  <a:ext cx="957580" cy="906145"/>
                                </a:xfrm>
                                <a:prstGeom prst="rect">
                                  <a:avLst/>
                                </a:prstGeom>
                                <a:noFill/>
                                <a:ln>
                                  <a:noFill/>
                                </a:ln>
                              </pic:spPr>
                            </pic:pic>
                          </a:graphicData>
                        </a:graphic>
                      </wp:inline>
                    </w:drawing>
                  </w:r>
                </w:p>
              </w:tc>
              <w:tc>
                <w:tcPr>
                  <w:tcW w:w="1069"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lang w:val="zh-CN"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废气排放口</w:t>
                  </w:r>
                </w:p>
              </w:tc>
              <w:tc>
                <w:tcPr>
                  <w:tcW w:w="1245"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lang w:val="zh-CN"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表示废气向大气环境排放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9"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textAlignment w:val="auto"/>
                    <w:rPr>
                      <w:rFonts w:hint="default" w:ascii="Times New Roman" w:cs="Times New Roman"/>
                      <w:b w:val="0"/>
                      <w:bCs/>
                      <w:color w:val="000000" w:themeColor="text1"/>
                      <w:kern w:val="0"/>
                      <w:sz w:val="20"/>
                      <w:szCs w:val="20"/>
                      <w:lang w:val="en-US" w:eastAsia="zh-CN" w:bidi="zh-CN"/>
                      <w14:textFill>
                        <w14:solidFill>
                          <w14:schemeClr w14:val="tx1"/>
                        </w14:solidFill>
                      </w14:textFill>
                    </w:rPr>
                  </w:pPr>
                  <w:r>
                    <w:rPr>
                      <w:rFonts w:hint="eastAsia" w:ascii="Times New Roman" w:cs="Times New Roman"/>
                      <w:b w:val="0"/>
                      <w:bCs/>
                      <w:color w:val="000000" w:themeColor="text1"/>
                      <w:kern w:val="0"/>
                      <w:sz w:val="20"/>
                      <w:szCs w:val="20"/>
                      <w:lang w:val="en-US" w:eastAsia="zh-CN" w:bidi="zh-CN"/>
                      <w14:textFill>
                        <w14:solidFill>
                          <w14:schemeClr w14:val="tx1"/>
                        </w14:solidFill>
                      </w14:textFill>
                    </w:rPr>
                    <w:t>2</w:t>
                  </w:r>
                </w:p>
              </w:tc>
              <w:tc>
                <w:tcPr>
                  <w:tcW w:w="1049"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textAlignment w:val="auto"/>
                    <w:rPr>
                      <w:rFonts w:hint="default"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787400" cy="787400"/>
                        <wp:effectExtent l="0" t="0" r="12700" b="1270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34"/>
                                <a:stretch>
                                  <a:fillRect/>
                                </a:stretch>
                              </pic:blipFill>
                              <pic:spPr>
                                <a:xfrm>
                                  <a:off x="0" y="0"/>
                                  <a:ext cx="787400" cy="787400"/>
                                </a:xfrm>
                                <a:prstGeom prst="rect">
                                  <a:avLst/>
                                </a:prstGeom>
                                <a:noFill/>
                                <a:ln>
                                  <a:noFill/>
                                </a:ln>
                              </pic:spPr>
                            </pic:pic>
                          </a:graphicData>
                        </a:graphic>
                      </wp:inline>
                    </w:drawing>
                  </w:r>
                </w:p>
              </w:tc>
              <w:tc>
                <w:tcPr>
                  <w:tcW w:w="1196"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textAlignment w:val="auto"/>
                    <w:rPr>
                      <w:rFonts w:hint="default"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099185" cy="977900"/>
                        <wp:effectExtent l="0" t="0" r="5715" b="1270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35"/>
                                <a:stretch>
                                  <a:fillRect/>
                                </a:stretch>
                              </pic:blipFill>
                              <pic:spPr>
                                <a:xfrm>
                                  <a:off x="0" y="0"/>
                                  <a:ext cx="1099185" cy="977900"/>
                                </a:xfrm>
                                <a:prstGeom prst="rect">
                                  <a:avLst/>
                                </a:prstGeom>
                                <a:noFill/>
                                <a:ln>
                                  <a:noFill/>
                                </a:ln>
                              </pic:spPr>
                            </pic:pic>
                          </a:graphicData>
                        </a:graphic>
                      </wp:inline>
                    </w:drawing>
                  </w:r>
                </w:p>
              </w:tc>
              <w:tc>
                <w:tcPr>
                  <w:tcW w:w="1069"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废水排放口</w:t>
                  </w:r>
                </w:p>
              </w:tc>
              <w:tc>
                <w:tcPr>
                  <w:tcW w:w="1245"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 xml:space="preserve">表示废水向水体排 </w:t>
                  </w:r>
                </w:p>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9" w:type="pct"/>
                  <w:tcBorders>
                    <w:tl2br w:val="nil"/>
                    <w:tr2bl w:val="nil"/>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eastAsia="宋体" w:cs="Times New Roman"/>
                      <w:b w:val="0"/>
                      <w:bCs/>
                      <w:color w:val="000000" w:themeColor="text1"/>
                      <w:sz w:val="21"/>
                      <w:szCs w:val="21"/>
                      <w:lang w:val="en-US" w:eastAsia="zh-CN"/>
                      <w14:textFill>
                        <w14:solidFill>
                          <w14:schemeClr w14:val="tx1"/>
                        </w14:solidFill>
                      </w14:textFill>
                    </w:rPr>
                    <w:t>3</w:t>
                  </w:r>
                </w:p>
              </w:tc>
              <w:tc>
                <w:tcPr>
                  <w:tcW w:w="1049" w:type="pct"/>
                  <w:tcBorders>
                    <w:tl2br w:val="nil"/>
                    <w:tr2bl w:val="nil"/>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drawing>
                      <wp:inline distT="0" distB="0" distL="114300" distR="114300">
                        <wp:extent cx="965200" cy="922655"/>
                        <wp:effectExtent l="0" t="0" r="6350" b="10795"/>
                        <wp:docPr id="4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
                                <pic:cNvPicPr>
                                  <a:picLocks noChangeAspect="1"/>
                                </pic:cNvPicPr>
                              </pic:nvPicPr>
                              <pic:blipFill>
                                <a:blip r:embed="rId36"/>
                                <a:stretch>
                                  <a:fillRect/>
                                </a:stretch>
                              </pic:blipFill>
                              <pic:spPr>
                                <a:xfrm>
                                  <a:off x="0" y="0"/>
                                  <a:ext cx="965200" cy="922655"/>
                                </a:xfrm>
                                <a:prstGeom prst="rect">
                                  <a:avLst/>
                                </a:prstGeom>
                                <a:noFill/>
                                <a:ln>
                                  <a:noFill/>
                                </a:ln>
                              </pic:spPr>
                            </pic:pic>
                          </a:graphicData>
                        </a:graphic>
                      </wp:inline>
                    </w:drawing>
                  </w:r>
                </w:p>
              </w:tc>
              <w:tc>
                <w:tcPr>
                  <w:tcW w:w="1196" w:type="pct"/>
                  <w:tcBorders>
                    <w:tl2br w:val="nil"/>
                    <w:tr2bl w:val="nil"/>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drawing>
                      <wp:inline distT="0" distB="0" distL="114300" distR="114300">
                        <wp:extent cx="965200" cy="779145"/>
                        <wp:effectExtent l="0" t="0" r="6350" b="190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37"/>
                                <a:stretch>
                                  <a:fillRect/>
                                </a:stretch>
                              </pic:blipFill>
                              <pic:spPr>
                                <a:xfrm>
                                  <a:off x="0" y="0"/>
                                  <a:ext cx="965200" cy="779145"/>
                                </a:xfrm>
                                <a:prstGeom prst="rect">
                                  <a:avLst/>
                                </a:prstGeom>
                                <a:noFill/>
                                <a:ln>
                                  <a:noFill/>
                                </a:ln>
                              </pic:spPr>
                            </pic:pic>
                          </a:graphicData>
                        </a:graphic>
                      </wp:inline>
                    </w:drawing>
                  </w:r>
                </w:p>
              </w:tc>
              <w:tc>
                <w:tcPr>
                  <w:tcW w:w="1069" w:type="pct"/>
                  <w:tcBorders>
                    <w:tl2br w:val="nil"/>
                    <w:tr2bl w:val="nil"/>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噪声排放源</w:t>
                  </w:r>
                </w:p>
              </w:tc>
              <w:tc>
                <w:tcPr>
                  <w:tcW w:w="1245" w:type="pct"/>
                  <w:tcBorders>
                    <w:tl2br w:val="nil"/>
                    <w:tr2bl w:val="nil"/>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表示噪声向外环境排放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9" w:type="pct"/>
                  <w:tcBorders>
                    <w:tl2br w:val="nil"/>
                    <w:tr2bl w:val="nil"/>
                  </w:tcBorders>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eastAsia="宋体" w:cs="Times New Roman"/>
                      <w:b w:val="0"/>
                      <w:bCs/>
                      <w:color w:val="000000" w:themeColor="text1"/>
                      <w:sz w:val="21"/>
                      <w:szCs w:val="21"/>
                      <w:lang w:val="en-US" w:eastAsia="zh-CN"/>
                      <w14:textFill>
                        <w14:solidFill>
                          <w14:schemeClr w14:val="tx1"/>
                        </w14:solidFill>
                      </w14:textFill>
                    </w:rPr>
                    <w:t>4</w:t>
                  </w:r>
                </w:p>
              </w:tc>
              <w:tc>
                <w:tcPr>
                  <w:tcW w:w="1049"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textAlignment w:val="auto"/>
                    <w:rPr>
                      <w:rFonts w:hint="default" w:ascii="Times New Roman" w:hAnsi="Times New Roman" w:eastAsia="黑体" w:cs="Times New Roman"/>
                      <w:b w:val="0"/>
                      <w:bCs/>
                      <w:color w:val="000000" w:themeColor="text1"/>
                      <w:kern w:val="0"/>
                      <w:sz w:val="20"/>
                      <w:szCs w:val="20"/>
                      <w:lang w:val="zh-CN" w:eastAsia="zh-CN" w:bidi="zh-CN"/>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w:t>
                  </w:r>
                </w:p>
              </w:tc>
              <w:tc>
                <w:tcPr>
                  <w:tcW w:w="1196"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textAlignment w:val="auto"/>
                    <w:rPr>
                      <w:rFonts w:hint="default" w:ascii="Times New Roman" w:hAnsi="Times New Roman" w:eastAsia="黑体" w:cs="Times New Roman"/>
                      <w:b w:val="0"/>
                      <w:bCs/>
                      <w:color w:val="000000" w:themeColor="text1"/>
                      <w:kern w:val="0"/>
                      <w:sz w:val="20"/>
                      <w:szCs w:val="20"/>
                      <w:lang w:val="zh-CN" w:eastAsia="zh-CN" w:bidi="zh-CN"/>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drawing>
                      <wp:inline distT="0" distB="0" distL="114300" distR="114300">
                        <wp:extent cx="1029335" cy="881380"/>
                        <wp:effectExtent l="0" t="0" r="18415" b="13970"/>
                        <wp:docPr id="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7"/>
                                <pic:cNvPicPr>
                                  <a:picLocks noChangeAspect="1"/>
                                </pic:cNvPicPr>
                              </pic:nvPicPr>
                              <pic:blipFill>
                                <a:blip r:embed="rId38"/>
                                <a:stretch>
                                  <a:fillRect/>
                                </a:stretch>
                              </pic:blipFill>
                              <pic:spPr>
                                <a:xfrm>
                                  <a:off x="0" y="0"/>
                                  <a:ext cx="1029335" cy="881380"/>
                                </a:xfrm>
                                <a:prstGeom prst="rect">
                                  <a:avLst/>
                                </a:prstGeom>
                                <a:noFill/>
                                <a:ln>
                                  <a:noFill/>
                                </a:ln>
                              </pic:spPr>
                            </pic:pic>
                          </a:graphicData>
                        </a:graphic>
                      </wp:inline>
                    </w:drawing>
                  </w:r>
                </w:p>
              </w:tc>
              <w:tc>
                <w:tcPr>
                  <w:tcW w:w="1069"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lang w:val="zh-CN"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危险废物</w:t>
                  </w:r>
                </w:p>
              </w:tc>
              <w:tc>
                <w:tcPr>
                  <w:tcW w:w="1245" w:type="pct"/>
                  <w:tcBorders>
                    <w:tl2br w:val="nil"/>
                    <w:tr2bl w:val="nil"/>
                  </w:tcBorders>
                  <w:shd w:val="clear" w:color="auto" w:fill="auto"/>
                  <w:noWrap w:val="0"/>
                  <w:vAlign w:val="center"/>
                </w:tcPr>
                <w:p>
                  <w:pPr>
                    <w:pStyle w:val="57"/>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leftChars="0" w:firstLine="0" w:firstLineChars="0"/>
                    <w:jc w:val="center"/>
                    <w:textAlignment w:val="auto"/>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表示危险废物</w:t>
                  </w: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处置</w:t>
                  </w:r>
                </w:p>
              </w:tc>
            </w:tr>
          </w:tbl>
          <w:p>
            <w:pPr>
              <w:pStyle w:val="8"/>
              <w:bidi w:val="0"/>
              <w:jc w:val="both"/>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 xml:space="preserve">2 </w:t>
            </w:r>
            <w:r>
              <w:rPr>
                <w:rFonts w:hint="eastAsia"/>
                <w:color w:val="000000" w:themeColor="text1"/>
                <w14:textFill>
                  <w14:solidFill>
                    <w14:schemeClr w14:val="tx1"/>
                  </w14:solidFill>
                </w14:textFill>
              </w:rPr>
              <w:t>排污许可信息填报要求</w:t>
            </w:r>
          </w:p>
          <w:p>
            <w:pPr>
              <w:pStyle w:val="27"/>
              <w:bidi w:val="0"/>
              <w:jc w:val="both"/>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根据《固定污染源排污许可分类管理名录（2019年版）》可知，本项目管理类别应该为简化管理</w:t>
            </w:r>
            <w:r>
              <w:rPr>
                <w:rFonts w:hint="eastAsia"/>
                <w:color w:val="000000" w:themeColor="text1"/>
                <w14:textFill>
                  <w14:solidFill>
                    <w14:schemeClr w14:val="tx1"/>
                  </w14:solidFill>
                </w14:textFill>
              </w:rPr>
              <w:t>。建设单位应在启动生产设施或者发生实际排污之前</w:t>
            </w:r>
            <w:r>
              <w:rPr>
                <w:rFonts w:hint="eastAsia"/>
                <w:color w:val="000000" w:themeColor="text1"/>
                <w:lang w:val="en-US" w:eastAsia="zh-CN"/>
                <w14:textFill>
                  <w14:solidFill>
                    <w14:schemeClr w14:val="tx1"/>
                  </w14:solidFill>
                </w14:textFill>
              </w:rPr>
              <w:t>将本项目建设内容变更到现有工程排污许可中。</w:t>
            </w:r>
          </w:p>
          <w:p>
            <w:pPr>
              <w:pStyle w:val="27"/>
              <w:ind w:left="0" w:leftChars="0" w:firstLine="0" w:firstLineChars="0"/>
              <w:jc w:val="both"/>
              <w:rPr>
                <w:rFonts w:hint="eastAsia"/>
                <w:color w:val="000000" w:themeColor="text1"/>
                <w14:textFill>
                  <w14:solidFill>
                    <w14:schemeClr w14:val="tx1"/>
                  </w14:solidFill>
                </w14:textFill>
              </w:rPr>
            </w:pPr>
          </w:p>
          <w:p>
            <w:pPr>
              <w:pStyle w:val="27"/>
              <w:ind w:left="0" w:leftChars="0" w:firstLine="0" w:firstLineChars="0"/>
              <w:jc w:val="both"/>
              <w:rPr>
                <w:rFonts w:hint="eastAsia"/>
                <w:color w:val="000000" w:themeColor="text1"/>
                <w14:textFill>
                  <w14:solidFill>
                    <w14:schemeClr w14:val="tx1"/>
                  </w14:solidFill>
                </w14:textFill>
              </w:rPr>
            </w:pPr>
          </w:p>
          <w:p>
            <w:pPr>
              <w:pStyle w:val="27"/>
              <w:ind w:left="0" w:leftChars="0" w:firstLine="0" w:firstLineChars="0"/>
              <w:jc w:val="both"/>
              <w:rPr>
                <w:rFonts w:hint="eastAsia"/>
                <w:color w:val="000000" w:themeColor="text1"/>
                <w14:textFill>
                  <w14:solidFill>
                    <w14:schemeClr w14:val="tx1"/>
                  </w14:solidFill>
                </w14:textFill>
              </w:rPr>
            </w:pPr>
          </w:p>
          <w:p>
            <w:pPr>
              <w:pStyle w:val="27"/>
              <w:ind w:left="0" w:leftChars="0" w:firstLine="0" w:firstLineChars="0"/>
              <w:jc w:val="both"/>
              <w:rPr>
                <w:rFonts w:hint="eastAsia"/>
                <w:color w:val="000000" w:themeColor="text1"/>
                <w14:textFill>
                  <w14:solidFill>
                    <w14:schemeClr w14:val="tx1"/>
                  </w14:solidFill>
                </w14:textFill>
              </w:rPr>
            </w:pPr>
          </w:p>
          <w:p>
            <w:pPr>
              <w:pStyle w:val="27"/>
              <w:ind w:left="0" w:leftChars="0" w:firstLine="0" w:firstLineChars="0"/>
              <w:jc w:val="both"/>
              <w:rPr>
                <w:rFonts w:hint="eastAsia"/>
                <w:color w:val="000000" w:themeColor="text1"/>
                <w14:textFill>
                  <w14:solidFill>
                    <w14:schemeClr w14:val="tx1"/>
                  </w14:solidFill>
                </w14:textFill>
              </w:rPr>
            </w:pPr>
          </w:p>
          <w:p>
            <w:pPr>
              <w:pStyle w:val="27"/>
              <w:ind w:left="0" w:leftChars="0" w:firstLine="0" w:firstLineChars="0"/>
              <w:jc w:val="both"/>
              <w:rPr>
                <w:rFonts w:hint="eastAsia"/>
                <w:color w:val="000000" w:themeColor="text1"/>
                <w14:textFill>
                  <w14:solidFill>
                    <w14:schemeClr w14:val="tx1"/>
                  </w14:solidFill>
                </w14:textFill>
              </w:rPr>
            </w:pPr>
          </w:p>
          <w:p>
            <w:pPr>
              <w:pStyle w:val="27"/>
              <w:ind w:left="0" w:leftChars="0" w:firstLine="0" w:firstLineChars="0"/>
              <w:jc w:val="both"/>
              <w:rPr>
                <w:rFonts w:hint="eastAsia"/>
                <w:color w:val="000000" w:themeColor="text1"/>
                <w14:textFill>
                  <w14:solidFill>
                    <w14:schemeClr w14:val="tx1"/>
                  </w14:solidFill>
                </w14:textFill>
              </w:rPr>
            </w:pPr>
          </w:p>
          <w:p>
            <w:pPr>
              <w:pStyle w:val="27"/>
              <w:ind w:left="0" w:leftChars="0" w:firstLine="0" w:firstLineChars="0"/>
              <w:jc w:val="both"/>
              <w:rPr>
                <w:rFonts w:hint="eastAsia"/>
                <w:color w:val="000000" w:themeColor="text1"/>
                <w14:textFill>
                  <w14:solidFill>
                    <w14:schemeClr w14:val="tx1"/>
                  </w14:solidFill>
                </w14:textFill>
              </w:rPr>
            </w:pPr>
          </w:p>
          <w:p>
            <w:pPr>
              <w:pStyle w:val="27"/>
              <w:ind w:left="0" w:leftChars="0" w:firstLine="0" w:firstLineChars="0"/>
              <w:jc w:val="both"/>
              <w:rPr>
                <w:rFonts w:hint="eastAsia"/>
                <w:color w:val="000000" w:themeColor="text1"/>
                <w14:textFill>
                  <w14:solidFill>
                    <w14:schemeClr w14:val="tx1"/>
                  </w14:solidFill>
                </w14:textFill>
              </w:rPr>
            </w:pPr>
          </w:p>
          <w:p>
            <w:pPr>
              <w:pStyle w:val="27"/>
              <w:ind w:left="0" w:leftChars="0" w:firstLine="0" w:firstLineChars="0"/>
              <w:jc w:val="both"/>
              <w:rPr>
                <w:rFonts w:hint="eastAsia"/>
                <w:color w:val="000000" w:themeColor="text1"/>
                <w14:textFill>
                  <w14:solidFill>
                    <w14:schemeClr w14:val="tx1"/>
                  </w14:solidFill>
                </w14:textFill>
              </w:rPr>
            </w:pPr>
          </w:p>
        </w:tc>
      </w:tr>
    </w:tbl>
    <w:p>
      <w:pPr>
        <w:jc w:val="both"/>
        <w:rPr>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6"/>
        <w:numPr>
          <w:ilvl w:val="0"/>
          <w:numId w:val="0"/>
        </w:numPr>
        <w:jc w:val="center"/>
        <w:rPr>
          <w:rFonts w:hint="eastAsia" w:ascii="黑体" w:hAnsi="黑体" w:eastAsia="黑体" w:cs="黑体"/>
          <w:b w:val="0"/>
          <w:bCs/>
          <w:color w:val="000000" w:themeColor="text1"/>
          <w14:textFill>
            <w14:solidFill>
              <w14:schemeClr w14:val="tx1"/>
            </w14:solidFill>
          </w14:textFill>
        </w:rPr>
      </w:pPr>
      <w:r>
        <w:rPr>
          <w:rFonts w:hint="eastAsia" w:ascii="黑体" w:hAnsi="黑体" w:eastAsia="黑体" w:cs="黑体"/>
          <w:b w:val="0"/>
          <w:bCs/>
          <w:color w:val="000000" w:themeColor="text1"/>
          <w:kern w:val="44"/>
          <w:sz w:val="30"/>
          <w:szCs w:val="24"/>
          <w:lang w:val="en-US" w:eastAsia="zh-CN" w:bidi="ar-SA"/>
          <w14:textFill>
            <w14:solidFill>
              <w14:schemeClr w14:val="tx1"/>
            </w14:solidFill>
          </w14:textFill>
        </w:rPr>
        <w:t>六、</w:t>
      </w:r>
      <w:r>
        <w:rPr>
          <w:rFonts w:hint="eastAsia" w:ascii="黑体" w:hAnsi="黑体" w:eastAsia="黑体" w:cs="黑体"/>
          <w:b w:val="0"/>
          <w:bCs/>
          <w:color w:val="000000" w:themeColor="text1"/>
          <w14:textFill>
            <w14:solidFill>
              <w14:schemeClr w14:val="tx1"/>
            </w14:solidFill>
          </w14:textFill>
        </w:rPr>
        <w:t>结论</w:t>
      </w:r>
    </w:p>
    <w:tbl>
      <w:tblPr>
        <w:tblStyle w:val="33"/>
        <w:tblW w:w="0" w:type="auto"/>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2823" w:hRule="atLeast"/>
        </w:trPr>
        <w:tc>
          <w:tcPr>
            <w:tcW w:w="8522" w:type="dxa"/>
            <w:tcBorders>
              <w:tl2br w:val="nil"/>
              <w:tr2bl w:val="nil"/>
            </w:tcBorders>
            <w:vAlign w:val="top"/>
          </w:tcPr>
          <w:p>
            <w:pPr>
              <w:pStyle w:val="27"/>
              <w:ind w:firstLine="48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项目符合相关产业政策，项目选址符合园区规划、规划环评及其审查意见要求。项目所在区大气环境质量现状良好；在严格落实本次环评提出的环保措施的前提下，本项目排放的各种污染物对环境的影响程度和范围较小。</w:t>
            </w:r>
            <w:r>
              <w:rPr>
                <w:rFonts w:hint="eastAsia"/>
                <w:color w:val="000000" w:themeColor="text1"/>
                <w:lang w:val="en-US" w:eastAsia="zh-CN"/>
                <w14:textFill>
                  <w14:solidFill>
                    <w14:schemeClr w14:val="tx1"/>
                  </w14:solidFill>
                </w14:textFill>
              </w:rPr>
              <w:t>因此，</w:t>
            </w:r>
            <w:r>
              <w:rPr>
                <w:rFonts w:hint="eastAsia"/>
                <w:color w:val="000000" w:themeColor="text1"/>
                <w14:textFill>
                  <w14:solidFill>
                    <w14:schemeClr w14:val="tx1"/>
                  </w14:solidFill>
                </w14:textFill>
              </w:rPr>
              <w:t>从环保角度分析，本项目的建设是可行的。</w:t>
            </w:r>
          </w:p>
          <w:p>
            <w:pPr>
              <w:jc w:val="both"/>
              <w:rPr>
                <w:color w:val="000000" w:themeColor="text1"/>
                <w14:textFill>
                  <w14:solidFill>
                    <w14:schemeClr w14:val="tx1"/>
                  </w14:solidFill>
                </w14:textFill>
              </w:rPr>
            </w:pPr>
          </w:p>
          <w:p>
            <w:pPr>
              <w:pStyle w:val="4"/>
              <w:ind w:left="482"/>
              <w:jc w:val="both"/>
              <w:rPr>
                <w:color w:val="000000" w:themeColor="text1"/>
                <w14:textFill>
                  <w14:solidFill>
                    <w14:schemeClr w14:val="tx1"/>
                  </w14:solidFill>
                </w14:textFill>
              </w:rPr>
            </w:pPr>
          </w:p>
          <w:p>
            <w:pPr>
              <w:pStyle w:val="14"/>
              <w:jc w:val="both"/>
              <w:rPr>
                <w:color w:val="000000" w:themeColor="text1"/>
                <w14:textFill>
                  <w14:solidFill>
                    <w14:schemeClr w14:val="tx1"/>
                  </w14:solidFill>
                </w14:textFill>
              </w:rPr>
            </w:pPr>
          </w:p>
          <w:p>
            <w:pPr>
              <w:pStyle w:val="42"/>
              <w:jc w:val="both"/>
              <w:rPr>
                <w:color w:val="000000" w:themeColor="text1"/>
                <w14:textFill>
                  <w14:solidFill>
                    <w14:schemeClr w14:val="tx1"/>
                  </w14:solidFill>
                </w14:textFill>
              </w:rPr>
            </w:pPr>
          </w:p>
          <w:p>
            <w:pPr>
              <w:pStyle w:val="42"/>
              <w:jc w:val="both"/>
              <w:rPr>
                <w:color w:val="000000" w:themeColor="text1"/>
                <w14:textFill>
                  <w14:solidFill>
                    <w14:schemeClr w14:val="tx1"/>
                  </w14:solidFill>
                </w14:textFill>
              </w:rPr>
            </w:pPr>
          </w:p>
          <w:p>
            <w:pPr>
              <w:pStyle w:val="42"/>
              <w:jc w:val="both"/>
              <w:rPr>
                <w:color w:val="000000" w:themeColor="text1"/>
                <w14:textFill>
                  <w14:solidFill>
                    <w14:schemeClr w14:val="tx1"/>
                  </w14:solidFill>
                </w14:textFill>
              </w:rPr>
            </w:pPr>
          </w:p>
          <w:p>
            <w:pPr>
              <w:pStyle w:val="42"/>
              <w:jc w:val="both"/>
              <w:rPr>
                <w:color w:val="000000" w:themeColor="text1"/>
                <w14:textFill>
                  <w14:solidFill>
                    <w14:schemeClr w14:val="tx1"/>
                  </w14:solidFill>
                </w14:textFill>
              </w:rPr>
            </w:pPr>
          </w:p>
          <w:p>
            <w:pPr>
              <w:pStyle w:val="42"/>
              <w:jc w:val="both"/>
              <w:rPr>
                <w:color w:val="000000" w:themeColor="text1"/>
                <w14:textFill>
                  <w14:solidFill>
                    <w14:schemeClr w14:val="tx1"/>
                  </w14:solidFill>
                </w14:textFill>
              </w:rPr>
            </w:pPr>
          </w:p>
        </w:tc>
      </w:tr>
    </w:tbl>
    <w:p>
      <w:pPr>
        <w:jc w:val="both"/>
        <w:rPr>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rFonts w:hint="default" w:ascii="Times New Roman" w:hAnsi="Times New Roman" w:eastAsia="宋体" w:cs="Times New Roman"/>
          <w:color w:val="000000" w:themeColor="text1"/>
          <w:sz w:val="38"/>
          <w:szCs w:val="38"/>
          <w14:textFill>
            <w14:solidFill>
              <w14:schemeClr w14:val="tx1"/>
            </w14:solidFill>
          </w14:textFill>
        </w:rPr>
      </w:pPr>
      <w:r>
        <w:rPr>
          <w:rFonts w:hint="eastAsia" w:ascii="黑体" w:hAnsi="黑体" w:eastAsia="黑体" w:cs="黑体"/>
          <w:b w:val="0"/>
          <w:bCs/>
          <w:color w:val="000000" w:themeColor="text1"/>
          <w:sz w:val="30"/>
          <w:szCs w:val="30"/>
          <w14:textFill>
            <w14:solidFill>
              <w14:schemeClr w14:val="tx1"/>
            </w14:solidFill>
          </w14:textFill>
        </w:rPr>
        <w:t>附表</w:t>
      </w:r>
    </w:p>
    <w:p>
      <w:pPr>
        <w:jc w:val="center"/>
        <w:rPr>
          <w:rFonts w:hint="default" w:ascii="Times New Roman" w:hAnsi="Times New Roman" w:eastAsia="宋体" w:cs="Times New Roman"/>
          <w:color w:val="000000" w:themeColor="text1"/>
          <w:sz w:val="38"/>
          <w:szCs w:val="38"/>
          <w14:textFill>
            <w14:solidFill>
              <w14:schemeClr w14:val="tx1"/>
            </w14:solidFill>
          </w14:textFill>
        </w:rPr>
      </w:pPr>
      <w:r>
        <w:rPr>
          <w:rFonts w:hint="default" w:ascii="Times New Roman" w:hAnsi="Times New Roman" w:eastAsia="宋体" w:cs="Times New Roman"/>
          <w:color w:val="000000" w:themeColor="text1"/>
          <w:sz w:val="38"/>
          <w:szCs w:val="38"/>
          <w14:textFill>
            <w14:solidFill>
              <w14:schemeClr w14:val="tx1"/>
            </w14:solidFill>
          </w14:textFill>
        </w:rPr>
        <w:t>建设项目污染物排放量汇总表</w:t>
      </w:r>
    </w:p>
    <w:tbl>
      <w:tblPr>
        <w:tblStyle w:val="32"/>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634"/>
        <w:gridCol w:w="1671"/>
        <w:gridCol w:w="1126"/>
        <w:gridCol w:w="1739"/>
        <w:gridCol w:w="1622"/>
        <w:gridCol w:w="1577"/>
        <w:gridCol w:w="1820"/>
        <w:gridCol w:w="11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tcBorders>
              <w:tl2br w:val="single" w:color="auto" w:sz="4" w:space="0"/>
            </w:tcBorders>
            <w:tcMar>
              <w:left w:w="28" w:type="dxa"/>
              <w:right w:w="28" w:type="dxa"/>
            </w:tcMar>
            <w:vAlign w:val="center"/>
          </w:tcPr>
          <w:p>
            <w:pPr>
              <w:pStyle w:val="57"/>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0"/>
              <w:textAlignment w:val="auto"/>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项目</w:t>
            </w:r>
          </w:p>
          <w:p>
            <w:pPr>
              <w:pStyle w:val="57"/>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240" w:lineRule="auto"/>
              <w:ind w:left="0" w:leftChars="0" w:firstLine="0" w:firstLineChars="0"/>
              <w:jc w:val="both"/>
              <w:textAlignment w:val="auto"/>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分类</w:t>
            </w:r>
          </w:p>
        </w:tc>
        <w:tc>
          <w:tcPr>
            <w:tcW w:w="614" w:type="pct"/>
            <w:tcMar>
              <w:left w:w="28" w:type="dxa"/>
              <w:right w:w="28" w:type="dxa"/>
            </w:tcMar>
            <w:vAlign w:val="center"/>
          </w:tcPr>
          <w:p>
            <w:pPr>
              <w:pStyle w:val="57"/>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污染物名称</w:t>
            </w:r>
          </w:p>
        </w:tc>
        <w:tc>
          <w:tcPr>
            <w:tcW w:w="628" w:type="pct"/>
            <w:tcMar>
              <w:left w:w="28" w:type="dxa"/>
              <w:right w:w="28" w:type="dxa"/>
            </w:tcMar>
            <w:vAlign w:val="center"/>
          </w:tcPr>
          <w:p>
            <w:pPr>
              <w:pStyle w:val="57"/>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现有工程排放量（固体废物产生量）</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end"/>
            </w:r>
          </w:p>
        </w:tc>
        <w:tc>
          <w:tcPr>
            <w:tcW w:w="423" w:type="pct"/>
            <w:tcMar>
              <w:left w:w="28" w:type="dxa"/>
              <w:right w:w="28" w:type="dxa"/>
            </w:tcMar>
            <w:vAlign w:val="center"/>
          </w:tcPr>
          <w:p>
            <w:pPr>
              <w:pStyle w:val="57"/>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现有工程许可排放量</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instrText xml:space="preserve"> = 2 \* GB3 \* MERGEFORMAT </w:instrTex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②</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end"/>
            </w:r>
          </w:p>
        </w:tc>
        <w:tc>
          <w:tcPr>
            <w:tcW w:w="654" w:type="pct"/>
            <w:tcMar>
              <w:left w:w="28" w:type="dxa"/>
              <w:right w:w="28" w:type="dxa"/>
            </w:tcMar>
            <w:vAlign w:val="center"/>
          </w:tcPr>
          <w:p>
            <w:pPr>
              <w:pStyle w:val="57"/>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在建工程排放量（固体废物产生量）</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instrText xml:space="preserve"> = 3 \* GB3 \* MERGEFORMAT </w:instrTex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separate"/>
            </w:r>
            <w:r>
              <w:rPr>
                <w:rFonts w:hint="default" w:ascii="Times New Roman" w:hAnsi="Times New Roman" w:eastAsia="宋体" w:cs="Times New Roman"/>
                <w:color w:val="000000" w:themeColor="text1"/>
                <w:kern w:val="2"/>
                <w:sz w:val="20"/>
                <w:szCs w:val="20"/>
                <w14:textFill>
                  <w14:solidFill>
                    <w14:schemeClr w14:val="tx1"/>
                  </w14:solidFill>
                </w14:textFill>
              </w:rPr>
              <w:t>③</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end"/>
            </w:r>
          </w:p>
        </w:tc>
        <w:tc>
          <w:tcPr>
            <w:tcW w:w="610" w:type="pct"/>
            <w:tcMar>
              <w:left w:w="28" w:type="dxa"/>
              <w:right w:w="28" w:type="dxa"/>
            </w:tcMar>
            <w:vAlign w:val="center"/>
          </w:tcPr>
          <w:p>
            <w:pPr>
              <w:pStyle w:val="57"/>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本项目排放量（固体废物产生量）</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instrText xml:space="preserve"> = 4 \* GB3 \* MERGEFORMAT </w:instrTex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separate"/>
            </w:r>
            <w:r>
              <w:rPr>
                <w:rFonts w:hint="default" w:ascii="Times New Roman" w:hAnsi="Times New Roman" w:eastAsia="宋体" w:cs="Times New Roman"/>
                <w:color w:val="000000" w:themeColor="text1"/>
                <w:kern w:val="2"/>
                <w:sz w:val="20"/>
                <w:szCs w:val="20"/>
                <w14:textFill>
                  <w14:solidFill>
                    <w14:schemeClr w14:val="tx1"/>
                  </w14:solidFill>
                </w14:textFill>
              </w:rPr>
              <w:t>④</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end"/>
            </w:r>
          </w:p>
        </w:tc>
        <w:tc>
          <w:tcPr>
            <w:tcW w:w="593" w:type="pct"/>
            <w:tcMar>
              <w:left w:w="28" w:type="dxa"/>
              <w:right w:w="28" w:type="dxa"/>
            </w:tcMar>
            <w:vAlign w:val="center"/>
          </w:tcPr>
          <w:p>
            <w:pPr>
              <w:pStyle w:val="57"/>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t>以新带老削减量（新建项目不填）</w:t>
            </w: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instrText xml:space="preserve"> = 5 \* GB3 \* MERGEFORMAT </w:instrText>
            </w: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fldChar w:fldCharType="separate"/>
            </w:r>
            <w:r>
              <w:rPr>
                <w:rFonts w:hint="default" w:ascii="Times New Roman" w:hAnsi="Times New Roman" w:eastAsia="宋体" w:cs="Times New Roman"/>
                <w:color w:val="000000" w:themeColor="text1"/>
                <w:kern w:val="2"/>
                <w:sz w:val="20"/>
                <w:szCs w:val="20"/>
                <w14:textFill>
                  <w14:solidFill>
                    <w14:schemeClr w14:val="tx1"/>
                  </w14:solidFill>
                </w14:textFill>
              </w:rPr>
              <w:t>⑤</w:t>
            </w: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fldChar w:fldCharType="end"/>
            </w:r>
          </w:p>
        </w:tc>
        <w:tc>
          <w:tcPr>
            <w:tcW w:w="684" w:type="pct"/>
            <w:tcMar>
              <w:left w:w="28" w:type="dxa"/>
              <w:right w:w="28" w:type="dxa"/>
            </w:tcMar>
            <w:vAlign w:val="center"/>
          </w:tcPr>
          <w:p>
            <w:pPr>
              <w:pStyle w:val="57"/>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t>本项目建成后全厂排放量（固体废物产生量）</w:t>
            </w: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fldChar w:fldCharType="separate"/>
            </w:r>
            <w:r>
              <w:rPr>
                <w:rFonts w:hint="default" w:ascii="Times New Roman" w:hAnsi="Times New Roman" w:eastAsia="宋体" w:cs="Times New Roman"/>
                <w:color w:val="000000" w:themeColor="text1"/>
                <w:kern w:val="2"/>
                <w:sz w:val="20"/>
                <w:szCs w:val="20"/>
                <w14:textFill>
                  <w14:solidFill>
                    <w14:schemeClr w14:val="tx1"/>
                  </w14:solidFill>
                </w14:textFill>
              </w:rPr>
              <w:t>⑥</w:t>
            </w:r>
            <w:r>
              <w:rPr>
                <w:rFonts w:hint="default" w:ascii="Times New Roman" w:hAnsi="Times New Roman" w:eastAsia="宋体" w:cs="Times New Roman"/>
                <w:snapToGrid w:val="0"/>
                <w:color w:val="000000" w:themeColor="text1"/>
                <w:spacing w:val="-16"/>
                <w:kern w:val="21"/>
                <w:sz w:val="20"/>
                <w:szCs w:val="20"/>
                <w14:textFill>
                  <w14:solidFill>
                    <w14:schemeClr w14:val="tx1"/>
                  </w14:solidFill>
                </w14:textFill>
              </w:rPr>
              <w:fldChar w:fldCharType="end"/>
            </w:r>
          </w:p>
        </w:tc>
        <w:tc>
          <w:tcPr>
            <w:tcW w:w="445" w:type="pct"/>
            <w:tcMar>
              <w:left w:w="28" w:type="dxa"/>
              <w:right w:w="28" w:type="dxa"/>
            </w:tcMar>
            <w:vAlign w:val="center"/>
          </w:tcPr>
          <w:p>
            <w:pPr>
              <w:pStyle w:val="57"/>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t>变化量</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instrText xml:space="preserve"> = 7 \* GB3 \* MERGEFORMAT </w:instrTex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separate"/>
            </w:r>
            <w:r>
              <w:rPr>
                <w:rFonts w:hint="default" w:ascii="Times New Roman" w:hAnsi="Times New Roman" w:eastAsia="宋体" w:cs="Times New Roman"/>
                <w:color w:val="000000" w:themeColor="text1"/>
                <w:kern w:val="2"/>
                <w:sz w:val="20"/>
                <w:szCs w:val="20"/>
                <w14:textFill>
                  <w14:solidFill>
                    <w14:schemeClr w14:val="tx1"/>
                  </w14:solidFill>
                </w14:textFill>
              </w:rPr>
              <w:t>⑦</w:t>
            </w:r>
            <w:r>
              <w:rPr>
                <w:rFonts w:hint="default" w:ascii="Times New Roman" w:hAnsi="Times New Roman" w:eastAsia="宋体" w:cs="Times New Roman"/>
                <w:snapToGrid w:val="0"/>
                <w:color w:val="000000" w:themeColor="text1"/>
                <w:spacing w:val="-6"/>
                <w:kern w:val="21"/>
                <w:sz w:val="20"/>
                <w:szCs w:val="20"/>
                <w14:textFill>
                  <w14:solidFill>
                    <w14:schemeClr w14:val="tx1"/>
                  </w14:solidFill>
                </w14:textFill>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restart"/>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t>废气</w:t>
            </w:r>
          </w:p>
        </w:tc>
        <w:tc>
          <w:tcPr>
            <w:tcW w:w="614"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t>颗粒物</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0t/a</w:t>
            </w:r>
          </w:p>
        </w:tc>
        <w:tc>
          <w:tcPr>
            <w:tcW w:w="423"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4.42</w:t>
            </w: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4.42</w:t>
            </w: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45"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+4.42</w:t>
            </w:r>
            <w:r>
              <w:rPr>
                <w:rFonts w:hint="eastAsia" w:ascii="Times New Roman" w:eastAsia="宋体" w:cs="Times New Roman"/>
                <w:b w:val="0"/>
                <w:bCs/>
                <w:color w:val="000000" w:themeColor="text1"/>
                <w:ker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614"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t>二氧化硫</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0t/a</w:t>
            </w:r>
          </w:p>
        </w:tc>
        <w:tc>
          <w:tcPr>
            <w:tcW w:w="423"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0.739t/a</w:t>
            </w:r>
          </w:p>
        </w:tc>
        <w:tc>
          <w:tcPr>
            <w:tcW w:w="593"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0.739t/a</w:t>
            </w:r>
          </w:p>
        </w:tc>
        <w:tc>
          <w:tcPr>
            <w:tcW w:w="445"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+0.739t/a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614"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t>氮氧化物</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0t/a</w:t>
            </w:r>
          </w:p>
        </w:tc>
        <w:tc>
          <w:tcPr>
            <w:tcW w:w="423"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5.55t/a</w:t>
            </w:r>
          </w:p>
        </w:tc>
        <w:tc>
          <w:tcPr>
            <w:tcW w:w="593"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5.55t/a</w:t>
            </w:r>
          </w:p>
        </w:tc>
        <w:tc>
          <w:tcPr>
            <w:tcW w:w="445"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+5.55t/a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614"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t>非甲烷总烃</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0.339t/a</w:t>
            </w:r>
          </w:p>
        </w:tc>
        <w:tc>
          <w:tcPr>
            <w:tcW w:w="423"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4.289t/a</w:t>
            </w:r>
          </w:p>
        </w:tc>
        <w:tc>
          <w:tcPr>
            <w:tcW w:w="593"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4.628t/a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+4.289t/a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restart"/>
            <w:shd w:val="clear" w:color="auto" w:fill="auto"/>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bidi="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t>废</w:t>
            </w:r>
            <w:r>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t>水</w:t>
            </w:r>
          </w:p>
        </w:tc>
        <w:tc>
          <w:tcPr>
            <w:tcW w:w="614"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bidi="ar-SA"/>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0"/>
                <w:szCs w:val="20"/>
                <w:lang w:val="en-US" w:eastAsia="zh-CN" w:bidi="ar-SA"/>
                <w14:textFill>
                  <w14:solidFill>
                    <w14:schemeClr w14:val="tx1"/>
                  </w14:solidFill>
                </w14:textFill>
              </w:rPr>
              <w:t>化学需氧量</w:t>
            </w:r>
          </w:p>
        </w:tc>
        <w:tc>
          <w:tcPr>
            <w:tcW w:w="628"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423"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593"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84"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445"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shd w:val="clear" w:color="auto" w:fill="auto"/>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pPr>
          </w:p>
        </w:tc>
        <w:tc>
          <w:tcPr>
            <w:tcW w:w="614"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五日生化需氧量</w:t>
            </w:r>
          </w:p>
        </w:tc>
        <w:tc>
          <w:tcPr>
            <w:tcW w:w="628"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423"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593"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84"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445"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shd w:val="clear" w:color="auto" w:fill="auto"/>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pPr>
          </w:p>
        </w:tc>
        <w:tc>
          <w:tcPr>
            <w:tcW w:w="614"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悬浮物</w:t>
            </w:r>
          </w:p>
        </w:tc>
        <w:tc>
          <w:tcPr>
            <w:tcW w:w="628"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423"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593"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84"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445"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shd w:val="clear" w:color="auto" w:fill="auto"/>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pPr>
          </w:p>
        </w:tc>
        <w:tc>
          <w:tcPr>
            <w:tcW w:w="614"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氨氮</w:t>
            </w:r>
          </w:p>
        </w:tc>
        <w:tc>
          <w:tcPr>
            <w:tcW w:w="628"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423"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593"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84"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445" w:type="pct"/>
            <w:shd w:val="clear" w:color="auto" w:fill="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restart"/>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t>一般工业固体废物</w:t>
            </w: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废边角料</w:t>
            </w:r>
          </w:p>
        </w:tc>
        <w:tc>
          <w:tcPr>
            <w:tcW w:w="628" w:type="pct"/>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20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zh-CN" w:eastAsia="zh-CN" w:bidi="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0"/>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10530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10570t/a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+10530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废护套</w:t>
            </w:r>
          </w:p>
        </w:tc>
        <w:tc>
          <w:tcPr>
            <w:tcW w:w="628" w:type="pct"/>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120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120t/a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不合格品</w:t>
            </w:r>
          </w:p>
        </w:tc>
        <w:tc>
          <w:tcPr>
            <w:tcW w:w="628" w:type="pct"/>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20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26t/a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废金属线（头）、废包装材料</w:t>
            </w:r>
          </w:p>
        </w:tc>
        <w:tc>
          <w:tcPr>
            <w:tcW w:w="628" w:type="pct"/>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20.9</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5</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20.95</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+20.95</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挤塑废料</w:t>
            </w:r>
          </w:p>
        </w:tc>
        <w:tc>
          <w:tcPr>
            <w:tcW w:w="628" w:type="pct"/>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2.1</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2.1t/a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+2.1</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restart"/>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t>危险废物</w:t>
            </w: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废催化剂</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1.0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0.12</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1.12t/a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+0.12</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交联废液</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5.0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废皂化液</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4.0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废助焊剂沾染物</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4.0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0t/a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废过滤网</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7.0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7.0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+7.0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废润滑油</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4.9</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4.3t/a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614" w:type="pct"/>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废润滑油桶</w:t>
            </w:r>
          </w:p>
        </w:tc>
        <w:tc>
          <w:tcPr>
            <w:tcW w:w="628"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1.0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423"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54" w:type="pct"/>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610" w:type="pct"/>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0.1</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593" w:type="pct"/>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684" w:type="pct"/>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1.1t/a</w:t>
            </w:r>
          </w:p>
        </w:tc>
        <w:tc>
          <w:tcPr>
            <w:tcW w:w="445" w:type="pct"/>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+0.1</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0" w:type="auto"/>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废活性炭</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10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2.0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12.0t/a</w:t>
            </w:r>
          </w:p>
        </w:tc>
        <w:tc>
          <w:tcPr>
            <w:tcW w:w="0" w:type="auto"/>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+2.0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0" w:type="auto"/>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废油墨桶、废弃粘合剂包装桶</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1.5</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1.5t/a</w:t>
            </w:r>
          </w:p>
        </w:tc>
        <w:tc>
          <w:tcPr>
            <w:tcW w:w="0" w:type="auto"/>
            <w:shd w:val="clear" w:color="auto" w:fill="auto"/>
            <w:vAlign w:val="center"/>
          </w:tcPr>
          <w:p>
            <w:pPr>
              <w:bidi w:val="0"/>
              <w:ind w:left="0" w:lef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0" w:type="auto"/>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t>铝灰渣</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1320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1320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+1320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0" w:type="auto"/>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除尘器收尘灰</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216.56</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216.56</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+216.56</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0" w:type="auto"/>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废除尘袋</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0.1t/5a</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0.1t/5a</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+0.1t/5a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0" w:type="auto"/>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kern w:val="2"/>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废乳化液</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4.0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4.0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+4.0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0" w:type="auto"/>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废洗涤液、废洗涤液桶</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shd w:val="clear" w:color="auto" w:fill="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0.12t/a</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0.12t/a</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cs="Times New Roman"/>
                <w:b w:val="0"/>
                <w:bCs/>
                <w:color w:val="000000" w:themeColor="text1"/>
                <w:sz w:val="21"/>
                <w:szCs w:val="21"/>
                <w:lang w:val="en-US" w:eastAsia="zh-CN"/>
                <w14:textFill>
                  <w14:solidFill>
                    <w14:schemeClr w14:val="tx1"/>
                  </w14:solidFill>
                </w14:textFill>
              </w:rPr>
              <w:t>+0.12t/a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3" w:type="pct"/>
            <w:vMerge w:val="continue"/>
            <w:vAlign w:val="center"/>
          </w:tcPr>
          <w:p>
            <w:pPr>
              <w:pStyle w:val="57"/>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0"/>
                <w:szCs w:val="20"/>
                <w:lang w:val="en-US" w:eastAsia="zh-CN"/>
                <w14:textFill>
                  <w14:solidFill>
                    <w14:schemeClr w14:val="tx1"/>
                  </w14:solidFill>
                </w14:textFill>
              </w:rPr>
            </w:pPr>
          </w:p>
        </w:tc>
        <w:tc>
          <w:tcPr>
            <w:tcW w:w="0" w:type="auto"/>
            <w:shd w:val="clear" w:color="auto" w:fill="auto"/>
            <w:vAlign w:val="center"/>
          </w:tcPr>
          <w:p>
            <w:pPr>
              <w:keepNext w:val="0"/>
              <w:keepLines w:val="0"/>
              <w:pageBreakBefore w:val="0"/>
              <w:widowControl w:val="0"/>
              <w:shd w:val="clear" w:color="auto" w:fill="auto"/>
              <w:kinsoku/>
              <w:wordWrap w:val="0"/>
              <w:overflowPunct/>
              <w:topLinePunct w:val="0"/>
              <w:autoSpaceDE/>
              <w:autoSpaceDN/>
              <w:bidi w:val="0"/>
              <w:adjustRightInd/>
              <w:snapToGrid w:val="0"/>
              <w:spacing w:before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bidi="zh-CN"/>
                <w14:textFill>
                  <w14:solidFill>
                    <w14:schemeClr w14:val="tx1"/>
                  </w14:solidFill>
                </w14:textFill>
              </w:rPr>
              <w:t>废弃的含油抹布、劳保用品（豁免）</w:t>
            </w:r>
          </w:p>
        </w:tc>
        <w:tc>
          <w:tcPr>
            <w:tcW w:w="0" w:type="auto"/>
            <w:shd w:val="clear" w:color="auto" w:fill="auto"/>
            <w:vAlign w:val="center"/>
          </w:tcPr>
          <w:p>
            <w:pPr>
              <w:pStyle w:val="57"/>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0"/>
                <w:sz w:val="21"/>
                <w:szCs w:val="21"/>
                <w:highlight w:val="none"/>
                <w:vertAlign w:val="baseline"/>
                <w:lang w:val="en-US" w:eastAsia="zh-CN" w:bidi="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vAlign w:val="center"/>
          </w:tcPr>
          <w:p>
            <w:pPr>
              <w:keepNext w:val="0"/>
              <w:keepLines w:val="0"/>
              <w:pageBreakBefore w:val="0"/>
              <w:kinsoku/>
              <w:wordWrap/>
              <w:overflowPunct/>
              <w:topLinePunct w:val="0"/>
              <w:autoSpaceDE/>
              <w:autoSpaceDN/>
              <w:bidi w:val="0"/>
              <w:adjustRightInd/>
              <w:snapToGrid/>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t>/</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0.01</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2"/>
                <w:sz w:val="20"/>
                <w:szCs w:val="20"/>
                <w:lang w:val="en-US" w:eastAsia="zh-CN" w:bidi="ar-SA"/>
                <w14:textFill>
                  <w14:solidFill>
                    <w14:schemeClr w14:val="tx1"/>
                  </w14:solidFill>
                </w14:textFill>
              </w:rPr>
              <w:t>0</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0.01</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c>
          <w:tcPr>
            <w:tcW w:w="0" w:type="auto"/>
            <w:shd w:val="clear" w:color="auto" w:fill="auto"/>
            <w:vAlign w:val="center"/>
          </w:tcPr>
          <w:p>
            <w:pPr>
              <w:widowControl w:val="0"/>
              <w:bidi w:val="0"/>
              <w:ind w:left="0" w:leftChars="0" w:right="0" w:rightChars="0" w:firstLine="0" w:firstLineChars="0"/>
              <w:jc w:val="center"/>
              <w:outlineLvl w:val="9"/>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+0.01</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p>
        </w:tc>
      </w:tr>
    </w:tbl>
    <w:p>
      <w:pPr>
        <w:pStyle w:val="57"/>
        <w:spacing w:before="249" w:beforeLines="80" w:after="31"/>
        <w:jc w:val="left"/>
        <w:rPr>
          <w:rFonts w:ascii="Times New Roman" w:hAnsi="Times New Roman" w:cs="Times New Roman"/>
          <w:b w:val="0"/>
          <w:bCs/>
          <w:snapToGrid w:val="0"/>
          <w:color w:val="000000" w:themeColor="text1"/>
          <w:spacing w:val="-6"/>
          <w:kern w:val="21"/>
          <w:szCs w:val="21"/>
          <w14:textFill>
            <w14:solidFill>
              <w14:schemeClr w14:val="tx1"/>
            </w14:solidFill>
          </w14:textFill>
        </w:rPr>
        <w:sectPr>
          <w:pgSz w:w="16838" w:h="11906" w:orient="landscape"/>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b w:val="0"/>
          <w:bCs/>
          <w:snapToGrid w:val="0"/>
          <w:color w:val="000000" w:themeColor="text1"/>
          <w:kern w:val="21"/>
          <w:szCs w:val="21"/>
          <w14:textFill>
            <w14:solidFill>
              <w14:schemeClr w14:val="tx1"/>
            </w14:solidFill>
          </w14:textFill>
        </w:rPr>
        <w:t>注：</w:t>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fldChar w:fldCharType="begin"/>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instrText xml:space="preserve"> = 6 \* GB3 \* MERGEFORMAT </w:instrText>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eastAsia="宋体" w:cs="Times New Roman"/>
          <w:b w:val="0"/>
          <w:bCs/>
          <w:color w:val="000000" w:themeColor="text1"/>
          <w:szCs w:val="21"/>
          <w14:textFill>
            <w14:solidFill>
              <w14:schemeClr w14:val="tx1"/>
            </w14:solidFill>
          </w14:textFill>
        </w:rPr>
        <w:t>⑥</w:t>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fldChar w:fldCharType="end"/>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t>=</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instrText xml:space="preserve"> = 1 \* GB3 \* MERGEFORMAT </w:instrTex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b w:val="0"/>
          <w:bCs/>
          <w:color w:val="000000" w:themeColor="text1"/>
          <w:szCs w:val="21"/>
          <w14:textFill>
            <w14:solidFill>
              <w14:schemeClr w14:val="tx1"/>
            </w14:solidFill>
          </w14:textFill>
        </w:rPr>
        <w:t>①</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instrText xml:space="preserve"> = 3 \* GB3 \* MERGEFORMAT </w:instrTex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b w:val="0"/>
          <w:bCs/>
          <w:color w:val="000000" w:themeColor="text1"/>
          <w:szCs w:val="21"/>
          <w14:textFill>
            <w14:solidFill>
              <w14:schemeClr w14:val="tx1"/>
            </w14:solidFill>
          </w14:textFill>
        </w:rPr>
        <w:t>③</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instrText xml:space="preserve"> = 4 \* GB3 \* MERGEFORMAT </w:instrTex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b w:val="0"/>
          <w:bCs/>
          <w:color w:val="000000" w:themeColor="text1"/>
          <w:szCs w:val="21"/>
          <w14:textFill>
            <w14:solidFill>
              <w14:schemeClr w14:val="tx1"/>
            </w14:solidFill>
          </w14:textFill>
        </w:rPr>
        <w:t>④</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fldChar w:fldCharType="begin"/>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instrText xml:space="preserve"> = 5 \* GB3 \* MERGEFORMAT </w:instrText>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eastAsia="宋体" w:cs="Times New Roman"/>
          <w:b w:val="0"/>
          <w:bCs/>
          <w:color w:val="000000" w:themeColor="text1"/>
          <w:szCs w:val="21"/>
          <w14:textFill>
            <w14:solidFill>
              <w14:schemeClr w14:val="tx1"/>
            </w14:solidFill>
          </w14:textFill>
        </w:rPr>
        <w:t>⑤</w:t>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fldChar w:fldCharType="end"/>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t>；</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instrText xml:space="preserve"> = 7 \* GB3 \* MERGEFORMAT </w:instrTex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b w:val="0"/>
          <w:bCs/>
          <w:color w:val="000000" w:themeColor="text1"/>
          <w:szCs w:val="21"/>
          <w14:textFill>
            <w14:solidFill>
              <w14:schemeClr w14:val="tx1"/>
            </w14:solidFill>
          </w14:textFill>
        </w:rPr>
        <w:t>⑦</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end"/>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t>=</w:t>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fldChar w:fldCharType="begin"/>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instrText xml:space="preserve"> = 6 \* GB3 \* MERGEFORMAT </w:instrText>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fldChar w:fldCharType="separate"/>
      </w:r>
      <w:r>
        <w:rPr>
          <w:rFonts w:hint="default" w:ascii="Times New Roman" w:hAnsi="Times New Roman" w:eastAsia="宋体" w:cs="Times New Roman"/>
          <w:b w:val="0"/>
          <w:bCs/>
          <w:color w:val="000000" w:themeColor="text1"/>
          <w:szCs w:val="21"/>
          <w14:textFill>
            <w14:solidFill>
              <w14:schemeClr w14:val="tx1"/>
            </w14:solidFill>
          </w14:textFill>
        </w:rPr>
        <w:t>⑥</w:t>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fldChar w:fldCharType="end"/>
      </w:r>
      <w:r>
        <w:rPr>
          <w:rFonts w:hint="default" w:ascii="Times New Roman" w:hAnsi="Times New Roman" w:eastAsia="宋体" w:cs="Times New Roman"/>
          <w:b w:val="0"/>
          <w:bCs/>
          <w:snapToGrid w:val="0"/>
          <w:color w:val="000000" w:themeColor="text1"/>
          <w:spacing w:val="-16"/>
          <w:kern w:val="21"/>
          <w:szCs w:val="21"/>
          <w14:textFill>
            <w14:solidFill>
              <w14:schemeClr w14:val="tx1"/>
            </w14:solidFill>
          </w14:textFill>
        </w:rPr>
        <w:t>-</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begin"/>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instrText xml:space="preserve"> = 1 \* GB3 \* MERGEFORMAT </w:instrTex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separate"/>
      </w:r>
      <w:r>
        <w:rPr>
          <w:rFonts w:hint="default" w:ascii="Times New Roman" w:hAnsi="Times New Roman" w:eastAsia="宋体" w:cs="Times New Roman"/>
          <w:b w:val="0"/>
          <w:bCs/>
          <w:color w:val="000000" w:themeColor="text1"/>
          <w:szCs w:val="21"/>
          <w14:textFill>
            <w14:solidFill>
              <w14:schemeClr w14:val="tx1"/>
            </w14:solidFill>
          </w14:textFill>
        </w:rPr>
        <w:t>①</w:t>
      </w:r>
      <w:r>
        <w:rPr>
          <w:rFonts w:hint="default" w:ascii="Times New Roman" w:hAnsi="Times New Roman" w:eastAsia="宋体" w:cs="Times New Roman"/>
          <w:b w:val="0"/>
          <w:bCs/>
          <w:snapToGrid w:val="0"/>
          <w:color w:val="000000" w:themeColor="text1"/>
          <w:spacing w:val="-6"/>
          <w:kern w:val="21"/>
          <w:szCs w:val="21"/>
          <w14:textFill>
            <w14:solidFill>
              <w14:schemeClr w14:val="tx1"/>
            </w14:solidFill>
          </w14:textFill>
        </w:rPr>
        <w:fldChar w:fldCharType="end"/>
      </w:r>
    </w:p>
    <w:p>
      <w:pPr>
        <w:spacing w:line="360" w:lineRule="auto"/>
        <w:rPr>
          <w:rFonts w:cs="Times New Roman"/>
          <w:bCs/>
          <w:color w:val="000000" w:themeColor="text1"/>
          <w:sz w:val="28"/>
          <w:szCs w:val="36"/>
          <w14:textFill>
            <w14:solidFill>
              <w14:schemeClr w14:val="tx1"/>
            </w14:solidFill>
          </w14:textFill>
        </w:rPr>
      </w:pPr>
      <w:r>
        <w:rPr>
          <w:rFonts w:cs="Times New Roman"/>
          <w:bCs/>
          <w:color w:val="000000" w:themeColor="text1"/>
          <w:sz w:val="28"/>
          <w:szCs w:val="36"/>
          <w14:textFill>
            <w14:solidFill>
              <w14:schemeClr w14:val="tx1"/>
            </w14:solidFill>
          </w14:textFill>
        </w:rPr>
        <w:t>附图：</w:t>
      </w:r>
    </w:p>
    <w:p>
      <w:pPr>
        <w:spacing w:line="360" w:lineRule="auto"/>
        <w:ind w:firstLine="480" w:firstLineChars="200"/>
        <w:rPr>
          <w:rFonts w:ascii="Times New Roman" w:hAnsi="Times New Roman" w:eastAsia="宋体" w:cs="Times New Roman"/>
          <w:b w:val="0"/>
          <w:bCs/>
          <w:color w:val="000000" w:themeColor="text1"/>
          <w:szCs w:val="32"/>
          <w14:textFill>
            <w14:solidFill>
              <w14:schemeClr w14:val="tx1"/>
            </w14:solidFill>
          </w14:textFill>
        </w:rPr>
      </w:pPr>
      <w:r>
        <w:rPr>
          <w:rFonts w:cs="Times New Roman"/>
          <w:b w:val="0"/>
          <w:bCs/>
          <w:color w:val="000000" w:themeColor="text1"/>
          <w:szCs w:val="32"/>
          <w14:textFill>
            <w14:solidFill>
              <w14:schemeClr w14:val="tx1"/>
            </w14:solidFill>
          </w14:textFill>
        </w:rPr>
        <w:t>附</w:t>
      </w:r>
      <w:r>
        <w:rPr>
          <w:rFonts w:ascii="Times New Roman" w:hAnsi="Times New Roman" w:eastAsia="宋体" w:cs="Times New Roman"/>
          <w:b w:val="0"/>
          <w:bCs/>
          <w:color w:val="000000" w:themeColor="text1"/>
          <w:szCs w:val="32"/>
          <w14:textFill>
            <w14:solidFill>
              <w14:schemeClr w14:val="tx1"/>
            </w14:solidFill>
          </w14:textFill>
        </w:rPr>
        <w:t>图1：</w:t>
      </w: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本项目与昌吉高新技术产业开发区规划位置图</w:t>
      </w:r>
    </w:p>
    <w:p>
      <w:pPr>
        <w:spacing w:line="360" w:lineRule="auto"/>
        <w:ind w:firstLine="480" w:firstLineChars="200"/>
        <w:rPr>
          <w:rFonts w:ascii="Times New Roman" w:hAnsi="Times New Roman" w:eastAsia="宋体" w:cs="Times New Roman"/>
          <w:b w:val="0"/>
          <w:bCs/>
          <w:color w:val="000000" w:themeColor="text1"/>
          <w:szCs w:val="32"/>
          <w14:textFill>
            <w14:solidFill>
              <w14:schemeClr w14:val="tx1"/>
            </w14:solidFill>
          </w14:textFill>
        </w:rPr>
      </w:pP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附图</w:t>
      </w:r>
      <w:r>
        <w:rPr>
          <w:rFonts w:hint="eastAsia" w:cs="Times New Roman"/>
          <w:b w:val="0"/>
          <w:bCs/>
          <w:color w:val="000000" w:themeColor="text1"/>
          <w:szCs w:val="32"/>
          <w:lang w:val="en-US" w:eastAsia="zh-CN"/>
          <w14:textFill>
            <w14:solidFill>
              <w14:schemeClr w14:val="tx1"/>
            </w14:solidFill>
          </w14:textFill>
        </w:rPr>
        <w:t>2</w:t>
      </w: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：本项目与昌吉高新技术产业开发区功能分区位置关系图</w:t>
      </w:r>
    </w:p>
    <w:p>
      <w:pPr>
        <w:spacing w:line="360" w:lineRule="auto"/>
        <w:ind w:firstLine="480" w:firstLineChars="200"/>
        <w:rPr>
          <w:rFonts w:hint="eastAsia" w:ascii="Times New Roman" w:hAnsi="Times New Roman" w:eastAsia="宋体" w:cs="Times New Roman"/>
          <w:b w:val="0"/>
          <w:bCs/>
          <w:color w:val="000000" w:themeColor="text1"/>
          <w:szCs w:val="32"/>
          <w:lang w:val="en-US" w:eastAsia="zh-CN"/>
          <w14:textFill>
            <w14:solidFill>
              <w14:schemeClr w14:val="tx1"/>
            </w14:solidFill>
          </w14:textFill>
        </w:rPr>
      </w:pP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附图</w:t>
      </w:r>
      <w:r>
        <w:rPr>
          <w:rFonts w:hint="eastAsia" w:cs="Times New Roman"/>
          <w:b w:val="0"/>
          <w:bCs/>
          <w:color w:val="000000" w:themeColor="text1"/>
          <w:szCs w:val="32"/>
          <w:lang w:val="en-US" w:eastAsia="zh-CN"/>
          <w14:textFill>
            <w14:solidFill>
              <w14:schemeClr w14:val="tx1"/>
            </w14:solidFill>
          </w14:textFill>
        </w:rPr>
        <w:t>3</w:t>
      </w: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：昌吉回族自治州环境管控单元分类图</w:t>
      </w:r>
    </w:p>
    <w:p>
      <w:pPr>
        <w:spacing w:line="360" w:lineRule="auto"/>
        <w:ind w:firstLine="480" w:firstLineChars="200"/>
        <w:rPr>
          <w:rFonts w:ascii="Times New Roman" w:hAnsi="Times New Roman" w:eastAsia="宋体" w:cs="Times New Roman"/>
          <w:b w:val="0"/>
          <w:bCs/>
          <w:color w:val="000000" w:themeColor="text1"/>
          <w:szCs w:val="32"/>
          <w14:textFill>
            <w14:solidFill>
              <w14:schemeClr w14:val="tx1"/>
            </w14:solidFill>
          </w14:textFill>
        </w:rPr>
      </w:pPr>
      <w:r>
        <w:rPr>
          <w:rFonts w:ascii="Times New Roman" w:hAnsi="Times New Roman" w:eastAsia="宋体" w:cs="Times New Roman"/>
          <w:b w:val="0"/>
          <w:bCs/>
          <w:color w:val="000000" w:themeColor="text1"/>
          <w:szCs w:val="32"/>
          <w14:textFill>
            <w14:solidFill>
              <w14:schemeClr w14:val="tx1"/>
            </w14:solidFill>
          </w14:textFill>
        </w:rPr>
        <w:t>附图</w:t>
      </w:r>
      <w:r>
        <w:rPr>
          <w:rFonts w:hint="eastAsia" w:cs="Times New Roman"/>
          <w:b w:val="0"/>
          <w:bCs/>
          <w:color w:val="000000" w:themeColor="text1"/>
          <w:szCs w:val="32"/>
          <w:lang w:val="en-US" w:eastAsia="zh-CN"/>
          <w14:textFill>
            <w14:solidFill>
              <w14:schemeClr w14:val="tx1"/>
            </w14:solidFill>
          </w14:textFill>
        </w:rPr>
        <w:t>4</w:t>
      </w:r>
      <w:r>
        <w:rPr>
          <w:rFonts w:ascii="Times New Roman" w:hAnsi="Times New Roman" w:eastAsia="宋体" w:cs="Times New Roman"/>
          <w:b w:val="0"/>
          <w:bCs/>
          <w:color w:val="000000" w:themeColor="text1"/>
          <w:szCs w:val="32"/>
          <w14:textFill>
            <w14:solidFill>
              <w14:schemeClr w14:val="tx1"/>
            </w14:solidFill>
          </w14:textFill>
        </w:rPr>
        <w:t>：</w:t>
      </w: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地理位置图</w:t>
      </w:r>
    </w:p>
    <w:p>
      <w:pPr>
        <w:spacing w:line="360" w:lineRule="auto"/>
        <w:ind w:firstLine="480" w:firstLineChars="200"/>
        <w:rPr>
          <w:rFonts w:ascii="Times New Roman" w:hAnsi="Times New Roman" w:eastAsia="宋体" w:cs="Times New Roman"/>
          <w:b w:val="0"/>
          <w:bCs/>
          <w:color w:val="000000" w:themeColor="text1"/>
          <w:szCs w:val="32"/>
          <w14:textFill>
            <w14:solidFill>
              <w14:schemeClr w14:val="tx1"/>
            </w14:solidFill>
          </w14:textFill>
        </w:rPr>
      </w:pPr>
      <w:r>
        <w:rPr>
          <w:rFonts w:ascii="Times New Roman" w:hAnsi="Times New Roman" w:eastAsia="宋体" w:cs="Times New Roman"/>
          <w:b w:val="0"/>
          <w:bCs/>
          <w:color w:val="000000" w:themeColor="text1"/>
          <w:szCs w:val="32"/>
          <w14:textFill>
            <w14:solidFill>
              <w14:schemeClr w14:val="tx1"/>
            </w14:solidFill>
          </w14:textFill>
        </w:rPr>
        <w:t>附图</w:t>
      </w:r>
      <w:r>
        <w:rPr>
          <w:rFonts w:hint="eastAsia" w:cs="Times New Roman"/>
          <w:b w:val="0"/>
          <w:bCs/>
          <w:color w:val="000000" w:themeColor="text1"/>
          <w:szCs w:val="32"/>
          <w:lang w:val="en-US" w:eastAsia="zh-CN"/>
          <w14:textFill>
            <w14:solidFill>
              <w14:schemeClr w14:val="tx1"/>
            </w14:solidFill>
          </w14:textFill>
        </w:rPr>
        <w:t>5</w:t>
      </w:r>
      <w:r>
        <w:rPr>
          <w:rFonts w:hint="eastAsia" w:ascii="Times New Roman" w:hAnsi="Times New Roman" w:eastAsia="宋体" w:cs="Times New Roman"/>
          <w:b w:val="0"/>
          <w:bCs/>
          <w:color w:val="000000" w:themeColor="text1"/>
          <w:szCs w:val="32"/>
          <w14:textFill>
            <w14:solidFill>
              <w14:schemeClr w14:val="tx1"/>
            </w14:solidFill>
          </w14:textFill>
        </w:rPr>
        <w:t>：</w:t>
      </w: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周边关系图</w:t>
      </w:r>
    </w:p>
    <w:p>
      <w:pPr>
        <w:spacing w:line="360" w:lineRule="auto"/>
        <w:ind w:firstLine="480" w:firstLineChars="200"/>
        <w:rPr>
          <w:rFonts w:hint="eastAsia" w:ascii="Times New Roman" w:hAnsi="Times New Roman" w:eastAsia="宋体" w:cs="Times New Roman"/>
          <w:b w:val="0"/>
          <w:bCs/>
          <w:color w:val="000000" w:themeColor="text1"/>
          <w:szCs w:val="32"/>
          <w:lang w:val="en-US" w:eastAsia="zh-CN"/>
          <w14:textFill>
            <w14:solidFill>
              <w14:schemeClr w14:val="tx1"/>
            </w14:solidFill>
          </w14:textFill>
        </w:rPr>
      </w:pP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附图</w:t>
      </w:r>
      <w:r>
        <w:rPr>
          <w:rFonts w:hint="eastAsia" w:cs="Times New Roman"/>
          <w:b w:val="0"/>
          <w:bCs/>
          <w:color w:val="000000" w:themeColor="text1"/>
          <w:szCs w:val="32"/>
          <w:lang w:val="en-US" w:eastAsia="zh-CN"/>
          <w14:textFill>
            <w14:solidFill>
              <w14:schemeClr w14:val="tx1"/>
            </w14:solidFill>
          </w14:textFill>
        </w:rPr>
        <w:t>6</w:t>
      </w: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：平面布置图</w:t>
      </w:r>
    </w:p>
    <w:p>
      <w:pPr>
        <w:spacing w:line="360" w:lineRule="auto"/>
        <w:ind w:firstLine="480" w:firstLineChars="200"/>
        <w:rPr>
          <w:rFonts w:hint="eastAsia" w:ascii="Times New Roman" w:hAnsi="Times New Roman" w:eastAsia="宋体" w:cs="Times New Roman"/>
          <w:b w:val="0"/>
          <w:bCs/>
          <w:color w:val="000000" w:themeColor="text1"/>
          <w:szCs w:val="32"/>
          <w:lang w:val="en-US" w:eastAsia="zh-CN"/>
          <w14:textFill>
            <w14:solidFill>
              <w14:schemeClr w14:val="tx1"/>
            </w14:solidFill>
          </w14:textFill>
        </w:rPr>
      </w:pP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附图</w:t>
      </w:r>
      <w:r>
        <w:rPr>
          <w:rFonts w:hint="eastAsia" w:cs="Times New Roman"/>
          <w:b w:val="0"/>
          <w:bCs/>
          <w:color w:val="000000" w:themeColor="text1"/>
          <w:szCs w:val="32"/>
          <w:lang w:val="en-US" w:eastAsia="zh-CN"/>
          <w14:textFill>
            <w14:solidFill>
              <w14:schemeClr w14:val="tx1"/>
            </w14:solidFill>
          </w14:textFill>
        </w:rPr>
        <w:t>7</w:t>
      </w: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：引用大气监测点位图</w:t>
      </w:r>
    </w:p>
    <w:p>
      <w:pPr>
        <w:pStyle w:val="2"/>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附图</w:t>
      </w:r>
      <w:r>
        <w:rPr>
          <w:rFonts w:hint="eastAsia" w:cs="Times New Roman"/>
          <w:b w:val="0"/>
          <w:bCs/>
          <w:color w:val="000000" w:themeColor="text1"/>
          <w:szCs w:val="32"/>
          <w:lang w:val="en-US" w:eastAsia="zh-CN"/>
          <w14:textFill>
            <w14:solidFill>
              <w14:schemeClr w14:val="tx1"/>
            </w14:solidFill>
          </w14:textFill>
        </w:rPr>
        <w:t>8</w:t>
      </w: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：分区防渗图</w:t>
      </w:r>
    </w:p>
    <w:p>
      <w:pPr>
        <w:pStyle w:val="27"/>
        <w:ind w:firstLine="0" w:firstLineChars="0"/>
        <w:rPr>
          <w:rFonts w:cs="Times New Roman"/>
          <w:b/>
          <w:bCs/>
          <w:color w:val="000000" w:themeColor="text1"/>
          <w:sz w:val="28"/>
          <w:szCs w:val="36"/>
          <w14:textFill>
            <w14:solidFill>
              <w14:schemeClr w14:val="tx1"/>
            </w14:solidFill>
          </w14:textFill>
        </w:rPr>
      </w:pPr>
    </w:p>
    <w:p>
      <w:pPr>
        <w:pStyle w:val="27"/>
        <w:ind w:firstLine="0" w:firstLineChars="0"/>
        <w:rPr>
          <w:rFonts w:cs="Times New Roman"/>
          <w:b/>
          <w:bCs/>
          <w:color w:val="000000" w:themeColor="text1"/>
          <w:sz w:val="28"/>
          <w:szCs w:val="36"/>
          <w14:textFill>
            <w14:solidFill>
              <w14:schemeClr w14:val="tx1"/>
            </w14:solidFill>
          </w14:textFill>
        </w:rPr>
      </w:pPr>
    </w:p>
    <w:p>
      <w:pPr>
        <w:pStyle w:val="27"/>
        <w:ind w:firstLine="0" w:firstLineChars="0"/>
        <w:rPr>
          <w:rFonts w:cs="Times New Roman"/>
          <w:b/>
          <w:bCs/>
          <w:color w:val="000000" w:themeColor="text1"/>
          <w:sz w:val="28"/>
          <w:szCs w:val="36"/>
          <w14:textFill>
            <w14:solidFill>
              <w14:schemeClr w14:val="tx1"/>
            </w14:solidFill>
          </w14:textFill>
        </w:rPr>
      </w:pPr>
      <w:r>
        <w:rPr>
          <w:rFonts w:cs="Times New Roman"/>
          <w:b/>
          <w:bCs/>
          <w:color w:val="000000" w:themeColor="text1"/>
          <w:sz w:val="28"/>
          <w:szCs w:val="36"/>
          <w14:textFill>
            <w14:solidFill>
              <w14:schemeClr w14:val="tx1"/>
            </w14:solidFill>
          </w14:textFill>
        </w:rPr>
        <w:t>附件：</w:t>
      </w:r>
    </w:p>
    <w:p>
      <w:pPr>
        <w:spacing w:line="360" w:lineRule="auto"/>
        <w:ind w:firstLine="480" w:firstLineChars="200"/>
        <w:rPr>
          <w:rFonts w:cs="Times New Roman"/>
          <w:b w:val="0"/>
          <w:bCs/>
          <w:color w:val="000000" w:themeColor="text1"/>
          <w:szCs w:val="32"/>
          <w14:textFill>
            <w14:solidFill>
              <w14:schemeClr w14:val="tx1"/>
            </w14:solidFill>
          </w14:textFill>
        </w:rPr>
      </w:pPr>
      <w:r>
        <w:rPr>
          <w:rFonts w:cs="Times New Roman"/>
          <w:b w:val="0"/>
          <w:bCs/>
          <w:color w:val="000000" w:themeColor="text1"/>
          <w:szCs w:val="32"/>
          <w14:textFill>
            <w14:solidFill>
              <w14:schemeClr w14:val="tx1"/>
            </w14:solidFill>
          </w14:textFill>
        </w:rPr>
        <w:t>附件1：委托书</w:t>
      </w:r>
    </w:p>
    <w:p>
      <w:pPr>
        <w:spacing w:line="360" w:lineRule="auto"/>
        <w:ind w:firstLine="480" w:firstLineChars="200"/>
        <w:rPr>
          <w:rFonts w:hint="eastAsia" w:eastAsia="宋体" w:cs="Times New Roman"/>
          <w:b w:val="0"/>
          <w:bCs/>
          <w:color w:val="000000" w:themeColor="text1"/>
          <w:szCs w:val="32"/>
          <w:lang w:val="en-US" w:eastAsia="zh-CN"/>
          <w14:textFill>
            <w14:solidFill>
              <w14:schemeClr w14:val="tx1"/>
            </w14:solidFill>
          </w14:textFill>
        </w:rPr>
      </w:pPr>
      <w:r>
        <w:rPr>
          <w:rFonts w:cs="Times New Roman"/>
          <w:b w:val="0"/>
          <w:bCs/>
          <w:color w:val="000000" w:themeColor="text1"/>
          <w:szCs w:val="32"/>
          <w14:textFill>
            <w14:solidFill>
              <w14:schemeClr w14:val="tx1"/>
            </w14:solidFill>
          </w14:textFill>
        </w:rPr>
        <w:t>附件</w:t>
      </w:r>
      <w:r>
        <w:rPr>
          <w:rFonts w:hint="eastAsia" w:cs="Times New Roman"/>
          <w:b w:val="0"/>
          <w:bCs/>
          <w:color w:val="000000" w:themeColor="text1"/>
          <w:szCs w:val="32"/>
          <w:lang w:val="en-US" w:eastAsia="zh-CN"/>
          <w14:textFill>
            <w14:solidFill>
              <w14:schemeClr w14:val="tx1"/>
            </w14:solidFill>
          </w14:textFill>
        </w:rPr>
        <w:t>2</w:t>
      </w:r>
      <w:r>
        <w:rPr>
          <w:rFonts w:cs="Times New Roman"/>
          <w:b w:val="0"/>
          <w:bCs/>
          <w:color w:val="000000" w:themeColor="text1"/>
          <w:szCs w:val="32"/>
          <w14:textFill>
            <w14:solidFill>
              <w14:schemeClr w14:val="tx1"/>
            </w14:solidFill>
          </w14:textFill>
        </w:rPr>
        <w:t>：</w:t>
      </w:r>
      <w:r>
        <w:rPr>
          <w:rFonts w:hint="eastAsia" w:cs="Times New Roman"/>
          <w:b w:val="0"/>
          <w:bCs/>
          <w:color w:val="000000" w:themeColor="text1"/>
          <w:szCs w:val="32"/>
          <w:lang w:val="en-US" w:eastAsia="zh-CN"/>
          <w14:textFill>
            <w14:solidFill>
              <w14:schemeClr w14:val="tx1"/>
            </w14:solidFill>
          </w14:textFill>
        </w:rPr>
        <w:t>备案证</w:t>
      </w:r>
    </w:p>
    <w:p>
      <w:pPr>
        <w:spacing w:line="360" w:lineRule="auto"/>
        <w:ind w:firstLine="480" w:firstLineChars="200"/>
        <w:rPr>
          <w:rFonts w:hint="default" w:ascii="Times New Roman" w:hAnsi="Times New Roman" w:eastAsia="宋体" w:cs="Times New Roman"/>
          <w:b w:val="0"/>
          <w:bCs/>
          <w:color w:val="000000" w:themeColor="text1"/>
          <w:szCs w:val="32"/>
          <w:lang w:val="en-US" w:eastAsia="zh-CN"/>
          <w14:textFill>
            <w14:solidFill>
              <w14:schemeClr w14:val="tx1"/>
            </w14:solidFill>
          </w14:textFill>
        </w:rPr>
      </w:pP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附件</w:t>
      </w:r>
      <w:r>
        <w:rPr>
          <w:rFonts w:hint="eastAsia" w:cs="Times New Roman"/>
          <w:b w:val="0"/>
          <w:bCs/>
          <w:color w:val="000000" w:themeColor="text1"/>
          <w:szCs w:val="32"/>
          <w:lang w:val="en-US" w:eastAsia="zh-CN"/>
          <w14:textFill>
            <w14:solidFill>
              <w14:schemeClr w14:val="tx1"/>
            </w14:solidFill>
          </w14:textFill>
        </w:rPr>
        <w:t>3</w:t>
      </w: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：特变线缆一期项目环保手续</w:t>
      </w:r>
    </w:p>
    <w:p>
      <w:pPr>
        <w:spacing w:line="360" w:lineRule="auto"/>
        <w:ind w:firstLine="480" w:firstLineChars="200"/>
        <w:rPr>
          <w:rFonts w:hint="default" w:ascii="Times New Roman" w:hAnsi="Times New Roman" w:eastAsia="宋体" w:cs="Times New Roman"/>
          <w:b w:val="0"/>
          <w:bCs/>
          <w:color w:val="000000" w:themeColor="text1"/>
          <w:szCs w:val="32"/>
          <w:lang w:val="en-US" w:eastAsia="zh-CN"/>
          <w14:textFill>
            <w14:solidFill>
              <w14:schemeClr w14:val="tx1"/>
            </w14:solidFill>
          </w14:textFill>
        </w:rPr>
      </w:pPr>
      <w:r>
        <w:rPr>
          <w:rFonts w:hint="eastAsia" w:ascii="Times New Roman" w:hAnsi="Times New Roman" w:eastAsia="宋体" w:cs="Times New Roman"/>
          <w:b w:val="0"/>
          <w:bCs/>
          <w:color w:val="000000" w:themeColor="text1"/>
          <w:szCs w:val="32"/>
          <w:lang w:val="en-US" w:eastAsia="zh-CN"/>
          <w14:textFill>
            <w14:solidFill>
              <w14:schemeClr w14:val="tx1"/>
            </w14:solidFill>
          </w14:textFill>
        </w:rPr>
        <w:t>附件4</w:t>
      </w:r>
      <w:r>
        <w:rPr>
          <w:rFonts w:hint="eastAsia" w:cs="Times New Roman"/>
          <w:b w:val="0"/>
          <w:bCs/>
          <w:color w:val="000000" w:themeColor="text1"/>
          <w:szCs w:val="32"/>
          <w:lang w:val="en-US" w:eastAsia="zh-CN"/>
          <w14:textFill>
            <w14:solidFill>
              <w14:schemeClr w14:val="tx1"/>
            </w14:solidFill>
          </w14:textFill>
        </w:rPr>
        <w:t>：特变线缆三期项目环评批复</w:t>
      </w:r>
    </w:p>
    <w:p>
      <w:pPr>
        <w:spacing w:line="360" w:lineRule="auto"/>
        <w:ind w:firstLine="480" w:firstLineChars="200"/>
        <w:rPr>
          <w:rFonts w:hint="default" w:ascii="Times New Roman" w:hAnsi="Times New Roman" w:eastAsia="宋体" w:cs="Times New Roman"/>
          <w:b w:val="0"/>
          <w:bCs/>
          <w:color w:val="000000" w:themeColor="text1"/>
          <w:szCs w:val="32"/>
          <w:lang w:val="en-US" w:eastAsia="zh-CN"/>
          <w14:textFill>
            <w14:solidFill>
              <w14:schemeClr w14:val="tx1"/>
            </w14:solidFill>
          </w14:textFill>
        </w:rPr>
      </w:pPr>
      <w:r>
        <w:rPr>
          <w:rFonts w:hint="eastAsia" w:cs="Times New Roman"/>
          <w:b w:val="0"/>
          <w:bCs/>
          <w:color w:val="000000" w:themeColor="text1"/>
          <w:szCs w:val="32"/>
          <w:lang w:val="en-US" w:eastAsia="zh-CN"/>
          <w14:textFill>
            <w14:solidFill>
              <w14:schemeClr w14:val="tx1"/>
            </w14:solidFill>
          </w14:textFill>
        </w:rPr>
        <w:t>附件5：引用监测数据监测报告</w:t>
      </w:r>
    </w:p>
    <w:p>
      <w:pPr>
        <w:spacing w:line="360" w:lineRule="auto"/>
        <w:ind w:firstLine="480" w:firstLineChars="200"/>
        <w:rPr>
          <w:rFonts w:hint="eastAsia" w:ascii="Times New Roman" w:hAnsi="Times New Roman" w:eastAsia="宋体" w:cs="Times New Roman"/>
          <w:b w:val="0"/>
          <w:bCs/>
          <w:color w:val="000000" w:themeColor="text1"/>
          <w:szCs w:val="32"/>
          <w:lang w:val="en-US" w:eastAsia="zh-CN"/>
          <w14:textFill>
            <w14:solidFill>
              <w14:schemeClr w14:val="tx1"/>
            </w14:solidFill>
          </w14:textFill>
        </w:rPr>
      </w:pPr>
    </w:p>
    <w:p>
      <w:pPr>
        <w:pStyle w:val="30"/>
        <w:ind w:left="0" w:leftChars="0" w:firstLine="0" w:firstLineChars="0"/>
        <w:rPr>
          <w:rFonts w:hint="eastAsia" w:ascii="Times New Roman" w:hAnsi="Times New Roman" w:eastAsia="宋体" w:cs="Times New Roman"/>
          <w:b w:val="0"/>
          <w:bCs/>
          <w:color w:val="000000" w:themeColor="text1"/>
          <w:kern w:val="2"/>
          <w:sz w:val="24"/>
          <w:szCs w:val="32"/>
          <w:lang w:val="en-US" w:eastAsia="zh-CN" w:bidi="ar-SA"/>
          <w14:textFill>
            <w14:solidFill>
              <w14:schemeClr w14:val="tx1"/>
            </w14:solidFill>
          </w14:textFill>
        </w:rPr>
      </w:pPr>
    </w:p>
    <w:p>
      <w:pPr>
        <w:pStyle w:val="30"/>
        <w:ind w:left="0" w:leftChars="0" w:firstLine="0" w:firstLineChars="0"/>
        <w:rPr>
          <w:rFonts w:hint="default" w:ascii="Times New Roman" w:hAnsi="Times New Roman" w:eastAsia="宋体" w:cs="Times New Roman"/>
          <w:b w:val="0"/>
          <w:bCs/>
          <w:color w:val="000000" w:themeColor="text1"/>
          <w:kern w:val="2"/>
          <w:sz w:val="24"/>
          <w:szCs w:val="32"/>
          <w:lang w:val="en-US" w:eastAsia="zh-CN" w:bidi="ar-SA"/>
          <w14:textFill>
            <w14:solidFill>
              <w14:schemeClr w14:val="tx1"/>
            </w14:solidFill>
          </w14:textFill>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30"/>
        <w:keepNext w:val="0"/>
        <w:keepLines w:val="0"/>
        <w:pageBreakBefore w:val="0"/>
        <w:widowControl/>
        <w:kinsoku/>
        <w:wordWrap/>
        <w:overflowPunct/>
        <w:topLinePunct w:val="0"/>
        <w:autoSpaceDE/>
        <w:autoSpaceDN/>
        <w:bidi w:val="0"/>
        <w:adjustRightInd w:val="0"/>
        <w:snapToGrid w:val="0"/>
        <w:spacing w:before="0" w:after="0" w:line="240" w:lineRule="auto"/>
        <w:ind w:left="0" w:leftChars="0" w:right="0" w:firstLine="0" w:firstLineChars="0"/>
        <w:jc w:val="center"/>
        <w:textAlignment w:val="auto"/>
        <w:rPr>
          <w:rFonts w:hint="eastAsia" w:ascii="仿宋_GB2312" w:eastAsia="仿宋_GB2312"/>
          <w:color w:val="000000" w:themeColor="text1"/>
          <w:sz w:val="28"/>
          <w:szCs w:val="28"/>
          <w14:textFill>
            <w14:solidFill>
              <w14:schemeClr w14:val="tx1"/>
            </w14:solidFill>
          </w14:textFill>
        </w:rPr>
      </w:pPr>
      <w:r>
        <w:rPr>
          <w:color w:val="000000" w:themeColor="text1"/>
          <w:sz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6108065</wp:posOffset>
                </wp:positionH>
                <wp:positionV relativeFrom="paragraph">
                  <wp:posOffset>1883410</wp:posOffset>
                </wp:positionV>
                <wp:extent cx="693420" cy="328295"/>
                <wp:effectExtent l="933450" t="4445" r="11430" b="410210"/>
                <wp:wrapNone/>
                <wp:docPr id="13" name="圆角矩形标注 13"/>
                <wp:cNvGraphicFramePr/>
                <a:graphic xmlns:a="http://schemas.openxmlformats.org/drawingml/2006/main">
                  <a:graphicData uri="http://schemas.microsoft.com/office/word/2010/wordprocessingShape">
                    <wps:wsp>
                      <wps:cNvSpPr/>
                      <wps:spPr>
                        <a:xfrm>
                          <a:off x="0" y="0"/>
                          <a:ext cx="693420" cy="328295"/>
                        </a:xfrm>
                        <a:prstGeom prst="wedgeRoundRectCallout">
                          <a:avLst>
                            <a:gd name="adj1" fmla="val -179487"/>
                            <a:gd name="adj2" fmla="val 163733"/>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b/>
                                <w:bCs/>
                                <w:sz w:val="24"/>
                                <w:szCs w:val="24"/>
                                <w:lang w:val="en-US" w:eastAsia="zh-CN"/>
                              </w:rPr>
                            </w:pPr>
                            <w:r>
                              <w:rPr>
                                <w:rFonts w:hint="eastAsia"/>
                                <w:b/>
                                <w:bCs/>
                                <w:sz w:val="24"/>
                                <w:szCs w:val="24"/>
                                <w:lang w:val="en-US" w:eastAsia="zh-CN"/>
                              </w:rPr>
                              <w:t>项目区</w:t>
                            </w:r>
                          </w:p>
                        </w:txbxContent>
                      </wps:txbx>
                      <wps:bodyPr upright="1"/>
                    </wps:wsp>
                  </a:graphicData>
                </a:graphic>
              </wp:anchor>
            </w:drawing>
          </mc:Choice>
          <mc:Fallback>
            <w:pict>
              <v:shape id="_x0000_s1026" o:spid="_x0000_s1026" o:spt="62" type="#_x0000_t62" style="position:absolute;left:0pt;margin-left:480.95pt;margin-top:148.3pt;height:25.85pt;width:54.6pt;z-index:251660288;mso-width-relative:page;mso-height-relative:page;" fillcolor="#FFFFFF" filled="t" stroked="t" coordsize="21600,21600" o:gfxdata="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O2wM5ra&#10;AAAADAEAAA8AAAAAAAAAAQAgAAAAIgAAAGRycy9kb3ducmV2LnhtbFBLAQIUABQAAAAIAIdO4kCM&#10;8WNCVwIAAL8EAAAOAAAAAAAAAAEAIAAAACkBAABkcnMvZTJvRG9jLnhtbFBLBQYAAAAABgAGAFkB&#10;AADyBQAAAAA=&#10;" adj="-27969,46166,14400">
                <v:fill on="t" focussize="0,0"/>
                <v:stroke color="#000000" joinstyle="miter"/>
                <v:imagedata o:title=""/>
                <o:lock v:ext="edit" aspectratio="f"/>
                <v:textbox>
                  <w:txbxContent>
                    <w:p>
                      <w:pPr>
                        <w:rPr>
                          <w:rFonts w:hint="eastAsia" w:eastAsia="宋体"/>
                          <w:b/>
                          <w:bCs/>
                          <w:sz w:val="24"/>
                          <w:szCs w:val="24"/>
                          <w:lang w:val="en-US" w:eastAsia="zh-CN"/>
                        </w:rPr>
                      </w:pPr>
                      <w:r>
                        <w:rPr>
                          <w:rFonts w:hint="eastAsia"/>
                          <w:b/>
                          <w:bCs/>
                          <w:sz w:val="24"/>
                          <w:szCs w:val="24"/>
                          <w:lang w:val="en-US" w:eastAsia="zh-CN"/>
                        </w:rPr>
                        <w:t>项目区</w:t>
                      </w:r>
                    </w:p>
                  </w:txbxContent>
                </v:textbox>
              </v:shape>
            </w:pict>
          </mc:Fallback>
        </mc:AlternateContent>
      </w:r>
      <w:r>
        <w:drawing>
          <wp:inline distT="0" distB="0" distL="114300" distR="114300">
            <wp:extent cx="8854440" cy="4812665"/>
            <wp:effectExtent l="0" t="0" r="3810" b="6985"/>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39"/>
                    <a:stretch>
                      <a:fillRect/>
                    </a:stretch>
                  </pic:blipFill>
                  <pic:spPr>
                    <a:xfrm>
                      <a:off x="0" y="0"/>
                      <a:ext cx="8854440" cy="4812665"/>
                    </a:xfrm>
                    <a:prstGeom prst="rect">
                      <a:avLst/>
                    </a:prstGeom>
                    <a:noFill/>
                    <a:ln>
                      <a:noFill/>
                    </a:ln>
                  </pic:spPr>
                </pic:pic>
              </a:graphicData>
            </a:graphic>
          </wp:inline>
        </w:drawing>
      </w:r>
    </w:p>
    <w:p>
      <w:pPr>
        <w:pStyle w:val="30"/>
        <w:ind w:left="0" w:leftChars="0" w:firstLine="0" w:firstLineChars="0"/>
        <w:jc w:val="cente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附图</w:t>
      </w:r>
      <w:r>
        <w:rPr>
          <w:rFonts w:hint="eastAsia" w:cs="Times New Roman"/>
          <w:b/>
          <w:bCs/>
          <w:color w:val="000000" w:themeColor="text1"/>
          <w:kern w:val="2"/>
          <w:sz w:val="24"/>
          <w:szCs w:val="24"/>
          <w:lang w:val="en-US" w:eastAsia="zh-CN" w:bidi="ar-SA"/>
          <w14:textFill>
            <w14:solidFill>
              <w14:schemeClr w14:val="tx1"/>
            </w14:solidFill>
          </w14:textFill>
        </w:rPr>
        <w:t>1</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w:t>
      </w:r>
      <w:r>
        <w:rPr>
          <w:rFonts w:hint="eastAsia" w:eastAsia="宋体" w:cs="Times New Roman"/>
          <w:b/>
          <w:bCs/>
          <w:color w:val="000000" w:themeColor="text1"/>
          <w:kern w:val="2"/>
          <w:sz w:val="24"/>
          <w:szCs w:val="24"/>
          <w:lang w:val="en-US" w:eastAsia="zh-CN" w:bidi="ar-SA"/>
          <w14:textFill>
            <w14:solidFill>
              <w14:schemeClr w14:val="tx1"/>
            </w14:solidFill>
          </w14:textFill>
        </w:rPr>
        <w:t>本项目</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与昌吉高新技术产业开发区规划</w:t>
      </w:r>
      <w:r>
        <w:rPr>
          <w:rFonts w:hint="eastAsia" w:cs="Times New Roman"/>
          <w:b/>
          <w:bCs/>
          <w:color w:val="000000" w:themeColor="text1"/>
          <w:kern w:val="2"/>
          <w:sz w:val="24"/>
          <w:szCs w:val="24"/>
          <w:lang w:val="en-US" w:eastAsia="zh-CN" w:bidi="ar-SA"/>
          <w14:textFill>
            <w14:solidFill>
              <w14:schemeClr w14:val="tx1"/>
            </w14:solidFill>
          </w14:textFill>
        </w:rPr>
        <w:t>位置图</w:t>
      </w:r>
    </w:p>
    <w:p>
      <w:pPr>
        <w:pStyle w:val="31"/>
        <w:keepNext w:val="0"/>
        <w:keepLines w:val="0"/>
        <w:pageBreakBefore w:val="0"/>
        <w:widowControl/>
        <w:kinsoku/>
        <w:wordWrap/>
        <w:overflowPunct/>
        <w:topLinePunct w:val="0"/>
        <w:autoSpaceDE/>
        <w:autoSpaceDN/>
        <w:bidi w:val="0"/>
        <w:adjustRightInd w:val="0"/>
        <w:snapToGrid w:val="0"/>
        <w:spacing w:before="0" w:line="240" w:lineRule="auto"/>
        <w:ind w:left="0" w:leftChars="0" w:right="0" w:firstLine="0" w:firstLineChars="0"/>
        <w:jc w:val="center"/>
        <w:textAlignment w:val="auto"/>
        <w:rPr>
          <w:rFonts w:ascii="Times New Roman" w:hAnsi="Times New Roman" w:eastAsia="宋体" w:cs="黑体"/>
          <w:color w:val="000000" w:themeColor="text1"/>
          <w:kern w:val="2"/>
          <w:sz w:val="24"/>
          <w:szCs w:val="24"/>
          <w:lang w:val="en-US" w:eastAsia="zh-CN" w:bidi="ar-SA"/>
          <w14:textFill>
            <w14:solidFill>
              <w14:schemeClr w14:val="tx1"/>
            </w14:solidFill>
          </w14:textFill>
        </w:rPr>
      </w:pPr>
      <w:r>
        <w:rPr>
          <w:color w:val="000000" w:themeColor="text1"/>
          <w:sz w:val="28"/>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6393180</wp:posOffset>
                </wp:positionH>
                <wp:positionV relativeFrom="paragraph">
                  <wp:posOffset>1908810</wp:posOffset>
                </wp:positionV>
                <wp:extent cx="693420" cy="328295"/>
                <wp:effectExtent l="933450" t="4445" r="11430" b="410210"/>
                <wp:wrapNone/>
                <wp:docPr id="27" name="圆角矩形标注 27"/>
                <wp:cNvGraphicFramePr/>
                <a:graphic xmlns:a="http://schemas.openxmlformats.org/drawingml/2006/main">
                  <a:graphicData uri="http://schemas.microsoft.com/office/word/2010/wordprocessingShape">
                    <wps:wsp>
                      <wps:cNvSpPr/>
                      <wps:spPr>
                        <a:xfrm>
                          <a:off x="0" y="0"/>
                          <a:ext cx="693420" cy="328295"/>
                        </a:xfrm>
                        <a:prstGeom prst="wedgeRoundRectCallout">
                          <a:avLst>
                            <a:gd name="adj1" fmla="val -179487"/>
                            <a:gd name="adj2" fmla="val 163733"/>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b/>
                                <w:bCs/>
                                <w:sz w:val="24"/>
                                <w:szCs w:val="24"/>
                                <w:lang w:val="en-US" w:eastAsia="zh-CN"/>
                              </w:rPr>
                            </w:pPr>
                            <w:r>
                              <w:rPr>
                                <w:rFonts w:hint="eastAsia"/>
                                <w:b/>
                                <w:bCs/>
                                <w:sz w:val="24"/>
                                <w:szCs w:val="24"/>
                                <w:lang w:val="en-US" w:eastAsia="zh-CN"/>
                              </w:rPr>
                              <w:t>项目区</w:t>
                            </w:r>
                          </w:p>
                        </w:txbxContent>
                      </wps:txbx>
                      <wps:bodyPr upright="1"/>
                    </wps:wsp>
                  </a:graphicData>
                </a:graphic>
              </wp:anchor>
            </w:drawing>
          </mc:Choice>
          <mc:Fallback>
            <w:pict>
              <v:shape id="_x0000_s1026" o:spid="_x0000_s1026" o:spt="62" type="#_x0000_t62" style="position:absolute;left:0pt;margin-left:503.4pt;margin-top:150.3pt;height:25.85pt;width:54.6pt;z-index:251664384;mso-width-relative:page;mso-height-relative:page;" fillcolor="#FFFFFF" filled="t" stroked="t" coordsize="21600,21600" o:gfxdata="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999kt1wAAAA0B&#10;AAAPAAAAAAAAAAEAIAAAACIAAABkcnMvZG93bnJldi54bWxQSwECFAAUAAAACACHTuJAnMQS41UC&#10;AAC/BAAADgAAAAAAAAABACAAAAAmAQAAZHJzL2Uyb0RvYy54bWxQSwUGAAAAAAYABgBZAQAA7QUA&#10;AAAA&#10;" adj="-27969,46166,14400">
                <v:fill on="t" focussize="0,0"/>
                <v:stroke color="#000000" joinstyle="miter"/>
                <v:imagedata o:title=""/>
                <o:lock v:ext="edit" aspectratio="f"/>
                <v:textbox>
                  <w:txbxContent>
                    <w:p>
                      <w:pPr>
                        <w:rPr>
                          <w:rFonts w:hint="eastAsia" w:eastAsia="宋体"/>
                          <w:b/>
                          <w:bCs/>
                          <w:sz w:val="24"/>
                          <w:szCs w:val="24"/>
                          <w:lang w:val="en-US" w:eastAsia="zh-CN"/>
                        </w:rPr>
                      </w:pPr>
                      <w:r>
                        <w:rPr>
                          <w:rFonts w:hint="eastAsia"/>
                          <w:b/>
                          <w:bCs/>
                          <w:sz w:val="24"/>
                          <w:szCs w:val="24"/>
                          <w:lang w:val="en-US" w:eastAsia="zh-CN"/>
                        </w:rPr>
                        <w:t>项目区</w:t>
                      </w:r>
                    </w:p>
                  </w:txbxContent>
                </v:textbox>
              </v:shape>
            </w:pict>
          </mc:Fallback>
        </mc:AlternateContent>
      </w:r>
      <w:r>
        <w:drawing>
          <wp:inline distT="0" distB="0" distL="114300" distR="114300">
            <wp:extent cx="8874760" cy="4769485"/>
            <wp:effectExtent l="0" t="0" r="2540" b="12065"/>
            <wp:docPr id="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
                    <pic:cNvPicPr>
                      <a:picLocks noChangeAspect="1"/>
                    </pic:cNvPicPr>
                  </pic:nvPicPr>
                  <pic:blipFill>
                    <a:blip r:embed="rId40"/>
                    <a:stretch>
                      <a:fillRect/>
                    </a:stretch>
                  </pic:blipFill>
                  <pic:spPr>
                    <a:xfrm>
                      <a:off x="0" y="0"/>
                      <a:ext cx="8874760" cy="4769485"/>
                    </a:xfrm>
                    <a:prstGeom prst="rect">
                      <a:avLst/>
                    </a:prstGeom>
                    <a:noFill/>
                    <a:ln>
                      <a:noFill/>
                    </a:ln>
                  </pic:spPr>
                </pic:pic>
              </a:graphicData>
            </a:graphic>
          </wp:inline>
        </w:drawing>
      </w:r>
    </w:p>
    <w:p>
      <w:pPr>
        <w:jc w:val="cente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附图</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2 </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 xml:space="preserve">  </w:t>
      </w:r>
      <w:r>
        <w:rPr>
          <w:rFonts w:hint="eastAsia" w:cs="Times New Roman"/>
          <w:b/>
          <w:bCs/>
          <w:color w:val="000000" w:themeColor="text1"/>
          <w:sz w:val="24"/>
          <w:szCs w:val="24"/>
          <w:lang w:val="en-US" w:eastAsia="zh-CN"/>
          <w14:textFill>
            <w14:solidFill>
              <w14:schemeClr w14:val="tx1"/>
            </w14:solidFill>
          </w14:textFill>
        </w:rPr>
        <w:t>本项目与昌吉高新技术产业开发区功能分区位置关系图</w:t>
      </w:r>
    </w:p>
    <w:p>
      <w:pPr>
        <w:pStyle w:val="30"/>
        <w:ind w:left="0" w:leftChars="0" w:firstLine="0" w:firstLineChars="0"/>
        <w:jc w:val="cente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000000" w:themeColor="text1"/>
          <w:sz w:val="28"/>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2459990</wp:posOffset>
                </wp:positionH>
                <wp:positionV relativeFrom="paragraph">
                  <wp:posOffset>1901825</wp:posOffset>
                </wp:positionV>
                <wp:extent cx="693420" cy="328295"/>
                <wp:effectExtent l="280035" t="4445" r="17145" b="581660"/>
                <wp:wrapNone/>
                <wp:docPr id="24" name="圆角矩形标注 24"/>
                <wp:cNvGraphicFramePr/>
                <a:graphic xmlns:a="http://schemas.openxmlformats.org/drawingml/2006/main">
                  <a:graphicData uri="http://schemas.microsoft.com/office/word/2010/wordprocessingShape">
                    <wps:wsp>
                      <wps:cNvSpPr/>
                      <wps:spPr>
                        <a:xfrm>
                          <a:off x="0" y="0"/>
                          <a:ext cx="693420" cy="328295"/>
                        </a:xfrm>
                        <a:prstGeom prst="wedgeRoundRectCallout">
                          <a:avLst>
                            <a:gd name="adj1" fmla="val -86721"/>
                            <a:gd name="adj2" fmla="val 214410"/>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b/>
                                <w:bCs/>
                                <w:sz w:val="24"/>
                                <w:szCs w:val="24"/>
                                <w:lang w:val="en-US" w:eastAsia="zh-CN"/>
                              </w:rPr>
                            </w:pPr>
                            <w:r>
                              <w:rPr>
                                <w:rFonts w:hint="eastAsia"/>
                                <w:b/>
                                <w:bCs/>
                                <w:sz w:val="24"/>
                                <w:szCs w:val="24"/>
                                <w:lang w:val="en-US" w:eastAsia="zh-CN"/>
                              </w:rPr>
                              <w:t>项目区</w:t>
                            </w:r>
                          </w:p>
                        </w:txbxContent>
                      </wps:txbx>
                      <wps:bodyPr upright="1"/>
                    </wps:wsp>
                  </a:graphicData>
                </a:graphic>
              </wp:anchor>
            </w:drawing>
          </mc:Choice>
          <mc:Fallback>
            <w:pict>
              <v:shape id="_x0000_s1026" o:spid="_x0000_s1026" o:spt="62" type="#_x0000_t62" style="position:absolute;left:0pt;margin-left:193.7pt;margin-top:149.75pt;height:25.85pt;width:54.6pt;z-index:251663360;mso-width-relative:page;mso-height-relative:page;" fillcolor="#FFFFFF" filled="t" stroked="t" coordsize="21600,21600" o:gfxdata="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I8rNraAAAA&#10;CwEAAA8AAAAAAAAAAQAgAAAAIgAAAGRycy9kb3ducmV2LnhtbFBLAQIUABQAAAAIAIdO4kDx8ww3&#10;VAIAAL4EAAAOAAAAAAAAAAEAIAAAACkBAABkcnMvZTJvRG9jLnhtbFBLBQYAAAAABgAGAFkBAADv&#10;BQAAAAA=&#10;" adj="-7932,57113,14400">
                <v:fill on="t" focussize="0,0"/>
                <v:stroke color="#000000" joinstyle="miter"/>
                <v:imagedata o:title=""/>
                <o:lock v:ext="edit" aspectratio="f"/>
                <v:textbox>
                  <w:txbxContent>
                    <w:p>
                      <w:pPr>
                        <w:rPr>
                          <w:rFonts w:hint="eastAsia" w:eastAsia="宋体"/>
                          <w:b/>
                          <w:bCs/>
                          <w:sz w:val="24"/>
                          <w:szCs w:val="24"/>
                          <w:lang w:val="en-US" w:eastAsia="zh-CN"/>
                        </w:rPr>
                      </w:pPr>
                      <w:r>
                        <w:rPr>
                          <w:rFonts w:hint="eastAsia"/>
                          <w:b/>
                          <w:bCs/>
                          <w:sz w:val="24"/>
                          <w:szCs w:val="24"/>
                          <w:lang w:val="en-US" w:eastAsia="zh-CN"/>
                        </w:rPr>
                        <w:t>项目区</w:t>
                      </w:r>
                    </w:p>
                  </w:txbxContent>
                </v:textbox>
              </v:shape>
            </w:pict>
          </mc:Fallback>
        </mc:AlternateContent>
      </w:r>
      <w:r>
        <w:rPr>
          <w:rFonts w:hint="eastAsia" w:ascii="仿宋_GB2312" w:eastAsia="仿宋_GB2312"/>
          <w:color w:val="000000" w:themeColor="text1"/>
          <w:sz w:val="28"/>
          <w:szCs w:val="28"/>
          <w14:textFill>
            <w14:solidFill>
              <w14:schemeClr w14:val="tx1"/>
            </w14:solidFill>
          </w14:textFill>
        </w:rPr>
        <w:drawing>
          <wp:inline distT="0" distB="0" distL="114300" distR="114300">
            <wp:extent cx="8926830" cy="5013960"/>
            <wp:effectExtent l="0" t="0" r="7620" b="1524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41"/>
                    <a:srcRect l="1164" t="1788" r="1392" b="1793"/>
                    <a:stretch>
                      <a:fillRect/>
                    </a:stretch>
                  </pic:blipFill>
                  <pic:spPr>
                    <a:xfrm>
                      <a:off x="0" y="0"/>
                      <a:ext cx="8926830" cy="5013960"/>
                    </a:xfrm>
                    <a:prstGeom prst="rect">
                      <a:avLst/>
                    </a:prstGeom>
                    <a:noFill/>
                    <a:ln>
                      <a:noFill/>
                    </a:ln>
                  </pic:spPr>
                </pic:pic>
              </a:graphicData>
            </a:graphic>
          </wp:inline>
        </w:drawing>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附图</w:t>
      </w:r>
      <w:r>
        <w:rPr>
          <w:rFonts w:hint="eastAsia"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昌吉回族自治州环境管控单元分类图</w:t>
      </w:r>
    </w:p>
    <w:p>
      <w:pPr>
        <w:pStyle w:val="30"/>
        <w:ind w:left="0" w:leftChars="0" w:firstLine="0" w:firstLineChars="0"/>
        <w:jc w:val="both"/>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color w:val="000000" w:themeColor="text1"/>
          <w:sz w:val="28"/>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2807970</wp:posOffset>
                </wp:positionH>
                <wp:positionV relativeFrom="paragraph">
                  <wp:posOffset>1802765</wp:posOffset>
                </wp:positionV>
                <wp:extent cx="693420" cy="328295"/>
                <wp:effectExtent l="280035" t="4445" r="17145" b="581660"/>
                <wp:wrapNone/>
                <wp:docPr id="17" name="圆角矩形标注 17"/>
                <wp:cNvGraphicFramePr/>
                <a:graphic xmlns:a="http://schemas.openxmlformats.org/drawingml/2006/main">
                  <a:graphicData uri="http://schemas.microsoft.com/office/word/2010/wordprocessingShape">
                    <wps:wsp>
                      <wps:cNvSpPr/>
                      <wps:spPr>
                        <a:xfrm>
                          <a:off x="0" y="0"/>
                          <a:ext cx="693420" cy="328295"/>
                        </a:xfrm>
                        <a:prstGeom prst="wedgeRoundRectCallout">
                          <a:avLst>
                            <a:gd name="adj1" fmla="val -86721"/>
                            <a:gd name="adj2" fmla="val 214410"/>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b/>
                                <w:bCs/>
                                <w:sz w:val="24"/>
                                <w:szCs w:val="24"/>
                                <w:lang w:val="en-US" w:eastAsia="zh-CN"/>
                              </w:rPr>
                            </w:pPr>
                            <w:r>
                              <w:rPr>
                                <w:rFonts w:hint="eastAsia"/>
                                <w:b/>
                                <w:bCs/>
                                <w:sz w:val="24"/>
                                <w:szCs w:val="24"/>
                                <w:lang w:val="en-US" w:eastAsia="zh-CN"/>
                              </w:rPr>
                              <w:t>项目区</w:t>
                            </w:r>
                          </w:p>
                        </w:txbxContent>
                      </wps:txbx>
                      <wps:bodyPr upright="1"/>
                    </wps:wsp>
                  </a:graphicData>
                </a:graphic>
              </wp:anchor>
            </w:drawing>
          </mc:Choice>
          <mc:Fallback>
            <w:pict>
              <v:shape id="_x0000_s1026" o:spid="_x0000_s1026" o:spt="62" type="#_x0000_t62" style="position:absolute;left:0pt;margin-left:221.1pt;margin-top:141.95pt;height:25.85pt;width:54.6pt;z-index:251661312;mso-width-relative:page;mso-height-relative:page;" fillcolor="#FFFFFF" filled="t" stroked="t" coordsize="21600,21600" o:gfxdata="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LMDSDaAAAA&#10;CwEAAA8AAAAAAAAAAQAgAAAAIgAAAGRycy9kb3ducmV2LnhtbFBLAQIUABQAAAAIAIdO4kDg8o/1&#10;VAIAAL4EAAAOAAAAAAAAAAEAIAAAACkBAABkcnMvZTJvRG9jLnhtbFBLBQYAAAAABgAGAFkBAADv&#10;BQAAAAA=&#10;" adj="-7932,57113,14400">
                <v:fill on="t" focussize="0,0"/>
                <v:stroke color="#000000" joinstyle="miter"/>
                <v:imagedata o:title=""/>
                <o:lock v:ext="edit" aspectratio="f"/>
                <v:textbox>
                  <w:txbxContent>
                    <w:p>
                      <w:pPr>
                        <w:rPr>
                          <w:rFonts w:hint="eastAsia" w:eastAsia="宋体"/>
                          <w:b/>
                          <w:bCs/>
                          <w:sz w:val="24"/>
                          <w:szCs w:val="24"/>
                          <w:lang w:val="en-US" w:eastAsia="zh-CN"/>
                        </w:rPr>
                      </w:pPr>
                      <w:r>
                        <w:rPr>
                          <w:rFonts w:hint="eastAsia"/>
                          <w:b/>
                          <w:bCs/>
                          <w:sz w:val="24"/>
                          <w:szCs w:val="24"/>
                          <w:lang w:val="en-US" w:eastAsia="zh-CN"/>
                        </w:rPr>
                        <w:t>项目区</w:t>
                      </w:r>
                    </w:p>
                  </w:txbxContent>
                </v:textbox>
              </v:shape>
            </w:pict>
          </mc:Fallback>
        </mc:AlternateContent>
      </w:r>
      <w:r>
        <w:rPr>
          <w:color w:val="000000" w:themeColor="text1"/>
          <w:sz w:val="28"/>
          <w14:textFill>
            <w14:solidFill>
              <w14:schemeClr w14:val="tx1"/>
            </w14:solidFill>
          </w14:textFill>
        </w:rPr>
        <w:drawing>
          <wp:inline distT="0" distB="0" distL="114300" distR="114300">
            <wp:extent cx="8881745" cy="4832350"/>
            <wp:effectExtent l="9525" t="9525" r="24130" b="15875"/>
            <wp:docPr id="19" name="图片 19" descr="昌吉回族自治州政区普染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昌吉回族自治州政区普染版"/>
                    <pic:cNvPicPr>
                      <a:picLocks noChangeAspect="1"/>
                    </pic:cNvPicPr>
                  </pic:nvPicPr>
                  <pic:blipFill>
                    <a:blip r:embed="rId42"/>
                    <a:stretch>
                      <a:fillRect/>
                    </a:stretch>
                  </pic:blipFill>
                  <pic:spPr>
                    <a:xfrm>
                      <a:off x="0" y="0"/>
                      <a:ext cx="8881745" cy="4832350"/>
                    </a:xfrm>
                    <a:prstGeom prst="rect">
                      <a:avLst/>
                    </a:prstGeom>
                    <a:ln>
                      <a:solidFill>
                        <a:schemeClr val="tx1"/>
                      </a:solidFill>
                    </a:ln>
                  </pic:spPr>
                </pic:pic>
              </a:graphicData>
            </a:graphic>
          </wp:inline>
        </w:drawing>
      </w:r>
    </w:p>
    <w:p>
      <w:pPr>
        <w:pStyle w:val="30"/>
        <w:spacing w:line="240" w:lineRule="auto"/>
        <w:ind w:left="0" w:leftChars="0" w:firstLine="0" w:firstLineChars="0"/>
        <w:jc w:val="cente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附图</w:t>
      </w:r>
      <w:r>
        <w:rPr>
          <w:rFonts w:hint="eastAsia" w:cs="Times New Roman"/>
          <w:b/>
          <w:bCs/>
          <w:color w:val="000000" w:themeColor="text1"/>
          <w:kern w:val="2"/>
          <w:sz w:val="24"/>
          <w:szCs w:val="24"/>
          <w:lang w:val="en-US" w:eastAsia="zh-CN" w:bidi="ar-SA"/>
          <w14:textFill>
            <w14:solidFill>
              <w14:schemeClr w14:val="tx1"/>
            </w14:solidFill>
          </w14:textFill>
        </w:rPr>
        <w:t>4</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地理位置图</w:t>
      </w:r>
    </w:p>
    <w:p>
      <w:pPr>
        <w:pStyle w:val="30"/>
        <w:keepNext w:val="0"/>
        <w:keepLines w:val="0"/>
        <w:pageBreakBefore w:val="0"/>
        <w:widowControl/>
        <w:kinsoku/>
        <w:wordWrap/>
        <w:overflowPunct/>
        <w:topLinePunct w:val="0"/>
        <w:autoSpaceDE/>
        <w:autoSpaceDN/>
        <w:bidi w:val="0"/>
        <w:adjustRightInd w:val="0"/>
        <w:snapToGrid w:val="0"/>
        <w:spacing w:before="0" w:after="0" w:line="260" w:lineRule="auto"/>
        <w:ind w:left="0" w:leftChars="0" w:right="0" w:firstLine="0" w:firstLineChars="0"/>
        <w:jc w:val="center"/>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drawing>
          <wp:inline distT="0" distB="0" distL="114300" distR="114300">
            <wp:extent cx="8320405" cy="4793615"/>
            <wp:effectExtent l="9525" t="9525" r="13970" b="16510"/>
            <wp:docPr id="91" name="图片 91" descr="工艺流程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工艺流程_04"/>
                    <pic:cNvPicPr>
                      <a:picLocks noChangeAspect="1"/>
                    </pic:cNvPicPr>
                  </pic:nvPicPr>
                  <pic:blipFill>
                    <a:blip r:embed="rId43"/>
                    <a:srcRect l="8860" t="15611" r="8551" b="17116"/>
                    <a:stretch>
                      <a:fillRect/>
                    </a:stretch>
                  </pic:blipFill>
                  <pic:spPr>
                    <a:xfrm>
                      <a:off x="0" y="0"/>
                      <a:ext cx="8320405" cy="4793615"/>
                    </a:xfrm>
                    <a:prstGeom prst="rect">
                      <a:avLst/>
                    </a:prstGeom>
                    <a:ln>
                      <a:solidFill>
                        <a:schemeClr val="tx1"/>
                      </a:solidFill>
                    </a:ln>
                  </pic:spPr>
                </pic:pic>
              </a:graphicData>
            </a:graphic>
          </wp:inline>
        </w:drawing>
      </w:r>
    </w:p>
    <w:p>
      <w:pPr>
        <w:pStyle w:val="30"/>
        <w:ind w:left="0" w:leftChars="0" w:firstLine="0" w:firstLineChars="0"/>
        <w:jc w:val="cente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sectPr>
          <w:pgSz w:w="16838" w:h="11906" w:orient="landscape"/>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附图</w:t>
      </w:r>
      <w:r>
        <w:rPr>
          <w:rFonts w:hint="eastAsia" w:cs="Times New Roman"/>
          <w:b/>
          <w:bCs/>
          <w:color w:val="000000" w:themeColor="text1"/>
          <w:kern w:val="2"/>
          <w:sz w:val="24"/>
          <w:szCs w:val="24"/>
          <w:lang w:val="en-US" w:eastAsia="zh-CN" w:bidi="ar-SA"/>
          <w14:textFill>
            <w14:solidFill>
              <w14:schemeClr w14:val="tx1"/>
            </w14:solidFill>
          </w14:textFill>
        </w:rPr>
        <w:t>5</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周边关系图</w:t>
      </w:r>
    </w:p>
    <w:p>
      <w:pPr>
        <w:pStyle w:val="30"/>
        <w:keepNext w:val="0"/>
        <w:keepLines w:val="0"/>
        <w:pageBreakBefore w:val="0"/>
        <w:widowControl/>
        <w:kinsoku/>
        <w:wordWrap/>
        <w:overflowPunct/>
        <w:topLinePunct w:val="0"/>
        <w:autoSpaceDE/>
        <w:autoSpaceDN/>
        <w:bidi w:val="0"/>
        <w:adjustRightInd w:val="0"/>
        <w:snapToGrid w:val="0"/>
        <w:spacing w:before="0" w:after="0" w:line="240" w:lineRule="auto"/>
        <w:ind w:left="0" w:leftChars="0" w:right="0" w:firstLine="0" w:firstLineChars="0"/>
        <w:jc w:val="center"/>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drawing>
          <wp:inline distT="0" distB="0" distL="114300" distR="114300">
            <wp:extent cx="5720080" cy="7626350"/>
            <wp:effectExtent l="9525" t="9525" r="23495" b="22225"/>
            <wp:docPr id="35" name="图片 35" descr="附图-特变电缆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附图-特变电缆_01"/>
                    <pic:cNvPicPr>
                      <a:picLocks noChangeAspect="1"/>
                    </pic:cNvPicPr>
                  </pic:nvPicPr>
                  <pic:blipFill>
                    <a:blip r:embed="rId44"/>
                    <a:stretch>
                      <a:fillRect/>
                    </a:stretch>
                  </pic:blipFill>
                  <pic:spPr>
                    <a:xfrm>
                      <a:off x="0" y="0"/>
                      <a:ext cx="5720080" cy="7626350"/>
                    </a:xfrm>
                    <a:prstGeom prst="rect">
                      <a:avLst/>
                    </a:prstGeom>
                    <a:ln>
                      <a:solidFill>
                        <a:schemeClr val="tx1"/>
                      </a:solidFill>
                    </a:ln>
                  </pic:spPr>
                </pic:pic>
              </a:graphicData>
            </a:graphic>
          </wp:inline>
        </w:drawing>
      </w:r>
    </w:p>
    <w:p>
      <w:pPr>
        <w:pStyle w:val="30"/>
        <w:ind w:left="0" w:leftChars="0" w:firstLine="0" w:firstLineChars="0"/>
        <w:jc w:val="cente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sectPr>
          <w:pgSz w:w="11906" w:h="16838"/>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附图</w:t>
      </w:r>
      <w:r>
        <w:rPr>
          <w:rFonts w:hint="eastAsia" w:cs="Times New Roman"/>
          <w:b/>
          <w:bCs/>
          <w:color w:val="000000" w:themeColor="text1"/>
          <w:kern w:val="2"/>
          <w:sz w:val="24"/>
          <w:szCs w:val="24"/>
          <w:lang w:val="en-US" w:eastAsia="zh-CN" w:bidi="ar-SA"/>
          <w14:textFill>
            <w14:solidFill>
              <w14:schemeClr w14:val="tx1"/>
            </w14:solidFill>
          </w14:textFill>
        </w:rPr>
        <w:t>6</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平面布置图</w:t>
      </w:r>
    </w:p>
    <w:p>
      <w:pPr>
        <w:pStyle w:val="31"/>
        <w:keepNext w:val="0"/>
        <w:keepLines w:val="0"/>
        <w:pageBreakBefore w:val="0"/>
        <w:widowControl/>
        <w:kinsoku/>
        <w:wordWrap/>
        <w:overflowPunct/>
        <w:topLinePunct w:val="0"/>
        <w:autoSpaceDE/>
        <w:autoSpaceDN/>
        <w:bidi w:val="0"/>
        <w:adjustRightInd w:val="0"/>
        <w:snapToGrid w:val="0"/>
        <w:spacing w:before="0" w:line="240" w:lineRule="auto"/>
        <w:ind w:left="0" w:leftChars="0" w:right="0" w:firstLine="0" w:firstLineChars="0"/>
        <w:jc w:val="center"/>
        <w:textAlignment w:val="auto"/>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drawing>
          <wp:inline distT="0" distB="0" distL="114300" distR="114300">
            <wp:extent cx="8082280" cy="5480050"/>
            <wp:effectExtent l="9525" t="9525" r="23495" b="15875"/>
            <wp:docPr id="60" name="图片 60" descr="工艺流程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工艺流程_03"/>
                    <pic:cNvPicPr>
                      <a:picLocks noChangeAspect="1"/>
                    </pic:cNvPicPr>
                  </pic:nvPicPr>
                  <pic:blipFill>
                    <a:blip r:embed="rId45"/>
                    <a:srcRect l="8477" t="15681" r="8341" b="4568"/>
                    <a:stretch>
                      <a:fillRect/>
                    </a:stretch>
                  </pic:blipFill>
                  <pic:spPr>
                    <a:xfrm>
                      <a:off x="0" y="0"/>
                      <a:ext cx="8082280" cy="5480050"/>
                    </a:xfrm>
                    <a:prstGeom prst="rect">
                      <a:avLst/>
                    </a:prstGeom>
                    <a:ln>
                      <a:solidFill>
                        <a:schemeClr val="tx1"/>
                      </a:solidFill>
                    </a:ln>
                  </pic:spPr>
                </pic:pic>
              </a:graphicData>
            </a:graphic>
          </wp:inline>
        </w:drawing>
      </w:r>
    </w:p>
    <w:p>
      <w:pPr>
        <w:jc w:val="cente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sectPr>
          <w:pgSz w:w="16838" w:h="11906" w:orient="landscape"/>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附图</w:t>
      </w:r>
      <w:r>
        <w:rPr>
          <w:rFonts w:hint="eastAsia" w:cs="Times New Roman"/>
          <w:b/>
          <w:bCs/>
          <w:color w:val="000000" w:themeColor="text1"/>
          <w:kern w:val="2"/>
          <w:sz w:val="24"/>
          <w:szCs w:val="24"/>
          <w:lang w:val="en-US" w:eastAsia="zh-CN" w:bidi="ar-SA"/>
          <w14:textFill>
            <w14:solidFill>
              <w14:schemeClr w14:val="tx1"/>
            </w14:solidFill>
          </w14:textFill>
        </w:rPr>
        <w:t>7</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引用</w:t>
      </w:r>
      <w:r>
        <w:rPr>
          <w:rFonts w:hint="eastAsia" w:cs="Times New Roman"/>
          <w:b/>
          <w:bCs/>
          <w:color w:val="000000" w:themeColor="text1"/>
          <w:kern w:val="2"/>
          <w:sz w:val="24"/>
          <w:szCs w:val="24"/>
          <w:lang w:val="en-US" w:eastAsia="zh-CN" w:bidi="ar-SA"/>
          <w14:textFill>
            <w14:solidFill>
              <w14:schemeClr w14:val="tx1"/>
            </w14:solidFill>
          </w14:textFill>
        </w:rPr>
        <w:t>大气</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监测点位图</w:t>
      </w:r>
    </w:p>
    <w:p>
      <w:pPr>
        <w:pStyle w:val="2"/>
        <w:ind w:left="0" w:leftChars="0" w:firstLine="0" w:firstLineChars="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drawing>
          <wp:inline distT="0" distB="0" distL="114300" distR="114300">
            <wp:extent cx="5756910" cy="7690485"/>
            <wp:effectExtent l="9525" t="9525" r="24765" b="15240"/>
            <wp:docPr id="36" name="图片 36" descr="工艺流程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工艺流程_06"/>
                    <pic:cNvPicPr>
                      <a:picLocks noChangeAspect="1"/>
                    </pic:cNvPicPr>
                  </pic:nvPicPr>
                  <pic:blipFill>
                    <a:blip r:embed="rId46"/>
                    <a:srcRect l="16958" t="10630" b="10939"/>
                    <a:stretch>
                      <a:fillRect/>
                    </a:stretch>
                  </pic:blipFill>
                  <pic:spPr>
                    <a:xfrm>
                      <a:off x="0" y="0"/>
                      <a:ext cx="5756910" cy="7690485"/>
                    </a:xfrm>
                    <a:prstGeom prst="rect">
                      <a:avLst/>
                    </a:prstGeom>
                    <a:ln>
                      <a:solidFill>
                        <a:schemeClr val="tx1"/>
                      </a:solidFill>
                    </a:ln>
                  </pic:spPr>
                </pic:pic>
              </a:graphicData>
            </a:graphic>
          </wp:inline>
        </w:drawing>
      </w:r>
    </w:p>
    <w:p>
      <w:pPr>
        <w:pStyle w:val="2"/>
        <w:jc w:val="center"/>
        <w:rPr>
          <w:rFonts w:hint="eastAsia"/>
          <w:color w:val="000000" w:themeColor="text1"/>
          <w:lang w:val="en-US" w:eastAsia="zh-CN"/>
          <w14:textFill>
            <w14:solidFill>
              <w14:schemeClr w14:val="tx1"/>
            </w14:solidFill>
          </w14:textFill>
        </w:rPr>
        <w:sectPr>
          <w:pgSz w:w="11906" w:h="16838"/>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附图</w:t>
      </w:r>
      <w:r>
        <w:rPr>
          <w:rFonts w:hint="eastAsia" w:cs="Times New Roman"/>
          <w:b/>
          <w:bCs/>
          <w:color w:val="000000" w:themeColor="text1"/>
          <w:kern w:val="2"/>
          <w:sz w:val="24"/>
          <w:szCs w:val="24"/>
          <w:lang w:val="en-US" w:eastAsia="zh-CN" w:bidi="ar-SA"/>
          <w14:textFill>
            <w14:solidFill>
              <w14:schemeClr w14:val="tx1"/>
            </w14:solidFill>
          </w14:textFill>
        </w:rPr>
        <w:t>8</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分区防渗区图</w:t>
      </w:r>
    </w:p>
    <w:p>
      <w:pPr>
        <w:spacing w:before="156" w:beforeLines="50" w:after="156" w:afterLines="50" w:line="240" w:lineRule="auto"/>
        <w:jc w:val="left"/>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附件1 委托书</w:t>
      </w:r>
    </w:p>
    <w:p>
      <w:pPr>
        <w:pStyle w:val="30"/>
        <w:ind w:left="0" w:leftChars="0" w:firstLine="0" w:firstLineChars="0"/>
        <w:jc w:val="both"/>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drawing>
          <wp:inline distT="0" distB="0" distL="114300" distR="114300">
            <wp:extent cx="5882640" cy="8319770"/>
            <wp:effectExtent l="0" t="0" r="3810" b="5080"/>
            <wp:docPr id="2" name="图片 2" descr="SCAN059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CAN0593_02"/>
                    <pic:cNvPicPr>
                      <a:picLocks noChangeAspect="1"/>
                    </pic:cNvPicPr>
                  </pic:nvPicPr>
                  <pic:blipFill>
                    <a:blip r:embed="rId47"/>
                    <a:stretch>
                      <a:fillRect/>
                    </a:stretch>
                  </pic:blipFill>
                  <pic:spPr>
                    <a:xfrm>
                      <a:off x="0" y="0"/>
                      <a:ext cx="5882640" cy="8319770"/>
                    </a:xfrm>
                    <a:prstGeom prst="rect">
                      <a:avLst/>
                    </a:prstGeom>
                  </pic:spPr>
                </pic:pic>
              </a:graphicData>
            </a:graphic>
          </wp:inline>
        </w:drawing>
      </w:r>
    </w:p>
    <w:p>
      <w:pPr>
        <w:pStyle w:val="30"/>
        <w:ind w:left="0" w:leftChars="0" w:firstLine="0" w:firstLineChars="0"/>
        <w:jc w:val="left"/>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附件</w:t>
      </w:r>
      <w:r>
        <w:rPr>
          <w:rFonts w:hint="eastAsia" w:cs="Times New Roman"/>
          <w:b/>
          <w:bCs/>
          <w:color w:val="000000" w:themeColor="text1"/>
          <w:kern w:val="2"/>
          <w:sz w:val="24"/>
          <w:szCs w:val="24"/>
          <w:lang w:val="en-US" w:eastAsia="zh-CN" w:bidi="ar-SA"/>
          <w14:textFill>
            <w14:solidFill>
              <w14:schemeClr w14:val="tx1"/>
            </w14:solidFill>
          </w14:textFill>
        </w:rPr>
        <w:t>2 备案证</w:t>
      </w:r>
      <w:r>
        <w:drawing>
          <wp:inline distT="0" distB="0" distL="114300" distR="114300">
            <wp:extent cx="5318760" cy="7891780"/>
            <wp:effectExtent l="0" t="0" r="15240" b="13970"/>
            <wp:docPr id="6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
                    <pic:cNvPicPr>
                      <a:picLocks noChangeAspect="1"/>
                    </pic:cNvPicPr>
                  </pic:nvPicPr>
                  <pic:blipFill>
                    <a:blip r:embed="rId48"/>
                    <a:stretch>
                      <a:fillRect/>
                    </a:stretch>
                  </pic:blipFill>
                  <pic:spPr>
                    <a:xfrm>
                      <a:off x="0" y="0"/>
                      <a:ext cx="5318760" cy="7891780"/>
                    </a:xfrm>
                    <a:prstGeom prst="rect">
                      <a:avLst/>
                    </a:prstGeom>
                    <a:noFill/>
                    <a:ln>
                      <a:noFill/>
                    </a:ln>
                  </pic:spPr>
                </pic:pic>
              </a:graphicData>
            </a:graphic>
          </wp:inline>
        </w:drawing>
      </w:r>
    </w:p>
    <w:p>
      <w:pPr>
        <w:pStyle w:val="30"/>
        <w:spacing w:line="240" w:lineRule="auto"/>
        <w:ind w:left="0" w:leftChars="0" w:firstLine="0" w:firstLineChars="0"/>
        <w:jc w:val="left"/>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附件</w:t>
      </w:r>
      <w:r>
        <w:rPr>
          <w:rFonts w:hint="eastAsia" w:cs="Times New Roman"/>
          <w:b/>
          <w:bCs/>
          <w:color w:val="000000" w:themeColor="text1"/>
          <w:kern w:val="2"/>
          <w:sz w:val="24"/>
          <w:szCs w:val="24"/>
          <w:lang w:val="en-US" w:eastAsia="zh-CN" w:bidi="ar-SA"/>
          <w14:textFill>
            <w14:solidFill>
              <w14:schemeClr w14:val="tx1"/>
            </w14:solidFill>
          </w14:textFill>
        </w:rPr>
        <w:t>3 特变线缆一期项目</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环保手续</w:t>
      </w:r>
      <w:r>
        <w:drawing>
          <wp:inline distT="0" distB="0" distL="114300" distR="114300">
            <wp:extent cx="5272405" cy="7995920"/>
            <wp:effectExtent l="0" t="0" r="4445" b="5080"/>
            <wp:docPr id="7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7"/>
                    <pic:cNvPicPr>
                      <a:picLocks noChangeAspect="1"/>
                    </pic:cNvPicPr>
                  </pic:nvPicPr>
                  <pic:blipFill>
                    <a:blip r:embed="rId49"/>
                    <a:stretch>
                      <a:fillRect/>
                    </a:stretch>
                  </pic:blipFill>
                  <pic:spPr>
                    <a:xfrm>
                      <a:off x="0" y="0"/>
                      <a:ext cx="5272405" cy="7995920"/>
                    </a:xfrm>
                    <a:prstGeom prst="rect">
                      <a:avLst/>
                    </a:prstGeom>
                    <a:noFill/>
                    <a:ln>
                      <a:noFill/>
                    </a:ln>
                  </pic:spPr>
                </pic:pic>
              </a:graphicData>
            </a:graphic>
          </wp:inline>
        </w:drawing>
      </w:r>
      <w:r>
        <w:drawing>
          <wp:inline distT="0" distB="0" distL="114300" distR="114300">
            <wp:extent cx="5257800" cy="8172450"/>
            <wp:effectExtent l="0" t="0" r="0" b="0"/>
            <wp:docPr id="7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8"/>
                    <pic:cNvPicPr>
                      <a:picLocks noChangeAspect="1"/>
                    </pic:cNvPicPr>
                  </pic:nvPicPr>
                  <pic:blipFill>
                    <a:blip r:embed="rId50"/>
                    <a:stretch>
                      <a:fillRect/>
                    </a:stretch>
                  </pic:blipFill>
                  <pic:spPr>
                    <a:xfrm>
                      <a:off x="0" y="0"/>
                      <a:ext cx="5257800" cy="8172450"/>
                    </a:xfrm>
                    <a:prstGeom prst="rect">
                      <a:avLst/>
                    </a:prstGeom>
                    <a:noFill/>
                    <a:ln>
                      <a:noFill/>
                    </a:ln>
                  </pic:spPr>
                </pic:pic>
              </a:graphicData>
            </a:graphic>
          </wp:inline>
        </w:drawing>
      </w:r>
      <w:r>
        <w:drawing>
          <wp:inline distT="0" distB="0" distL="114300" distR="114300">
            <wp:extent cx="5269865" cy="7909560"/>
            <wp:effectExtent l="0" t="0" r="6985" b="15240"/>
            <wp:docPr id="7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9"/>
                    <pic:cNvPicPr>
                      <a:picLocks noChangeAspect="1"/>
                    </pic:cNvPicPr>
                  </pic:nvPicPr>
                  <pic:blipFill>
                    <a:blip r:embed="rId51"/>
                    <a:stretch>
                      <a:fillRect/>
                    </a:stretch>
                  </pic:blipFill>
                  <pic:spPr>
                    <a:xfrm>
                      <a:off x="0" y="0"/>
                      <a:ext cx="5269865" cy="7909560"/>
                    </a:xfrm>
                    <a:prstGeom prst="rect">
                      <a:avLst/>
                    </a:prstGeom>
                    <a:noFill/>
                    <a:ln>
                      <a:noFill/>
                    </a:ln>
                  </pic:spPr>
                </pic:pic>
              </a:graphicData>
            </a:graphic>
          </wp:inline>
        </w:drawing>
      </w:r>
      <w:r>
        <w:drawing>
          <wp:inline distT="0" distB="0" distL="114300" distR="114300">
            <wp:extent cx="5269865" cy="8030845"/>
            <wp:effectExtent l="0" t="0" r="6985" b="8255"/>
            <wp:docPr id="7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0"/>
                    <pic:cNvPicPr>
                      <a:picLocks noChangeAspect="1"/>
                    </pic:cNvPicPr>
                  </pic:nvPicPr>
                  <pic:blipFill>
                    <a:blip r:embed="rId52"/>
                    <a:stretch>
                      <a:fillRect/>
                    </a:stretch>
                  </pic:blipFill>
                  <pic:spPr>
                    <a:xfrm>
                      <a:off x="0" y="0"/>
                      <a:ext cx="5269865" cy="8030845"/>
                    </a:xfrm>
                    <a:prstGeom prst="rect">
                      <a:avLst/>
                    </a:prstGeom>
                    <a:noFill/>
                    <a:ln>
                      <a:noFill/>
                    </a:ln>
                  </pic:spPr>
                </pic:pic>
              </a:graphicData>
            </a:graphic>
          </wp:inline>
        </w:drawing>
      </w:r>
      <w:r>
        <w:drawing>
          <wp:inline distT="0" distB="0" distL="114300" distR="114300">
            <wp:extent cx="8047990" cy="5295265"/>
            <wp:effectExtent l="0" t="0" r="635" b="10160"/>
            <wp:docPr id="86" name="图片 86" descr="排污许可证正本信息公开 (1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排污许可证正本信息公开 (14)_01"/>
                    <pic:cNvPicPr>
                      <a:picLocks noChangeAspect="1"/>
                    </pic:cNvPicPr>
                  </pic:nvPicPr>
                  <pic:blipFill>
                    <a:blip r:embed="rId53"/>
                    <a:stretch>
                      <a:fillRect/>
                    </a:stretch>
                  </pic:blipFill>
                  <pic:spPr>
                    <a:xfrm rot="16200000">
                      <a:off x="0" y="0"/>
                      <a:ext cx="8047990" cy="5295265"/>
                    </a:xfrm>
                    <a:prstGeom prst="rect">
                      <a:avLst/>
                    </a:prstGeom>
                  </pic:spPr>
                </pic:pic>
              </a:graphicData>
            </a:graphic>
          </wp:inline>
        </w:drawing>
      </w:r>
      <w:r>
        <w:drawing>
          <wp:inline distT="0" distB="0" distL="114300" distR="114300">
            <wp:extent cx="5273675" cy="8045450"/>
            <wp:effectExtent l="0" t="0" r="3175" b="12700"/>
            <wp:docPr id="7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1"/>
                    <pic:cNvPicPr>
                      <a:picLocks noChangeAspect="1"/>
                    </pic:cNvPicPr>
                  </pic:nvPicPr>
                  <pic:blipFill>
                    <a:blip r:embed="rId54"/>
                    <a:stretch>
                      <a:fillRect/>
                    </a:stretch>
                  </pic:blipFill>
                  <pic:spPr>
                    <a:xfrm>
                      <a:off x="0" y="0"/>
                      <a:ext cx="5273675" cy="8045450"/>
                    </a:xfrm>
                    <a:prstGeom prst="rect">
                      <a:avLst/>
                    </a:prstGeom>
                    <a:noFill/>
                    <a:ln>
                      <a:noFill/>
                    </a:ln>
                  </pic:spPr>
                </pic:pic>
              </a:graphicData>
            </a:graphic>
          </wp:inline>
        </w:drawing>
      </w:r>
      <w:r>
        <w:drawing>
          <wp:inline distT="0" distB="0" distL="114300" distR="114300">
            <wp:extent cx="5273675" cy="7593965"/>
            <wp:effectExtent l="0" t="0" r="3175" b="6985"/>
            <wp:docPr id="7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2"/>
                    <pic:cNvPicPr>
                      <a:picLocks noChangeAspect="1"/>
                    </pic:cNvPicPr>
                  </pic:nvPicPr>
                  <pic:blipFill>
                    <a:blip r:embed="rId55"/>
                    <a:stretch>
                      <a:fillRect/>
                    </a:stretch>
                  </pic:blipFill>
                  <pic:spPr>
                    <a:xfrm>
                      <a:off x="0" y="0"/>
                      <a:ext cx="5273675" cy="7593965"/>
                    </a:xfrm>
                    <a:prstGeom prst="rect">
                      <a:avLst/>
                    </a:prstGeom>
                    <a:noFill/>
                    <a:ln>
                      <a:noFill/>
                    </a:ln>
                  </pic:spPr>
                </pic:pic>
              </a:graphicData>
            </a:graphic>
          </wp:inline>
        </w:drawing>
      </w:r>
      <w:r>
        <w:drawing>
          <wp:inline distT="0" distB="0" distL="114300" distR="114300">
            <wp:extent cx="5273040" cy="7455535"/>
            <wp:effectExtent l="0" t="0" r="3810" b="12065"/>
            <wp:docPr id="8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3"/>
                    <pic:cNvPicPr>
                      <a:picLocks noChangeAspect="1"/>
                    </pic:cNvPicPr>
                  </pic:nvPicPr>
                  <pic:blipFill>
                    <a:blip r:embed="rId56"/>
                    <a:stretch>
                      <a:fillRect/>
                    </a:stretch>
                  </pic:blipFill>
                  <pic:spPr>
                    <a:xfrm>
                      <a:off x="0" y="0"/>
                      <a:ext cx="5273040" cy="7455535"/>
                    </a:xfrm>
                    <a:prstGeom prst="rect">
                      <a:avLst/>
                    </a:prstGeom>
                    <a:noFill/>
                    <a:ln>
                      <a:noFill/>
                    </a:ln>
                  </pic:spPr>
                </pic:pic>
              </a:graphicData>
            </a:graphic>
          </wp:inline>
        </w:drawing>
      </w:r>
      <w:r>
        <w:drawing>
          <wp:inline distT="0" distB="0" distL="114300" distR="114300">
            <wp:extent cx="5266055" cy="7446010"/>
            <wp:effectExtent l="0" t="0" r="10795" b="2540"/>
            <wp:docPr id="8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4"/>
                    <pic:cNvPicPr>
                      <a:picLocks noChangeAspect="1"/>
                    </pic:cNvPicPr>
                  </pic:nvPicPr>
                  <pic:blipFill>
                    <a:blip r:embed="rId57"/>
                    <a:stretch>
                      <a:fillRect/>
                    </a:stretch>
                  </pic:blipFill>
                  <pic:spPr>
                    <a:xfrm>
                      <a:off x="0" y="0"/>
                      <a:ext cx="5266055" cy="7446010"/>
                    </a:xfrm>
                    <a:prstGeom prst="rect">
                      <a:avLst/>
                    </a:prstGeom>
                    <a:noFill/>
                    <a:ln>
                      <a:noFill/>
                    </a:ln>
                  </pic:spPr>
                </pic:pic>
              </a:graphicData>
            </a:graphic>
          </wp:inline>
        </w:drawing>
      </w:r>
      <w:r>
        <w:drawing>
          <wp:inline distT="0" distB="0" distL="114300" distR="114300">
            <wp:extent cx="5266055" cy="7446010"/>
            <wp:effectExtent l="0" t="0" r="10795" b="2540"/>
            <wp:docPr id="8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5"/>
                    <pic:cNvPicPr>
                      <a:picLocks noChangeAspect="1"/>
                    </pic:cNvPicPr>
                  </pic:nvPicPr>
                  <pic:blipFill>
                    <a:blip r:embed="rId58"/>
                    <a:stretch>
                      <a:fillRect/>
                    </a:stretch>
                  </pic:blipFill>
                  <pic:spPr>
                    <a:xfrm>
                      <a:off x="0" y="0"/>
                      <a:ext cx="5266055" cy="7446010"/>
                    </a:xfrm>
                    <a:prstGeom prst="rect">
                      <a:avLst/>
                    </a:prstGeom>
                    <a:noFill/>
                    <a:ln>
                      <a:noFill/>
                    </a:ln>
                  </pic:spPr>
                </pic:pic>
              </a:graphicData>
            </a:graphic>
          </wp:inline>
        </w:drawing>
      </w:r>
      <w:r>
        <w:drawing>
          <wp:inline distT="0" distB="0" distL="114300" distR="114300">
            <wp:extent cx="5266055" cy="7446010"/>
            <wp:effectExtent l="0" t="0" r="10795" b="2540"/>
            <wp:docPr id="8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6"/>
                    <pic:cNvPicPr>
                      <a:picLocks noChangeAspect="1"/>
                    </pic:cNvPicPr>
                  </pic:nvPicPr>
                  <pic:blipFill>
                    <a:blip r:embed="rId59"/>
                    <a:stretch>
                      <a:fillRect/>
                    </a:stretch>
                  </pic:blipFill>
                  <pic:spPr>
                    <a:xfrm>
                      <a:off x="0" y="0"/>
                      <a:ext cx="5266055" cy="7446010"/>
                    </a:xfrm>
                    <a:prstGeom prst="rect">
                      <a:avLst/>
                    </a:prstGeom>
                    <a:noFill/>
                    <a:ln>
                      <a:noFill/>
                    </a:ln>
                  </pic:spPr>
                </pic:pic>
              </a:graphicData>
            </a:graphic>
          </wp:inline>
        </w:drawing>
      </w:r>
      <w:r>
        <w:drawing>
          <wp:inline distT="0" distB="0" distL="114300" distR="114300">
            <wp:extent cx="5266055" cy="7446010"/>
            <wp:effectExtent l="0" t="0" r="10795" b="2540"/>
            <wp:docPr id="8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7"/>
                    <pic:cNvPicPr>
                      <a:picLocks noChangeAspect="1"/>
                    </pic:cNvPicPr>
                  </pic:nvPicPr>
                  <pic:blipFill>
                    <a:blip r:embed="rId60"/>
                    <a:stretch>
                      <a:fillRect/>
                    </a:stretch>
                  </pic:blipFill>
                  <pic:spPr>
                    <a:xfrm>
                      <a:off x="0" y="0"/>
                      <a:ext cx="5266055" cy="7446010"/>
                    </a:xfrm>
                    <a:prstGeom prst="rect">
                      <a:avLst/>
                    </a:prstGeom>
                    <a:noFill/>
                    <a:ln>
                      <a:noFill/>
                    </a:ln>
                  </pic:spPr>
                </pic:pic>
              </a:graphicData>
            </a:graphic>
          </wp:inline>
        </w:drawing>
      </w:r>
      <w:r>
        <w:drawing>
          <wp:inline distT="0" distB="0" distL="114300" distR="114300">
            <wp:extent cx="5266055" cy="7446010"/>
            <wp:effectExtent l="0" t="0" r="10795" b="2540"/>
            <wp:docPr id="8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8"/>
                    <pic:cNvPicPr>
                      <a:picLocks noChangeAspect="1"/>
                    </pic:cNvPicPr>
                  </pic:nvPicPr>
                  <pic:blipFill>
                    <a:blip r:embed="rId61"/>
                    <a:stretch>
                      <a:fillRect/>
                    </a:stretch>
                  </pic:blipFill>
                  <pic:spPr>
                    <a:xfrm>
                      <a:off x="0" y="0"/>
                      <a:ext cx="5266055" cy="7446010"/>
                    </a:xfrm>
                    <a:prstGeom prst="rect">
                      <a:avLst/>
                    </a:prstGeom>
                    <a:noFill/>
                    <a:ln>
                      <a:noFill/>
                    </a:ln>
                  </pic:spPr>
                </pic:pic>
              </a:graphicData>
            </a:graphic>
          </wp:inline>
        </w:drawing>
      </w:r>
    </w:p>
    <w:p>
      <w:pPr>
        <w:pStyle w:val="31"/>
        <w:rPr>
          <w:rFonts w:hint="default"/>
          <w:color w:val="000000" w:themeColor="text1"/>
          <w:lang w:val="en-US" w:eastAsia="zh-CN"/>
          <w14:textFill>
            <w14:solidFill>
              <w14:schemeClr w14:val="tx1"/>
            </w14:solidFill>
          </w14:textFill>
        </w:rPr>
      </w:pPr>
    </w:p>
    <w:p>
      <w:pPr>
        <w:pStyle w:val="30"/>
        <w:ind w:left="0" w:leftChars="0" w:firstLine="0" w:firstLineChars="0"/>
        <w:jc w:val="cente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numPr>
          <w:ilvl w:val="0"/>
          <w:numId w:val="0"/>
        </w:numPr>
        <w:spacing w:line="360" w:lineRule="auto"/>
        <w:rPr>
          <w:rFonts w:hint="eastAsia" w:cs="Times New Roman"/>
          <w:b/>
          <w:bCs/>
          <w:color w:val="000000" w:themeColor="text1"/>
          <w:kern w:val="2"/>
          <w:sz w:val="24"/>
          <w:szCs w:val="24"/>
          <w:lang w:val="en-US" w:eastAsia="zh-CN" w:bidi="ar-SA"/>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附件</w:t>
      </w:r>
      <w:r>
        <w:rPr>
          <w:rFonts w:hint="eastAsia" w:cs="Times New Roman"/>
          <w:b/>
          <w:bCs/>
          <w:color w:val="000000" w:themeColor="text1"/>
          <w:kern w:val="2"/>
          <w:sz w:val="24"/>
          <w:szCs w:val="24"/>
          <w:lang w:val="en-US" w:eastAsia="zh-CN" w:bidi="ar-SA"/>
          <w14:textFill>
            <w14:solidFill>
              <w14:schemeClr w14:val="tx1"/>
            </w14:solidFill>
          </w14:textFill>
        </w:rPr>
        <w:t>4 特变线缆三期项目环评批复</w:t>
      </w:r>
      <w:r>
        <w:rPr>
          <w:rFonts w:hint="eastAsia" w:cs="Times New Roman"/>
          <w:b/>
          <w:bCs/>
          <w:color w:val="000000" w:themeColor="text1"/>
          <w:kern w:val="2"/>
          <w:sz w:val="24"/>
          <w:szCs w:val="24"/>
          <w:lang w:val="en-US" w:eastAsia="zh-CN" w:bidi="ar-SA"/>
          <w14:textFill>
            <w14:solidFill>
              <w14:schemeClr w14:val="tx1"/>
            </w14:solidFill>
          </w14:textFill>
        </w:rPr>
        <w:drawing>
          <wp:inline distT="0" distB="0" distL="114300" distR="114300">
            <wp:extent cx="5316220" cy="7510145"/>
            <wp:effectExtent l="0" t="0" r="17780" b="14605"/>
            <wp:docPr id="90" name="图片 90" descr="特变电工智能电缆产业园建设项目(三期)环评批复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特变电工智能电缆产业园建设项目(三期)环评批复_01"/>
                    <pic:cNvPicPr>
                      <a:picLocks noChangeAspect="1"/>
                    </pic:cNvPicPr>
                  </pic:nvPicPr>
                  <pic:blipFill>
                    <a:blip r:embed="rId62"/>
                    <a:stretch>
                      <a:fillRect/>
                    </a:stretch>
                  </pic:blipFill>
                  <pic:spPr>
                    <a:xfrm>
                      <a:off x="0" y="0"/>
                      <a:ext cx="5316220" cy="7510145"/>
                    </a:xfrm>
                    <a:prstGeom prst="rect">
                      <a:avLst/>
                    </a:prstGeom>
                  </pic:spPr>
                </pic:pic>
              </a:graphicData>
            </a:graphic>
          </wp:inline>
        </w:drawing>
      </w:r>
      <w:r>
        <w:rPr>
          <w:rFonts w:hint="eastAsia" w:cs="Times New Roman"/>
          <w:b/>
          <w:bCs/>
          <w:color w:val="000000" w:themeColor="text1"/>
          <w:kern w:val="2"/>
          <w:sz w:val="24"/>
          <w:szCs w:val="24"/>
          <w:lang w:val="en-US" w:eastAsia="zh-CN" w:bidi="ar-SA"/>
          <w14:textFill>
            <w14:solidFill>
              <w14:schemeClr w14:val="tx1"/>
            </w14:solidFill>
          </w14:textFill>
        </w:rPr>
        <w:drawing>
          <wp:inline distT="0" distB="0" distL="114300" distR="114300">
            <wp:extent cx="5248910" cy="7819390"/>
            <wp:effectExtent l="0" t="0" r="8890" b="10160"/>
            <wp:docPr id="89" name="图片 89" descr="特变电工智能电缆产业园建设项目(三期)环评批复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特变电工智能电缆产业园建设项目(三期)环评批复_02"/>
                    <pic:cNvPicPr>
                      <a:picLocks noChangeAspect="1"/>
                    </pic:cNvPicPr>
                  </pic:nvPicPr>
                  <pic:blipFill>
                    <a:blip r:embed="rId63"/>
                    <a:stretch>
                      <a:fillRect/>
                    </a:stretch>
                  </pic:blipFill>
                  <pic:spPr>
                    <a:xfrm>
                      <a:off x="0" y="0"/>
                      <a:ext cx="5248910" cy="7819390"/>
                    </a:xfrm>
                    <a:prstGeom prst="rect">
                      <a:avLst/>
                    </a:prstGeom>
                  </pic:spPr>
                </pic:pic>
              </a:graphicData>
            </a:graphic>
          </wp:inline>
        </w:drawing>
      </w:r>
      <w:r>
        <w:rPr>
          <w:rFonts w:hint="eastAsia" w:cs="Times New Roman"/>
          <w:b/>
          <w:bCs/>
          <w:color w:val="000000" w:themeColor="text1"/>
          <w:kern w:val="2"/>
          <w:sz w:val="24"/>
          <w:szCs w:val="24"/>
          <w:lang w:val="en-US" w:eastAsia="zh-CN" w:bidi="ar-SA"/>
          <w14:textFill>
            <w14:solidFill>
              <w14:schemeClr w14:val="tx1"/>
            </w14:solidFill>
          </w14:textFill>
        </w:rPr>
        <w:drawing>
          <wp:inline distT="0" distB="0" distL="114300" distR="114300">
            <wp:extent cx="5282565" cy="7747635"/>
            <wp:effectExtent l="0" t="0" r="13335" b="5715"/>
            <wp:docPr id="88" name="图片 88" descr="特变电工智能电缆产业园建设项目(三期)环评批复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特变电工智能电缆产业园建设项目(三期)环评批复_03"/>
                    <pic:cNvPicPr>
                      <a:picLocks noChangeAspect="1"/>
                    </pic:cNvPicPr>
                  </pic:nvPicPr>
                  <pic:blipFill>
                    <a:blip r:embed="rId64"/>
                    <a:stretch>
                      <a:fillRect/>
                    </a:stretch>
                  </pic:blipFill>
                  <pic:spPr>
                    <a:xfrm>
                      <a:off x="0" y="0"/>
                      <a:ext cx="5282565" cy="7747635"/>
                    </a:xfrm>
                    <a:prstGeom prst="rect">
                      <a:avLst/>
                    </a:prstGeom>
                  </pic:spPr>
                </pic:pic>
              </a:graphicData>
            </a:graphic>
          </wp:inline>
        </w:drawing>
      </w:r>
      <w:r>
        <w:rPr>
          <w:rFonts w:hint="eastAsia" w:cs="Times New Roman"/>
          <w:b/>
          <w:bCs/>
          <w:color w:val="000000" w:themeColor="text1"/>
          <w:kern w:val="2"/>
          <w:sz w:val="24"/>
          <w:szCs w:val="24"/>
          <w:lang w:val="en-US" w:eastAsia="zh-CN" w:bidi="ar-SA"/>
          <w14:textFill>
            <w14:solidFill>
              <w14:schemeClr w14:val="tx1"/>
            </w14:solidFill>
          </w14:textFill>
        </w:rPr>
        <w:drawing>
          <wp:inline distT="0" distB="0" distL="114300" distR="114300">
            <wp:extent cx="5232400" cy="7688580"/>
            <wp:effectExtent l="0" t="0" r="6350" b="7620"/>
            <wp:docPr id="87" name="图片 87" descr="特变电工智能电缆产业园建设项目(三期)环评批复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特变电工智能电缆产业园建设项目(三期)环评批复_04"/>
                    <pic:cNvPicPr>
                      <a:picLocks noChangeAspect="1"/>
                    </pic:cNvPicPr>
                  </pic:nvPicPr>
                  <pic:blipFill>
                    <a:blip r:embed="rId65"/>
                    <a:stretch>
                      <a:fillRect/>
                    </a:stretch>
                  </pic:blipFill>
                  <pic:spPr>
                    <a:xfrm>
                      <a:off x="0" y="0"/>
                      <a:ext cx="5232400" cy="7688580"/>
                    </a:xfrm>
                    <a:prstGeom prst="rect">
                      <a:avLst/>
                    </a:prstGeom>
                  </pic:spPr>
                </pic:pic>
              </a:graphicData>
            </a:graphic>
          </wp:inline>
        </w:drawing>
      </w:r>
    </w:p>
    <w:p>
      <w:pPr>
        <w:pStyle w:val="18"/>
        <w:rPr>
          <w:rFonts w:hint="default"/>
          <w:b/>
          <w:bCs w:val="0"/>
          <w:color w:val="000000" w:themeColor="text1"/>
          <w:lang w:val="en-US" w:eastAsia="zh-CN"/>
          <w14:textFill>
            <w14:solidFill>
              <w14:schemeClr w14:val="tx1"/>
            </w14:solidFill>
          </w14:textFill>
        </w:rPr>
      </w:pPr>
      <w:r>
        <w:rPr>
          <w:rFonts w:hint="eastAsia" w:cs="Times New Roman"/>
          <w:b/>
          <w:bCs w:val="0"/>
          <w:color w:val="000000" w:themeColor="text1"/>
          <w:szCs w:val="32"/>
          <w:lang w:val="en-US" w:eastAsia="zh-CN"/>
          <w14:textFill>
            <w14:solidFill>
              <w14:schemeClr w14:val="tx1"/>
            </w14:solidFill>
          </w14:textFill>
        </w:rPr>
        <w:t>附件5 引用监测数据监测报告</w:t>
      </w:r>
      <w:r>
        <w:drawing>
          <wp:inline distT="0" distB="0" distL="114300" distR="114300">
            <wp:extent cx="5273675" cy="7449185"/>
            <wp:effectExtent l="0" t="0" r="3175" b="18415"/>
            <wp:docPr id="6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1"/>
                    <pic:cNvPicPr>
                      <a:picLocks noChangeAspect="1"/>
                    </pic:cNvPicPr>
                  </pic:nvPicPr>
                  <pic:blipFill>
                    <a:blip r:embed="rId66"/>
                    <a:stretch>
                      <a:fillRect/>
                    </a:stretch>
                  </pic:blipFill>
                  <pic:spPr>
                    <a:xfrm>
                      <a:off x="0" y="0"/>
                      <a:ext cx="5273675" cy="7449185"/>
                    </a:xfrm>
                    <a:prstGeom prst="rect">
                      <a:avLst/>
                    </a:prstGeom>
                    <a:noFill/>
                    <a:ln>
                      <a:noFill/>
                    </a:ln>
                  </pic:spPr>
                </pic:pic>
              </a:graphicData>
            </a:graphic>
          </wp:inline>
        </w:drawing>
      </w:r>
      <w:r>
        <w:drawing>
          <wp:inline distT="0" distB="0" distL="114300" distR="114300">
            <wp:extent cx="5273675" cy="7449185"/>
            <wp:effectExtent l="0" t="0" r="3175" b="18415"/>
            <wp:docPr id="6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2"/>
                    <pic:cNvPicPr>
                      <a:picLocks noChangeAspect="1"/>
                    </pic:cNvPicPr>
                  </pic:nvPicPr>
                  <pic:blipFill>
                    <a:blip r:embed="rId67"/>
                    <a:stretch>
                      <a:fillRect/>
                    </a:stretch>
                  </pic:blipFill>
                  <pic:spPr>
                    <a:xfrm>
                      <a:off x="0" y="0"/>
                      <a:ext cx="5273675" cy="7449185"/>
                    </a:xfrm>
                    <a:prstGeom prst="rect">
                      <a:avLst/>
                    </a:prstGeom>
                    <a:noFill/>
                    <a:ln>
                      <a:noFill/>
                    </a:ln>
                  </pic:spPr>
                </pic:pic>
              </a:graphicData>
            </a:graphic>
          </wp:inline>
        </w:drawing>
      </w:r>
      <w:r>
        <w:drawing>
          <wp:inline distT="0" distB="0" distL="114300" distR="114300">
            <wp:extent cx="5269230" cy="7167880"/>
            <wp:effectExtent l="0" t="0" r="7620" b="13970"/>
            <wp:docPr id="7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3"/>
                    <pic:cNvPicPr>
                      <a:picLocks noChangeAspect="1"/>
                    </pic:cNvPicPr>
                  </pic:nvPicPr>
                  <pic:blipFill>
                    <a:blip r:embed="rId68"/>
                    <a:stretch>
                      <a:fillRect/>
                    </a:stretch>
                  </pic:blipFill>
                  <pic:spPr>
                    <a:xfrm>
                      <a:off x="0" y="0"/>
                      <a:ext cx="5269230" cy="7167880"/>
                    </a:xfrm>
                    <a:prstGeom prst="rect">
                      <a:avLst/>
                    </a:prstGeom>
                    <a:noFill/>
                    <a:ln>
                      <a:noFill/>
                    </a:ln>
                  </pic:spPr>
                </pic:pic>
              </a:graphicData>
            </a:graphic>
          </wp:inline>
        </w:drawing>
      </w:r>
      <w:r>
        <w:drawing>
          <wp:inline distT="0" distB="0" distL="114300" distR="114300">
            <wp:extent cx="5269230" cy="7301230"/>
            <wp:effectExtent l="0" t="0" r="7620" b="13970"/>
            <wp:docPr id="7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4"/>
                    <pic:cNvPicPr>
                      <a:picLocks noChangeAspect="1"/>
                    </pic:cNvPicPr>
                  </pic:nvPicPr>
                  <pic:blipFill>
                    <a:blip r:embed="rId69"/>
                    <a:stretch>
                      <a:fillRect/>
                    </a:stretch>
                  </pic:blipFill>
                  <pic:spPr>
                    <a:xfrm>
                      <a:off x="0" y="0"/>
                      <a:ext cx="5269230" cy="7301230"/>
                    </a:xfrm>
                    <a:prstGeom prst="rect">
                      <a:avLst/>
                    </a:prstGeom>
                    <a:noFill/>
                    <a:ln>
                      <a:noFill/>
                    </a:ln>
                  </pic:spPr>
                </pic:pic>
              </a:graphicData>
            </a:graphic>
          </wp:inline>
        </w:drawing>
      </w:r>
      <w:r>
        <w:drawing>
          <wp:inline distT="0" distB="0" distL="114300" distR="114300">
            <wp:extent cx="5269230" cy="7301865"/>
            <wp:effectExtent l="0" t="0" r="7620" b="13335"/>
            <wp:docPr id="7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5"/>
                    <pic:cNvPicPr>
                      <a:picLocks noChangeAspect="1"/>
                    </pic:cNvPicPr>
                  </pic:nvPicPr>
                  <pic:blipFill>
                    <a:blip r:embed="rId70"/>
                    <a:stretch>
                      <a:fillRect/>
                    </a:stretch>
                  </pic:blipFill>
                  <pic:spPr>
                    <a:xfrm>
                      <a:off x="0" y="0"/>
                      <a:ext cx="5269230" cy="7301865"/>
                    </a:xfrm>
                    <a:prstGeom prst="rect">
                      <a:avLst/>
                    </a:prstGeom>
                    <a:noFill/>
                    <a:ln>
                      <a:noFill/>
                    </a:ln>
                  </pic:spPr>
                </pic:pic>
              </a:graphicData>
            </a:graphic>
          </wp:inline>
        </w:drawing>
      </w:r>
      <w:r>
        <w:drawing>
          <wp:inline distT="0" distB="0" distL="114300" distR="114300">
            <wp:extent cx="5270500" cy="7448550"/>
            <wp:effectExtent l="0" t="0" r="6350" b="0"/>
            <wp:docPr id="7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6"/>
                    <pic:cNvPicPr>
                      <a:picLocks noChangeAspect="1"/>
                    </pic:cNvPicPr>
                  </pic:nvPicPr>
                  <pic:blipFill>
                    <a:blip r:embed="rId71"/>
                    <a:stretch>
                      <a:fillRect/>
                    </a:stretch>
                  </pic:blipFill>
                  <pic:spPr>
                    <a:xfrm>
                      <a:off x="0" y="0"/>
                      <a:ext cx="5270500" cy="7448550"/>
                    </a:xfrm>
                    <a:prstGeom prst="rect">
                      <a:avLst/>
                    </a:prstGeom>
                    <a:noFill/>
                    <a:ln>
                      <a:noFill/>
                    </a:ln>
                  </pic:spPr>
                </pic:pic>
              </a:graphicData>
            </a:graphic>
          </wp:inline>
        </w:drawing>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方正仿宋_GBK">
    <w:panose1 w:val="02000000000000000000"/>
    <w:charset w:val="86"/>
    <w:family w:val="script"/>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2FF" w:usb1="420024FF" w:usb2="00000000"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109C9"/>
    <w:multiLevelType w:val="singleLevel"/>
    <w:tmpl w:val="837109C9"/>
    <w:lvl w:ilvl="0" w:tentative="0">
      <w:start w:val="1"/>
      <w:numFmt w:val="decimal"/>
      <w:pStyle w:val="24"/>
      <w:lvlText w:val="%1."/>
      <w:lvlJc w:val="left"/>
      <w:pPr>
        <w:tabs>
          <w:tab w:val="left" w:pos="2040"/>
        </w:tabs>
        <w:ind w:left="2040" w:hanging="360"/>
      </w:pPr>
    </w:lvl>
  </w:abstractNum>
  <w:abstractNum w:abstractNumId="1">
    <w:nsid w:val="F6043A74"/>
    <w:multiLevelType w:val="singleLevel"/>
    <w:tmpl w:val="F6043A74"/>
    <w:lvl w:ilvl="0" w:tentative="0">
      <w:start w:val="1"/>
      <w:numFmt w:val="decimal"/>
      <w:suff w:val="nothing"/>
      <w:lvlText w:val="%1"/>
      <w:lvlJc w:val="left"/>
      <w:pPr>
        <w:tabs>
          <w:tab w:val="left" w:pos="420"/>
        </w:tabs>
        <w:ind w:left="425" w:leftChars="0" w:hanging="425" w:firstLineChars="0"/>
      </w:pPr>
      <w:rPr>
        <w:rFonts w:hint="default"/>
      </w:rPr>
    </w:lvl>
  </w:abstractNum>
  <w:abstractNum w:abstractNumId="2">
    <w:nsid w:val="0EECB2F0"/>
    <w:multiLevelType w:val="singleLevel"/>
    <w:tmpl w:val="0EECB2F0"/>
    <w:lvl w:ilvl="0" w:tentative="0">
      <w:start w:val="1"/>
      <w:numFmt w:val="decimal"/>
      <w:suff w:val="nothing"/>
      <w:lvlText w:val="%1"/>
      <w:lvlJc w:val="left"/>
      <w:pPr>
        <w:tabs>
          <w:tab w:val="left" w:pos="420"/>
        </w:tabs>
        <w:ind w:left="425" w:leftChars="0" w:hanging="425" w:firstLineChars="0"/>
      </w:pPr>
      <w:rPr>
        <w:rFonts w:hint="default"/>
      </w:rPr>
    </w:lvl>
  </w:abstractNum>
  <w:abstractNum w:abstractNumId="3">
    <w:nsid w:val="13E3A03A"/>
    <w:multiLevelType w:val="singleLevel"/>
    <w:tmpl w:val="13E3A03A"/>
    <w:lvl w:ilvl="0" w:tentative="0">
      <w:start w:val="1"/>
      <w:numFmt w:val="bullet"/>
      <w:pStyle w:val="15"/>
      <w:lvlText w:val=""/>
      <w:lvlJc w:val="left"/>
      <w:pPr>
        <w:tabs>
          <w:tab w:val="left" w:pos="2040"/>
        </w:tabs>
        <w:ind w:left="2040" w:hanging="360"/>
      </w:pPr>
      <w:rPr>
        <w:rFonts w:hint="default" w:ascii="Wingdings" w:hAnsi="Wingding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wMzIxMDFlNjU3MWZkZDA1MjNhN2E3MjFhOThhMGMifQ=="/>
  </w:docVars>
  <w:rsids>
    <w:rsidRoot w:val="00E3580E"/>
    <w:rsid w:val="00022C11"/>
    <w:rsid w:val="00054BEF"/>
    <w:rsid w:val="000A5F3B"/>
    <w:rsid w:val="000B6281"/>
    <w:rsid w:val="000F258A"/>
    <w:rsid w:val="001036E8"/>
    <w:rsid w:val="00150EEB"/>
    <w:rsid w:val="00155658"/>
    <w:rsid w:val="001729AD"/>
    <w:rsid w:val="00172E78"/>
    <w:rsid w:val="00177BF8"/>
    <w:rsid w:val="00181BA6"/>
    <w:rsid w:val="0018274C"/>
    <w:rsid w:val="001A6C08"/>
    <w:rsid w:val="001B0CD9"/>
    <w:rsid w:val="001C7ACA"/>
    <w:rsid w:val="001E4038"/>
    <w:rsid w:val="00267B02"/>
    <w:rsid w:val="002B13FD"/>
    <w:rsid w:val="002D35D1"/>
    <w:rsid w:val="002E18EC"/>
    <w:rsid w:val="0030434A"/>
    <w:rsid w:val="00384B9C"/>
    <w:rsid w:val="003C5BFE"/>
    <w:rsid w:val="003F23CE"/>
    <w:rsid w:val="00443541"/>
    <w:rsid w:val="0044770E"/>
    <w:rsid w:val="00455D2B"/>
    <w:rsid w:val="00464984"/>
    <w:rsid w:val="004874D5"/>
    <w:rsid w:val="004A35BD"/>
    <w:rsid w:val="004C52E8"/>
    <w:rsid w:val="004E78DA"/>
    <w:rsid w:val="004F3841"/>
    <w:rsid w:val="00502D1B"/>
    <w:rsid w:val="00536236"/>
    <w:rsid w:val="0055303C"/>
    <w:rsid w:val="00560307"/>
    <w:rsid w:val="00575E35"/>
    <w:rsid w:val="005B4DDA"/>
    <w:rsid w:val="005D0FD9"/>
    <w:rsid w:val="005E3AE0"/>
    <w:rsid w:val="005F481F"/>
    <w:rsid w:val="00627E6B"/>
    <w:rsid w:val="00650387"/>
    <w:rsid w:val="006927C1"/>
    <w:rsid w:val="006B4F71"/>
    <w:rsid w:val="00736B04"/>
    <w:rsid w:val="007402CA"/>
    <w:rsid w:val="007459D2"/>
    <w:rsid w:val="007469E9"/>
    <w:rsid w:val="00762AFD"/>
    <w:rsid w:val="007C7B54"/>
    <w:rsid w:val="007E31BF"/>
    <w:rsid w:val="007E697C"/>
    <w:rsid w:val="00832AE1"/>
    <w:rsid w:val="0087167F"/>
    <w:rsid w:val="00891076"/>
    <w:rsid w:val="00961901"/>
    <w:rsid w:val="00964E3E"/>
    <w:rsid w:val="00971433"/>
    <w:rsid w:val="00977A0E"/>
    <w:rsid w:val="009C337D"/>
    <w:rsid w:val="009D204E"/>
    <w:rsid w:val="009D7F37"/>
    <w:rsid w:val="00A02F4A"/>
    <w:rsid w:val="00A067C3"/>
    <w:rsid w:val="00A10638"/>
    <w:rsid w:val="00A20ABE"/>
    <w:rsid w:val="00A33D6C"/>
    <w:rsid w:val="00A43468"/>
    <w:rsid w:val="00AA289B"/>
    <w:rsid w:val="00AA2BBE"/>
    <w:rsid w:val="00B22BC9"/>
    <w:rsid w:val="00B67DE0"/>
    <w:rsid w:val="00B87AEC"/>
    <w:rsid w:val="00B901D7"/>
    <w:rsid w:val="00BB71F7"/>
    <w:rsid w:val="00C04340"/>
    <w:rsid w:val="00C043EB"/>
    <w:rsid w:val="00C12DE3"/>
    <w:rsid w:val="00C225C5"/>
    <w:rsid w:val="00C36E6C"/>
    <w:rsid w:val="00C528D4"/>
    <w:rsid w:val="00C57EBB"/>
    <w:rsid w:val="00C61CE6"/>
    <w:rsid w:val="00C71C32"/>
    <w:rsid w:val="00C7327C"/>
    <w:rsid w:val="00C84172"/>
    <w:rsid w:val="00C85F20"/>
    <w:rsid w:val="00CB73DD"/>
    <w:rsid w:val="00CD057E"/>
    <w:rsid w:val="00CF3752"/>
    <w:rsid w:val="00CF495D"/>
    <w:rsid w:val="00D24FF0"/>
    <w:rsid w:val="00D26D9F"/>
    <w:rsid w:val="00D4132C"/>
    <w:rsid w:val="00D46520"/>
    <w:rsid w:val="00D465F0"/>
    <w:rsid w:val="00D531C8"/>
    <w:rsid w:val="00D552FC"/>
    <w:rsid w:val="00D828DB"/>
    <w:rsid w:val="00D84C89"/>
    <w:rsid w:val="00D936D6"/>
    <w:rsid w:val="00DB20F7"/>
    <w:rsid w:val="00DD5E1E"/>
    <w:rsid w:val="00E3580E"/>
    <w:rsid w:val="00E41F14"/>
    <w:rsid w:val="00E645F8"/>
    <w:rsid w:val="00E84F6E"/>
    <w:rsid w:val="00E865C2"/>
    <w:rsid w:val="00E910B7"/>
    <w:rsid w:val="00EA058C"/>
    <w:rsid w:val="00EB1C0E"/>
    <w:rsid w:val="00EC4469"/>
    <w:rsid w:val="00EC5A14"/>
    <w:rsid w:val="00F33370"/>
    <w:rsid w:val="00F43007"/>
    <w:rsid w:val="00F46D15"/>
    <w:rsid w:val="00F609EE"/>
    <w:rsid w:val="00FA2A32"/>
    <w:rsid w:val="00FB1E49"/>
    <w:rsid w:val="00FF66CE"/>
    <w:rsid w:val="01017DA9"/>
    <w:rsid w:val="01033471"/>
    <w:rsid w:val="01062EEC"/>
    <w:rsid w:val="010B7D84"/>
    <w:rsid w:val="010D427B"/>
    <w:rsid w:val="010D66B0"/>
    <w:rsid w:val="010F3B4F"/>
    <w:rsid w:val="01117FE2"/>
    <w:rsid w:val="01141165"/>
    <w:rsid w:val="011473B7"/>
    <w:rsid w:val="011763A1"/>
    <w:rsid w:val="01176EA7"/>
    <w:rsid w:val="011E7635"/>
    <w:rsid w:val="012007E5"/>
    <w:rsid w:val="01207AF0"/>
    <w:rsid w:val="01213613"/>
    <w:rsid w:val="01213866"/>
    <w:rsid w:val="01231F48"/>
    <w:rsid w:val="012B197D"/>
    <w:rsid w:val="012B4701"/>
    <w:rsid w:val="01311D17"/>
    <w:rsid w:val="01323206"/>
    <w:rsid w:val="01325A8F"/>
    <w:rsid w:val="013301B5"/>
    <w:rsid w:val="013406E7"/>
    <w:rsid w:val="0136732D"/>
    <w:rsid w:val="01372C6E"/>
    <w:rsid w:val="01374F5D"/>
    <w:rsid w:val="013A7D67"/>
    <w:rsid w:val="013B4665"/>
    <w:rsid w:val="013C32D0"/>
    <w:rsid w:val="013C35F9"/>
    <w:rsid w:val="013E4434"/>
    <w:rsid w:val="01462E8A"/>
    <w:rsid w:val="01467D38"/>
    <w:rsid w:val="014734E6"/>
    <w:rsid w:val="01486C90"/>
    <w:rsid w:val="014A2FDD"/>
    <w:rsid w:val="014C12F6"/>
    <w:rsid w:val="014F71AA"/>
    <w:rsid w:val="01575B6A"/>
    <w:rsid w:val="01582307"/>
    <w:rsid w:val="015A7AE5"/>
    <w:rsid w:val="016078D7"/>
    <w:rsid w:val="01636499"/>
    <w:rsid w:val="016C168F"/>
    <w:rsid w:val="016D10E7"/>
    <w:rsid w:val="016E2E7C"/>
    <w:rsid w:val="0172632E"/>
    <w:rsid w:val="01737D6C"/>
    <w:rsid w:val="01763BCE"/>
    <w:rsid w:val="01794AA1"/>
    <w:rsid w:val="01796E8A"/>
    <w:rsid w:val="017A6386"/>
    <w:rsid w:val="017D4F5C"/>
    <w:rsid w:val="017E4157"/>
    <w:rsid w:val="017F2CF3"/>
    <w:rsid w:val="01803C13"/>
    <w:rsid w:val="0180414B"/>
    <w:rsid w:val="01827350"/>
    <w:rsid w:val="01830099"/>
    <w:rsid w:val="01841FD0"/>
    <w:rsid w:val="01887C9C"/>
    <w:rsid w:val="01891B53"/>
    <w:rsid w:val="01902B7B"/>
    <w:rsid w:val="019323AB"/>
    <w:rsid w:val="01993D60"/>
    <w:rsid w:val="019D115B"/>
    <w:rsid w:val="019E0677"/>
    <w:rsid w:val="019F6CB7"/>
    <w:rsid w:val="01A00C4B"/>
    <w:rsid w:val="01A2371D"/>
    <w:rsid w:val="01A3481B"/>
    <w:rsid w:val="01A469B0"/>
    <w:rsid w:val="01A66527"/>
    <w:rsid w:val="01AA0D70"/>
    <w:rsid w:val="01AB4B83"/>
    <w:rsid w:val="01AE3368"/>
    <w:rsid w:val="01B00625"/>
    <w:rsid w:val="01B11EE8"/>
    <w:rsid w:val="01B427EC"/>
    <w:rsid w:val="01B439E4"/>
    <w:rsid w:val="01B4632C"/>
    <w:rsid w:val="01B666C0"/>
    <w:rsid w:val="01B72D1A"/>
    <w:rsid w:val="01B80ADB"/>
    <w:rsid w:val="01BD4306"/>
    <w:rsid w:val="01BE7323"/>
    <w:rsid w:val="01C050C1"/>
    <w:rsid w:val="01C2563F"/>
    <w:rsid w:val="01C30851"/>
    <w:rsid w:val="01C310A5"/>
    <w:rsid w:val="01C66F45"/>
    <w:rsid w:val="01C80D3F"/>
    <w:rsid w:val="01C84DD7"/>
    <w:rsid w:val="01CD7566"/>
    <w:rsid w:val="01CE57B8"/>
    <w:rsid w:val="01D17056"/>
    <w:rsid w:val="01D46B46"/>
    <w:rsid w:val="01D63896"/>
    <w:rsid w:val="01D76E0B"/>
    <w:rsid w:val="01D92F9F"/>
    <w:rsid w:val="01DE09E5"/>
    <w:rsid w:val="01E054EB"/>
    <w:rsid w:val="01E861CD"/>
    <w:rsid w:val="01EB42D0"/>
    <w:rsid w:val="01ED7E75"/>
    <w:rsid w:val="01EE5EEC"/>
    <w:rsid w:val="01F243DA"/>
    <w:rsid w:val="01F36E36"/>
    <w:rsid w:val="01F82835"/>
    <w:rsid w:val="01FF4A95"/>
    <w:rsid w:val="02005BDC"/>
    <w:rsid w:val="02031B2D"/>
    <w:rsid w:val="020548F6"/>
    <w:rsid w:val="02056D00"/>
    <w:rsid w:val="02070F9F"/>
    <w:rsid w:val="02091157"/>
    <w:rsid w:val="02092C94"/>
    <w:rsid w:val="020C4532"/>
    <w:rsid w:val="02137E7B"/>
    <w:rsid w:val="02181E96"/>
    <w:rsid w:val="02186A33"/>
    <w:rsid w:val="021B6523"/>
    <w:rsid w:val="021C09DA"/>
    <w:rsid w:val="021E1AEF"/>
    <w:rsid w:val="021F45D0"/>
    <w:rsid w:val="02217FDE"/>
    <w:rsid w:val="0222247E"/>
    <w:rsid w:val="02225B04"/>
    <w:rsid w:val="02232F8C"/>
    <w:rsid w:val="02257772"/>
    <w:rsid w:val="022644A3"/>
    <w:rsid w:val="0228286A"/>
    <w:rsid w:val="02283312"/>
    <w:rsid w:val="02290C40"/>
    <w:rsid w:val="022E2489"/>
    <w:rsid w:val="02300221"/>
    <w:rsid w:val="02301FCF"/>
    <w:rsid w:val="02311624"/>
    <w:rsid w:val="02315D47"/>
    <w:rsid w:val="02330235"/>
    <w:rsid w:val="02340726"/>
    <w:rsid w:val="02353A89"/>
    <w:rsid w:val="02360D5C"/>
    <w:rsid w:val="023778ED"/>
    <w:rsid w:val="02386A74"/>
    <w:rsid w:val="02424AB8"/>
    <w:rsid w:val="02481194"/>
    <w:rsid w:val="02481A8E"/>
    <w:rsid w:val="02481EB7"/>
    <w:rsid w:val="024912E2"/>
    <w:rsid w:val="02497634"/>
    <w:rsid w:val="024A0BB7"/>
    <w:rsid w:val="024A54D4"/>
    <w:rsid w:val="024D177B"/>
    <w:rsid w:val="024E4B4B"/>
    <w:rsid w:val="024E5AF3"/>
    <w:rsid w:val="0250441F"/>
    <w:rsid w:val="025111E4"/>
    <w:rsid w:val="02532161"/>
    <w:rsid w:val="02595C07"/>
    <w:rsid w:val="025C252D"/>
    <w:rsid w:val="025C2FF5"/>
    <w:rsid w:val="025C657D"/>
    <w:rsid w:val="02604429"/>
    <w:rsid w:val="02612E62"/>
    <w:rsid w:val="0261662C"/>
    <w:rsid w:val="02621BE8"/>
    <w:rsid w:val="026478F5"/>
    <w:rsid w:val="026659F0"/>
    <w:rsid w:val="026F4AA1"/>
    <w:rsid w:val="026F4AFE"/>
    <w:rsid w:val="027239EE"/>
    <w:rsid w:val="0272440B"/>
    <w:rsid w:val="027361A1"/>
    <w:rsid w:val="0274748E"/>
    <w:rsid w:val="02750329"/>
    <w:rsid w:val="027520D7"/>
    <w:rsid w:val="02755DFE"/>
    <w:rsid w:val="02775BC8"/>
    <w:rsid w:val="027A76EE"/>
    <w:rsid w:val="027C5214"/>
    <w:rsid w:val="027E0D46"/>
    <w:rsid w:val="027F6AB2"/>
    <w:rsid w:val="0281282A"/>
    <w:rsid w:val="02820350"/>
    <w:rsid w:val="02857815"/>
    <w:rsid w:val="028657DE"/>
    <w:rsid w:val="02866093"/>
    <w:rsid w:val="02867A8E"/>
    <w:rsid w:val="02873BB9"/>
    <w:rsid w:val="028751FF"/>
    <w:rsid w:val="02881B88"/>
    <w:rsid w:val="029210D5"/>
    <w:rsid w:val="02943927"/>
    <w:rsid w:val="02970FD9"/>
    <w:rsid w:val="02972323"/>
    <w:rsid w:val="02972F89"/>
    <w:rsid w:val="029C3B08"/>
    <w:rsid w:val="029C6B5B"/>
    <w:rsid w:val="029D0AB9"/>
    <w:rsid w:val="02A300C4"/>
    <w:rsid w:val="02A833E6"/>
    <w:rsid w:val="02A87AB1"/>
    <w:rsid w:val="02AA4304"/>
    <w:rsid w:val="02AB0289"/>
    <w:rsid w:val="02AF383B"/>
    <w:rsid w:val="02B104E4"/>
    <w:rsid w:val="02B5043C"/>
    <w:rsid w:val="02B56978"/>
    <w:rsid w:val="02B91F78"/>
    <w:rsid w:val="02B9263D"/>
    <w:rsid w:val="02B93F62"/>
    <w:rsid w:val="02BD3750"/>
    <w:rsid w:val="02C05491"/>
    <w:rsid w:val="02C06B04"/>
    <w:rsid w:val="02C20E90"/>
    <w:rsid w:val="02C2381D"/>
    <w:rsid w:val="02C27B00"/>
    <w:rsid w:val="02C84698"/>
    <w:rsid w:val="02C848FD"/>
    <w:rsid w:val="02CC0889"/>
    <w:rsid w:val="02CD0BC3"/>
    <w:rsid w:val="02D212D8"/>
    <w:rsid w:val="02D301F8"/>
    <w:rsid w:val="02D52AF4"/>
    <w:rsid w:val="02D765E6"/>
    <w:rsid w:val="02D908B8"/>
    <w:rsid w:val="02DD1C24"/>
    <w:rsid w:val="02DD7E5E"/>
    <w:rsid w:val="02DF57A3"/>
    <w:rsid w:val="02E24CF0"/>
    <w:rsid w:val="02E35293"/>
    <w:rsid w:val="02E47CE3"/>
    <w:rsid w:val="02E5559B"/>
    <w:rsid w:val="02E85002"/>
    <w:rsid w:val="02E90454"/>
    <w:rsid w:val="02EA0B01"/>
    <w:rsid w:val="02EC5FA9"/>
    <w:rsid w:val="02F0175E"/>
    <w:rsid w:val="02F148A5"/>
    <w:rsid w:val="02F254D6"/>
    <w:rsid w:val="02F32FFC"/>
    <w:rsid w:val="02F613F2"/>
    <w:rsid w:val="02F626E3"/>
    <w:rsid w:val="02F85854"/>
    <w:rsid w:val="02FC6355"/>
    <w:rsid w:val="02FE3E7B"/>
    <w:rsid w:val="03011BBD"/>
    <w:rsid w:val="03125B78"/>
    <w:rsid w:val="03127926"/>
    <w:rsid w:val="031A1681"/>
    <w:rsid w:val="031B3094"/>
    <w:rsid w:val="031C2553"/>
    <w:rsid w:val="031E451D"/>
    <w:rsid w:val="03211686"/>
    <w:rsid w:val="0321587C"/>
    <w:rsid w:val="032411DC"/>
    <w:rsid w:val="032578E5"/>
    <w:rsid w:val="03272347"/>
    <w:rsid w:val="032738A8"/>
    <w:rsid w:val="032D1FA8"/>
    <w:rsid w:val="032F7D47"/>
    <w:rsid w:val="0331026F"/>
    <w:rsid w:val="03327FC8"/>
    <w:rsid w:val="03357917"/>
    <w:rsid w:val="03372802"/>
    <w:rsid w:val="0337493F"/>
    <w:rsid w:val="03384FAA"/>
    <w:rsid w:val="03390520"/>
    <w:rsid w:val="033C0E47"/>
    <w:rsid w:val="033D653A"/>
    <w:rsid w:val="033E3B4F"/>
    <w:rsid w:val="033F6241"/>
    <w:rsid w:val="0340565D"/>
    <w:rsid w:val="0347432C"/>
    <w:rsid w:val="034877EC"/>
    <w:rsid w:val="034B737D"/>
    <w:rsid w:val="034C108A"/>
    <w:rsid w:val="034F1899"/>
    <w:rsid w:val="035352B0"/>
    <w:rsid w:val="035622F4"/>
    <w:rsid w:val="03575C81"/>
    <w:rsid w:val="035905AF"/>
    <w:rsid w:val="03637321"/>
    <w:rsid w:val="036515D6"/>
    <w:rsid w:val="036D1000"/>
    <w:rsid w:val="03710B53"/>
    <w:rsid w:val="037164F2"/>
    <w:rsid w:val="03716AB5"/>
    <w:rsid w:val="03751B2D"/>
    <w:rsid w:val="037E4134"/>
    <w:rsid w:val="03812C09"/>
    <w:rsid w:val="039203FC"/>
    <w:rsid w:val="0394658D"/>
    <w:rsid w:val="03947474"/>
    <w:rsid w:val="03982981"/>
    <w:rsid w:val="039E3388"/>
    <w:rsid w:val="039E35C7"/>
    <w:rsid w:val="039F1B33"/>
    <w:rsid w:val="039F3F41"/>
    <w:rsid w:val="03A0059A"/>
    <w:rsid w:val="03A1159F"/>
    <w:rsid w:val="03A13FB1"/>
    <w:rsid w:val="03A2578C"/>
    <w:rsid w:val="03A76DA4"/>
    <w:rsid w:val="03A86F86"/>
    <w:rsid w:val="03A936FF"/>
    <w:rsid w:val="03A97F7B"/>
    <w:rsid w:val="03AA7B5F"/>
    <w:rsid w:val="03AC0005"/>
    <w:rsid w:val="03AF786B"/>
    <w:rsid w:val="03B0225A"/>
    <w:rsid w:val="03B307CF"/>
    <w:rsid w:val="03B43C95"/>
    <w:rsid w:val="03B46C2F"/>
    <w:rsid w:val="03B91916"/>
    <w:rsid w:val="03C30C20"/>
    <w:rsid w:val="03C45E94"/>
    <w:rsid w:val="03C82119"/>
    <w:rsid w:val="03C84229"/>
    <w:rsid w:val="03C86237"/>
    <w:rsid w:val="03CA6453"/>
    <w:rsid w:val="03CB7B24"/>
    <w:rsid w:val="03D270B5"/>
    <w:rsid w:val="03D67F82"/>
    <w:rsid w:val="03DB48A7"/>
    <w:rsid w:val="03E2723E"/>
    <w:rsid w:val="03E42F29"/>
    <w:rsid w:val="03E70DB3"/>
    <w:rsid w:val="03E9062F"/>
    <w:rsid w:val="03EA43FF"/>
    <w:rsid w:val="03F646EE"/>
    <w:rsid w:val="03F8252C"/>
    <w:rsid w:val="03F8623E"/>
    <w:rsid w:val="03F876C2"/>
    <w:rsid w:val="03FC374B"/>
    <w:rsid w:val="03FD78EB"/>
    <w:rsid w:val="0401641D"/>
    <w:rsid w:val="0402799B"/>
    <w:rsid w:val="040412D5"/>
    <w:rsid w:val="040600F8"/>
    <w:rsid w:val="040B3BAC"/>
    <w:rsid w:val="040C25C7"/>
    <w:rsid w:val="040C2A1E"/>
    <w:rsid w:val="040D668A"/>
    <w:rsid w:val="040E2188"/>
    <w:rsid w:val="040F2294"/>
    <w:rsid w:val="04117BDE"/>
    <w:rsid w:val="04137DFA"/>
    <w:rsid w:val="04161698"/>
    <w:rsid w:val="04186B9D"/>
    <w:rsid w:val="041903F9"/>
    <w:rsid w:val="04191944"/>
    <w:rsid w:val="041B087B"/>
    <w:rsid w:val="041B198A"/>
    <w:rsid w:val="041B54D1"/>
    <w:rsid w:val="041B618B"/>
    <w:rsid w:val="04255165"/>
    <w:rsid w:val="042567B9"/>
    <w:rsid w:val="0425705C"/>
    <w:rsid w:val="04266270"/>
    <w:rsid w:val="04267B2D"/>
    <w:rsid w:val="04270811"/>
    <w:rsid w:val="04273005"/>
    <w:rsid w:val="04282CDD"/>
    <w:rsid w:val="042E07AD"/>
    <w:rsid w:val="042F62B6"/>
    <w:rsid w:val="043164D2"/>
    <w:rsid w:val="0434654A"/>
    <w:rsid w:val="04351BCD"/>
    <w:rsid w:val="04376F19"/>
    <w:rsid w:val="04394442"/>
    <w:rsid w:val="043F2394"/>
    <w:rsid w:val="04426D56"/>
    <w:rsid w:val="04474836"/>
    <w:rsid w:val="04497378"/>
    <w:rsid w:val="044B1342"/>
    <w:rsid w:val="044C0C16"/>
    <w:rsid w:val="044D6493"/>
    <w:rsid w:val="044E2BE0"/>
    <w:rsid w:val="04510922"/>
    <w:rsid w:val="04526B27"/>
    <w:rsid w:val="045805D3"/>
    <w:rsid w:val="04590A01"/>
    <w:rsid w:val="045B39AD"/>
    <w:rsid w:val="045D5BC2"/>
    <w:rsid w:val="045F7B0A"/>
    <w:rsid w:val="04616029"/>
    <w:rsid w:val="04627CA9"/>
    <w:rsid w:val="04654360"/>
    <w:rsid w:val="046545BC"/>
    <w:rsid w:val="046643CE"/>
    <w:rsid w:val="04682B59"/>
    <w:rsid w:val="04685075"/>
    <w:rsid w:val="04696787"/>
    <w:rsid w:val="046B20EE"/>
    <w:rsid w:val="046C6B64"/>
    <w:rsid w:val="047168CE"/>
    <w:rsid w:val="047343F5"/>
    <w:rsid w:val="04772D59"/>
    <w:rsid w:val="047832A9"/>
    <w:rsid w:val="04787212"/>
    <w:rsid w:val="0479444F"/>
    <w:rsid w:val="047B44CA"/>
    <w:rsid w:val="047B6BED"/>
    <w:rsid w:val="047D2B8E"/>
    <w:rsid w:val="04801A9E"/>
    <w:rsid w:val="048057D3"/>
    <w:rsid w:val="04846366"/>
    <w:rsid w:val="04846602"/>
    <w:rsid w:val="048B0601"/>
    <w:rsid w:val="048B43D1"/>
    <w:rsid w:val="049250DF"/>
    <w:rsid w:val="04934E0F"/>
    <w:rsid w:val="049753C6"/>
    <w:rsid w:val="04976402"/>
    <w:rsid w:val="04981AC5"/>
    <w:rsid w:val="04983BEF"/>
    <w:rsid w:val="049A7BD3"/>
    <w:rsid w:val="049B69AA"/>
    <w:rsid w:val="049D12CA"/>
    <w:rsid w:val="049E1B62"/>
    <w:rsid w:val="04A22F2C"/>
    <w:rsid w:val="04A257ED"/>
    <w:rsid w:val="04A44EF6"/>
    <w:rsid w:val="04A45F97"/>
    <w:rsid w:val="04A47E89"/>
    <w:rsid w:val="04A647CA"/>
    <w:rsid w:val="04A9268A"/>
    <w:rsid w:val="04AB7443"/>
    <w:rsid w:val="04AD33D4"/>
    <w:rsid w:val="04B07A8D"/>
    <w:rsid w:val="04B303F2"/>
    <w:rsid w:val="04B350BC"/>
    <w:rsid w:val="04B65A1E"/>
    <w:rsid w:val="04B70785"/>
    <w:rsid w:val="04B80386"/>
    <w:rsid w:val="04BA6816"/>
    <w:rsid w:val="04BC2F7B"/>
    <w:rsid w:val="04BD7D66"/>
    <w:rsid w:val="04C10B93"/>
    <w:rsid w:val="04C504D6"/>
    <w:rsid w:val="04C57CF8"/>
    <w:rsid w:val="04C86E57"/>
    <w:rsid w:val="04C9495C"/>
    <w:rsid w:val="04CE5392"/>
    <w:rsid w:val="04CF27E2"/>
    <w:rsid w:val="04CF56C1"/>
    <w:rsid w:val="04D56E5D"/>
    <w:rsid w:val="04D70E27"/>
    <w:rsid w:val="04DF1A8A"/>
    <w:rsid w:val="04DF3C4E"/>
    <w:rsid w:val="04E10D91"/>
    <w:rsid w:val="04E132A8"/>
    <w:rsid w:val="04E470A0"/>
    <w:rsid w:val="04E5637F"/>
    <w:rsid w:val="04E6106A"/>
    <w:rsid w:val="04EA6DAD"/>
    <w:rsid w:val="04EB6681"/>
    <w:rsid w:val="04F35090"/>
    <w:rsid w:val="04F83787"/>
    <w:rsid w:val="04F96FF0"/>
    <w:rsid w:val="05015B7C"/>
    <w:rsid w:val="05016B68"/>
    <w:rsid w:val="050A25F3"/>
    <w:rsid w:val="050D18C6"/>
    <w:rsid w:val="05171231"/>
    <w:rsid w:val="05172057"/>
    <w:rsid w:val="051745A4"/>
    <w:rsid w:val="0518296D"/>
    <w:rsid w:val="051C2CDE"/>
    <w:rsid w:val="051F457C"/>
    <w:rsid w:val="05230E83"/>
    <w:rsid w:val="05240CA2"/>
    <w:rsid w:val="052B41ED"/>
    <w:rsid w:val="052C3C0E"/>
    <w:rsid w:val="052F0F86"/>
    <w:rsid w:val="05304471"/>
    <w:rsid w:val="05313A49"/>
    <w:rsid w:val="05321B50"/>
    <w:rsid w:val="0532472F"/>
    <w:rsid w:val="053308F1"/>
    <w:rsid w:val="05353DA0"/>
    <w:rsid w:val="05355B4E"/>
    <w:rsid w:val="05366AE9"/>
    <w:rsid w:val="05373C0D"/>
    <w:rsid w:val="053776F4"/>
    <w:rsid w:val="05385D98"/>
    <w:rsid w:val="053E246F"/>
    <w:rsid w:val="054162A1"/>
    <w:rsid w:val="054364BD"/>
    <w:rsid w:val="05486444"/>
    <w:rsid w:val="0548762F"/>
    <w:rsid w:val="054A784B"/>
    <w:rsid w:val="054D2800"/>
    <w:rsid w:val="054F783A"/>
    <w:rsid w:val="055230D9"/>
    <w:rsid w:val="05534352"/>
    <w:rsid w:val="05557F9E"/>
    <w:rsid w:val="055A7363"/>
    <w:rsid w:val="055E3F57"/>
    <w:rsid w:val="055E50A5"/>
    <w:rsid w:val="056326BB"/>
    <w:rsid w:val="05643096"/>
    <w:rsid w:val="05650A05"/>
    <w:rsid w:val="056546F0"/>
    <w:rsid w:val="056860EF"/>
    <w:rsid w:val="056971A0"/>
    <w:rsid w:val="056B6662"/>
    <w:rsid w:val="056C64E5"/>
    <w:rsid w:val="056F1060"/>
    <w:rsid w:val="05707E80"/>
    <w:rsid w:val="05717BAE"/>
    <w:rsid w:val="05733BB8"/>
    <w:rsid w:val="0575419C"/>
    <w:rsid w:val="05761CD9"/>
    <w:rsid w:val="05776166"/>
    <w:rsid w:val="057B5C57"/>
    <w:rsid w:val="057D1158"/>
    <w:rsid w:val="057E3AFA"/>
    <w:rsid w:val="057E5747"/>
    <w:rsid w:val="057E7745"/>
    <w:rsid w:val="057F3709"/>
    <w:rsid w:val="058021A2"/>
    <w:rsid w:val="05812C55"/>
    <w:rsid w:val="05836FC7"/>
    <w:rsid w:val="058645FB"/>
    <w:rsid w:val="05874FAF"/>
    <w:rsid w:val="058A72C7"/>
    <w:rsid w:val="058C38CA"/>
    <w:rsid w:val="058D598A"/>
    <w:rsid w:val="059149D9"/>
    <w:rsid w:val="059207E8"/>
    <w:rsid w:val="05944397"/>
    <w:rsid w:val="05962A91"/>
    <w:rsid w:val="05971A2A"/>
    <w:rsid w:val="059C64D5"/>
    <w:rsid w:val="059D57CB"/>
    <w:rsid w:val="05A01020"/>
    <w:rsid w:val="05A01219"/>
    <w:rsid w:val="05A63ABC"/>
    <w:rsid w:val="05A81A33"/>
    <w:rsid w:val="05A94F98"/>
    <w:rsid w:val="05AC109E"/>
    <w:rsid w:val="05AD2CBF"/>
    <w:rsid w:val="05AE7BFE"/>
    <w:rsid w:val="05AF2B10"/>
    <w:rsid w:val="05B13A99"/>
    <w:rsid w:val="05B72A07"/>
    <w:rsid w:val="05B922DB"/>
    <w:rsid w:val="05BB035D"/>
    <w:rsid w:val="05BC38AF"/>
    <w:rsid w:val="05BD72A8"/>
    <w:rsid w:val="05C14567"/>
    <w:rsid w:val="05C24545"/>
    <w:rsid w:val="05C501A9"/>
    <w:rsid w:val="05C50C80"/>
    <w:rsid w:val="05C707CB"/>
    <w:rsid w:val="05CA098C"/>
    <w:rsid w:val="05D834B5"/>
    <w:rsid w:val="05D9472B"/>
    <w:rsid w:val="05DA3DAA"/>
    <w:rsid w:val="05E023C5"/>
    <w:rsid w:val="05E64A5A"/>
    <w:rsid w:val="05E935A9"/>
    <w:rsid w:val="05EA2DDC"/>
    <w:rsid w:val="05EC33C0"/>
    <w:rsid w:val="05F41565"/>
    <w:rsid w:val="05F41DB5"/>
    <w:rsid w:val="05F44E9D"/>
    <w:rsid w:val="05F51706"/>
    <w:rsid w:val="05FB4360"/>
    <w:rsid w:val="05FE23E4"/>
    <w:rsid w:val="0602087A"/>
    <w:rsid w:val="06021ED4"/>
    <w:rsid w:val="06023C82"/>
    <w:rsid w:val="06025A06"/>
    <w:rsid w:val="060611D1"/>
    <w:rsid w:val="06063869"/>
    <w:rsid w:val="06064032"/>
    <w:rsid w:val="060A0AF3"/>
    <w:rsid w:val="060A4C87"/>
    <w:rsid w:val="06111157"/>
    <w:rsid w:val="06164129"/>
    <w:rsid w:val="06164D27"/>
    <w:rsid w:val="061A5470"/>
    <w:rsid w:val="061B2548"/>
    <w:rsid w:val="061B2C9F"/>
    <w:rsid w:val="061C00A8"/>
    <w:rsid w:val="061C341A"/>
    <w:rsid w:val="061F3F54"/>
    <w:rsid w:val="062005AC"/>
    <w:rsid w:val="06221F7A"/>
    <w:rsid w:val="06227932"/>
    <w:rsid w:val="06253E14"/>
    <w:rsid w:val="06267C39"/>
    <w:rsid w:val="062B146D"/>
    <w:rsid w:val="062C0CFF"/>
    <w:rsid w:val="062D05D7"/>
    <w:rsid w:val="062D5483"/>
    <w:rsid w:val="063127B9"/>
    <w:rsid w:val="06345E06"/>
    <w:rsid w:val="06352B2D"/>
    <w:rsid w:val="0636392C"/>
    <w:rsid w:val="06395FE5"/>
    <w:rsid w:val="063B53E6"/>
    <w:rsid w:val="063D2F0C"/>
    <w:rsid w:val="06467ADA"/>
    <w:rsid w:val="0647231D"/>
    <w:rsid w:val="064A1C94"/>
    <w:rsid w:val="064C40D3"/>
    <w:rsid w:val="064E159E"/>
    <w:rsid w:val="064E7A24"/>
    <w:rsid w:val="06504E83"/>
    <w:rsid w:val="06510766"/>
    <w:rsid w:val="06572BB6"/>
    <w:rsid w:val="06593708"/>
    <w:rsid w:val="065B02A0"/>
    <w:rsid w:val="065C1B78"/>
    <w:rsid w:val="065E4F1F"/>
    <w:rsid w:val="065E601D"/>
    <w:rsid w:val="065F1B66"/>
    <w:rsid w:val="06633117"/>
    <w:rsid w:val="066466EB"/>
    <w:rsid w:val="06654367"/>
    <w:rsid w:val="06654A09"/>
    <w:rsid w:val="066606B5"/>
    <w:rsid w:val="06674A15"/>
    <w:rsid w:val="066C3365"/>
    <w:rsid w:val="066D2C5A"/>
    <w:rsid w:val="066E57BB"/>
    <w:rsid w:val="06732DD2"/>
    <w:rsid w:val="06793750"/>
    <w:rsid w:val="067B3A34"/>
    <w:rsid w:val="067D47C1"/>
    <w:rsid w:val="067D59FE"/>
    <w:rsid w:val="067F52D3"/>
    <w:rsid w:val="067F6566"/>
    <w:rsid w:val="068C5C42"/>
    <w:rsid w:val="068C63E6"/>
    <w:rsid w:val="068D6F85"/>
    <w:rsid w:val="06905732"/>
    <w:rsid w:val="0694352C"/>
    <w:rsid w:val="069C5FBF"/>
    <w:rsid w:val="069E5399"/>
    <w:rsid w:val="069F5975"/>
    <w:rsid w:val="06A06146"/>
    <w:rsid w:val="06A170B0"/>
    <w:rsid w:val="06A21A1D"/>
    <w:rsid w:val="06A50AB1"/>
    <w:rsid w:val="06A77900"/>
    <w:rsid w:val="06A92DB2"/>
    <w:rsid w:val="06A95B70"/>
    <w:rsid w:val="06AC6482"/>
    <w:rsid w:val="06AE0905"/>
    <w:rsid w:val="06AE2FA5"/>
    <w:rsid w:val="06AE678A"/>
    <w:rsid w:val="06AF1E70"/>
    <w:rsid w:val="06B02408"/>
    <w:rsid w:val="06B048E3"/>
    <w:rsid w:val="06B478EB"/>
    <w:rsid w:val="06B56F46"/>
    <w:rsid w:val="06B745C6"/>
    <w:rsid w:val="06B80E29"/>
    <w:rsid w:val="06B937D6"/>
    <w:rsid w:val="06BD404D"/>
    <w:rsid w:val="06BD7C25"/>
    <w:rsid w:val="06BD7EB1"/>
    <w:rsid w:val="06C06AFB"/>
    <w:rsid w:val="06C23411"/>
    <w:rsid w:val="06C24C18"/>
    <w:rsid w:val="06C27F3C"/>
    <w:rsid w:val="06C47634"/>
    <w:rsid w:val="06C56435"/>
    <w:rsid w:val="06CB0518"/>
    <w:rsid w:val="06CD24E2"/>
    <w:rsid w:val="06CE0008"/>
    <w:rsid w:val="06D10A3E"/>
    <w:rsid w:val="06D15B4F"/>
    <w:rsid w:val="06D86F7A"/>
    <w:rsid w:val="06DA0A54"/>
    <w:rsid w:val="06DC3451"/>
    <w:rsid w:val="06DC697B"/>
    <w:rsid w:val="06DC7B5F"/>
    <w:rsid w:val="06DC7D1B"/>
    <w:rsid w:val="06DF2215"/>
    <w:rsid w:val="06DF5D71"/>
    <w:rsid w:val="06E0499A"/>
    <w:rsid w:val="06E07234"/>
    <w:rsid w:val="06E131B1"/>
    <w:rsid w:val="06E710CA"/>
    <w:rsid w:val="06EA1921"/>
    <w:rsid w:val="06EA592F"/>
    <w:rsid w:val="06EB2968"/>
    <w:rsid w:val="06EC59DC"/>
    <w:rsid w:val="06EC7257"/>
    <w:rsid w:val="06EE45A9"/>
    <w:rsid w:val="06F44109"/>
    <w:rsid w:val="06F467CE"/>
    <w:rsid w:val="06F475A1"/>
    <w:rsid w:val="06F5520B"/>
    <w:rsid w:val="06FA5880"/>
    <w:rsid w:val="06FA704F"/>
    <w:rsid w:val="06FB757B"/>
    <w:rsid w:val="06FC76C2"/>
    <w:rsid w:val="07047ECE"/>
    <w:rsid w:val="07085267"/>
    <w:rsid w:val="070B47D1"/>
    <w:rsid w:val="0712113E"/>
    <w:rsid w:val="07124C2B"/>
    <w:rsid w:val="07153E89"/>
    <w:rsid w:val="07167608"/>
    <w:rsid w:val="071874D5"/>
    <w:rsid w:val="07193B42"/>
    <w:rsid w:val="071E2D3E"/>
    <w:rsid w:val="071E5B38"/>
    <w:rsid w:val="071F767B"/>
    <w:rsid w:val="0722574C"/>
    <w:rsid w:val="072440CC"/>
    <w:rsid w:val="072B545A"/>
    <w:rsid w:val="07372051"/>
    <w:rsid w:val="073742E4"/>
    <w:rsid w:val="07381BC3"/>
    <w:rsid w:val="073836D3"/>
    <w:rsid w:val="07387FB0"/>
    <w:rsid w:val="073A7D10"/>
    <w:rsid w:val="073F0F06"/>
    <w:rsid w:val="074151A5"/>
    <w:rsid w:val="07441231"/>
    <w:rsid w:val="07460884"/>
    <w:rsid w:val="074854FD"/>
    <w:rsid w:val="0748600C"/>
    <w:rsid w:val="07491A5B"/>
    <w:rsid w:val="0749701A"/>
    <w:rsid w:val="0749768F"/>
    <w:rsid w:val="074B147F"/>
    <w:rsid w:val="074C6936"/>
    <w:rsid w:val="074D4A77"/>
    <w:rsid w:val="0751137D"/>
    <w:rsid w:val="075479AE"/>
    <w:rsid w:val="07554868"/>
    <w:rsid w:val="075955B5"/>
    <w:rsid w:val="075B48E7"/>
    <w:rsid w:val="075B50A5"/>
    <w:rsid w:val="076150B4"/>
    <w:rsid w:val="076646E5"/>
    <w:rsid w:val="076C3B81"/>
    <w:rsid w:val="076D15CF"/>
    <w:rsid w:val="076D7821"/>
    <w:rsid w:val="076E02B0"/>
    <w:rsid w:val="076F3599"/>
    <w:rsid w:val="07735289"/>
    <w:rsid w:val="07754928"/>
    <w:rsid w:val="077706A0"/>
    <w:rsid w:val="077B1B3F"/>
    <w:rsid w:val="077F2133"/>
    <w:rsid w:val="078057A6"/>
    <w:rsid w:val="078260C4"/>
    <w:rsid w:val="078270A5"/>
    <w:rsid w:val="078443B5"/>
    <w:rsid w:val="07846919"/>
    <w:rsid w:val="07853E8E"/>
    <w:rsid w:val="078608E3"/>
    <w:rsid w:val="078726FB"/>
    <w:rsid w:val="078A03D3"/>
    <w:rsid w:val="078D30FE"/>
    <w:rsid w:val="07922DAA"/>
    <w:rsid w:val="07943000"/>
    <w:rsid w:val="079707BA"/>
    <w:rsid w:val="07996868"/>
    <w:rsid w:val="079A613C"/>
    <w:rsid w:val="079C4518"/>
    <w:rsid w:val="07A66218"/>
    <w:rsid w:val="07A80520"/>
    <w:rsid w:val="07A9021B"/>
    <w:rsid w:val="07AA0EFE"/>
    <w:rsid w:val="07AE03D0"/>
    <w:rsid w:val="07AF1BE8"/>
    <w:rsid w:val="07AF3996"/>
    <w:rsid w:val="07B03AFC"/>
    <w:rsid w:val="07B25430"/>
    <w:rsid w:val="07B36D98"/>
    <w:rsid w:val="07B65E09"/>
    <w:rsid w:val="07B94814"/>
    <w:rsid w:val="07C32EF8"/>
    <w:rsid w:val="07C80EFB"/>
    <w:rsid w:val="07CA4C73"/>
    <w:rsid w:val="07CB0DE8"/>
    <w:rsid w:val="07CB2C73"/>
    <w:rsid w:val="07CC4176"/>
    <w:rsid w:val="07CD4764"/>
    <w:rsid w:val="07D134BC"/>
    <w:rsid w:val="07D35D98"/>
    <w:rsid w:val="07D44EBD"/>
    <w:rsid w:val="07DD7487"/>
    <w:rsid w:val="07DE071F"/>
    <w:rsid w:val="07DE599F"/>
    <w:rsid w:val="07DF7DD1"/>
    <w:rsid w:val="07E21FBD"/>
    <w:rsid w:val="07E34344"/>
    <w:rsid w:val="07E62D4D"/>
    <w:rsid w:val="07EA70C4"/>
    <w:rsid w:val="07EF5E6E"/>
    <w:rsid w:val="07F13EF7"/>
    <w:rsid w:val="07F3456B"/>
    <w:rsid w:val="07F81CA6"/>
    <w:rsid w:val="07FB108F"/>
    <w:rsid w:val="07FB5108"/>
    <w:rsid w:val="08001288"/>
    <w:rsid w:val="080135BA"/>
    <w:rsid w:val="08021D84"/>
    <w:rsid w:val="0804645F"/>
    <w:rsid w:val="0808695F"/>
    <w:rsid w:val="080A14EF"/>
    <w:rsid w:val="080B1AF0"/>
    <w:rsid w:val="080B4FC2"/>
    <w:rsid w:val="080D00DC"/>
    <w:rsid w:val="080E2562"/>
    <w:rsid w:val="081321F8"/>
    <w:rsid w:val="08135FFD"/>
    <w:rsid w:val="08143A78"/>
    <w:rsid w:val="08143F07"/>
    <w:rsid w:val="08144141"/>
    <w:rsid w:val="081710BE"/>
    <w:rsid w:val="08174CE7"/>
    <w:rsid w:val="08194EC1"/>
    <w:rsid w:val="081B094F"/>
    <w:rsid w:val="081D1F36"/>
    <w:rsid w:val="081F6E30"/>
    <w:rsid w:val="0822060B"/>
    <w:rsid w:val="082304F3"/>
    <w:rsid w:val="082557D4"/>
    <w:rsid w:val="08257CE9"/>
    <w:rsid w:val="082612E9"/>
    <w:rsid w:val="08297BEC"/>
    <w:rsid w:val="082A1778"/>
    <w:rsid w:val="082B1286"/>
    <w:rsid w:val="082B708E"/>
    <w:rsid w:val="082F43A2"/>
    <w:rsid w:val="08323FD7"/>
    <w:rsid w:val="08386B20"/>
    <w:rsid w:val="08397703"/>
    <w:rsid w:val="083C608B"/>
    <w:rsid w:val="083C6F1B"/>
    <w:rsid w:val="083D5702"/>
    <w:rsid w:val="08414D45"/>
    <w:rsid w:val="084542FA"/>
    <w:rsid w:val="08475A23"/>
    <w:rsid w:val="084925D7"/>
    <w:rsid w:val="084A1910"/>
    <w:rsid w:val="084B597A"/>
    <w:rsid w:val="084B6833"/>
    <w:rsid w:val="084D5407"/>
    <w:rsid w:val="08504DDE"/>
    <w:rsid w:val="08517143"/>
    <w:rsid w:val="08541EC8"/>
    <w:rsid w:val="0854482E"/>
    <w:rsid w:val="08560EF5"/>
    <w:rsid w:val="08585BD7"/>
    <w:rsid w:val="08586961"/>
    <w:rsid w:val="085A276B"/>
    <w:rsid w:val="0861149B"/>
    <w:rsid w:val="08626C5A"/>
    <w:rsid w:val="08662693"/>
    <w:rsid w:val="086712B3"/>
    <w:rsid w:val="08687B8B"/>
    <w:rsid w:val="086A667C"/>
    <w:rsid w:val="086B4D3C"/>
    <w:rsid w:val="086C13DA"/>
    <w:rsid w:val="086F75C9"/>
    <w:rsid w:val="086F7A65"/>
    <w:rsid w:val="08711BA8"/>
    <w:rsid w:val="08716E9D"/>
    <w:rsid w:val="0876529A"/>
    <w:rsid w:val="08787D79"/>
    <w:rsid w:val="087C3466"/>
    <w:rsid w:val="087E15BA"/>
    <w:rsid w:val="087E5AB3"/>
    <w:rsid w:val="08806D04"/>
    <w:rsid w:val="088452D6"/>
    <w:rsid w:val="08850B9A"/>
    <w:rsid w:val="08862D45"/>
    <w:rsid w:val="08870B27"/>
    <w:rsid w:val="0889068B"/>
    <w:rsid w:val="08897FF4"/>
    <w:rsid w:val="088B669A"/>
    <w:rsid w:val="088E0D78"/>
    <w:rsid w:val="08911842"/>
    <w:rsid w:val="0892013F"/>
    <w:rsid w:val="089471CB"/>
    <w:rsid w:val="089670AE"/>
    <w:rsid w:val="08971853"/>
    <w:rsid w:val="089B216C"/>
    <w:rsid w:val="089D4136"/>
    <w:rsid w:val="089E6336"/>
    <w:rsid w:val="089F2AD4"/>
    <w:rsid w:val="08A10189"/>
    <w:rsid w:val="08A423BF"/>
    <w:rsid w:val="08A4584E"/>
    <w:rsid w:val="08B47CED"/>
    <w:rsid w:val="08B80A82"/>
    <w:rsid w:val="08BB5F89"/>
    <w:rsid w:val="08C10475"/>
    <w:rsid w:val="08C16076"/>
    <w:rsid w:val="08C22966"/>
    <w:rsid w:val="08C461D1"/>
    <w:rsid w:val="08C67651"/>
    <w:rsid w:val="08CB6822"/>
    <w:rsid w:val="08CC031F"/>
    <w:rsid w:val="08D35DAA"/>
    <w:rsid w:val="08D552CA"/>
    <w:rsid w:val="08D5567E"/>
    <w:rsid w:val="08D631A4"/>
    <w:rsid w:val="08DA66E6"/>
    <w:rsid w:val="08DC2FE8"/>
    <w:rsid w:val="08DE1D2E"/>
    <w:rsid w:val="08E04023"/>
    <w:rsid w:val="08E24354"/>
    <w:rsid w:val="08E361DE"/>
    <w:rsid w:val="08E80F22"/>
    <w:rsid w:val="08E939DE"/>
    <w:rsid w:val="08EC5EE6"/>
    <w:rsid w:val="08ED6008"/>
    <w:rsid w:val="08ED6E6B"/>
    <w:rsid w:val="08EE04EE"/>
    <w:rsid w:val="08EF0964"/>
    <w:rsid w:val="08F00C5F"/>
    <w:rsid w:val="08F3498C"/>
    <w:rsid w:val="08FA50E4"/>
    <w:rsid w:val="08FA6E92"/>
    <w:rsid w:val="08FD22CC"/>
    <w:rsid w:val="08FD652C"/>
    <w:rsid w:val="08FF0070"/>
    <w:rsid w:val="0900337B"/>
    <w:rsid w:val="09010220"/>
    <w:rsid w:val="09041952"/>
    <w:rsid w:val="09081A2D"/>
    <w:rsid w:val="09106D0A"/>
    <w:rsid w:val="09117FA0"/>
    <w:rsid w:val="09153CCC"/>
    <w:rsid w:val="09177189"/>
    <w:rsid w:val="091C454A"/>
    <w:rsid w:val="091D33B4"/>
    <w:rsid w:val="09215B17"/>
    <w:rsid w:val="09232ACF"/>
    <w:rsid w:val="092A3CC9"/>
    <w:rsid w:val="092C04C1"/>
    <w:rsid w:val="092D5F6F"/>
    <w:rsid w:val="092D7353"/>
    <w:rsid w:val="092F3162"/>
    <w:rsid w:val="093305F6"/>
    <w:rsid w:val="09355067"/>
    <w:rsid w:val="0935611C"/>
    <w:rsid w:val="09371CE5"/>
    <w:rsid w:val="093920CD"/>
    <w:rsid w:val="093A0C4D"/>
    <w:rsid w:val="093D1475"/>
    <w:rsid w:val="093D7783"/>
    <w:rsid w:val="093D7EFE"/>
    <w:rsid w:val="093F6F9B"/>
    <w:rsid w:val="09426C2D"/>
    <w:rsid w:val="0944414B"/>
    <w:rsid w:val="094822F4"/>
    <w:rsid w:val="094C44E3"/>
    <w:rsid w:val="094E0A7E"/>
    <w:rsid w:val="09505852"/>
    <w:rsid w:val="0952238E"/>
    <w:rsid w:val="095347F5"/>
    <w:rsid w:val="095A42B6"/>
    <w:rsid w:val="095A5B83"/>
    <w:rsid w:val="095C1EF7"/>
    <w:rsid w:val="095C557C"/>
    <w:rsid w:val="095F3199"/>
    <w:rsid w:val="096429CB"/>
    <w:rsid w:val="09664528"/>
    <w:rsid w:val="09676FE6"/>
    <w:rsid w:val="096856B8"/>
    <w:rsid w:val="09693EC2"/>
    <w:rsid w:val="096C3401"/>
    <w:rsid w:val="096D1E04"/>
    <w:rsid w:val="09730E8F"/>
    <w:rsid w:val="09741A2E"/>
    <w:rsid w:val="09772BD9"/>
    <w:rsid w:val="097F70A9"/>
    <w:rsid w:val="09800D9F"/>
    <w:rsid w:val="0983332C"/>
    <w:rsid w:val="09853444"/>
    <w:rsid w:val="09885D8F"/>
    <w:rsid w:val="098B3F8E"/>
    <w:rsid w:val="099217C1"/>
    <w:rsid w:val="09931095"/>
    <w:rsid w:val="09934BB5"/>
    <w:rsid w:val="099A1DD0"/>
    <w:rsid w:val="099A2423"/>
    <w:rsid w:val="099C4093"/>
    <w:rsid w:val="099C6924"/>
    <w:rsid w:val="099D1C70"/>
    <w:rsid w:val="099F1469"/>
    <w:rsid w:val="09A0385D"/>
    <w:rsid w:val="09A34AFA"/>
    <w:rsid w:val="09A91622"/>
    <w:rsid w:val="09B010B1"/>
    <w:rsid w:val="09B17DE9"/>
    <w:rsid w:val="09B260ED"/>
    <w:rsid w:val="09B66000"/>
    <w:rsid w:val="09B71227"/>
    <w:rsid w:val="09B863E1"/>
    <w:rsid w:val="09BA0384"/>
    <w:rsid w:val="09BC05EC"/>
    <w:rsid w:val="09BE6112"/>
    <w:rsid w:val="09C108F9"/>
    <w:rsid w:val="09C35E1E"/>
    <w:rsid w:val="09C84263"/>
    <w:rsid w:val="09C85D6F"/>
    <w:rsid w:val="09C96B50"/>
    <w:rsid w:val="09D0027E"/>
    <w:rsid w:val="09D75C18"/>
    <w:rsid w:val="09D929A3"/>
    <w:rsid w:val="09DB7DF4"/>
    <w:rsid w:val="09DE67B4"/>
    <w:rsid w:val="09E07D73"/>
    <w:rsid w:val="09E149FA"/>
    <w:rsid w:val="09E214BE"/>
    <w:rsid w:val="09E956FD"/>
    <w:rsid w:val="09E96A79"/>
    <w:rsid w:val="09EA5569"/>
    <w:rsid w:val="09EB09DB"/>
    <w:rsid w:val="09ED6341"/>
    <w:rsid w:val="09F0797A"/>
    <w:rsid w:val="09F61D17"/>
    <w:rsid w:val="09F61D4D"/>
    <w:rsid w:val="09F626CE"/>
    <w:rsid w:val="09F763F0"/>
    <w:rsid w:val="09F82F54"/>
    <w:rsid w:val="0A023E3D"/>
    <w:rsid w:val="0A042B0D"/>
    <w:rsid w:val="0A07584F"/>
    <w:rsid w:val="0A0855DF"/>
    <w:rsid w:val="0A0A26D0"/>
    <w:rsid w:val="0A0A52DA"/>
    <w:rsid w:val="0A0D2C0E"/>
    <w:rsid w:val="0A0D7099"/>
    <w:rsid w:val="0A0F4478"/>
    <w:rsid w:val="0A131686"/>
    <w:rsid w:val="0A1451BA"/>
    <w:rsid w:val="0A1844B3"/>
    <w:rsid w:val="0A187F18"/>
    <w:rsid w:val="0A1977EC"/>
    <w:rsid w:val="0A1B5312"/>
    <w:rsid w:val="0A1E12A6"/>
    <w:rsid w:val="0A212B5E"/>
    <w:rsid w:val="0A216565"/>
    <w:rsid w:val="0A245577"/>
    <w:rsid w:val="0A2649D7"/>
    <w:rsid w:val="0A2736EA"/>
    <w:rsid w:val="0A285C81"/>
    <w:rsid w:val="0A294AEF"/>
    <w:rsid w:val="0A2A5FEB"/>
    <w:rsid w:val="0A2F210F"/>
    <w:rsid w:val="0A301A70"/>
    <w:rsid w:val="0A307589"/>
    <w:rsid w:val="0A344626"/>
    <w:rsid w:val="0A366318"/>
    <w:rsid w:val="0A426D43"/>
    <w:rsid w:val="0A431457"/>
    <w:rsid w:val="0A455A91"/>
    <w:rsid w:val="0A464557"/>
    <w:rsid w:val="0A4707FD"/>
    <w:rsid w:val="0A481E7F"/>
    <w:rsid w:val="0A4C3698"/>
    <w:rsid w:val="0A50059C"/>
    <w:rsid w:val="0A502BA4"/>
    <w:rsid w:val="0A5110FD"/>
    <w:rsid w:val="0A51342A"/>
    <w:rsid w:val="0A5151D8"/>
    <w:rsid w:val="0A527929"/>
    <w:rsid w:val="0A577970"/>
    <w:rsid w:val="0A5B7E05"/>
    <w:rsid w:val="0A5C592B"/>
    <w:rsid w:val="0A60088B"/>
    <w:rsid w:val="0A6749FB"/>
    <w:rsid w:val="0A710906"/>
    <w:rsid w:val="0A735F6D"/>
    <w:rsid w:val="0A747118"/>
    <w:rsid w:val="0A7504FA"/>
    <w:rsid w:val="0A764C3F"/>
    <w:rsid w:val="0A7A54CB"/>
    <w:rsid w:val="0A7B5B07"/>
    <w:rsid w:val="0A7F62CF"/>
    <w:rsid w:val="0A800407"/>
    <w:rsid w:val="0A801B21"/>
    <w:rsid w:val="0A813377"/>
    <w:rsid w:val="0A8353C3"/>
    <w:rsid w:val="0A851ADE"/>
    <w:rsid w:val="0A852E29"/>
    <w:rsid w:val="0A8530D4"/>
    <w:rsid w:val="0A876E4C"/>
    <w:rsid w:val="0A8D52F2"/>
    <w:rsid w:val="0A8E1F88"/>
    <w:rsid w:val="0A8E7038"/>
    <w:rsid w:val="0A8F3F52"/>
    <w:rsid w:val="0A9042B7"/>
    <w:rsid w:val="0A917CCA"/>
    <w:rsid w:val="0A931346"/>
    <w:rsid w:val="0A9357F1"/>
    <w:rsid w:val="0A94593A"/>
    <w:rsid w:val="0A996075"/>
    <w:rsid w:val="0A9B46A5"/>
    <w:rsid w:val="0A9C7D1B"/>
    <w:rsid w:val="0A9E1295"/>
    <w:rsid w:val="0A9E3D8B"/>
    <w:rsid w:val="0A9E4C0B"/>
    <w:rsid w:val="0A9E6C97"/>
    <w:rsid w:val="0A9E7981"/>
    <w:rsid w:val="0AA417AC"/>
    <w:rsid w:val="0AA65496"/>
    <w:rsid w:val="0AA817AD"/>
    <w:rsid w:val="0AA94190"/>
    <w:rsid w:val="0AAC5195"/>
    <w:rsid w:val="0AAD7774"/>
    <w:rsid w:val="0AAF2118"/>
    <w:rsid w:val="0AB33CEE"/>
    <w:rsid w:val="0AB61302"/>
    <w:rsid w:val="0AB72AB4"/>
    <w:rsid w:val="0AB77CB1"/>
    <w:rsid w:val="0AB93691"/>
    <w:rsid w:val="0ABA0FCF"/>
    <w:rsid w:val="0ABC00C4"/>
    <w:rsid w:val="0ABC6811"/>
    <w:rsid w:val="0ABD0ABF"/>
    <w:rsid w:val="0ABE7B49"/>
    <w:rsid w:val="0AC302F4"/>
    <w:rsid w:val="0AC3578F"/>
    <w:rsid w:val="0AC612DF"/>
    <w:rsid w:val="0AC86146"/>
    <w:rsid w:val="0ACA15B9"/>
    <w:rsid w:val="0ACA2154"/>
    <w:rsid w:val="0ACC10B3"/>
    <w:rsid w:val="0ACC485F"/>
    <w:rsid w:val="0ACF1D5A"/>
    <w:rsid w:val="0ACF4CAE"/>
    <w:rsid w:val="0AD12C1C"/>
    <w:rsid w:val="0AD936FE"/>
    <w:rsid w:val="0ADF574B"/>
    <w:rsid w:val="0AE147AE"/>
    <w:rsid w:val="0AE1789B"/>
    <w:rsid w:val="0AE266B9"/>
    <w:rsid w:val="0AE30A64"/>
    <w:rsid w:val="0AE37DDF"/>
    <w:rsid w:val="0AEA1189"/>
    <w:rsid w:val="0AED28DB"/>
    <w:rsid w:val="0AEE03C8"/>
    <w:rsid w:val="0AEE0C79"/>
    <w:rsid w:val="0AEE7F78"/>
    <w:rsid w:val="0AEF2198"/>
    <w:rsid w:val="0AEF2288"/>
    <w:rsid w:val="0AEF3E82"/>
    <w:rsid w:val="0AEF4BDC"/>
    <w:rsid w:val="0AF171D2"/>
    <w:rsid w:val="0AF53045"/>
    <w:rsid w:val="0AF618DB"/>
    <w:rsid w:val="0AF61C3A"/>
    <w:rsid w:val="0AF729B4"/>
    <w:rsid w:val="0AF74245"/>
    <w:rsid w:val="0AF75383"/>
    <w:rsid w:val="0AFE5B22"/>
    <w:rsid w:val="0AFF2E86"/>
    <w:rsid w:val="0B045796"/>
    <w:rsid w:val="0B052C7C"/>
    <w:rsid w:val="0B0760EA"/>
    <w:rsid w:val="0B083E30"/>
    <w:rsid w:val="0B085B7B"/>
    <w:rsid w:val="0B0E1F15"/>
    <w:rsid w:val="0B106E41"/>
    <w:rsid w:val="0B107941"/>
    <w:rsid w:val="0B1405BF"/>
    <w:rsid w:val="0B146CEA"/>
    <w:rsid w:val="0B161F7E"/>
    <w:rsid w:val="0B1A5D21"/>
    <w:rsid w:val="0B207881"/>
    <w:rsid w:val="0B23544C"/>
    <w:rsid w:val="0B237BFE"/>
    <w:rsid w:val="0B240C9D"/>
    <w:rsid w:val="0B2533C4"/>
    <w:rsid w:val="0B260413"/>
    <w:rsid w:val="0B270381"/>
    <w:rsid w:val="0B274091"/>
    <w:rsid w:val="0B2B203A"/>
    <w:rsid w:val="0B2B3C7B"/>
    <w:rsid w:val="0B301291"/>
    <w:rsid w:val="0B30422F"/>
    <w:rsid w:val="0B310B66"/>
    <w:rsid w:val="0B327A84"/>
    <w:rsid w:val="0B361AA6"/>
    <w:rsid w:val="0B381EF4"/>
    <w:rsid w:val="0B3A5C6C"/>
    <w:rsid w:val="0B3B6363"/>
    <w:rsid w:val="0B3B6D0B"/>
    <w:rsid w:val="0B3C7C36"/>
    <w:rsid w:val="0B3D39AE"/>
    <w:rsid w:val="0B435C1C"/>
    <w:rsid w:val="0B4368DB"/>
    <w:rsid w:val="0B464611"/>
    <w:rsid w:val="0B464D13"/>
    <w:rsid w:val="0B465F4D"/>
    <w:rsid w:val="0B4765DB"/>
    <w:rsid w:val="0B4A5FAE"/>
    <w:rsid w:val="0B4B46CA"/>
    <w:rsid w:val="0B4C4571"/>
    <w:rsid w:val="0B4D7E38"/>
    <w:rsid w:val="0B4F3D8E"/>
    <w:rsid w:val="0B515EF0"/>
    <w:rsid w:val="0B520B10"/>
    <w:rsid w:val="0B5331D2"/>
    <w:rsid w:val="0B5841A0"/>
    <w:rsid w:val="0B584344"/>
    <w:rsid w:val="0B5A29A2"/>
    <w:rsid w:val="0B5D163E"/>
    <w:rsid w:val="0B5E5DFE"/>
    <w:rsid w:val="0B603655"/>
    <w:rsid w:val="0B622494"/>
    <w:rsid w:val="0B664E8C"/>
    <w:rsid w:val="0B676F7D"/>
    <w:rsid w:val="0B6F0BEC"/>
    <w:rsid w:val="0B725406"/>
    <w:rsid w:val="0B73117E"/>
    <w:rsid w:val="0B732AD8"/>
    <w:rsid w:val="0B753148"/>
    <w:rsid w:val="0B7D1FFD"/>
    <w:rsid w:val="0B7D21CB"/>
    <w:rsid w:val="0B806972"/>
    <w:rsid w:val="0B863D66"/>
    <w:rsid w:val="0B8901D1"/>
    <w:rsid w:val="0B8909A2"/>
    <w:rsid w:val="0B8937BF"/>
    <w:rsid w:val="0B8C1B1F"/>
    <w:rsid w:val="0B8C3FEE"/>
    <w:rsid w:val="0B8D0272"/>
    <w:rsid w:val="0B8D42D8"/>
    <w:rsid w:val="0B8D6529"/>
    <w:rsid w:val="0B8F21FA"/>
    <w:rsid w:val="0B9026B1"/>
    <w:rsid w:val="0B911D8C"/>
    <w:rsid w:val="0B914450"/>
    <w:rsid w:val="0B924A77"/>
    <w:rsid w:val="0B925AA8"/>
    <w:rsid w:val="0B945DFC"/>
    <w:rsid w:val="0B977FF1"/>
    <w:rsid w:val="0B980BE5"/>
    <w:rsid w:val="0B996E37"/>
    <w:rsid w:val="0B9F3D21"/>
    <w:rsid w:val="0BA07041"/>
    <w:rsid w:val="0BA07C0E"/>
    <w:rsid w:val="0BA4235C"/>
    <w:rsid w:val="0BA4472C"/>
    <w:rsid w:val="0BA53A2D"/>
    <w:rsid w:val="0BA80E28"/>
    <w:rsid w:val="0BAB1E8A"/>
    <w:rsid w:val="0BAB4DBC"/>
    <w:rsid w:val="0BB4103F"/>
    <w:rsid w:val="0BB7132F"/>
    <w:rsid w:val="0BB9448E"/>
    <w:rsid w:val="0BBA6DAD"/>
    <w:rsid w:val="0BBA7014"/>
    <w:rsid w:val="0BC06369"/>
    <w:rsid w:val="0BC26BB8"/>
    <w:rsid w:val="0BC55A9D"/>
    <w:rsid w:val="0BC72C69"/>
    <w:rsid w:val="0BCE3AE3"/>
    <w:rsid w:val="0BCE4339"/>
    <w:rsid w:val="0BD03841"/>
    <w:rsid w:val="0BD05882"/>
    <w:rsid w:val="0BD062B3"/>
    <w:rsid w:val="0BD12803"/>
    <w:rsid w:val="0BD222CE"/>
    <w:rsid w:val="0BD240F7"/>
    <w:rsid w:val="0BD657ED"/>
    <w:rsid w:val="0BD67DF0"/>
    <w:rsid w:val="0BD77A17"/>
    <w:rsid w:val="0BDB775E"/>
    <w:rsid w:val="0BDC7020"/>
    <w:rsid w:val="0BDE2A9B"/>
    <w:rsid w:val="0BDF05C2"/>
    <w:rsid w:val="0BDF6813"/>
    <w:rsid w:val="0BE21CA7"/>
    <w:rsid w:val="0BE678A2"/>
    <w:rsid w:val="0BEB6221"/>
    <w:rsid w:val="0BEC202A"/>
    <w:rsid w:val="0BED0F30"/>
    <w:rsid w:val="0BF12D0A"/>
    <w:rsid w:val="0BF3076F"/>
    <w:rsid w:val="0BF44FDB"/>
    <w:rsid w:val="0BF6340E"/>
    <w:rsid w:val="0BF64289"/>
    <w:rsid w:val="0BF85DB1"/>
    <w:rsid w:val="0BFA53FB"/>
    <w:rsid w:val="0BFA6DDB"/>
    <w:rsid w:val="0BFD4069"/>
    <w:rsid w:val="0C004E10"/>
    <w:rsid w:val="0C017DDE"/>
    <w:rsid w:val="0C061FF2"/>
    <w:rsid w:val="0C066135"/>
    <w:rsid w:val="0C081404"/>
    <w:rsid w:val="0C0C6984"/>
    <w:rsid w:val="0C0F46C9"/>
    <w:rsid w:val="0C120997"/>
    <w:rsid w:val="0C1578EB"/>
    <w:rsid w:val="0C173769"/>
    <w:rsid w:val="0C17485A"/>
    <w:rsid w:val="0C174EAA"/>
    <w:rsid w:val="0C177D5B"/>
    <w:rsid w:val="0C1A4810"/>
    <w:rsid w:val="0C1B5A9E"/>
    <w:rsid w:val="0C2016B3"/>
    <w:rsid w:val="0C210BDA"/>
    <w:rsid w:val="0C231852"/>
    <w:rsid w:val="0C2433AF"/>
    <w:rsid w:val="0C250505"/>
    <w:rsid w:val="0C272694"/>
    <w:rsid w:val="0C2D0A20"/>
    <w:rsid w:val="0C2E4CB5"/>
    <w:rsid w:val="0C2E6645"/>
    <w:rsid w:val="0C311B3B"/>
    <w:rsid w:val="0C321E24"/>
    <w:rsid w:val="0C390FAC"/>
    <w:rsid w:val="0C3C3C66"/>
    <w:rsid w:val="0C3C40B3"/>
    <w:rsid w:val="0C3C4E6E"/>
    <w:rsid w:val="0C4403D3"/>
    <w:rsid w:val="0C4503A0"/>
    <w:rsid w:val="0C48260B"/>
    <w:rsid w:val="0C496F9D"/>
    <w:rsid w:val="0C4A3D55"/>
    <w:rsid w:val="0C4A6383"/>
    <w:rsid w:val="0C4B5C57"/>
    <w:rsid w:val="0C4F369E"/>
    <w:rsid w:val="0C560E46"/>
    <w:rsid w:val="0C5C49CE"/>
    <w:rsid w:val="0C697B1C"/>
    <w:rsid w:val="0C6A64AB"/>
    <w:rsid w:val="0C6F0C47"/>
    <w:rsid w:val="0C752EE2"/>
    <w:rsid w:val="0C754E91"/>
    <w:rsid w:val="0C77050C"/>
    <w:rsid w:val="0C770DFE"/>
    <w:rsid w:val="0C777589"/>
    <w:rsid w:val="0C7A22E4"/>
    <w:rsid w:val="0C7D22B4"/>
    <w:rsid w:val="0C7E427E"/>
    <w:rsid w:val="0C81051D"/>
    <w:rsid w:val="0C811679"/>
    <w:rsid w:val="0C842AE5"/>
    <w:rsid w:val="0C851169"/>
    <w:rsid w:val="0C85560D"/>
    <w:rsid w:val="0C8A49D1"/>
    <w:rsid w:val="0C913FB2"/>
    <w:rsid w:val="0C917B0E"/>
    <w:rsid w:val="0C960FAD"/>
    <w:rsid w:val="0C96202E"/>
    <w:rsid w:val="0C973498"/>
    <w:rsid w:val="0C975227"/>
    <w:rsid w:val="0C981EC3"/>
    <w:rsid w:val="0C9879D0"/>
    <w:rsid w:val="0C9E3828"/>
    <w:rsid w:val="0CA041EC"/>
    <w:rsid w:val="0CA24707"/>
    <w:rsid w:val="0CA269A6"/>
    <w:rsid w:val="0CA27F6D"/>
    <w:rsid w:val="0CA73CCC"/>
    <w:rsid w:val="0CA75518"/>
    <w:rsid w:val="0CA76B66"/>
    <w:rsid w:val="0CA91CCA"/>
    <w:rsid w:val="0CB01BCB"/>
    <w:rsid w:val="0CB152CC"/>
    <w:rsid w:val="0CB675B5"/>
    <w:rsid w:val="0CBB102F"/>
    <w:rsid w:val="0CBB319C"/>
    <w:rsid w:val="0CBB7C19"/>
    <w:rsid w:val="0CBB7C4B"/>
    <w:rsid w:val="0CBC071C"/>
    <w:rsid w:val="0CBD6B55"/>
    <w:rsid w:val="0CBF16C1"/>
    <w:rsid w:val="0CC16226"/>
    <w:rsid w:val="0CC779D3"/>
    <w:rsid w:val="0CCA74C4"/>
    <w:rsid w:val="0CCF4ADA"/>
    <w:rsid w:val="0CD3450C"/>
    <w:rsid w:val="0CD45C9B"/>
    <w:rsid w:val="0CD721D7"/>
    <w:rsid w:val="0CDA0A12"/>
    <w:rsid w:val="0CDE1EA1"/>
    <w:rsid w:val="0CE53932"/>
    <w:rsid w:val="0CE666CA"/>
    <w:rsid w:val="0CEE4F60"/>
    <w:rsid w:val="0CEF0CD8"/>
    <w:rsid w:val="0CF30203"/>
    <w:rsid w:val="0CF4450C"/>
    <w:rsid w:val="0CF62398"/>
    <w:rsid w:val="0D06216B"/>
    <w:rsid w:val="0D094F20"/>
    <w:rsid w:val="0D0A2995"/>
    <w:rsid w:val="0D10137A"/>
    <w:rsid w:val="0D132C19"/>
    <w:rsid w:val="0D1544B2"/>
    <w:rsid w:val="0D164D36"/>
    <w:rsid w:val="0D166265"/>
    <w:rsid w:val="0D177791"/>
    <w:rsid w:val="0D2070E4"/>
    <w:rsid w:val="0D217829"/>
    <w:rsid w:val="0D2D6AE8"/>
    <w:rsid w:val="0D2F7B19"/>
    <w:rsid w:val="0D307327"/>
    <w:rsid w:val="0D313E1B"/>
    <w:rsid w:val="0D330BC5"/>
    <w:rsid w:val="0D3C216F"/>
    <w:rsid w:val="0D3E48E7"/>
    <w:rsid w:val="0D42046E"/>
    <w:rsid w:val="0D436DB3"/>
    <w:rsid w:val="0D443541"/>
    <w:rsid w:val="0D464D9C"/>
    <w:rsid w:val="0D4728C2"/>
    <w:rsid w:val="0D4940E8"/>
    <w:rsid w:val="0D4B355C"/>
    <w:rsid w:val="0D51729D"/>
    <w:rsid w:val="0D525752"/>
    <w:rsid w:val="0D5648B3"/>
    <w:rsid w:val="0D576FA9"/>
    <w:rsid w:val="0D5B1ADB"/>
    <w:rsid w:val="0D5B2C57"/>
    <w:rsid w:val="0D5C420B"/>
    <w:rsid w:val="0D5C4757"/>
    <w:rsid w:val="0D5D20E6"/>
    <w:rsid w:val="0D5D3E94"/>
    <w:rsid w:val="0D5D42FF"/>
    <w:rsid w:val="0D5D70E8"/>
    <w:rsid w:val="0D5E1321"/>
    <w:rsid w:val="0D5F1F83"/>
    <w:rsid w:val="0D5F7C0C"/>
    <w:rsid w:val="0D605BA6"/>
    <w:rsid w:val="0D6149B3"/>
    <w:rsid w:val="0D644439"/>
    <w:rsid w:val="0D654E27"/>
    <w:rsid w:val="0D65614D"/>
    <w:rsid w:val="0D660C1A"/>
    <w:rsid w:val="0D687C1B"/>
    <w:rsid w:val="0D6945E7"/>
    <w:rsid w:val="0D697D46"/>
    <w:rsid w:val="0D6A7D59"/>
    <w:rsid w:val="0D6B035F"/>
    <w:rsid w:val="0D6C68F4"/>
    <w:rsid w:val="0D705975"/>
    <w:rsid w:val="0D727A6D"/>
    <w:rsid w:val="0D757075"/>
    <w:rsid w:val="0D7C110B"/>
    <w:rsid w:val="0D7E4232"/>
    <w:rsid w:val="0D7F02AE"/>
    <w:rsid w:val="0D837081"/>
    <w:rsid w:val="0D845AC4"/>
    <w:rsid w:val="0D857517"/>
    <w:rsid w:val="0D86353A"/>
    <w:rsid w:val="0D876DD7"/>
    <w:rsid w:val="0D8838E1"/>
    <w:rsid w:val="0D8C6527"/>
    <w:rsid w:val="0D8D29CB"/>
    <w:rsid w:val="0D9149EC"/>
    <w:rsid w:val="0D941565"/>
    <w:rsid w:val="0D981B99"/>
    <w:rsid w:val="0D983C14"/>
    <w:rsid w:val="0D990F5F"/>
    <w:rsid w:val="0D9C5DC5"/>
    <w:rsid w:val="0D9E2D43"/>
    <w:rsid w:val="0D9F26FE"/>
    <w:rsid w:val="0DA10224"/>
    <w:rsid w:val="0DA258DC"/>
    <w:rsid w:val="0DA33F9D"/>
    <w:rsid w:val="0DA46EFA"/>
    <w:rsid w:val="0DA605FC"/>
    <w:rsid w:val="0DA67ADA"/>
    <w:rsid w:val="0DAB10A3"/>
    <w:rsid w:val="0DAF0B93"/>
    <w:rsid w:val="0DAF3308"/>
    <w:rsid w:val="0DB066B9"/>
    <w:rsid w:val="0DB5363E"/>
    <w:rsid w:val="0DB86DF8"/>
    <w:rsid w:val="0DBC0BBA"/>
    <w:rsid w:val="0DBD42A8"/>
    <w:rsid w:val="0DC02C04"/>
    <w:rsid w:val="0DC350E0"/>
    <w:rsid w:val="0DC86084"/>
    <w:rsid w:val="0DCB3F8A"/>
    <w:rsid w:val="0DCB5F30"/>
    <w:rsid w:val="0DD01275"/>
    <w:rsid w:val="0DD07DC9"/>
    <w:rsid w:val="0DD2668E"/>
    <w:rsid w:val="0DD33E09"/>
    <w:rsid w:val="0DD36A09"/>
    <w:rsid w:val="0DD709E0"/>
    <w:rsid w:val="0DD71D96"/>
    <w:rsid w:val="0DD81974"/>
    <w:rsid w:val="0DDA26E7"/>
    <w:rsid w:val="0DDD377D"/>
    <w:rsid w:val="0DDE58F7"/>
    <w:rsid w:val="0DDE73EA"/>
    <w:rsid w:val="0DDF1DCE"/>
    <w:rsid w:val="0DE10621"/>
    <w:rsid w:val="0DE46840"/>
    <w:rsid w:val="0DE545B5"/>
    <w:rsid w:val="0DE819AF"/>
    <w:rsid w:val="0DE85E53"/>
    <w:rsid w:val="0DE9205F"/>
    <w:rsid w:val="0DEF2194"/>
    <w:rsid w:val="0DF06AB6"/>
    <w:rsid w:val="0DF14750"/>
    <w:rsid w:val="0DF30981"/>
    <w:rsid w:val="0DF61ADF"/>
    <w:rsid w:val="0DF70E8C"/>
    <w:rsid w:val="0DF963A9"/>
    <w:rsid w:val="0DF96EFD"/>
    <w:rsid w:val="0DFC7B47"/>
    <w:rsid w:val="0DFE2A87"/>
    <w:rsid w:val="0E033DF1"/>
    <w:rsid w:val="0E045213"/>
    <w:rsid w:val="0E057123"/>
    <w:rsid w:val="0E057C6A"/>
    <w:rsid w:val="0E06277D"/>
    <w:rsid w:val="0E0631FF"/>
    <w:rsid w:val="0E070EDC"/>
    <w:rsid w:val="0E0B3D2F"/>
    <w:rsid w:val="0E0D233D"/>
    <w:rsid w:val="0E0D7668"/>
    <w:rsid w:val="0E0E7C85"/>
    <w:rsid w:val="0E1171C8"/>
    <w:rsid w:val="0E1308B7"/>
    <w:rsid w:val="0E147564"/>
    <w:rsid w:val="0E1949F8"/>
    <w:rsid w:val="0E1E1023"/>
    <w:rsid w:val="0E22180B"/>
    <w:rsid w:val="0E286250"/>
    <w:rsid w:val="0E2A288A"/>
    <w:rsid w:val="0E2B5D40"/>
    <w:rsid w:val="0E320CCA"/>
    <w:rsid w:val="0E323572"/>
    <w:rsid w:val="0E343A4B"/>
    <w:rsid w:val="0E375B33"/>
    <w:rsid w:val="0E3955AC"/>
    <w:rsid w:val="0E3957FF"/>
    <w:rsid w:val="0E3C1CFB"/>
    <w:rsid w:val="0E3D3FEF"/>
    <w:rsid w:val="0E3D648A"/>
    <w:rsid w:val="0E40619F"/>
    <w:rsid w:val="0E423016"/>
    <w:rsid w:val="0E436B53"/>
    <w:rsid w:val="0E464928"/>
    <w:rsid w:val="0E47058B"/>
    <w:rsid w:val="0E4B63E2"/>
    <w:rsid w:val="0E4D3F08"/>
    <w:rsid w:val="0E4F44B9"/>
    <w:rsid w:val="0E4F5C45"/>
    <w:rsid w:val="0E4F7C80"/>
    <w:rsid w:val="0E503B05"/>
    <w:rsid w:val="0E5256B6"/>
    <w:rsid w:val="0E547045"/>
    <w:rsid w:val="0E553A87"/>
    <w:rsid w:val="0E564766"/>
    <w:rsid w:val="0E570853"/>
    <w:rsid w:val="0E572FD9"/>
    <w:rsid w:val="0E5E09FF"/>
    <w:rsid w:val="0E5F5D88"/>
    <w:rsid w:val="0E601953"/>
    <w:rsid w:val="0E601E8E"/>
    <w:rsid w:val="0E6151B4"/>
    <w:rsid w:val="0E683544"/>
    <w:rsid w:val="0E697416"/>
    <w:rsid w:val="0E6D76B0"/>
    <w:rsid w:val="0E6F0CE9"/>
    <w:rsid w:val="0E71409B"/>
    <w:rsid w:val="0E745939"/>
    <w:rsid w:val="0E745C52"/>
    <w:rsid w:val="0E7877FA"/>
    <w:rsid w:val="0E7E40C2"/>
    <w:rsid w:val="0E800A06"/>
    <w:rsid w:val="0E847590"/>
    <w:rsid w:val="0E8518F4"/>
    <w:rsid w:val="0E8A07EC"/>
    <w:rsid w:val="0E8B2062"/>
    <w:rsid w:val="0E8C72CE"/>
    <w:rsid w:val="0E8F7A02"/>
    <w:rsid w:val="0E96143D"/>
    <w:rsid w:val="0E96765D"/>
    <w:rsid w:val="0E9723EA"/>
    <w:rsid w:val="0E99450B"/>
    <w:rsid w:val="0E9A47B2"/>
    <w:rsid w:val="0E9D182E"/>
    <w:rsid w:val="0E9E4764"/>
    <w:rsid w:val="0EA004DC"/>
    <w:rsid w:val="0EA015B0"/>
    <w:rsid w:val="0EA0228A"/>
    <w:rsid w:val="0EA15DF5"/>
    <w:rsid w:val="0EA2573C"/>
    <w:rsid w:val="0EA508BC"/>
    <w:rsid w:val="0EA8721D"/>
    <w:rsid w:val="0EA87391"/>
    <w:rsid w:val="0EAA3109"/>
    <w:rsid w:val="0EAA3E90"/>
    <w:rsid w:val="0EAC4537"/>
    <w:rsid w:val="0EAD7D6E"/>
    <w:rsid w:val="0EB13CB9"/>
    <w:rsid w:val="0EB308D7"/>
    <w:rsid w:val="0EB37847"/>
    <w:rsid w:val="0EB55AE3"/>
    <w:rsid w:val="0EB83A78"/>
    <w:rsid w:val="0EBE6BB4"/>
    <w:rsid w:val="0EC12110"/>
    <w:rsid w:val="0EC20452"/>
    <w:rsid w:val="0EC266A4"/>
    <w:rsid w:val="0EC613F3"/>
    <w:rsid w:val="0EC663FD"/>
    <w:rsid w:val="0EC675AC"/>
    <w:rsid w:val="0EC85388"/>
    <w:rsid w:val="0ECA37AB"/>
    <w:rsid w:val="0ECA6384"/>
    <w:rsid w:val="0EDA1762"/>
    <w:rsid w:val="0EDB1514"/>
    <w:rsid w:val="0EDE44CB"/>
    <w:rsid w:val="0EE30D43"/>
    <w:rsid w:val="0EEB7908"/>
    <w:rsid w:val="0EEE56EB"/>
    <w:rsid w:val="0EF27647"/>
    <w:rsid w:val="0EF37803"/>
    <w:rsid w:val="0EF7257E"/>
    <w:rsid w:val="0EFC3B45"/>
    <w:rsid w:val="0EFE3455"/>
    <w:rsid w:val="0EFF16A6"/>
    <w:rsid w:val="0EFF2700"/>
    <w:rsid w:val="0EFF489D"/>
    <w:rsid w:val="0F011CBF"/>
    <w:rsid w:val="0F023598"/>
    <w:rsid w:val="0F024154"/>
    <w:rsid w:val="0F051750"/>
    <w:rsid w:val="0F096081"/>
    <w:rsid w:val="0F0D5446"/>
    <w:rsid w:val="0F0E03C5"/>
    <w:rsid w:val="0F0F2E88"/>
    <w:rsid w:val="0F1113DA"/>
    <w:rsid w:val="0F1121FC"/>
    <w:rsid w:val="0F135152"/>
    <w:rsid w:val="0F1A64E0"/>
    <w:rsid w:val="0F1B54BA"/>
    <w:rsid w:val="0F1D1B2D"/>
    <w:rsid w:val="0F224A57"/>
    <w:rsid w:val="0F2727CB"/>
    <w:rsid w:val="0F2743A8"/>
    <w:rsid w:val="0F2A1B00"/>
    <w:rsid w:val="0F2A7F65"/>
    <w:rsid w:val="0F2D0006"/>
    <w:rsid w:val="0F2D3A6E"/>
    <w:rsid w:val="0F2E2047"/>
    <w:rsid w:val="0F2F2CF0"/>
    <w:rsid w:val="0F3330FE"/>
    <w:rsid w:val="0F385018"/>
    <w:rsid w:val="0F386CEF"/>
    <w:rsid w:val="0F3A199C"/>
    <w:rsid w:val="0F3F36C5"/>
    <w:rsid w:val="0F3F7CF5"/>
    <w:rsid w:val="0F423341"/>
    <w:rsid w:val="0F435C60"/>
    <w:rsid w:val="0F436DEC"/>
    <w:rsid w:val="0F4456CC"/>
    <w:rsid w:val="0F470958"/>
    <w:rsid w:val="0F475257"/>
    <w:rsid w:val="0F4B372F"/>
    <w:rsid w:val="0F57387A"/>
    <w:rsid w:val="0F5A4B2F"/>
    <w:rsid w:val="0F5B2BE7"/>
    <w:rsid w:val="0F5D017B"/>
    <w:rsid w:val="0F5D461F"/>
    <w:rsid w:val="0F627D60"/>
    <w:rsid w:val="0F640F85"/>
    <w:rsid w:val="0F6459AD"/>
    <w:rsid w:val="0F654E85"/>
    <w:rsid w:val="0F65505A"/>
    <w:rsid w:val="0F657030"/>
    <w:rsid w:val="0F694D72"/>
    <w:rsid w:val="0F6E2001"/>
    <w:rsid w:val="0F7438F9"/>
    <w:rsid w:val="0F7563EB"/>
    <w:rsid w:val="0F772F30"/>
    <w:rsid w:val="0F7756E1"/>
    <w:rsid w:val="0F7A0CE0"/>
    <w:rsid w:val="0F7A2ADB"/>
    <w:rsid w:val="0F7B1D4D"/>
    <w:rsid w:val="0F7C1DF5"/>
    <w:rsid w:val="0F816D85"/>
    <w:rsid w:val="0F827BE2"/>
    <w:rsid w:val="0F84395A"/>
    <w:rsid w:val="0F8536DA"/>
    <w:rsid w:val="0F8D6EA2"/>
    <w:rsid w:val="0F8F47E3"/>
    <w:rsid w:val="0F927D7E"/>
    <w:rsid w:val="0F930041"/>
    <w:rsid w:val="0F963764"/>
    <w:rsid w:val="0F98106E"/>
    <w:rsid w:val="0F983143"/>
    <w:rsid w:val="0F985946"/>
    <w:rsid w:val="0F987405"/>
    <w:rsid w:val="0F9967CD"/>
    <w:rsid w:val="0F9B09A0"/>
    <w:rsid w:val="0F9D4A1B"/>
    <w:rsid w:val="0FA24A47"/>
    <w:rsid w:val="0FA27567"/>
    <w:rsid w:val="0FA34899"/>
    <w:rsid w:val="0FA364D6"/>
    <w:rsid w:val="0FA41FAB"/>
    <w:rsid w:val="0FA704C4"/>
    <w:rsid w:val="0FA7589A"/>
    <w:rsid w:val="0FA77648"/>
    <w:rsid w:val="0FA812C4"/>
    <w:rsid w:val="0FA97864"/>
    <w:rsid w:val="0FAC10EB"/>
    <w:rsid w:val="0FAE09D7"/>
    <w:rsid w:val="0FAF7946"/>
    <w:rsid w:val="0FB061D8"/>
    <w:rsid w:val="0FB26719"/>
    <w:rsid w:val="0FB33F34"/>
    <w:rsid w:val="0FB34DBB"/>
    <w:rsid w:val="0FB7564B"/>
    <w:rsid w:val="0FB83603"/>
    <w:rsid w:val="0FBC7598"/>
    <w:rsid w:val="0FBD0C1A"/>
    <w:rsid w:val="0FC377B8"/>
    <w:rsid w:val="0FCB42C4"/>
    <w:rsid w:val="0FCE1079"/>
    <w:rsid w:val="0FD42B11"/>
    <w:rsid w:val="0FD45593"/>
    <w:rsid w:val="0FD522F0"/>
    <w:rsid w:val="0FD8005B"/>
    <w:rsid w:val="0FD86850"/>
    <w:rsid w:val="0FDA17CC"/>
    <w:rsid w:val="0FDC19E8"/>
    <w:rsid w:val="0FDC434E"/>
    <w:rsid w:val="0FDC43AF"/>
    <w:rsid w:val="0FDC5544"/>
    <w:rsid w:val="0FDE297D"/>
    <w:rsid w:val="0FE17D52"/>
    <w:rsid w:val="0FE20957"/>
    <w:rsid w:val="0FE47720"/>
    <w:rsid w:val="0FE55D2E"/>
    <w:rsid w:val="0FE73EE9"/>
    <w:rsid w:val="0FE95B1C"/>
    <w:rsid w:val="0FE95EB3"/>
    <w:rsid w:val="0FEB2F72"/>
    <w:rsid w:val="0FEB6643"/>
    <w:rsid w:val="0FEC7947"/>
    <w:rsid w:val="0FED735A"/>
    <w:rsid w:val="0FF15885"/>
    <w:rsid w:val="0FF22992"/>
    <w:rsid w:val="0FF24D67"/>
    <w:rsid w:val="0FF4448A"/>
    <w:rsid w:val="0FF52AA9"/>
    <w:rsid w:val="0FFE3633"/>
    <w:rsid w:val="0FFF1232"/>
    <w:rsid w:val="100171A8"/>
    <w:rsid w:val="100254FF"/>
    <w:rsid w:val="10036F74"/>
    <w:rsid w:val="100625C1"/>
    <w:rsid w:val="10067A3A"/>
    <w:rsid w:val="100875EA"/>
    <w:rsid w:val="100B2A11"/>
    <w:rsid w:val="100C368B"/>
    <w:rsid w:val="10145E5B"/>
    <w:rsid w:val="101651E5"/>
    <w:rsid w:val="101747CE"/>
    <w:rsid w:val="101B510F"/>
    <w:rsid w:val="101C46B9"/>
    <w:rsid w:val="10222611"/>
    <w:rsid w:val="10225DF8"/>
    <w:rsid w:val="10235465"/>
    <w:rsid w:val="1023587D"/>
    <w:rsid w:val="10266833"/>
    <w:rsid w:val="10283E01"/>
    <w:rsid w:val="10297700"/>
    <w:rsid w:val="102978DA"/>
    <w:rsid w:val="102D53BB"/>
    <w:rsid w:val="1031492B"/>
    <w:rsid w:val="10374E70"/>
    <w:rsid w:val="103D1A5F"/>
    <w:rsid w:val="103D51F3"/>
    <w:rsid w:val="103E6D30"/>
    <w:rsid w:val="1041118C"/>
    <w:rsid w:val="10433815"/>
    <w:rsid w:val="10441DEC"/>
    <w:rsid w:val="1047050D"/>
    <w:rsid w:val="104F276F"/>
    <w:rsid w:val="10501A8E"/>
    <w:rsid w:val="10524CAB"/>
    <w:rsid w:val="10530AC2"/>
    <w:rsid w:val="10554055"/>
    <w:rsid w:val="105552F6"/>
    <w:rsid w:val="10563548"/>
    <w:rsid w:val="10596B94"/>
    <w:rsid w:val="10615A49"/>
    <w:rsid w:val="10620857"/>
    <w:rsid w:val="1063277B"/>
    <w:rsid w:val="106419C8"/>
    <w:rsid w:val="10642EC0"/>
    <w:rsid w:val="10675755"/>
    <w:rsid w:val="106B58FC"/>
    <w:rsid w:val="10702C73"/>
    <w:rsid w:val="10703EDE"/>
    <w:rsid w:val="107439CE"/>
    <w:rsid w:val="107C007A"/>
    <w:rsid w:val="107C2C7E"/>
    <w:rsid w:val="10802FF2"/>
    <w:rsid w:val="10805251"/>
    <w:rsid w:val="10805D1C"/>
    <w:rsid w:val="10817E99"/>
    <w:rsid w:val="108241EC"/>
    <w:rsid w:val="10844706"/>
    <w:rsid w:val="108665B6"/>
    <w:rsid w:val="108E275C"/>
    <w:rsid w:val="108F1A98"/>
    <w:rsid w:val="108F3B2B"/>
    <w:rsid w:val="109167D3"/>
    <w:rsid w:val="10921AA4"/>
    <w:rsid w:val="10962D23"/>
    <w:rsid w:val="10965914"/>
    <w:rsid w:val="10997C68"/>
    <w:rsid w:val="109A3BD4"/>
    <w:rsid w:val="109C4CD3"/>
    <w:rsid w:val="109D744F"/>
    <w:rsid w:val="109E5EF2"/>
    <w:rsid w:val="10A02A15"/>
    <w:rsid w:val="10A0400E"/>
    <w:rsid w:val="10A20D0B"/>
    <w:rsid w:val="10A20FFE"/>
    <w:rsid w:val="10A2775C"/>
    <w:rsid w:val="10AB58DC"/>
    <w:rsid w:val="10AC07ED"/>
    <w:rsid w:val="10AD0C8E"/>
    <w:rsid w:val="10B2683D"/>
    <w:rsid w:val="10B452D0"/>
    <w:rsid w:val="10B521F3"/>
    <w:rsid w:val="10B66BC9"/>
    <w:rsid w:val="10B73FB1"/>
    <w:rsid w:val="10B95DFE"/>
    <w:rsid w:val="10BD0508"/>
    <w:rsid w:val="10BE1EBE"/>
    <w:rsid w:val="10BE3A1D"/>
    <w:rsid w:val="10BF3671"/>
    <w:rsid w:val="10C031C3"/>
    <w:rsid w:val="10C55FD8"/>
    <w:rsid w:val="10C77C1C"/>
    <w:rsid w:val="10CD6E11"/>
    <w:rsid w:val="10CF50A9"/>
    <w:rsid w:val="10D34B99"/>
    <w:rsid w:val="10D40911"/>
    <w:rsid w:val="10D66437"/>
    <w:rsid w:val="10D736B1"/>
    <w:rsid w:val="10D821AF"/>
    <w:rsid w:val="10D97499"/>
    <w:rsid w:val="10DB17D5"/>
    <w:rsid w:val="10DB1C9F"/>
    <w:rsid w:val="10E11406"/>
    <w:rsid w:val="10E24A58"/>
    <w:rsid w:val="10E52487"/>
    <w:rsid w:val="10E64849"/>
    <w:rsid w:val="10EC5C5A"/>
    <w:rsid w:val="10EC5CA0"/>
    <w:rsid w:val="10ED62C9"/>
    <w:rsid w:val="10EE616A"/>
    <w:rsid w:val="10F45B00"/>
    <w:rsid w:val="10F67454"/>
    <w:rsid w:val="10F74511"/>
    <w:rsid w:val="10F77E9A"/>
    <w:rsid w:val="10FE773C"/>
    <w:rsid w:val="11005262"/>
    <w:rsid w:val="110C3C07"/>
    <w:rsid w:val="110F3902"/>
    <w:rsid w:val="11113EA6"/>
    <w:rsid w:val="11114E1F"/>
    <w:rsid w:val="111331E7"/>
    <w:rsid w:val="111A01C1"/>
    <w:rsid w:val="111D3578"/>
    <w:rsid w:val="111D4066"/>
    <w:rsid w:val="111E52AA"/>
    <w:rsid w:val="11203B56"/>
    <w:rsid w:val="112203C1"/>
    <w:rsid w:val="11235730"/>
    <w:rsid w:val="11272147"/>
    <w:rsid w:val="112D5E99"/>
    <w:rsid w:val="11335E9F"/>
    <w:rsid w:val="11344CB5"/>
    <w:rsid w:val="1137024E"/>
    <w:rsid w:val="113849FC"/>
    <w:rsid w:val="1138517A"/>
    <w:rsid w:val="11387160"/>
    <w:rsid w:val="113C371A"/>
    <w:rsid w:val="113D0261"/>
    <w:rsid w:val="113F3BED"/>
    <w:rsid w:val="11422360"/>
    <w:rsid w:val="11427B0D"/>
    <w:rsid w:val="114408F4"/>
    <w:rsid w:val="11457119"/>
    <w:rsid w:val="1149458E"/>
    <w:rsid w:val="114C6C01"/>
    <w:rsid w:val="114F1D45"/>
    <w:rsid w:val="11524785"/>
    <w:rsid w:val="115349B0"/>
    <w:rsid w:val="1158509E"/>
    <w:rsid w:val="11591EC2"/>
    <w:rsid w:val="115B3953"/>
    <w:rsid w:val="115F02EA"/>
    <w:rsid w:val="116220BD"/>
    <w:rsid w:val="11624FF1"/>
    <w:rsid w:val="1164096F"/>
    <w:rsid w:val="11641C95"/>
    <w:rsid w:val="11691BEC"/>
    <w:rsid w:val="11694844"/>
    <w:rsid w:val="116C5FCF"/>
    <w:rsid w:val="1170063A"/>
    <w:rsid w:val="11707C6F"/>
    <w:rsid w:val="11757139"/>
    <w:rsid w:val="11782737"/>
    <w:rsid w:val="117B2B3A"/>
    <w:rsid w:val="117D13D1"/>
    <w:rsid w:val="118070DE"/>
    <w:rsid w:val="118169F3"/>
    <w:rsid w:val="11830FD4"/>
    <w:rsid w:val="11833F44"/>
    <w:rsid w:val="118539B9"/>
    <w:rsid w:val="11866F8D"/>
    <w:rsid w:val="1189484A"/>
    <w:rsid w:val="118C0B72"/>
    <w:rsid w:val="118E286E"/>
    <w:rsid w:val="118F0B6A"/>
    <w:rsid w:val="118F3710"/>
    <w:rsid w:val="119211FE"/>
    <w:rsid w:val="11960AC4"/>
    <w:rsid w:val="119841A8"/>
    <w:rsid w:val="11990174"/>
    <w:rsid w:val="119B6521"/>
    <w:rsid w:val="119C61F9"/>
    <w:rsid w:val="119D045C"/>
    <w:rsid w:val="119F0481"/>
    <w:rsid w:val="11A074F9"/>
    <w:rsid w:val="11A1409D"/>
    <w:rsid w:val="11A80819"/>
    <w:rsid w:val="11A84792"/>
    <w:rsid w:val="11AA3C64"/>
    <w:rsid w:val="11AB4941"/>
    <w:rsid w:val="11AB78C4"/>
    <w:rsid w:val="11AF610A"/>
    <w:rsid w:val="11B52A7C"/>
    <w:rsid w:val="11B60016"/>
    <w:rsid w:val="11B6625F"/>
    <w:rsid w:val="11BD71AA"/>
    <w:rsid w:val="11C53057"/>
    <w:rsid w:val="11C643BE"/>
    <w:rsid w:val="11C9676C"/>
    <w:rsid w:val="11CC1466"/>
    <w:rsid w:val="11CD11F4"/>
    <w:rsid w:val="11CF3202"/>
    <w:rsid w:val="11CF6E9F"/>
    <w:rsid w:val="11D010D8"/>
    <w:rsid w:val="11D31C55"/>
    <w:rsid w:val="11D54941"/>
    <w:rsid w:val="11D64860"/>
    <w:rsid w:val="11D77818"/>
    <w:rsid w:val="11DA7004"/>
    <w:rsid w:val="11E53F40"/>
    <w:rsid w:val="11E556EC"/>
    <w:rsid w:val="11E73282"/>
    <w:rsid w:val="11EA319D"/>
    <w:rsid w:val="11EC41D4"/>
    <w:rsid w:val="11EF2ABE"/>
    <w:rsid w:val="11EF443E"/>
    <w:rsid w:val="11F06A97"/>
    <w:rsid w:val="11F34DC7"/>
    <w:rsid w:val="11F766A7"/>
    <w:rsid w:val="11F86147"/>
    <w:rsid w:val="11FB7263"/>
    <w:rsid w:val="11FF19BD"/>
    <w:rsid w:val="11FF551A"/>
    <w:rsid w:val="1201554F"/>
    <w:rsid w:val="120511CA"/>
    <w:rsid w:val="12072620"/>
    <w:rsid w:val="12074453"/>
    <w:rsid w:val="120C3CDD"/>
    <w:rsid w:val="120F642F"/>
    <w:rsid w:val="12172607"/>
    <w:rsid w:val="12187542"/>
    <w:rsid w:val="121A05A5"/>
    <w:rsid w:val="121A2353"/>
    <w:rsid w:val="121C487F"/>
    <w:rsid w:val="121F5BBC"/>
    <w:rsid w:val="121F5F7E"/>
    <w:rsid w:val="12224E20"/>
    <w:rsid w:val="1226519C"/>
    <w:rsid w:val="12274D34"/>
    <w:rsid w:val="122B1E8F"/>
    <w:rsid w:val="122C28B0"/>
    <w:rsid w:val="122F22A3"/>
    <w:rsid w:val="122F25EF"/>
    <w:rsid w:val="123023DE"/>
    <w:rsid w:val="123024EB"/>
    <w:rsid w:val="1231086C"/>
    <w:rsid w:val="12311E3B"/>
    <w:rsid w:val="12404F19"/>
    <w:rsid w:val="124179BE"/>
    <w:rsid w:val="12463148"/>
    <w:rsid w:val="12474E77"/>
    <w:rsid w:val="12497A22"/>
    <w:rsid w:val="124A10BB"/>
    <w:rsid w:val="124B7080"/>
    <w:rsid w:val="124D02E6"/>
    <w:rsid w:val="124E2148"/>
    <w:rsid w:val="12503FC7"/>
    <w:rsid w:val="12536C6A"/>
    <w:rsid w:val="12573F56"/>
    <w:rsid w:val="125D7A8C"/>
    <w:rsid w:val="12610A27"/>
    <w:rsid w:val="126204EB"/>
    <w:rsid w:val="12633974"/>
    <w:rsid w:val="1264154E"/>
    <w:rsid w:val="126443A1"/>
    <w:rsid w:val="12665CE5"/>
    <w:rsid w:val="12675D3E"/>
    <w:rsid w:val="126B26FB"/>
    <w:rsid w:val="126B7053"/>
    <w:rsid w:val="126D4B79"/>
    <w:rsid w:val="126D6927"/>
    <w:rsid w:val="1273042B"/>
    <w:rsid w:val="12731139"/>
    <w:rsid w:val="12761F20"/>
    <w:rsid w:val="128067F4"/>
    <w:rsid w:val="128073DB"/>
    <w:rsid w:val="12870619"/>
    <w:rsid w:val="128E6FB3"/>
    <w:rsid w:val="12916AA6"/>
    <w:rsid w:val="12922832"/>
    <w:rsid w:val="129245E0"/>
    <w:rsid w:val="12970412"/>
    <w:rsid w:val="12993BC0"/>
    <w:rsid w:val="129B7C09"/>
    <w:rsid w:val="129F1B77"/>
    <w:rsid w:val="12A1771E"/>
    <w:rsid w:val="12A668CB"/>
    <w:rsid w:val="12A8563E"/>
    <w:rsid w:val="12A8795F"/>
    <w:rsid w:val="12AA10F1"/>
    <w:rsid w:val="12AE2C22"/>
    <w:rsid w:val="12AE4669"/>
    <w:rsid w:val="12B02CB8"/>
    <w:rsid w:val="12B15F6E"/>
    <w:rsid w:val="12B32D8C"/>
    <w:rsid w:val="12B46304"/>
    <w:rsid w:val="12B502CE"/>
    <w:rsid w:val="12B55B84"/>
    <w:rsid w:val="12B86DFE"/>
    <w:rsid w:val="12BC165D"/>
    <w:rsid w:val="12BE61AE"/>
    <w:rsid w:val="12CA151C"/>
    <w:rsid w:val="12CF66B9"/>
    <w:rsid w:val="12D1354A"/>
    <w:rsid w:val="12D34E52"/>
    <w:rsid w:val="12D64C5F"/>
    <w:rsid w:val="12D7637B"/>
    <w:rsid w:val="12D9291A"/>
    <w:rsid w:val="12DC3AAD"/>
    <w:rsid w:val="12E0683B"/>
    <w:rsid w:val="12E26FC8"/>
    <w:rsid w:val="12E33EC6"/>
    <w:rsid w:val="12E94387"/>
    <w:rsid w:val="12EA10B7"/>
    <w:rsid w:val="12EF4942"/>
    <w:rsid w:val="12F05282"/>
    <w:rsid w:val="12F06B96"/>
    <w:rsid w:val="12F52503"/>
    <w:rsid w:val="12F641EE"/>
    <w:rsid w:val="12F7713B"/>
    <w:rsid w:val="12FC0B84"/>
    <w:rsid w:val="12FC12B7"/>
    <w:rsid w:val="1300655A"/>
    <w:rsid w:val="130348AB"/>
    <w:rsid w:val="1304765D"/>
    <w:rsid w:val="130C4392"/>
    <w:rsid w:val="130D37CB"/>
    <w:rsid w:val="13117BFA"/>
    <w:rsid w:val="1312127D"/>
    <w:rsid w:val="1312467E"/>
    <w:rsid w:val="13180895"/>
    <w:rsid w:val="1319085D"/>
    <w:rsid w:val="13193394"/>
    <w:rsid w:val="131B45D5"/>
    <w:rsid w:val="131C54BB"/>
    <w:rsid w:val="1320788F"/>
    <w:rsid w:val="132358DE"/>
    <w:rsid w:val="13250FB0"/>
    <w:rsid w:val="13252E99"/>
    <w:rsid w:val="13262CC4"/>
    <w:rsid w:val="132B03E2"/>
    <w:rsid w:val="132E5ABE"/>
    <w:rsid w:val="13381148"/>
    <w:rsid w:val="13433B2C"/>
    <w:rsid w:val="1345144A"/>
    <w:rsid w:val="1348010F"/>
    <w:rsid w:val="1349476C"/>
    <w:rsid w:val="134F094E"/>
    <w:rsid w:val="13511D2B"/>
    <w:rsid w:val="13527516"/>
    <w:rsid w:val="13536BAC"/>
    <w:rsid w:val="13541895"/>
    <w:rsid w:val="13542CE0"/>
    <w:rsid w:val="13547644"/>
    <w:rsid w:val="135740C5"/>
    <w:rsid w:val="135A007A"/>
    <w:rsid w:val="13612694"/>
    <w:rsid w:val="13620456"/>
    <w:rsid w:val="136247B4"/>
    <w:rsid w:val="1376180B"/>
    <w:rsid w:val="13764B1B"/>
    <w:rsid w:val="13773EEC"/>
    <w:rsid w:val="137A13DE"/>
    <w:rsid w:val="137A1724"/>
    <w:rsid w:val="137B32C6"/>
    <w:rsid w:val="137B4906"/>
    <w:rsid w:val="137B6357"/>
    <w:rsid w:val="137D09B2"/>
    <w:rsid w:val="13824654"/>
    <w:rsid w:val="1384502B"/>
    <w:rsid w:val="138836C6"/>
    <w:rsid w:val="138959E3"/>
    <w:rsid w:val="138A1D2C"/>
    <w:rsid w:val="138C102F"/>
    <w:rsid w:val="138E1DCF"/>
    <w:rsid w:val="138E2FF9"/>
    <w:rsid w:val="138F413B"/>
    <w:rsid w:val="13906D71"/>
    <w:rsid w:val="139132E8"/>
    <w:rsid w:val="139221E1"/>
    <w:rsid w:val="13924F54"/>
    <w:rsid w:val="139679D5"/>
    <w:rsid w:val="13974112"/>
    <w:rsid w:val="139879D4"/>
    <w:rsid w:val="13995240"/>
    <w:rsid w:val="139A31D1"/>
    <w:rsid w:val="139B4B35"/>
    <w:rsid w:val="139C7E9F"/>
    <w:rsid w:val="139D2A1A"/>
    <w:rsid w:val="139D3DFC"/>
    <w:rsid w:val="139E328E"/>
    <w:rsid w:val="13A445CA"/>
    <w:rsid w:val="13A62350"/>
    <w:rsid w:val="13AD4DEB"/>
    <w:rsid w:val="13B80EC8"/>
    <w:rsid w:val="13BE0988"/>
    <w:rsid w:val="13BF042A"/>
    <w:rsid w:val="13BF31B2"/>
    <w:rsid w:val="13BF4C25"/>
    <w:rsid w:val="13BF7187"/>
    <w:rsid w:val="13C133CE"/>
    <w:rsid w:val="13C24A51"/>
    <w:rsid w:val="13C70A93"/>
    <w:rsid w:val="13C767F9"/>
    <w:rsid w:val="13CA1BEF"/>
    <w:rsid w:val="13CC0F3D"/>
    <w:rsid w:val="13CC3B21"/>
    <w:rsid w:val="13CC78F4"/>
    <w:rsid w:val="13D053C0"/>
    <w:rsid w:val="13D3611F"/>
    <w:rsid w:val="13D36C5E"/>
    <w:rsid w:val="13D40D7B"/>
    <w:rsid w:val="13D80718"/>
    <w:rsid w:val="13D84274"/>
    <w:rsid w:val="13D87C46"/>
    <w:rsid w:val="13DA0AAC"/>
    <w:rsid w:val="13E147DA"/>
    <w:rsid w:val="13E40B0D"/>
    <w:rsid w:val="13E946D3"/>
    <w:rsid w:val="13EA13E4"/>
    <w:rsid w:val="13EC5383"/>
    <w:rsid w:val="13ED53DF"/>
    <w:rsid w:val="13EF22C9"/>
    <w:rsid w:val="13F932DB"/>
    <w:rsid w:val="13F9553D"/>
    <w:rsid w:val="13FA68E0"/>
    <w:rsid w:val="13FB0C28"/>
    <w:rsid w:val="13FE6EF1"/>
    <w:rsid w:val="14030ED7"/>
    <w:rsid w:val="140575E4"/>
    <w:rsid w:val="14083339"/>
    <w:rsid w:val="140C2170"/>
    <w:rsid w:val="140E7284"/>
    <w:rsid w:val="14111320"/>
    <w:rsid w:val="1411506E"/>
    <w:rsid w:val="14117786"/>
    <w:rsid w:val="141334FE"/>
    <w:rsid w:val="14153E12"/>
    <w:rsid w:val="1419322E"/>
    <w:rsid w:val="14194354"/>
    <w:rsid w:val="141A2ADF"/>
    <w:rsid w:val="141D78C5"/>
    <w:rsid w:val="14227F10"/>
    <w:rsid w:val="14233C4A"/>
    <w:rsid w:val="14234A4B"/>
    <w:rsid w:val="14292A24"/>
    <w:rsid w:val="142B0848"/>
    <w:rsid w:val="142B6A9A"/>
    <w:rsid w:val="142D12DD"/>
    <w:rsid w:val="1432607A"/>
    <w:rsid w:val="14335F47"/>
    <w:rsid w:val="14365AF9"/>
    <w:rsid w:val="14381006"/>
    <w:rsid w:val="143A3661"/>
    <w:rsid w:val="143A6CDD"/>
    <w:rsid w:val="143F7A7C"/>
    <w:rsid w:val="144162BD"/>
    <w:rsid w:val="1448292D"/>
    <w:rsid w:val="1448764C"/>
    <w:rsid w:val="144931CD"/>
    <w:rsid w:val="144A1538"/>
    <w:rsid w:val="144B0EEA"/>
    <w:rsid w:val="144B713C"/>
    <w:rsid w:val="144C6E32"/>
    <w:rsid w:val="144D6911"/>
    <w:rsid w:val="144F5A29"/>
    <w:rsid w:val="1450017D"/>
    <w:rsid w:val="145062EF"/>
    <w:rsid w:val="145267A1"/>
    <w:rsid w:val="1454016C"/>
    <w:rsid w:val="14545B87"/>
    <w:rsid w:val="14575B69"/>
    <w:rsid w:val="145926F6"/>
    <w:rsid w:val="145D2017"/>
    <w:rsid w:val="145D30AB"/>
    <w:rsid w:val="14606BBF"/>
    <w:rsid w:val="14624527"/>
    <w:rsid w:val="146A16ED"/>
    <w:rsid w:val="146C6567"/>
    <w:rsid w:val="146C7C3C"/>
    <w:rsid w:val="146E60D9"/>
    <w:rsid w:val="14711449"/>
    <w:rsid w:val="14726477"/>
    <w:rsid w:val="14733102"/>
    <w:rsid w:val="1479169C"/>
    <w:rsid w:val="147E3B44"/>
    <w:rsid w:val="14803D26"/>
    <w:rsid w:val="14812B5E"/>
    <w:rsid w:val="148271FE"/>
    <w:rsid w:val="14850E37"/>
    <w:rsid w:val="1487792B"/>
    <w:rsid w:val="14881C4F"/>
    <w:rsid w:val="14883EEC"/>
    <w:rsid w:val="148C47A0"/>
    <w:rsid w:val="14902DA1"/>
    <w:rsid w:val="14911462"/>
    <w:rsid w:val="14935A24"/>
    <w:rsid w:val="1497412F"/>
    <w:rsid w:val="149B2415"/>
    <w:rsid w:val="14A04B7F"/>
    <w:rsid w:val="14A0633F"/>
    <w:rsid w:val="14A46AC3"/>
    <w:rsid w:val="14A94CED"/>
    <w:rsid w:val="14A95C11"/>
    <w:rsid w:val="14AF6A41"/>
    <w:rsid w:val="14AF76CB"/>
    <w:rsid w:val="14B1726A"/>
    <w:rsid w:val="14B20F69"/>
    <w:rsid w:val="14B41848"/>
    <w:rsid w:val="14B474C5"/>
    <w:rsid w:val="14B66F5B"/>
    <w:rsid w:val="14B940A6"/>
    <w:rsid w:val="14BB5F83"/>
    <w:rsid w:val="14C549C3"/>
    <w:rsid w:val="14C73809"/>
    <w:rsid w:val="14C92D69"/>
    <w:rsid w:val="14CB6C9A"/>
    <w:rsid w:val="14CB7588"/>
    <w:rsid w:val="14CC78F3"/>
    <w:rsid w:val="14CF1B1B"/>
    <w:rsid w:val="14D02BF1"/>
    <w:rsid w:val="14D279B4"/>
    <w:rsid w:val="14D82CC8"/>
    <w:rsid w:val="14D83D19"/>
    <w:rsid w:val="14DA401C"/>
    <w:rsid w:val="14DD32F0"/>
    <w:rsid w:val="14DE1D5E"/>
    <w:rsid w:val="14DF1BD5"/>
    <w:rsid w:val="14E07A2C"/>
    <w:rsid w:val="14E153AA"/>
    <w:rsid w:val="14E57C63"/>
    <w:rsid w:val="14E63301"/>
    <w:rsid w:val="14E92CA3"/>
    <w:rsid w:val="14E953FD"/>
    <w:rsid w:val="14EA0703"/>
    <w:rsid w:val="14ED6053"/>
    <w:rsid w:val="14EE541C"/>
    <w:rsid w:val="14EF14C8"/>
    <w:rsid w:val="14EF3F6B"/>
    <w:rsid w:val="14F06616"/>
    <w:rsid w:val="14F21366"/>
    <w:rsid w:val="14F23875"/>
    <w:rsid w:val="14F3352F"/>
    <w:rsid w:val="14F36743"/>
    <w:rsid w:val="14F670A8"/>
    <w:rsid w:val="14F7176A"/>
    <w:rsid w:val="14FC58F2"/>
    <w:rsid w:val="14FE79A5"/>
    <w:rsid w:val="15003A82"/>
    <w:rsid w:val="150063A0"/>
    <w:rsid w:val="150117A8"/>
    <w:rsid w:val="15016650"/>
    <w:rsid w:val="15064E11"/>
    <w:rsid w:val="15074494"/>
    <w:rsid w:val="150A2F86"/>
    <w:rsid w:val="150B001C"/>
    <w:rsid w:val="150B2A1B"/>
    <w:rsid w:val="150D51A3"/>
    <w:rsid w:val="150D5ABD"/>
    <w:rsid w:val="15121A08"/>
    <w:rsid w:val="15135793"/>
    <w:rsid w:val="15153797"/>
    <w:rsid w:val="15154F6B"/>
    <w:rsid w:val="1517743B"/>
    <w:rsid w:val="15190FE8"/>
    <w:rsid w:val="151E1671"/>
    <w:rsid w:val="152119E5"/>
    <w:rsid w:val="15227E9D"/>
    <w:rsid w:val="152571A3"/>
    <w:rsid w:val="1525798D"/>
    <w:rsid w:val="152C2AC9"/>
    <w:rsid w:val="152E2381"/>
    <w:rsid w:val="152E435F"/>
    <w:rsid w:val="152F5FAA"/>
    <w:rsid w:val="153B709C"/>
    <w:rsid w:val="153E1DA1"/>
    <w:rsid w:val="153E323D"/>
    <w:rsid w:val="153E4DBA"/>
    <w:rsid w:val="153F3F2D"/>
    <w:rsid w:val="153F41BB"/>
    <w:rsid w:val="1542409B"/>
    <w:rsid w:val="154406BF"/>
    <w:rsid w:val="15477B56"/>
    <w:rsid w:val="154C41C9"/>
    <w:rsid w:val="15505450"/>
    <w:rsid w:val="155B33AF"/>
    <w:rsid w:val="155C2C83"/>
    <w:rsid w:val="155D0482"/>
    <w:rsid w:val="155D1A34"/>
    <w:rsid w:val="156009C5"/>
    <w:rsid w:val="15620CA0"/>
    <w:rsid w:val="15632624"/>
    <w:rsid w:val="15645760"/>
    <w:rsid w:val="1565422D"/>
    <w:rsid w:val="1566572F"/>
    <w:rsid w:val="156726E4"/>
    <w:rsid w:val="156C2EC6"/>
    <w:rsid w:val="156C7992"/>
    <w:rsid w:val="1574215A"/>
    <w:rsid w:val="157606D6"/>
    <w:rsid w:val="15761F97"/>
    <w:rsid w:val="15787ABD"/>
    <w:rsid w:val="15791641"/>
    <w:rsid w:val="157B135B"/>
    <w:rsid w:val="157B13BC"/>
    <w:rsid w:val="157D0E9D"/>
    <w:rsid w:val="157D3325"/>
    <w:rsid w:val="157F7533"/>
    <w:rsid w:val="15806971"/>
    <w:rsid w:val="15882032"/>
    <w:rsid w:val="15883A78"/>
    <w:rsid w:val="158C0C3F"/>
    <w:rsid w:val="158C4D72"/>
    <w:rsid w:val="158D3108"/>
    <w:rsid w:val="158F12AA"/>
    <w:rsid w:val="158F714A"/>
    <w:rsid w:val="15900A0D"/>
    <w:rsid w:val="15922A63"/>
    <w:rsid w:val="15932B49"/>
    <w:rsid w:val="15951F88"/>
    <w:rsid w:val="15962639"/>
    <w:rsid w:val="15977F8D"/>
    <w:rsid w:val="159A3ED7"/>
    <w:rsid w:val="159A53A0"/>
    <w:rsid w:val="159A5CDC"/>
    <w:rsid w:val="159A6FEE"/>
    <w:rsid w:val="159D0CC2"/>
    <w:rsid w:val="159E329B"/>
    <w:rsid w:val="159E6824"/>
    <w:rsid w:val="159F1F9D"/>
    <w:rsid w:val="15A05265"/>
    <w:rsid w:val="15A4058E"/>
    <w:rsid w:val="15A562CA"/>
    <w:rsid w:val="15A60BA5"/>
    <w:rsid w:val="15AB2B75"/>
    <w:rsid w:val="15AC1E7C"/>
    <w:rsid w:val="15AC7CA9"/>
    <w:rsid w:val="15AE2DC8"/>
    <w:rsid w:val="15AE69E9"/>
    <w:rsid w:val="15B34273"/>
    <w:rsid w:val="15B45E9B"/>
    <w:rsid w:val="15B50D11"/>
    <w:rsid w:val="15B8423D"/>
    <w:rsid w:val="15B8435D"/>
    <w:rsid w:val="15B87207"/>
    <w:rsid w:val="15C37A8C"/>
    <w:rsid w:val="15C62573"/>
    <w:rsid w:val="15C745A0"/>
    <w:rsid w:val="15CA22E2"/>
    <w:rsid w:val="15CF11DB"/>
    <w:rsid w:val="15D15511"/>
    <w:rsid w:val="15D171CD"/>
    <w:rsid w:val="15D40F89"/>
    <w:rsid w:val="15D54F0F"/>
    <w:rsid w:val="15E45511"/>
    <w:rsid w:val="15E555E5"/>
    <w:rsid w:val="15EB4DF3"/>
    <w:rsid w:val="15EE4223"/>
    <w:rsid w:val="15F6675E"/>
    <w:rsid w:val="15FB06EE"/>
    <w:rsid w:val="15FD52F6"/>
    <w:rsid w:val="15FF3D3A"/>
    <w:rsid w:val="160022D2"/>
    <w:rsid w:val="16007AB2"/>
    <w:rsid w:val="160114EB"/>
    <w:rsid w:val="16024F07"/>
    <w:rsid w:val="16041350"/>
    <w:rsid w:val="160615EC"/>
    <w:rsid w:val="160752E5"/>
    <w:rsid w:val="160B0931"/>
    <w:rsid w:val="160E443B"/>
    <w:rsid w:val="160F6F2B"/>
    <w:rsid w:val="16111CBF"/>
    <w:rsid w:val="16156872"/>
    <w:rsid w:val="1619582C"/>
    <w:rsid w:val="161B2B03"/>
    <w:rsid w:val="161B4433"/>
    <w:rsid w:val="161C1760"/>
    <w:rsid w:val="161E3372"/>
    <w:rsid w:val="16214607"/>
    <w:rsid w:val="1622099D"/>
    <w:rsid w:val="162437A1"/>
    <w:rsid w:val="16257E60"/>
    <w:rsid w:val="16263C7C"/>
    <w:rsid w:val="162A44F8"/>
    <w:rsid w:val="162D71E8"/>
    <w:rsid w:val="162E461F"/>
    <w:rsid w:val="163119CE"/>
    <w:rsid w:val="16324A4A"/>
    <w:rsid w:val="16377978"/>
    <w:rsid w:val="163836F0"/>
    <w:rsid w:val="16410673"/>
    <w:rsid w:val="16443A44"/>
    <w:rsid w:val="1645002A"/>
    <w:rsid w:val="16465EF9"/>
    <w:rsid w:val="164B6F7F"/>
    <w:rsid w:val="164C2CF7"/>
    <w:rsid w:val="16501384"/>
    <w:rsid w:val="165617D4"/>
    <w:rsid w:val="16561BC2"/>
    <w:rsid w:val="16564724"/>
    <w:rsid w:val="165A18B8"/>
    <w:rsid w:val="165B4EA8"/>
    <w:rsid w:val="165C6561"/>
    <w:rsid w:val="165D6D35"/>
    <w:rsid w:val="16600A22"/>
    <w:rsid w:val="1663076D"/>
    <w:rsid w:val="16651332"/>
    <w:rsid w:val="16661FBB"/>
    <w:rsid w:val="166B221D"/>
    <w:rsid w:val="166B5465"/>
    <w:rsid w:val="166B5873"/>
    <w:rsid w:val="166D15EC"/>
    <w:rsid w:val="16706804"/>
    <w:rsid w:val="16752C34"/>
    <w:rsid w:val="1675683C"/>
    <w:rsid w:val="16765AAA"/>
    <w:rsid w:val="16765F7F"/>
    <w:rsid w:val="16775FC6"/>
    <w:rsid w:val="16797F90"/>
    <w:rsid w:val="167C0930"/>
    <w:rsid w:val="16817530"/>
    <w:rsid w:val="16830799"/>
    <w:rsid w:val="1688090A"/>
    <w:rsid w:val="168A782F"/>
    <w:rsid w:val="168B3820"/>
    <w:rsid w:val="1693334C"/>
    <w:rsid w:val="16935F86"/>
    <w:rsid w:val="169408EA"/>
    <w:rsid w:val="169916F7"/>
    <w:rsid w:val="169B1526"/>
    <w:rsid w:val="169E79F7"/>
    <w:rsid w:val="16A10D7E"/>
    <w:rsid w:val="16A31C0B"/>
    <w:rsid w:val="16A353F9"/>
    <w:rsid w:val="16A448E1"/>
    <w:rsid w:val="16A6065A"/>
    <w:rsid w:val="16A60D5F"/>
    <w:rsid w:val="16A638BE"/>
    <w:rsid w:val="16A94232"/>
    <w:rsid w:val="16AB2114"/>
    <w:rsid w:val="16B12199"/>
    <w:rsid w:val="16B56E58"/>
    <w:rsid w:val="16BB37A3"/>
    <w:rsid w:val="16BB6B10"/>
    <w:rsid w:val="16BE584F"/>
    <w:rsid w:val="16BF701F"/>
    <w:rsid w:val="16C0050D"/>
    <w:rsid w:val="16C22444"/>
    <w:rsid w:val="16C75500"/>
    <w:rsid w:val="16C775FE"/>
    <w:rsid w:val="16CA2F40"/>
    <w:rsid w:val="16CC16CE"/>
    <w:rsid w:val="16CD49B3"/>
    <w:rsid w:val="16CF58AA"/>
    <w:rsid w:val="16CF654F"/>
    <w:rsid w:val="16D245D3"/>
    <w:rsid w:val="16D30095"/>
    <w:rsid w:val="16D31A1B"/>
    <w:rsid w:val="16D60B11"/>
    <w:rsid w:val="16D83C4D"/>
    <w:rsid w:val="16D87923"/>
    <w:rsid w:val="16DA0303"/>
    <w:rsid w:val="16DB1AC1"/>
    <w:rsid w:val="16DC5842"/>
    <w:rsid w:val="16DD47DB"/>
    <w:rsid w:val="16E05C6E"/>
    <w:rsid w:val="16E060CA"/>
    <w:rsid w:val="16E10014"/>
    <w:rsid w:val="16E475A4"/>
    <w:rsid w:val="16E53451"/>
    <w:rsid w:val="16E60DF9"/>
    <w:rsid w:val="16E64EFA"/>
    <w:rsid w:val="16E875C5"/>
    <w:rsid w:val="16EE0ABB"/>
    <w:rsid w:val="16F32E01"/>
    <w:rsid w:val="16F7466B"/>
    <w:rsid w:val="16FC64CC"/>
    <w:rsid w:val="16FD5BD9"/>
    <w:rsid w:val="16FE3FF2"/>
    <w:rsid w:val="17005BA8"/>
    <w:rsid w:val="17014F36"/>
    <w:rsid w:val="170535D2"/>
    <w:rsid w:val="170651A4"/>
    <w:rsid w:val="17076407"/>
    <w:rsid w:val="17092996"/>
    <w:rsid w:val="170949A7"/>
    <w:rsid w:val="170D2E54"/>
    <w:rsid w:val="17187A03"/>
    <w:rsid w:val="1719707D"/>
    <w:rsid w:val="171B54BE"/>
    <w:rsid w:val="171F70DD"/>
    <w:rsid w:val="1720665E"/>
    <w:rsid w:val="17207BFF"/>
    <w:rsid w:val="172150F6"/>
    <w:rsid w:val="172171F6"/>
    <w:rsid w:val="1722780F"/>
    <w:rsid w:val="17252038"/>
    <w:rsid w:val="17284735"/>
    <w:rsid w:val="172865B7"/>
    <w:rsid w:val="172872C1"/>
    <w:rsid w:val="172D42CE"/>
    <w:rsid w:val="172E1417"/>
    <w:rsid w:val="17334211"/>
    <w:rsid w:val="1737255D"/>
    <w:rsid w:val="173739A8"/>
    <w:rsid w:val="173C25DF"/>
    <w:rsid w:val="174145C8"/>
    <w:rsid w:val="17416484"/>
    <w:rsid w:val="17430688"/>
    <w:rsid w:val="17436A43"/>
    <w:rsid w:val="174411E0"/>
    <w:rsid w:val="17451C21"/>
    <w:rsid w:val="1746321B"/>
    <w:rsid w:val="174672E5"/>
    <w:rsid w:val="174E7AEF"/>
    <w:rsid w:val="174F66DD"/>
    <w:rsid w:val="17504430"/>
    <w:rsid w:val="17512B78"/>
    <w:rsid w:val="175207E1"/>
    <w:rsid w:val="17527256"/>
    <w:rsid w:val="175317A1"/>
    <w:rsid w:val="1753670C"/>
    <w:rsid w:val="17546308"/>
    <w:rsid w:val="175956CC"/>
    <w:rsid w:val="175A5403"/>
    <w:rsid w:val="175C7EF3"/>
    <w:rsid w:val="175D1469"/>
    <w:rsid w:val="175E3991"/>
    <w:rsid w:val="17616DA6"/>
    <w:rsid w:val="17691BB2"/>
    <w:rsid w:val="17696F5D"/>
    <w:rsid w:val="176A5E19"/>
    <w:rsid w:val="176A78D9"/>
    <w:rsid w:val="176B183A"/>
    <w:rsid w:val="176E70B3"/>
    <w:rsid w:val="176E70C4"/>
    <w:rsid w:val="17702E89"/>
    <w:rsid w:val="17745F1B"/>
    <w:rsid w:val="17756461"/>
    <w:rsid w:val="177A4ECD"/>
    <w:rsid w:val="177B0E6C"/>
    <w:rsid w:val="177D4252"/>
    <w:rsid w:val="177F61D5"/>
    <w:rsid w:val="1780423D"/>
    <w:rsid w:val="17835914"/>
    <w:rsid w:val="17854713"/>
    <w:rsid w:val="178677B1"/>
    <w:rsid w:val="178A3AD7"/>
    <w:rsid w:val="178B0A17"/>
    <w:rsid w:val="17906A6C"/>
    <w:rsid w:val="17913549"/>
    <w:rsid w:val="17935082"/>
    <w:rsid w:val="17940548"/>
    <w:rsid w:val="17975E0B"/>
    <w:rsid w:val="179A0052"/>
    <w:rsid w:val="179D7CAF"/>
    <w:rsid w:val="179E1BF7"/>
    <w:rsid w:val="179F6C36"/>
    <w:rsid w:val="17A55F78"/>
    <w:rsid w:val="17A6044E"/>
    <w:rsid w:val="17A70B2D"/>
    <w:rsid w:val="17A74E1F"/>
    <w:rsid w:val="17AD2FE4"/>
    <w:rsid w:val="17AD5A18"/>
    <w:rsid w:val="17B52E3B"/>
    <w:rsid w:val="17B7074A"/>
    <w:rsid w:val="17B906D9"/>
    <w:rsid w:val="17BB1EE3"/>
    <w:rsid w:val="17BB4F50"/>
    <w:rsid w:val="17BC3DDA"/>
    <w:rsid w:val="17BE2E86"/>
    <w:rsid w:val="17C0574B"/>
    <w:rsid w:val="17C32668"/>
    <w:rsid w:val="17C622CB"/>
    <w:rsid w:val="17C67B28"/>
    <w:rsid w:val="17C92852"/>
    <w:rsid w:val="17CC2342"/>
    <w:rsid w:val="17D00A3A"/>
    <w:rsid w:val="17D029EF"/>
    <w:rsid w:val="17D411F6"/>
    <w:rsid w:val="17D74F0C"/>
    <w:rsid w:val="17D867BC"/>
    <w:rsid w:val="17D86F39"/>
    <w:rsid w:val="17DC167A"/>
    <w:rsid w:val="17DF5CD6"/>
    <w:rsid w:val="17E07B9B"/>
    <w:rsid w:val="17E4389C"/>
    <w:rsid w:val="17E4768B"/>
    <w:rsid w:val="17E52F4F"/>
    <w:rsid w:val="17E67B60"/>
    <w:rsid w:val="17E72CD8"/>
    <w:rsid w:val="17E7572C"/>
    <w:rsid w:val="17E7717C"/>
    <w:rsid w:val="17E84BB2"/>
    <w:rsid w:val="17E87351"/>
    <w:rsid w:val="17ED3548"/>
    <w:rsid w:val="17ED3B41"/>
    <w:rsid w:val="17EF4FFC"/>
    <w:rsid w:val="17F130D5"/>
    <w:rsid w:val="17F378CF"/>
    <w:rsid w:val="17F80E38"/>
    <w:rsid w:val="17F951D5"/>
    <w:rsid w:val="17FB6783"/>
    <w:rsid w:val="17FE0021"/>
    <w:rsid w:val="18021E09"/>
    <w:rsid w:val="18023FB5"/>
    <w:rsid w:val="18041387"/>
    <w:rsid w:val="180A4C18"/>
    <w:rsid w:val="180E4708"/>
    <w:rsid w:val="1810433F"/>
    <w:rsid w:val="18167B10"/>
    <w:rsid w:val="18181E8D"/>
    <w:rsid w:val="181C0CD1"/>
    <w:rsid w:val="181F06C4"/>
    <w:rsid w:val="181F63D4"/>
    <w:rsid w:val="1821268E"/>
    <w:rsid w:val="18227307"/>
    <w:rsid w:val="1827400F"/>
    <w:rsid w:val="182B350C"/>
    <w:rsid w:val="182D31C3"/>
    <w:rsid w:val="182D4122"/>
    <w:rsid w:val="182E4630"/>
    <w:rsid w:val="182F3072"/>
    <w:rsid w:val="18334789"/>
    <w:rsid w:val="183471DC"/>
    <w:rsid w:val="18354663"/>
    <w:rsid w:val="183569CC"/>
    <w:rsid w:val="18360C4F"/>
    <w:rsid w:val="18381DD3"/>
    <w:rsid w:val="18386A70"/>
    <w:rsid w:val="183B1275"/>
    <w:rsid w:val="184327DE"/>
    <w:rsid w:val="1846612A"/>
    <w:rsid w:val="18475E6C"/>
    <w:rsid w:val="18493992"/>
    <w:rsid w:val="18495740"/>
    <w:rsid w:val="184A478D"/>
    <w:rsid w:val="184A503E"/>
    <w:rsid w:val="18516BBD"/>
    <w:rsid w:val="18535ABC"/>
    <w:rsid w:val="185365BF"/>
    <w:rsid w:val="185537EF"/>
    <w:rsid w:val="185540E5"/>
    <w:rsid w:val="18557D7D"/>
    <w:rsid w:val="18583BD5"/>
    <w:rsid w:val="185D11EC"/>
    <w:rsid w:val="185D72AB"/>
    <w:rsid w:val="185F2DAF"/>
    <w:rsid w:val="18623723"/>
    <w:rsid w:val="186339A7"/>
    <w:rsid w:val="18641DC3"/>
    <w:rsid w:val="18647688"/>
    <w:rsid w:val="1869193F"/>
    <w:rsid w:val="186A059D"/>
    <w:rsid w:val="186B3909"/>
    <w:rsid w:val="186E51A7"/>
    <w:rsid w:val="1871155F"/>
    <w:rsid w:val="18711565"/>
    <w:rsid w:val="18716A45"/>
    <w:rsid w:val="187529D9"/>
    <w:rsid w:val="1876405C"/>
    <w:rsid w:val="18785BEF"/>
    <w:rsid w:val="18786643"/>
    <w:rsid w:val="18787E06"/>
    <w:rsid w:val="187B63C2"/>
    <w:rsid w:val="187D44EA"/>
    <w:rsid w:val="187F73B4"/>
    <w:rsid w:val="1880461E"/>
    <w:rsid w:val="18847640"/>
    <w:rsid w:val="18876134"/>
    <w:rsid w:val="18891FE1"/>
    <w:rsid w:val="188B4AFF"/>
    <w:rsid w:val="188B5D59"/>
    <w:rsid w:val="188C7D85"/>
    <w:rsid w:val="188E7589"/>
    <w:rsid w:val="189638C3"/>
    <w:rsid w:val="18975E70"/>
    <w:rsid w:val="18980476"/>
    <w:rsid w:val="18982224"/>
    <w:rsid w:val="189C1D14"/>
    <w:rsid w:val="18A24E51"/>
    <w:rsid w:val="18A34222"/>
    <w:rsid w:val="18A3668F"/>
    <w:rsid w:val="18A9617F"/>
    <w:rsid w:val="18AB2B24"/>
    <w:rsid w:val="18AC4F64"/>
    <w:rsid w:val="18AD3F21"/>
    <w:rsid w:val="18B06B2C"/>
    <w:rsid w:val="18B142EE"/>
    <w:rsid w:val="18B32480"/>
    <w:rsid w:val="18B34A2A"/>
    <w:rsid w:val="18B352B0"/>
    <w:rsid w:val="18B4198B"/>
    <w:rsid w:val="18B52DD6"/>
    <w:rsid w:val="18B946A4"/>
    <w:rsid w:val="18BA01FF"/>
    <w:rsid w:val="18BE7650"/>
    <w:rsid w:val="18BF3C55"/>
    <w:rsid w:val="18C179CD"/>
    <w:rsid w:val="18C96C96"/>
    <w:rsid w:val="18CB6A1D"/>
    <w:rsid w:val="18D13A93"/>
    <w:rsid w:val="18D56FD4"/>
    <w:rsid w:val="18D857B1"/>
    <w:rsid w:val="18D94D16"/>
    <w:rsid w:val="18DA283C"/>
    <w:rsid w:val="18DB6FA4"/>
    <w:rsid w:val="18DF1EB1"/>
    <w:rsid w:val="18E118AF"/>
    <w:rsid w:val="18E64911"/>
    <w:rsid w:val="18E86D07"/>
    <w:rsid w:val="18F33E1D"/>
    <w:rsid w:val="18F356AC"/>
    <w:rsid w:val="18F84792"/>
    <w:rsid w:val="18FB5146"/>
    <w:rsid w:val="18FC2175"/>
    <w:rsid w:val="18FE477D"/>
    <w:rsid w:val="19085771"/>
    <w:rsid w:val="190A6308"/>
    <w:rsid w:val="190B50EC"/>
    <w:rsid w:val="190F5795"/>
    <w:rsid w:val="19112B8B"/>
    <w:rsid w:val="19132319"/>
    <w:rsid w:val="19134827"/>
    <w:rsid w:val="19163C62"/>
    <w:rsid w:val="191822CD"/>
    <w:rsid w:val="19197809"/>
    <w:rsid w:val="191C34A5"/>
    <w:rsid w:val="191D2C9B"/>
    <w:rsid w:val="19224845"/>
    <w:rsid w:val="1924593E"/>
    <w:rsid w:val="19251DB6"/>
    <w:rsid w:val="19257F5C"/>
    <w:rsid w:val="19264E23"/>
    <w:rsid w:val="192A0255"/>
    <w:rsid w:val="192B2350"/>
    <w:rsid w:val="192D1125"/>
    <w:rsid w:val="192F3FF0"/>
    <w:rsid w:val="19314B52"/>
    <w:rsid w:val="193337F3"/>
    <w:rsid w:val="19350544"/>
    <w:rsid w:val="19355CC5"/>
    <w:rsid w:val="19365277"/>
    <w:rsid w:val="19366C94"/>
    <w:rsid w:val="193B5442"/>
    <w:rsid w:val="193B777F"/>
    <w:rsid w:val="193C52A5"/>
    <w:rsid w:val="19400CFB"/>
    <w:rsid w:val="194018CC"/>
    <w:rsid w:val="19402748"/>
    <w:rsid w:val="19452A7B"/>
    <w:rsid w:val="1946006F"/>
    <w:rsid w:val="1949345F"/>
    <w:rsid w:val="194B373A"/>
    <w:rsid w:val="194B54E8"/>
    <w:rsid w:val="194B7296"/>
    <w:rsid w:val="194C2307"/>
    <w:rsid w:val="194D237F"/>
    <w:rsid w:val="194D74B2"/>
    <w:rsid w:val="19503165"/>
    <w:rsid w:val="195357A7"/>
    <w:rsid w:val="19554B74"/>
    <w:rsid w:val="19556F2B"/>
    <w:rsid w:val="19574D48"/>
    <w:rsid w:val="19575C3B"/>
    <w:rsid w:val="195C3F25"/>
    <w:rsid w:val="195C5C31"/>
    <w:rsid w:val="19670574"/>
    <w:rsid w:val="1968609A"/>
    <w:rsid w:val="196A08CD"/>
    <w:rsid w:val="196A76A5"/>
    <w:rsid w:val="196C5B8A"/>
    <w:rsid w:val="196D36B1"/>
    <w:rsid w:val="196F4370"/>
    <w:rsid w:val="197131A1"/>
    <w:rsid w:val="19786206"/>
    <w:rsid w:val="197B4380"/>
    <w:rsid w:val="197B608A"/>
    <w:rsid w:val="197F7EC5"/>
    <w:rsid w:val="19814E9C"/>
    <w:rsid w:val="198454CC"/>
    <w:rsid w:val="198465F3"/>
    <w:rsid w:val="198509FA"/>
    <w:rsid w:val="19854A2E"/>
    <w:rsid w:val="198A4263"/>
    <w:rsid w:val="198E16B0"/>
    <w:rsid w:val="1991739F"/>
    <w:rsid w:val="199649B5"/>
    <w:rsid w:val="19973CD8"/>
    <w:rsid w:val="199B0DF1"/>
    <w:rsid w:val="199F18C8"/>
    <w:rsid w:val="19A05834"/>
    <w:rsid w:val="19A21ED0"/>
    <w:rsid w:val="19A3762F"/>
    <w:rsid w:val="19A47EFE"/>
    <w:rsid w:val="19A772F1"/>
    <w:rsid w:val="19A83DC6"/>
    <w:rsid w:val="19AD1CFF"/>
    <w:rsid w:val="19AD7314"/>
    <w:rsid w:val="19AE26F1"/>
    <w:rsid w:val="19AF6F72"/>
    <w:rsid w:val="19AF7825"/>
    <w:rsid w:val="19B014BF"/>
    <w:rsid w:val="19B3645C"/>
    <w:rsid w:val="19B6552F"/>
    <w:rsid w:val="19B80595"/>
    <w:rsid w:val="19BC350E"/>
    <w:rsid w:val="19BD0194"/>
    <w:rsid w:val="19BF795C"/>
    <w:rsid w:val="19C0641E"/>
    <w:rsid w:val="19C24C2F"/>
    <w:rsid w:val="19C916C4"/>
    <w:rsid w:val="19C92FDD"/>
    <w:rsid w:val="19C95E24"/>
    <w:rsid w:val="19CA456A"/>
    <w:rsid w:val="19CC3B6E"/>
    <w:rsid w:val="19CC487B"/>
    <w:rsid w:val="19CD2D0C"/>
    <w:rsid w:val="19CE05F3"/>
    <w:rsid w:val="19CE1B53"/>
    <w:rsid w:val="19D05A8B"/>
    <w:rsid w:val="19D46A04"/>
    <w:rsid w:val="19D754F4"/>
    <w:rsid w:val="19D8069E"/>
    <w:rsid w:val="19DF45AE"/>
    <w:rsid w:val="19E50FDE"/>
    <w:rsid w:val="19E6347B"/>
    <w:rsid w:val="19E73463"/>
    <w:rsid w:val="19E75211"/>
    <w:rsid w:val="19E877B3"/>
    <w:rsid w:val="19EE47F1"/>
    <w:rsid w:val="19EF1920"/>
    <w:rsid w:val="19F33BB6"/>
    <w:rsid w:val="19F416DC"/>
    <w:rsid w:val="19F45B80"/>
    <w:rsid w:val="19F613A1"/>
    <w:rsid w:val="19F94761"/>
    <w:rsid w:val="19FA4C13"/>
    <w:rsid w:val="19FD4A34"/>
    <w:rsid w:val="19FE1E73"/>
    <w:rsid w:val="19FE255B"/>
    <w:rsid w:val="19FE6418"/>
    <w:rsid w:val="1A006A76"/>
    <w:rsid w:val="1A026B5D"/>
    <w:rsid w:val="1A0322E9"/>
    <w:rsid w:val="1A054EE9"/>
    <w:rsid w:val="1A057D8D"/>
    <w:rsid w:val="1A072B59"/>
    <w:rsid w:val="1A073B05"/>
    <w:rsid w:val="1A0A752D"/>
    <w:rsid w:val="1A0B3B5C"/>
    <w:rsid w:val="1A0B5527"/>
    <w:rsid w:val="1A0B6F32"/>
    <w:rsid w:val="1A0C4BCD"/>
    <w:rsid w:val="1A0E6C42"/>
    <w:rsid w:val="1A1542BA"/>
    <w:rsid w:val="1A1600B2"/>
    <w:rsid w:val="1A165D16"/>
    <w:rsid w:val="1A18098A"/>
    <w:rsid w:val="1A181453"/>
    <w:rsid w:val="1A1850B4"/>
    <w:rsid w:val="1A1B310D"/>
    <w:rsid w:val="1A1E64FF"/>
    <w:rsid w:val="1A1F030B"/>
    <w:rsid w:val="1A1F0750"/>
    <w:rsid w:val="1A24438C"/>
    <w:rsid w:val="1A280A3F"/>
    <w:rsid w:val="1A283F89"/>
    <w:rsid w:val="1A293A7B"/>
    <w:rsid w:val="1A2A15A2"/>
    <w:rsid w:val="1A2B0289"/>
    <w:rsid w:val="1A2B66B5"/>
    <w:rsid w:val="1A310B82"/>
    <w:rsid w:val="1A3348FA"/>
    <w:rsid w:val="1A3366A8"/>
    <w:rsid w:val="1A340E83"/>
    <w:rsid w:val="1A3A31D3"/>
    <w:rsid w:val="1A3D355B"/>
    <w:rsid w:val="1A3F30AB"/>
    <w:rsid w:val="1A442663"/>
    <w:rsid w:val="1A481AA8"/>
    <w:rsid w:val="1A4821B6"/>
    <w:rsid w:val="1A4927E5"/>
    <w:rsid w:val="1A495ECC"/>
    <w:rsid w:val="1A54473F"/>
    <w:rsid w:val="1A576D9E"/>
    <w:rsid w:val="1A5865FF"/>
    <w:rsid w:val="1A5A29EE"/>
    <w:rsid w:val="1A5B207C"/>
    <w:rsid w:val="1A5E0A43"/>
    <w:rsid w:val="1A5E44BA"/>
    <w:rsid w:val="1A5F0B00"/>
    <w:rsid w:val="1A5F3D37"/>
    <w:rsid w:val="1A622AE9"/>
    <w:rsid w:val="1A634824"/>
    <w:rsid w:val="1A6434CC"/>
    <w:rsid w:val="1A673DDC"/>
    <w:rsid w:val="1A676352"/>
    <w:rsid w:val="1A691988"/>
    <w:rsid w:val="1A6A545B"/>
    <w:rsid w:val="1A7025E8"/>
    <w:rsid w:val="1A74215F"/>
    <w:rsid w:val="1A7566F2"/>
    <w:rsid w:val="1A770CC8"/>
    <w:rsid w:val="1A77464F"/>
    <w:rsid w:val="1A7A1B33"/>
    <w:rsid w:val="1A7C6383"/>
    <w:rsid w:val="1A7E45B1"/>
    <w:rsid w:val="1A802E6C"/>
    <w:rsid w:val="1A81034E"/>
    <w:rsid w:val="1A8B192F"/>
    <w:rsid w:val="1A8B41C9"/>
    <w:rsid w:val="1A8C3553"/>
    <w:rsid w:val="1A911621"/>
    <w:rsid w:val="1A937FFB"/>
    <w:rsid w:val="1A977D36"/>
    <w:rsid w:val="1A990F27"/>
    <w:rsid w:val="1A9F708B"/>
    <w:rsid w:val="1AA05DF4"/>
    <w:rsid w:val="1AA43102"/>
    <w:rsid w:val="1AA779DA"/>
    <w:rsid w:val="1AA878A9"/>
    <w:rsid w:val="1AA938B7"/>
    <w:rsid w:val="1AAA66D6"/>
    <w:rsid w:val="1AAD64AC"/>
    <w:rsid w:val="1AAE10EC"/>
    <w:rsid w:val="1AAF26EF"/>
    <w:rsid w:val="1AB07CF9"/>
    <w:rsid w:val="1AB64BE3"/>
    <w:rsid w:val="1AB772D9"/>
    <w:rsid w:val="1ABB087D"/>
    <w:rsid w:val="1ABB2456"/>
    <w:rsid w:val="1ABC6045"/>
    <w:rsid w:val="1ABC7692"/>
    <w:rsid w:val="1AC26BD9"/>
    <w:rsid w:val="1AC35C7E"/>
    <w:rsid w:val="1AC62248"/>
    <w:rsid w:val="1AC6341C"/>
    <w:rsid w:val="1AC64FF5"/>
    <w:rsid w:val="1AC76DF0"/>
    <w:rsid w:val="1AC968F2"/>
    <w:rsid w:val="1ACA64E8"/>
    <w:rsid w:val="1ACA67C8"/>
    <w:rsid w:val="1ACB68E1"/>
    <w:rsid w:val="1AD04B9A"/>
    <w:rsid w:val="1AD24430"/>
    <w:rsid w:val="1AD301C7"/>
    <w:rsid w:val="1AD30604"/>
    <w:rsid w:val="1AD41CB4"/>
    <w:rsid w:val="1AD83A65"/>
    <w:rsid w:val="1AD94039"/>
    <w:rsid w:val="1AD978A3"/>
    <w:rsid w:val="1ADF2787"/>
    <w:rsid w:val="1AE87D36"/>
    <w:rsid w:val="1AEB304F"/>
    <w:rsid w:val="1AEE125C"/>
    <w:rsid w:val="1AEF59B8"/>
    <w:rsid w:val="1AF01459"/>
    <w:rsid w:val="1AF05E88"/>
    <w:rsid w:val="1AF1584D"/>
    <w:rsid w:val="1AF2684C"/>
    <w:rsid w:val="1AF71062"/>
    <w:rsid w:val="1AF90D4D"/>
    <w:rsid w:val="1AFA6C69"/>
    <w:rsid w:val="1AFC510C"/>
    <w:rsid w:val="1B010C3A"/>
    <w:rsid w:val="1B0B13D3"/>
    <w:rsid w:val="1B0C120E"/>
    <w:rsid w:val="1B0D4108"/>
    <w:rsid w:val="1B0E67CD"/>
    <w:rsid w:val="1B0F0EC3"/>
    <w:rsid w:val="1B0F4711"/>
    <w:rsid w:val="1B12628B"/>
    <w:rsid w:val="1B130D13"/>
    <w:rsid w:val="1B145BE2"/>
    <w:rsid w:val="1B157B5C"/>
    <w:rsid w:val="1B18764C"/>
    <w:rsid w:val="1B19589E"/>
    <w:rsid w:val="1B1970BA"/>
    <w:rsid w:val="1B1B7066"/>
    <w:rsid w:val="1B1B7BF4"/>
    <w:rsid w:val="1B2304CB"/>
    <w:rsid w:val="1B244243"/>
    <w:rsid w:val="1B245FF1"/>
    <w:rsid w:val="1B2A45A7"/>
    <w:rsid w:val="1B2E6E70"/>
    <w:rsid w:val="1B32070E"/>
    <w:rsid w:val="1B335FB7"/>
    <w:rsid w:val="1B374424"/>
    <w:rsid w:val="1B3A3A66"/>
    <w:rsid w:val="1B3D7186"/>
    <w:rsid w:val="1B477BFC"/>
    <w:rsid w:val="1B486183"/>
    <w:rsid w:val="1B4F0C9B"/>
    <w:rsid w:val="1B502A2B"/>
    <w:rsid w:val="1B532247"/>
    <w:rsid w:val="1B5B45DC"/>
    <w:rsid w:val="1B5B5FDA"/>
    <w:rsid w:val="1B5C578B"/>
    <w:rsid w:val="1B651694"/>
    <w:rsid w:val="1B675009"/>
    <w:rsid w:val="1B6805D3"/>
    <w:rsid w:val="1B68741D"/>
    <w:rsid w:val="1B6C00C4"/>
    <w:rsid w:val="1B6C0367"/>
    <w:rsid w:val="1B6C66D9"/>
    <w:rsid w:val="1B7371D9"/>
    <w:rsid w:val="1B7406C7"/>
    <w:rsid w:val="1B770817"/>
    <w:rsid w:val="1B784C7F"/>
    <w:rsid w:val="1B79458F"/>
    <w:rsid w:val="1B7E3953"/>
    <w:rsid w:val="1B7E67C6"/>
    <w:rsid w:val="1B7F280B"/>
    <w:rsid w:val="1B810CB0"/>
    <w:rsid w:val="1B8134CC"/>
    <w:rsid w:val="1B830F69"/>
    <w:rsid w:val="1B836421"/>
    <w:rsid w:val="1B85484D"/>
    <w:rsid w:val="1B854CE1"/>
    <w:rsid w:val="1B857136"/>
    <w:rsid w:val="1B866908"/>
    <w:rsid w:val="1B885899"/>
    <w:rsid w:val="1B8D003A"/>
    <w:rsid w:val="1B913FEF"/>
    <w:rsid w:val="1B95592E"/>
    <w:rsid w:val="1B957BB4"/>
    <w:rsid w:val="1B965141"/>
    <w:rsid w:val="1B9672B4"/>
    <w:rsid w:val="1B971BA9"/>
    <w:rsid w:val="1B972C67"/>
    <w:rsid w:val="1B991A02"/>
    <w:rsid w:val="1B9F099B"/>
    <w:rsid w:val="1BA517A1"/>
    <w:rsid w:val="1BA67A2B"/>
    <w:rsid w:val="1BA7102D"/>
    <w:rsid w:val="1BA82C15"/>
    <w:rsid w:val="1BAA15BA"/>
    <w:rsid w:val="1BB074A7"/>
    <w:rsid w:val="1BB146D3"/>
    <w:rsid w:val="1BB455C7"/>
    <w:rsid w:val="1BB6133F"/>
    <w:rsid w:val="1BB66F61"/>
    <w:rsid w:val="1BB959AA"/>
    <w:rsid w:val="1BC30FDD"/>
    <w:rsid w:val="1BC31CAE"/>
    <w:rsid w:val="1BC6633A"/>
    <w:rsid w:val="1BC70323"/>
    <w:rsid w:val="1BC90051"/>
    <w:rsid w:val="1BC97C41"/>
    <w:rsid w:val="1BCA7EDE"/>
    <w:rsid w:val="1BCB4DCC"/>
    <w:rsid w:val="1BCD0E63"/>
    <w:rsid w:val="1BCD48DA"/>
    <w:rsid w:val="1BCD7E6B"/>
    <w:rsid w:val="1BD04B6C"/>
    <w:rsid w:val="1BD06FE9"/>
    <w:rsid w:val="1BD118B1"/>
    <w:rsid w:val="1BD12E87"/>
    <w:rsid w:val="1BD46C77"/>
    <w:rsid w:val="1BD47A17"/>
    <w:rsid w:val="1BD65D81"/>
    <w:rsid w:val="1BD72B13"/>
    <w:rsid w:val="1BD73063"/>
    <w:rsid w:val="1BD87507"/>
    <w:rsid w:val="1BDC279E"/>
    <w:rsid w:val="1BDD2D6F"/>
    <w:rsid w:val="1BDE0675"/>
    <w:rsid w:val="1BE340FE"/>
    <w:rsid w:val="1BE614F8"/>
    <w:rsid w:val="1BEB7A9D"/>
    <w:rsid w:val="1BF234F2"/>
    <w:rsid w:val="1BF3703C"/>
    <w:rsid w:val="1BF426A8"/>
    <w:rsid w:val="1BF5345C"/>
    <w:rsid w:val="1BF67FDC"/>
    <w:rsid w:val="1BFA5749"/>
    <w:rsid w:val="1BFF55A7"/>
    <w:rsid w:val="1C025112"/>
    <w:rsid w:val="1C053D3A"/>
    <w:rsid w:val="1C0565D6"/>
    <w:rsid w:val="1C057BD0"/>
    <w:rsid w:val="1C090E9C"/>
    <w:rsid w:val="1C0E117B"/>
    <w:rsid w:val="1C0E6482"/>
    <w:rsid w:val="1C12168A"/>
    <w:rsid w:val="1C142FD3"/>
    <w:rsid w:val="1C161DDD"/>
    <w:rsid w:val="1C1823F4"/>
    <w:rsid w:val="1C1D26ED"/>
    <w:rsid w:val="1C1F5987"/>
    <w:rsid w:val="1C2136E1"/>
    <w:rsid w:val="1C241C3D"/>
    <w:rsid w:val="1C25782C"/>
    <w:rsid w:val="1C26048F"/>
    <w:rsid w:val="1C267F4F"/>
    <w:rsid w:val="1C2B4641"/>
    <w:rsid w:val="1C2C0A88"/>
    <w:rsid w:val="1C331D6D"/>
    <w:rsid w:val="1C3861F8"/>
    <w:rsid w:val="1C456157"/>
    <w:rsid w:val="1C4723EA"/>
    <w:rsid w:val="1C480284"/>
    <w:rsid w:val="1C490921"/>
    <w:rsid w:val="1C49257F"/>
    <w:rsid w:val="1C4A7CD9"/>
    <w:rsid w:val="1C4E77C9"/>
    <w:rsid w:val="1C501F09"/>
    <w:rsid w:val="1C516588"/>
    <w:rsid w:val="1C522447"/>
    <w:rsid w:val="1C56667E"/>
    <w:rsid w:val="1C597F1C"/>
    <w:rsid w:val="1C6012AB"/>
    <w:rsid w:val="1C616E06"/>
    <w:rsid w:val="1C6230C8"/>
    <w:rsid w:val="1C63351B"/>
    <w:rsid w:val="1C64435B"/>
    <w:rsid w:val="1C6D5805"/>
    <w:rsid w:val="1C760ACE"/>
    <w:rsid w:val="1C76752A"/>
    <w:rsid w:val="1C787886"/>
    <w:rsid w:val="1C7A3F9C"/>
    <w:rsid w:val="1C7C7A64"/>
    <w:rsid w:val="1C7D0090"/>
    <w:rsid w:val="1C7D5549"/>
    <w:rsid w:val="1C80194D"/>
    <w:rsid w:val="1C842F55"/>
    <w:rsid w:val="1C85443F"/>
    <w:rsid w:val="1C864F11"/>
    <w:rsid w:val="1C8B140C"/>
    <w:rsid w:val="1C8B7161"/>
    <w:rsid w:val="1C8C20A0"/>
    <w:rsid w:val="1C8D11AB"/>
    <w:rsid w:val="1C8D745D"/>
    <w:rsid w:val="1C8E4206"/>
    <w:rsid w:val="1C8F78EF"/>
    <w:rsid w:val="1C90290D"/>
    <w:rsid w:val="1C913B5A"/>
    <w:rsid w:val="1C926528"/>
    <w:rsid w:val="1C933991"/>
    <w:rsid w:val="1C95790A"/>
    <w:rsid w:val="1C964CCC"/>
    <w:rsid w:val="1C99656B"/>
    <w:rsid w:val="1C9B0535"/>
    <w:rsid w:val="1C9C4DED"/>
    <w:rsid w:val="1C9C6787"/>
    <w:rsid w:val="1CA35D6A"/>
    <w:rsid w:val="1CA4110F"/>
    <w:rsid w:val="1CA4563B"/>
    <w:rsid w:val="1CAA0778"/>
    <w:rsid w:val="1CB32B6D"/>
    <w:rsid w:val="1CB33AD0"/>
    <w:rsid w:val="1CB7108C"/>
    <w:rsid w:val="1CB91DEC"/>
    <w:rsid w:val="1CBD7CA9"/>
    <w:rsid w:val="1CC30290"/>
    <w:rsid w:val="1CC46A38"/>
    <w:rsid w:val="1CC7757C"/>
    <w:rsid w:val="1CC85FEF"/>
    <w:rsid w:val="1CD36D62"/>
    <w:rsid w:val="1CD421BE"/>
    <w:rsid w:val="1CD6176F"/>
    <w:rsid w:val="1CD75A11"/>
    <w:rsid w:val="1CD7789E"/>
    <w:rsid w:val="1CDD0B4D"/>
    <w:rsid w:val="1CDF1CDF"/>
    <w:rsid w:val="1CDF2D5E"/>
    <w:rsid w:val="1CDF2E64"/>
    <w:rsid w:val="1CDF6673"/>
    <w:rsid w:val="1CE05C7B"/>
    <w:rsid w:val="1CE07350"/>
    <w:rsid w:val="1CE622C0"/>
    <w:rsid w:val="1CE75623"/>
    <w:rsid w:val="1CE95744"/>
    <w:rsid w:val="1CEA5855"/>
    <w:rsid w:val="1CF0262F"/>
    <w:rsid w:val="1CF24C02"/>
    <w:rsid w:val="1CF67955"/>
    <w:rsid w:val="1CFC0FD3"/>
    <w:rsid w:val="1D005D35"/>
    <w:rsid w:val="1D01031E"/>
    <w:rsid w:val="1D061E52"/>
    <w:rsid w:val="1D076AC5"/>
    <w:rsid w:val="1D0A1A5A"/>
    <w:rsid w:val="1D0C4F8F"/>
    <w:rsid w:val="1D0F29C1"/>
    <w:rsid w:val="1D1207F7"/>
    <w:rsid w:val="1D145F06"/>
    <w:rsid w:val="1D154BE0"/>
    <w:rsid w:val="1D160B29"/>
    <w:rsid w:val="1D1722B1"/>
    <w:rsid w:val="1D1D5AD7"/>
    <w:rsid w:val="1D222A36"/>
    <w:rsid w:val="1D2247B2"/>
    <w:rsid w:val="1D231983"/>
    <w:rsid w:val="1D2624F4"/>
    <w:rsid w:val="1D2642A2"/>
    <w:rsid w:val="1D286EE6"/>
    <w:rsid w:val="1D2D3883"/>
    <w:rsid w:val="1D2F75FB"/>
    <w:rsid w:val="1D310521"/>
    <w:rsid w:val="1D321BA7"/>
    <w:rsid w:val="1D350989"/>
    <w:rsid w:val="1D383FD6"/>
    <w:rsid w:val="1D3B4E59"/>
    <w:rsid w:val="1D3C1A50"/>
    <w:rsid w:val="1D4170C5"/>
    <w:rsid w:val="1D417348"/>
    <w:rsid w:val="1D4218D7"/>
    <w:rsid w:val="1D434E54"/>
    <w:rsid w:val="1D49533D"/>
    <w:rsid w:val="1D4B1610"/>
    <w:rsid w:val="1D4D5CD3"/>
    <w:rsid w:val="1D4E6761"/>
    <w:rsid w:val="1D5202A2"/>
    <w:rsid w:val="1D540E0F"/>
    <w:rsid w:val="1D57445C"/>
    <w:rsid w:val="1D591F60"/>
    <w:rsid w:val="1D594678"/>
    <w:rsid w:val="1D5B1F3A"/>
    <w:rsid w:val="1D5D3DD1"/>
    <w:rsid w:val="1D5E1BB3"/>
    <w:rsid w:val="1D5F2AD3"/>
    <w:rsid w:val="1D660B43"/>
    <w:rsid w:val="1D666D95"/>
    <w:rsid w:val="1D68567A"/>
    <w:rsid w:val="1D691539"/>
    <w:rsid w:val="1D6E7783"/>
    <w:rsid w:val="1D7233C0"/>
    <w:rsid w:val="1D7276BB"/>
    <w:rsid w:val="1D73025B"/>
    <w:rsid w:val="1D734062"/>
    <w:rsid w:val="1D7355AB"/>
    <w:rsid w:val="1D752B34"/>
    <w:rsid w:val="1D77278A"/>
    <w:rsid w:val="1D774AFE"/>
    <w:rsid w:val="1D776411"/>
    <w:rsid w:val="1D792DEC"/>
    <w:rsid w:val="1D7A58C7"/>
    <w:rsid w:val="1D7B194A"/>
    <w:rsid w:val="1D7B662D"/>
    <w:rsid w:val="1D7B6F79"/>
    <w:rsid w:val="1D7D279D"/>
    <w:rsid w:val="1D8316F5"/>
    <w:rsid w:val="1D8C0AFA"/>
    <w:rsid w:val="1D8E3BF5"/>
    <w:rsid w:val="1D8F4134"/>
    <w:rsid w:val="1D972B4A"/>
    <w:rsid w:val="1D983F49"/>
    <w:rsid w:val="1D990F18"/>
    <w:rsid w:val="1DA30B7C"/>
    <w:rsid w:val="1DA319B4"/>
    <w:rsid w:val="1DA376A1"/>
    <w:rsid w:val="1DA51673"/>
    <w:rsid w:val="1DAA4B96"/>
    <w:rsid w:val="1DAB5340"/>
    <w:rsid w:val="1DAD5A2A"/>
    <w:rsid w:val="1DAF24EA"/>
    <w:rsid w:val="1DB16262"/>
    <w:rsid w:val="1DB25B36"/>
    <w:rsid w:val="1DB45D52"/>
    <w:rsid w:val="1DB55626"/>
    <w:rsid w:val="1DB573D4"/>
    <w:rsid w:val="1DB65578"/>
    <w:rsid w:val="1DBA25A3"/>
    <w:rsid w:val="1DBC0763"/>
    <w:rsid w:val="1DBD6B51"/>
    <w:rsid w:val="1DC046F7"/>
    <w:rsid w:val="1DC1221D"/>
    <w:rsid w:val="1DC33AA2"/>
    <w:rsid w:val="1DC35F95"/>
    <w:rsid w:val="1DCF66E8"/>
    <w:rsid w:val="1DD261D8"/>
    <w:rsid w:val="1DD4085F"/>
    <w:rsid w:val="1DD45AAC"/>
    <w:rsid w:val="1DDA4CBB"/>
    <w:rsid w:val="1DE04776"/>
    <w:rsid w:val="1DE10DED"/>
    <w:rsid w:val="1DE24424"/>
    <w:rsid w:val="1DE318BC"/>
    <w:rsid w:val="1DE63A32"/>
    <w:rsid w:val="1DEA1B2D"/>
    <w:rsid w:val="1DEA52D0"/>
    <w:rsid w:val="1DED217A"/>
    <w:rsid w:val="1DF120A7"/>
    <w:rsid w:val="1DF42E50"/>
    <w:rsid w:val="1DF4689F"/>
    <w:rsid w:val="1DF70D97"/>
    <w:rsid w:val="1DF816DA"/>
    <w:rsid w:val="1DFE6525"/>
    <w:rsid w:val="1DFF09B2"/>
    <w:rsid w:val="1DFF1E79"/>
    <w:rsid w:val="1DFF55C2"/>
    <w:rsid w:val="1E0233E2"/>
    <w:rsid w:val="1E025CEA"/>
    <w:rsid w:val="1E034679"/>
    <w:rsid w:val="1E0565AE"/>
    <w:rsid w:val="1E085B88"/>
    <w:rsid w:val="1E107DB8"/>
    <w:rsid w:val="1E11423B"/>
    <w:rsid w:val="1E121BB7"/>
    <w:rsid w:val="1E196591"/>
    <w:rsid w:val="1E1E012C"/>
    <w:rsid w:val="1E1E31CB"/>
    <w:rsid w:val="1E1F5BAF"/>
    <w:rsid w:val="1E2178BB"/>
    <w:rsid w:val="1E25455A"/>
    <w:rsid w:val="1E2707B8"/>
    <w:rsid w:val="1E2A6E8A"/>
    <w:rsid w:val="1E2C3B3A"/>
    <w:rsid w:val="1E304FEA"/>
    <w:rsid w:val="1E311151"/>
    <w:rsid w:val="1E314200"/>
    <w:rsid w:val="1E32516E"/>
    <w:rsid w:val="1E334401"/>
    <w:rsid w:val="1E3625F6"/>
    <w:rsid w:val="1E366767"/>
    <w:rsid w:val="1E39113C"/>
    <w:rsid w:val="1E3B7ACD"/>
    <w:rsid w:val="1E430E84"/>
    <w:rsid w:val="1E4C46B6"/>
    <w:rsid w:val="1E4E592A"/>
    <w:rsid w:val="1E4F7829"/>
    <w:rsid w:val="1E58492F"/>
    <w:rsid w:val="1E59021D"/>
    <w:rsid w:val="1E5B02F0"/>
    <w:rsid w:val="1E5B387D"/>
    <w:rsid w:val="1E5C7B4E"/>
    <w:rsid w:val="1E5D6AF5"/>
    <w:rsid w:val="1E604D89"/>
    <w:rsid w:val="1E6257AE"/>
    <w:rsid w:val="1E632413"/>
    <w:rsid w:val="1E643D47"/>
    <w:rsid w:val="1E65221B"/>
    <w:rsid w:val="1E691F90"/>
    <w:rsid w:val="1E6C4753"/>
    <w:rsid w:val="1E6E4153"/>
    <w:rsid w:val="1E6E6048"/>
    <w:rsid w:val="1E7070EB"/>
    <w:rsid w:val="1E71153B"/>
    <w:rsid w:val="1E717517"/>
    <w:rsid w:val="1E741642"/>
    <w:rsid w:val="1E753ADA"/>
    <w:rsid w:val="1E7644ED"/>
    <w:rsid w:val="1E7828DC"/>
    <w:rsid w:val="1E796654"/>
    <w:rsid w:val="1E7D0307"/>
    <w:rsid w:val="1E7D6144"/>
    <w:rsid w:val="1E7E7DEE"/>
    <w:rsid w:val="1E806861"/>
    <w:rsid w:val="1E8517EF"/>
    <w:rsid w:val="1E885E5D"/>
    <w:rsid w:val="1E890EA3"/>
    <w:rsid w:val="1E91399D"/>
    <w:rsid w:val="1E960FB4"/>
    <w:rsid w:val="1E9620D3"/>
    <w:rsid w:val="1E990AA4"/>
    <w:rsid w:val="1E9A536D"/>
    <w:rsid w:val="1EA32811"/>
    <w:rsid w:val="1EA96F39"/>
    <w:rsid w:val="1EAB0F03"/>
    <w:rsid w:val="1EAB78FF"/>
    <w:rsid w:val="1EAE454F"/>
    <w:rsid w:val="1EB06519"/>
    <w:rsid w:val="1EB1193F"/>
    <w:rsid w:val="1EB12291"/>
    <w:rsid w:val="1EB15DEE"/>
    <w:rsid w:val="1EB35599"/>
    <w:rsid w:val="1EB36627"/>
    <w:rsid w:val="1EB61656"/>
    <w:rsid w:val="1EB64CF4"/>
    <w:rsid w:val="1EBA3314"/>
    <w:rsid w:val="1EC01F32"/>
    <w:rsid w:val="1EC45AD1"/>
    <w:rsid w:val="1EC56A8E"/>
    <w:rsid w:val="1EC746CA"/>
    <w:rsid w:val="1EC8219B"/>
    <w:rsid w:val="1EC94019"/>
    <w:rsid w:val="1ECD76E6"/>
    <w:rsid w:val="1ED0096A"/>
    <w:rsid w:val="1ED44572"/>
    <w:rsid w:val="1ED50D55"/>
    <w:rsid w:val="1ED55F80"/>
    <w:rsid w:val="1ED61CF8"/>
    <w:rsid w:val="1ED8391C"/>
    <w:rsid w:val="1EDB183D"/>
    <w:rsid w:val="1EDD751C"/>
    <w:rsid w:val="1EE00481"/>
    <w:rsid w:val="1EE1643D"/>
    <w:rsid w:val="1EE23B1C"/>
    <w:rsid w:val="1EE40F81"/>
    <w:rsid w:val="1EE53034"/>
    <w:rsid w:val="1EEA3A5F"/>
    <w:rsid w:val="1EEC5219"/>
    <w:rsid w:val="1EEF7422"/>
    <w:rsid w:val="1EF336B4"/>
    <w:rsid w:val="1EFB0E1B"/>
    <w:rsid w:val="1EFD123D"/>
    <w:rsid w:val="1EFD54D7"/>
    <w:rsid w:val="1EFE55C8"/>
    <w:rsid w:val="1F040AF8"/>
    <w:rsid w:val="1F074B01"/>
    <w:rsid w:val="1F0B11D3"/>
    <w:rsid w:val="1F0B4909"/>
    <w:rsid w:val="1F0D396C"/>
    <w:rsid w:val="1F1574B5"/>
    <w:rsid w:val="1F1620F4"/>
    <w:rsid w:val="1F1A1F65"/>
    <w:rsid w:val="1F1D16D5"/>
    <w:rsid w:val="1F1D7927"/>
    <w:rsid w:val="1F1D7F1A"/>
    <w:rsid w:val="1F1F1FCB"/>
    <w:rsid w:val="1F1F207D"/>
    <w:rsid w:val="1F253E23"/>
    <w:rsid w:val="1F2765CD"/>
    <w:rsid w:val="1F283944"/>
    <w:rsid w:val="1F297F8A"/>
    <w:rsid w:val="1F2B2044"/>
    <w:rsid w:val="1F2B3EFC"/>
    <w:rsid w:val="1F2B5BA0"/>
    <w:rsid w:val="1F2D2773"/>
    <w:rsid w:val="1F2F552D"/>
    <w:rsid w:val="1F303956"/>
    <w:rsid w:val="1F3231B4"/>
    <w:rsid w:val="1F37249F"/>
    <w:rsid w:val="1F3800ED"/>
    <w:rsid w:val="1F39725E"/>
    <w:rsid w:val="1F3A1E60"/>
    <w:rsid w:val="1F3A4472"/>
    <w:rsid w:val="1F3D7D41"/>
    <w:rsid w:val="1F3E3810"/>
    <w:rsid w:val="1F4201E6"/>
    <w:rsid w:val="1F42345E"/>
    <w:rsid w:val="1F446C62"/>
    <w:rsid w:val="1F4A2B88"/>
    <w:rsid w:val="1F4B7FF0"/>
    <w:rsid w:val="1F537636"/>
    <w:rsid w:val="1F542020"/>
    <w:rsid w:val="1F5A6860"/>
    <w:rsid w:val="1F60485C"/>
    <w:rsid w:val="1F604F7D"/>
    <w:rsid w:val="1F607B77"/>
    <w:rsid w:val="1F6466AD"/>
    <w:rsid w:val="1F663A80"/>
    <w:rsid w:val="1F682A39"/>
    <w:rsid w:val="1F693042"/>
    <w:rsid w:val="1F6B3F39"/>
    <w:rsid w:val="1F6B41EE"/>
    <w:rsid w:val="1F6B4525"/>
    <w:rsid w:val="1F6E455B"/>
    <w:rsid w:val="1F6E6F9B"/>
    <w:rsid w:val="1F725AC9"/>
    <w:rsid w:val="1F7322DF"/>
    <w:rsid w:val="1F751935"/>
    <w:rsid w:val="1F7B1866"/>
    <w:rsid w:val="1F7C3D95"/>
    <w:rsid w:val="1F7E03C6"/>
    <w:rsid w:val="1F7E2725"/>
    <w:rsid w:val="1F812900"/>
    <w:rsid w:val="1F8400A4"/>
    <w:rsid w:val="1F852C37"/>
    <w:rsid w:val="1F896D6A"/>
    <w:rsid w:val="1F8B4890"/>
    <w:rsid w:val="1F903C55"/>
    <w:rsid w:val="1F907953"/>
    <w:rsid w:val="1F912FCF"/>
    <w:rsid w:val="1F91749D"/>
    <w:rsid w:val="1F950C66"/>
    <w:rsid w:val="1F973235"/>
    <w:rsid w:val="1F974879"/>
    <w:rsid w:val="1F9761A4"/>
    <w:rsid w:val="1F9921A8"/>
    <w:rsid w:val="1F99613A"/>
    <w:rsid w:val="1F9B1ABB"/>
    <w:rsid w:val="1F9C6DF7"/>
    <w:rsid w:val="1F9F06F0"/>
    <w:rsid w:val="1FA30A6C"/>
    <w:rsid w:val="1FA32C58"/>
    <w:rsid w:val="1FA53BA4"/>
    <w:rsid w:val="1FA55C42"/>
    <w:rsid w:val="1FA83694"/>
    <w:rsid w:val="1FAB59E6"/>
    <w:rsid w:val="1FAC13D1"/>
    <w:rsid w:val="1FAC4405"/>
    <w:rsid w:val="1FB017D6"/>
    <w:rsid w:val="1FB042F7"/>
    <w:rsid w:val="1FB56B13"/>
    <w:rsid w:val="1FB93B51"/>
    <w:rsid w:val="1FBA1D7F"/>
    <w:rsid w:val="1FBA777E"/>
    <w:rsid w:val="1FBC4A4A"/>
    <w:rsid w:val="1FBF080A"/>
    <w:rsid w:val="1FBF58BF"/>
    <w:rsid w:val="1FC045D3"/>
    <w:rsid w:val="1FC1184A"/>
    <w:rsid w:val="1FC14756"/>
    <w:rsid w:val="1FC72169"/>
    <w:rsid w:val="1FCC3E2D"/>
    <w:rsid w:val="1FCE3DAE"/>
    <w:rsid w:val="1FD55B10"/>
    <w:rsid w:val="1FD71884"/>
    <w:rsid w:val="1FD955FC"/>
    <w:rsid w:val="1FDB75C6"/>
    <w:rsid w:val="1FDE4EC2"/>
    <w:rsid w:val="1FE13081"/>
    <w:rsid w:val="1FE3606E"/>
    <w:rsid w:val="1FE521F3"/>
    <w:rsid w:val="1FE62394"/>
    <w:rsid w:val="1FE637D7"/>
    <w:rsid w:val="1FEB5DF2"/>
    <w:rsid w:val="1FEF682C"/>
    <w:rsid w:val="1FF95C9E"/>
    <w:rsid w:val="1FFA744A"/>
    <w:rsid w:val="1FFB37C4"/>
    <w:rsid w:val="1FFD24A2"/>
    <w:rsid w:val="1FFD2DED"/>
    <w:rsid w:val="1FFF0860"/>
    <w:rsid w:val="1FFF6CC7"/>
    <w:rsid w:val="2006717B"/>
    <w:rsid w:val="200E1BD6"/>
    <w:rsid w:val="200F54C2"/>
    <w:rsid w:val="200F7724"/>
    <w:rsid w:val="20100AD2"/>
    <w:rsid w:val="20124FB2"/>
    <w:rsid w:val="20126D60"/>
    <w:rsid w:val="20146634"/>
    <w:rsid w:val="201601C3"/>
    <w:rsid w:val="20175624"/>
    <w:rsid w:val="20204AEE"/>
    <w:rsid w:val="202A084E"/>
    <w:rsid w:val="202A5E57"/>
    <w:rsid w:val="202B1F1B"/>
    <w:rsid w:val="202B6D90"/>
    <w:rsid w:val="202C6073"/>
    <w:rsid w:val="202C7E22"/>
    <w:rsid w:val="20313FB9"/>
    <w:rsid w:val="20341601"/>
    <w:rsid w:val="203B0007"/>
    <w:rsid w:val="203C353D"/>
    <w:rsid w:val="203C39A2"/>
    <w:rsid w:val="203D6CD3"/>
    <w:rsid w:val="204038CD"/>
    <w:rsid w:val="20407A64"/>
    <w:rsid w:val="20443CB9"/>
    <w:rsid w:val="20457D0E"/>
    <w:rsid w:val="20461A3D"/>
    <w:rsid w:val="20511636"/>
    <w:rsid w:val="20517888"/>
    <w:rsid w:val="20546C12"/>
    <w:rsid w:val="20586E69"/>
    <w:rsid w:val="205920E7"/>
    <w:rsid w:val="205D0C5E"/>
    <w:rsid w:val="205E1FA5"/>
    <w:rsid w:val="205E2895"/>
    <w:rsid w:val="205E737F"/>
    <w:rsid w:val="206226A6"/>
    <w:rsid w:val="20631369"/>
    <w:rsid w:val="20657105"/>
    <w:rsid w:val="206A0C3C"/>
    <w:rsid w:val="206B2078"/>
    <w:rsid w:val="206B3A09"/>
    <w:rsid w:val="206B67EA"/>
    <w:rsid w:val="206C37F8"/>
    <w:rsid w:val="206D1261"/>
    <w:rsid w:val="206E4411"/>
    <w:rsid w:val="20700FD8"/>
    <w:rsid w:val="207215AC"/>
    <w:rsid w:val="20723F59"/>
    <w:rsid w:val="20735A50"/>
    <w:rsid w:val="20745325"/>
    <w:rsid w:val="207545DC"/>
    <w:rsid w:val="207672EF"/>
    <w:rsid w:val="207812B9"/>
    <w:rsid w:val="20782A0A"/>
    <w:rsid w:val="207B7041"/>
    <w:rsid w:val="207E4939"/>
    <w:rsid w:val="20841298"/>
    <w:rsid w:val="20851D82"/>
    <w:rsid w:val="2089132B"/>
    <w:rsid w:val="20891E70"/>
    <w:rsid w:val="20895274"/>
    <w:rsid w:val="208C5671"/>
    <w:rsid w:val="208C71D9"/>
    <w:rsid w:val="208E661F"/>
    <w:rsid w:val="20916ECC"/>
    <w:rsid w:val="20940384"/>
    <w:rsid w:val="20987637"/>
    <w:rsid w:val="209D2ACD"/>
    <w:rsid w:val="20A025BE"/>
    <w:rsid w:val="20A13523"/>
    <w:rsid w:val="20A22EDD"/>
    <w:rsid w:val="20A26336"/>
    <w:rsid w:val="20B20C21"/>
    <w:rsid w:val="20B834A0"/>
    <w:rsid w:val="20BA367F"/>
    <w:rsid w:val="20BD5190"/>
    <w:rsid w:val="20C004B9"/>
    <w:rsid w:val="20C0553F"/>
    <w:rsid w:val="20C07D28"/>
    <w:rsid w:val="20C24078"/>
    <w:rsid w:val="20C279F7"/>
    <w:rsid w:val="20C472B3"/>
    <w:rsid w:val="20C72F89"/>
    <w:rsid w:val="20C83C2D"/>
    <w:rsid w:val="20CC5161"/>
    <w:rsid w:val="20CC7CF9"/>
    <w:rsid w:val="20CD5855"/>
    <w:rsid w:val="20D060D0"/>
    <w:rsid w:val="20D4529C"/>
    <w:rsid w:val="20D67D8D"/>
    <w:rsid w:val="20D8591C"/>
    <w:rsid w:val="20D901F2"/>
    <w:rsid w:val="20DB0011"/>
    <w:rsid w:val="20DE4594"/>
    <w:rsid w:val="20E05F03"/>
    <w:rsid w:val="20E424AA"/>
    <w:rsid w:val="20E45C5F"/>
    <w:rsid w:val="20E53DA9"/>
    <w:rsid w:val="20E700AE"/>
    <w:rsid w:val="20E701EC"/>
    <w:rsid w:val="20E837A7"/>
    <w:rsid w:val="20EA712D"/>
    <w:rsid w:val="20EC5803"/>
    <w:rsid w:val="20EF2BFD"/>
    <w:rsid w:val="20F13631"/>
    <w:rsid w:val="20F63F8C"/>
    <w:rsid w:val="20F91DC3"/>
    <w:rsid w:val="20FB5A46"/>
    <w:rsid w:val="20FC3928"/>
    <w:rsid w:val="20FE314A"/>
    <w:rsid w:val="20FE5F79"/>
    <w:rsid w:val="21034BF0"/>
    <w:rsid w:val="21056D13"/>
    <w:rsid w:val="21090163"/>
    <w:rsid w:val="210A2DBD"/>
    <w:rsid w:val="210D3B2A"/>
    <w:rsid w:val="21110DC5"/>
    <w:rsid w:val="21135A90"/>
    <w:rsid w:val="211B1C44"/>
    <w:rsid w:val="211F1734"/>
    <w:rsid w:val="211F745A"/>
    <w:rsid w:val="21254B09"/>
    <w:rsid w:val="21266BF0"/>
    <w:rsid w:val="2128538C"/>
    <w:rsid w:val="2129610F"/>
    <w:rsid w:val="212A48F8"/>
    <w:rsid w:val="212C3E51"/>
    <w:rsid w:val="2130262B"/>
    <w:rsid w:val="21356A28"/>
    <w:rsid w:val="21373301"/>
    <w:rsid w:val="213845A4"/>
    <w:rsid w:val="213E6C0A"/>
    <w:rsid w:val="21424995"/>
    <w:rsid w:val="2145715A"/>
    <w:rsid w:val="21463165"/>
    <w:rsid w:val="214844C3"/>
    <w:rsid w:val="21485471"/>
    <w:rsid w:val="2149055F"/>
    <w:rsid w:val="214C004F"/>
    <w:rsid w:val="214D6000"/>
    <w:rsid w:val="21534886"/>
    <w:rsid w:val="215533C5"/>
    <w:rsid w:val="21575113"/>
    <w:rsid w:val="21584C46"/>
    <w:rsid w:val="21584EA5"/>
    <w:rsid w:val="215A6C10"/>
    <w:rsid w:val="215B3668"/>
    <w:rsid w:val="215D6BC3"/>
    <w:rsid w:val="215F2C48"/>
    <w:rsid w:val="216643CD"/>
    <w:rsid w:val="216929AF"/>
    <w:rsid w:val="216A7931"/>
    <w:rsid w:val="216C5844"/>
    <w:rsid w:val="216E6F99"/>
    <w:rsid w:val="216F189E"/>
    <w:rsid w:val="21731DAF"/>
    <w:rsid w:val="217A36BF"/>
    <w:rsid w:val="217B4021"/>
    <w:rsid w:val="217C0935"/>
    <w:rsid w:val="217E7E91"/>
    <w:rsid w:val="217F0425"/>
    <w:rsid w:val="2181722A"/>
    <w:rsid w:val="21821B57"/>
    <w:rsid w:val="218840B4"/>
    <w:rsid w:val="21892999"/>
    <w:rsid w:val="218B7D40"/>
    <w:rsid w:val="21921F06"/>
    <w:rsid w:val="21942239"/>
    <w:rsid w:val="219537A4"/>
    <w:rsid w:val="21973293"/>
    <w:rsid w:val="219C0FD7"/>
    <w:rsid w:val="219C1AAE"/>
    <w:rsid w:val="219D6234"/>
    <w:rsid w:val="219F60FF"/>
    <w:rsid w:val="21A5276F"/>
    <w:rsid w:val="21AA16B2"/>
    <w:rsid w:val="21AA36F4"/>
    <w:rsid w:val="21AA757E"/>
    <w:rsid w:val="21AE2AB8"/>
    <w:rsid w:val="21AF2F84"/>
    <w:rsid w:val="21B05C47"/>
    <w:rsid w:val="21B10E52"/>
    <w:rsid w:val="21B5128A"/>
    <w:rsid w:val="21B53E47"/>
    <w:rsid w:val="21B75E11"/>
    <w:rsid w:val="21B87493"/>
    <w:rsid w:val="21B96164"/>
    <w:rsid w:val="21BA09D2"/>
    <w:rsid w:val="21BA49F9"/>
    <w:rsid w:val="21BC6430"/>
    <w:rsid w:val="21BC6F8D"/>
    <w:rsid w:val="21BF0A8C"/>
    <w:rsid w:val="21BF13C3"/>
    <w:rsid w:val="21BF6CED"/>
    <w:rsid w:val="21C476DA"/>
    <w:rsid w:val="21C63ED4"/>
    <w:rsid w:val="21C6753E"/>
    <w:rsid w:val="21C84E54"/>
    <w:rsid w:val="21C87E9E"/>
    <w:rsid w:val="21CA332D"/>
    <w:rsid w:val="21D27AC7"/>
    <w:rsid w:val="21D67B76"/>
    <w:rsid w:val="21DE7835"/>
    <w:rsid w:val="21E15CD5"/>
    <w:rsid w:val="21E274B2"/>
    <w:rsid w:val="21E32762"/>
    <w:rsid w:val="21E36B90"/>
    <w:rsid w:val="21E45660"/>
    <w:rsid w:val="21E52B87"/>
    <w:rsid w:val="21E825AB"/>
    <w:rsid w:val="21E87B36"/>
    <w:rsid w:val="21EC0618"/>
    <w:rsid w:val="21EC6D8D"/>
    <w:rsid w:val="21EE1107"/>
    <w:rsid w:val="21EF55EF"/>
    <w:rsid w:val="21EF60F0"/>
    <w:rsid w:val="21F47827"/>
    <w:rsid w:val="21F50E74"/>
    <w:rsid w:val="21F91DA9"/>
    <w:rsid w:val="21F94701"/>
    <w:rsid w:val="21FD508D"/>
    <w:rsid w:val="22007FFE"/>
    <w:rsid w:val="22015FEE"/>
    <w:rsid w:val="220B0C83"/>
    <w:rsid w:val="220B1445"/>
    <w:rsid w:val="220C1761"/>
    <w:rsid w:val="220C5FFD"/>
    <w:rsid w:val="2212747B"/>
    <w:rsid w:val="221325B4"/>
    <w:rsid w:val="221327CF"/>
    <w:rsid w:val="22146DBF"/>
    <w:rsid w:val="2217035E"/>
    <w:rsid w:val="2217240B"/>
    <w:rsid w:val="22173086"/>
    <w:rsid w:val="221845EB"/>
    <w:rsid w:val="221A55CD"/>
    <w:rsid w:val="221B014E"/>
    <w:rsid w:val="221C1CA2"/>
    <w:rsid w:val="221D61EE"/>
    <w:rsid w:val="221F2407"/>
    <w:rsid w:val="222039B6"/>
    <w:rsid w:val="2221772E"/>
    <w:rsid w:val="22265FD3"/>
    <w:rsid w:val="222A0391"/>
    <w:rsid w:val="222D7E81"/>
    <w:rsid w:val="222F49F4"/>
    <w:rsid w:val="2230171F"/>
    <w:rsid w:val="223074AA"/>
    <w:rsid w:val="223424C0"/>
    <w:rsid w:val="2234754D"/>
    <w:rsid w:val="22352FE1"/>
    <w:rsid w:val="22362949"/>
    <w:rsid w:val="22376729"/>
    <w:rsid w:val="223C4603"/>
    <w:rsid w:val="22400CF8"/>
    <w:rsid w:val="22402331"/>
    <w:rsid w:val="2242103D"/>
    <w:rsid w:val="22451F67"/>
    <w:rsid w:val="22470344"/>
    <w:rsid w:val="22470C4C"/>
    <w:rsid w:val="22471527"/>
    <w:rsid w:val="22497ED2"/>
    <w:rsid w:val="224A27FE"/>
    <w:rsid w:val="224C6559"/>
    <w:rsid w:val="224D407F"/>
    <w:rsid w:val="225243DE"/>
    <w:rsid w:val="22572632"/>
    <w:rsid w:val="22575747"/>
    <w:rsid w:val="225C1876"/>
    <w:rsid w:val="226014A0"/>
    <w:rsid w:val="226028CF"/>
    <w:rsid w:val="22626B9C"/>
    <w:rsid w:val="226412CC"/>
    <w:rsid w:val="22646887"/>
    <w:rsid w:val="226715E5"/>
    <w:rsid w:val="226A0E31"/>
    <w:rsid w:val="226A4C31"/>
    <w:rsid w:val="226A69DF"/>
    <w:rsid w:val="226F3FF6"/>
    <w:rsid w:val="226F6884"/>
    <w:rsid w:val="22786837"/>
    <w:rsid w:val="227B0BEC"/>
    <w:rsid w:val="227D186C"/>
    <w:rsid w:val="227E06DD"/>
    <w:rsid w:val="227E7390"/>
    <w:rsid w:val="227F4F1F"/>
    <w:rsid w:val="227F5862"/>
    <w:rsid w:val="227F659C"/>
    <w:rsid w:val="22802924"/>
    <w:rsid w:val="22832BF1"/>
    <w:rsid w:val="22835CF3"/>
    <w:rsid w:val="2283710F"/>
    <w:rsid w:val="228527E4"/>
    <w:rsid w:val="228A687E"/>
    <w:rsid w:val="228C53A7"/>
    <w:rsid w:val="228C632C"/>
    <w:rsid w:val="228D4C74"/>
    <w:rsid w:val="228F226B"/>
    <w:rsid w:val="22983B0C"/>
    <w:rsid w:val="22986781"/>
    <w:rsid w:val="229960A8"/>
    <w:rsid w:val="229A4CF1"/>
    <w:rsid w:val="22A068A5"/>
    <w:rsid w:val="22A55C69"/>
    <w:rsid w:val="22A77C33"/>
    <w:rsid w:val="22A923B4"/>
    <w:rsid w:val="22AA7987"/>
    <w:rsid w:val="22B13DEE"/>
    <w:rsid w:val="22B1460E"/>
    <w:rsid w:val="22B673C3"/>
    <w:rsid w:val="22B83BEE"/>
    <w:rsid w:val="22BA03DD"/>
    <w:rsid w:val="22BA53D6"/>
    <w:rsid w:val="22BD1205"/>
    <w:rsid w:val="22BE777D"/>
    <w:rsid w:val="22BF67CA"/>
    <w:rsid w:val="22C23E14"/>
    <w:rsid w:val="22C34E6C"/>
    <w:rsid w:val="22C37E78"/>
    <w:rsid w:val="22C431AE"/>
    <w:rsid w:val="22C53012"/>
    <w:rsid w:val="22C70A79"/>
    <w:rsid w:val="22C97BAA"/>
    <w:rsid w:val="22CE51C0"/>
    <w:rsid w:val="22D24584"/>
    <w:rsid w:val="22D658DC"/>
    <w:rsid w:val="22D73BFA"/>
    <w:rsid w:val="22DA1DB7"/>
    <w:rsid w:val="22DC5D3F"/>
    <w:rsid w:val="22DD2C98"/>
    <w:rsid w:val="22DE29C3"/>
    <w:rsid w:val="22DF1C79"/>
    <w:rsid w:val="22E53BBB"/>
    <w:rsid w:val="22E55F04"/>
    <w:rsid w:val="22E569AE"/>
    <w:rsid w:val="22E72EA8"/>
    <w:rsid w:val="22E73A08"/>
    <w:rsid w:val="22E9024C"/>
    <w:rsid w:val="22E90B62"/>
    <w:rsid w:val="22E92090"/>
    <w:rsid w:val="22EE5862"/>
    <w:rsid w:val="22EF4F37"/>
    <w:rsid w:val="22F27C5C"/>
    <w:rsid w:val="22F4099F"/>
    <w:rsid w:val="22F46D8D"/>
    <w:rsid w:val="22F664C5"/>
    <w:rsid w:val="22F8223D"/>
    <w:rsid w:val="22F90A6F"/>
    <w:rsid w:val="22F91100"/>
    <w:rsid w:val="22F97F47"/>
    <w:rsid w:val="23041176"/>
    <w:rsid w:val="23063CAF"/>
    <w:rsid w:val="23085F96"/>
    <w:rsid w:val="230B1691"/>
    <w:rsid w:val="230C641C"/>
    <w:rsid w:val="230D2C3F"/>
    <w:rsid w:val="230D5982"/>
    <w:rsid w:val="23117B65"/>
    <w:rsid w:val="23121B4A"/>
    <w:rsid w:val="23135E84"/>
    <w:rsid w:val="23142834"/>
    <w:rsid w:val="23155FDF"/>
    <w:rsid w:val="23164DB9"/>
    <w:rsid w:val="231828DF"/>
    <w:rsid w:val="231D0FE6"/>
    <w:rsid w:val="231D7EF5"/>
    <w:rsid w:val="232079E6"/>
    <w:rsid w:val="2322550C"/>
    <w:rsid w:val="2323450C"/>
    <w:rsid w:val="23272B22"/>
    <w:rsid w:val="232C1EE7"/>
    <w:rsid w:val="232F19D7"/>
    <w:rsid w:val="23311E82"/>
    <w:rsid w:val="23312EAF"/>
    <w:rsid w:val="23325965"/>
    <w:rsid w:val="2335523F"/>
    <w:rsid w:val="233804A4"/>
    <w:rsid w:val="23386DF6"/>
    <w:rsid w:val="23396C08"/>
    <w:rsid w:val="233A4B0D"/>
    <w:rsid w:val="233A6D8B"/>
    <w:rsid w:val="233D0598"/>
    <w:rsid w:val="234102CD"/>
    <w:rsid w:val="2346744C"/>
    <w:rsid w:val="23474F72"/>
    <w:rsid w:val="23475B40"/>
    <w:rsid w:val="23490CEA"/>
    <w:rsid w:val="234C07DB"/>
    <w:rsid w:val="234C15D1"/>
    <w:rsid w:val="234E547A"/>
    <w:rsid w:val="2355768F"/>
    <w:rsid w:val="23564902"/>
    <w:rsid w:val="23566F63"/>
    <w:rsid w:val="23575BDF"/>
    <w:rsid w:val="23580D25"/>
    <w:rsid w:val="2359066C"/>
    <w:rsid w:val="235D0BD9"/>
    <w:rsid w:val="235E5A2E"/>
    <w:rsid w:val="23614286"/>
    <w:rsid w:val="23616034"/>
    <w:rsid w:val="2366189C"/>
    <w:rsid w:val="23662640"/>
    <w:rsid w:val="236B2A0F"/>
    <w:rsid w:val="236B5402"/>
    <w:rsid w:val="237065DA"/>
    <w:rsid w:val="23711416"/>
    <w:rsid w:val="23717CB9"/>
    <w:rsid w:val="238216FA"/>
    <w:rsid w:val="23825FAA"/>
    <w:rsid w:val="238307B1"/>
    <w:rsid w:val="238542E0"/>
    <w:rsid w:val="238B3D62"/>
    <w:rsid w:val="238B640D"/>
    <w:rsid w:val="238C4775"/>
    <w:rsid w:val="238C6E29"/>
    <w:rsid w:val="23907664"/>
    <w:rsid w:val="23921B8E"/>
    <w:rsid w:val="23952182"/>
    <w:rsid w:val="2396305D"/>
    <w:rsid w:val="23983A20"/>
    <w:rsid w:val="239A5F01"/>
    <w:rsid w:val="239D2DE4"/>
    <w:rsid w:val="239D5D0D"/>
    <w:rsid w:val="23A17298"/>
    <w:rsid w:val="23A45F21"/>
    <w:rsid w:val="23A63066"/>
    <w:rsid w:val="23A71122"/>
    <w:rsid w:val="23A75EE1"/>
    <w:rsid w:val="23A777BF"/>
    <w:rsid w:val="23A8416F"/>
    <w:rsid w:val="23AC5142"/>
    <w:rsid w:val="23B02B18"/>
    <w:rsid w:val="23B2376D"/>
    <w:rsid w:val="23B26890"/>
    <w:rsid w:val="23B42FDE"/>
    <w:rsid w:val="23B82884"/>
    <w:rsid w:val="23BB4A50"/>
    <w:rsid w:val="23BE5D4C"/>
    <w:rsid w:val="23BF452A"/>
    <w:rsid w:val="23C06FEB"/>
    <w:rsid w:val="23C10881"/>
    <w:rsid w:val="23C94B6A"/>
    <w:rsid w:val="23CA2FF6"/>
    <w:rsid w:val="23CB0ED0"/>
    <w:rsid w:val="23CD136F"/>
    <w:rsid w:val="23D120B3"/>
    <w:rsid w:val="23D26F32"/>
    <w:rsid w:val="23D305B4"/>
    <w:rsid w:val="23D61BFC"/>
    <w:rsid w:val="23D63ADC"/>
    <w:rsid w:val="23DA5DEF"/>
    <w:rsid w:val="23DC0A09"/>
    <w:rsid w:val="23DE19CD"/>
    <w:rsid w:val="23DF01E7"/>
    <w:rsid w:val="23DF4F24"/>
    <w:rsid w:val="23E14F55"/>
    <w:rsid w:val="23E20EB0"/>
    <w:rsid w:val="23E26A49"/>
    <w:rsid w:val="23E57D8D"/>
    <w:rsid w:val="23E63F89"/>
    <w:rsid w:val="23ED6BF0"/>
    <w:rsid w:val="23EF13FA"/>
    <w:rsid w:val="23F024D5"/>
    <w:rsid w:val="23F15E22"/>
    <w:rsid w:val="23F2091A"/>
    <w:rsid w:val="23F55856"/>
    <w:rsid w:val="23F618EE"/>
    <w:rsid w:val="23FA0237"/>
    <w:rsid w:val="24006C15"/>
    <w:rsid w:val="2401637B"/>
    <w:rsid w:val="2401705E"/>
    <w:rsid w:val="24021630"/>
    <w:rsid w:val="24037337"/>
    <w:rsid w:val="24057741"/>
    <w:rsid w:val="24064FA3"/>
    <w:rsid w:val="240746F2"/>
    <w:rsid w:val="24085042"/>
    <w:rsid w:val="24096039"/>
    <w:rsid w:val="240B2444"/>
    <w:rsid w:val="240B41C1"/>
    <w:rsid w:val="240D6212"/>
    <w:rsid w:val="240E2382"/>
    <w:rsid w:val="240F5A90"/>
    <w:rsid w:val="24113FB7"/>
    <w:rsid w:val="24132780"/>
    <w:rsid w:val="24154794"/>
    <w:rsid w:val="241810DF"/>
    <w:rsid w:val="241D5AE9"/>
    <w:rsid w:val="241F11F0"/>
    <w:rsid w:val="241F1A7A"/>
    <w:rsid w:val="241F4F39"/>
    <w:rsid w:val="241F6C8C"/>
    <w:rsid w:val="242206E9"/>
    <w:rsid w:val="24247DD2"/>
    <w:rsid w:val="24274E22"/>
    <w:rsid w:val="2428551A"/>
    <w:rsid w:val="242D5F16"/>
    <w:rsid w:val="24343749"/>
    <w:rsid w:val="243549A7"/>
    <w:rsid w:val="24373239"/>
    <w:rsid w:val="2439389C"/>
    <w:rsid w:val="243D1AF9"/>
    <w:rsid w:val="243E0B90"/>
    <w:rsid w:val="243E45C7"/>
    <w:rsid w:val="243F6843"/>
    <w:rsid w:val="244200D9"/>
    <w:rsid w:val="24466FD8"/>
    <w:rsid w:val="244A2AD6"/>
    <w:rsid w:val="244F0FD2"/>
    <w:rsid w:val="24506E1F"/>
    <w:rsid w:val="24515D4E"/>
    <w:rsid w:val="245F1927"/>
    <w:rsid w:val="2460453E"/>
    <w:rsid w:val="246062EC"/>
    <w:rsid w:val="2463062A"/>
    <w:rsid w:val="24650660"/>
    <w:rsid w:val="2468113A"/>
    <w:rsid w:val="246B2DAA"/>
    <w:rsid w:val="246F0BF0"/>
    <w:rsid w:val="24727DCD"/>
    <w:rsid w:val="24731CA2"/>
    <w:rsid w:val="24732E3B"/>
    <w:rsid w:val="24743B45"/>
    <w:rsid w:val="24790865"/>
    <w:rsid w:val="247B03C3"/>
    <w:rsid w:val="247D14FE"/>
    <w:rsid w:val="24825AF5"/>
    <w:rsid w:val="2486450E"/>
    <w:rsid w:val="24891FAE"/>
    <w:rsid w:val="248B003B"/>
    <w:rsid w:val="248C2FC2"/>
    <w:rsid w:val="248E7FDA"/>
    <w:rsid w:val="248F2C63"/>
    <w:rsid w:val="2493065F"/>
    <w:rsid w:val="249371C1"/>
    <w:rsid w:val="24967EF4"/>
    <w:rsid w:val="249C0481"/>
    <w:rsid w:val="249D7540"/>
    <w:rsid w:val="24A02EFC"/>
    <w:rsid w:val="24A3513A"/>
    <w:rsid w:val="24A40686"/>
    <w:rsid w:val="24A41095"/>
    <w:rsid w:val="24A84546"/>
    <w:rsid w:val="24A864B6"/>
    <w:rsid w:val="24A92885"/>
    <w:rsid w:val="24AC1823"/>
    <w:rsid w:val="24AD52A9"/>
    <w:rsid w:val="24AF4B7D"/>
    <w:rsid w:val="24B52F5F"/>
    <w:rsid w:val="24B6092B"/>
    <w:rsid w:val="24B63543"/>
    <w:rsid w:val="24B86773"/>
    <w:rsid w:val="24BA7D76"/>
    <w:rsid w:val="24BC54EC"/>
    <w:rsid w:val="24BD00D9"/>
    <w:rsid w:val="24C06D8A"/>
    <w:rsid w:val="24C12BDE"/>
    <w:rsid w:val="24C71522"/>
    <w:rsid w:val="24CE49EA"/>
    <w:rsid w:val="24CF32FF"/>
    <w:rsid w:val="24D40A88"/>
    <w:rsid w:val="24D428BE"/>
    <w:rsid w:val="24D5576B"/>
    <w:rsid w:val="24D61CD0"/>
    <w:rsid w:val="24D64800"/>
    <w:rsid w:val="24D71067"/>
    <w:rsid w:val="24D740D4"/>
    <w:rsid w:val="24DB0068"/>
    <w:rsid w:val="24DC25AF"/>
    <w:rsid w:val="24DF1D18"/>
    <w:rsid w:val="24E82E11"/>
    <w:rsid w:val="24E90E8E"/>
    <w:rsid w:val="24E94A9B"/>
    <w:rsid w:val="24EA2059"/>
    <w:rsid w:val="24ED1C2C"/>
    <w:rsid w:val="24F00B4F"/>
    <w:rsid w:val="24F37160"/>
    <w:rsid w:val="24F379E3"/>
    <w:rsid w:val="24F72BD5"/>
    <w:rsid w:val="24F8164E"/>
    <w:rsid w:val="24F9229C"/>
    <w:rsid w:val="24FB30EE"/>
    <w:rsid w:val="24FB5391"/>
    <w:rsid w:val="25042DA2"/>
    <w:rsid w:val="2509511A"/>
    <w:rsid w:val="250E5D48"/>
    <w:rsid w:val="25144F80"/>
    <w:rsid w:val="2519747F"/>
    <w:rsid w:val="251D242F"/>
    <w:rsid w:val="251E044D"/>
    <w:rsid w:val="2522186B"/>
    <w:rsid w:val="25237319"/>
    <w:rsid w:val="2527505B"/>
    <w:rsid w:val="25290DD3"/>
    <w:rsid w:val="252C06D7"/>
    <w:rsid w:val="253231F4"/>
    <w:rsid w:val="25363E8C"/>
    <w:rsid w:val="2537702A"/>
    <w:rsid w:val="25387269"/>
    <w:rsid w:val="253E3A4C"/>
    <w:rsid w:val="253F039F"/>
    <w:rsid w:val="25410903"/>
    <w:rsid w:val="254225DE"/>
    <w:rsid w:val="2545141C"/>
    <w:rsid w:val="254537D8"/>
    <w:rsid w:val="25473008"/>
    <w:rsid w:val="254D1F81"/>
    <w:rsid w:val="254D4832"/>
    <w:rsid w:val="25502385"/>
    <w:rsid w:val="255026DA"/>
    <w:rsid w:val="25520CCD"/>
    <w:rsid w:val="255319AC"/>
    <w:rsid w:val="25532054"/>
    <w:rsid w:val="25536979"/>
    <w:rsid w:val="25553E19"/>
    <w:rsid w:val="255908BE"/>
    <w:rsid w:val="25617B68"/>
    <w:rsid w:val="2564005E"/>
    <w:rsid w:val="25643BBA"/>
    <w:rsid w:val="25652AAC"/>
    <w:rsid w:val="256576FC"/>
    <w:rsid w:val="256B0559"/>
    <w:rsid w:val="256C0CC0"/>
    <w:rsid w:val="256C30A0"/>
    <w:rsid w:val="256E4A38"/>
    <w:rsid w:val="2573204F"/>
    <w:rsid w:val="25733194"/>
    <w:rsid w:val="25734D99"/>
    <w:rsid w:val="25755DC7"/>
    <w:rsid w:val="25776636"/>
    <w:rsid w:val="25783B09"/>
    <w:rsid w:val="257A33DD"/>
    <w:rsid w:val="257A344B"/>
    <w:rsid w:val="257B4A53"/>
    <w:rsid w:val="257C40A8"/>
    <w:rsid w:val="257C7E29"/>
    <w:rsid w:val="257F09F3"/>
    <w:rsid w:val="2583502A"/>
    <w:rsid w:val="258E50DA"/>
    <w:rsid w:val="258F17A1"/>
    <w:rsid w:val="258F75FF"/>
    <w:rsid w:val="25941823"/>
    <w:rsid w:val="25943CEA"/>
    <w:rsid w:val="2595315D"/>
    <w:rsid w:val="25956469"/>
    <w:rsid w:val="259C5381"/>
    <w:rsid w:val="259D531E"/>
    <w:rsid w:val="259F1096"/>
    <w:rsid w:val="25A0198E"/>
    <w:rsid w:val="25A06774"/>
    <w:rsid w:val="25A501B3"/>
    <w:rsid w:val="25A56244"/>
    <w:rsid w:val="25A6613C"/>
    <w:rsid w:val="25AA6505"/>
    <w:rsid w:val="25AB12EC"/>
    <w:rsid w:val="25AB633E"/>
    <w:rsid w:val="25B3069D"/>
    <w:rsid w:val="25B4037E"/>
    <w:rsid w:val="25B52B93"/>
    <w:rsid w:val="25B761D7"/>
    <w:rsid w:val="25B7674F"/>
    <w:rsid w:val="25B82157"/>
    <w:rsid w:val="25BA1A2C"/>
    <w:rsid w:val="25BA2F2C"/>
    <w:rsid w:val="25BE15D1"/>
    <w:rsid w:val="25C95073"/>
    <w:rsid w:val="25C96E85"/>
    <w:rsid w:val="25CC695D"/>
    <w:rsid w:val="25D06628"/>
    <w:rsid w:val="25D4309B"/>
    <w:rsid w:val="25DA20CE"/>
    <w:rsid w:val="25DD571A"/>
    <w:rsid w:val="25E1040B"/>
    <w:rsid w:val="25E53BFB"/>
    <w:rsid w:val="25E60B93"/>
    <w:rsid w:val="25E92392"/>
    <w:rsid w:val="25E929AA"/>
    <w:rsid w:val="25EB07A2"/>
    <w:rsid w:val="25ED2654"/>
    <w:rsid w:val="25F31ABE"/>
    <w:rsid w:val="25F3746A"/>
    <w:rsid w:val="25F448DB"/>
    <w:rsid w:val="25F77C13"/>
    <w:rsid w:val="25FA43DD"/>
    <w:rsid w:val="25FA451E"/>
    <w:rsid w:val="25FD0364"/>
    <w:rsid w:val="25FE0AFB"/>
    <w:rsid w:val="25FE6403"/>
    <w:rsid w:val="26011993"/>
    <w:rsid w:val="2605106C"/>
    <w:rsid w:val="260D0305"/>
    <w:rsid w:val="26125525"/>
    <w:rsid w:val="26137CFA"/>
    <w:rsid w:val="26143832"/>
    <w:rsid w:val="26147F1F"/>
    <w:rsid w:val="26150AF2"/>
    <w:rsid w:val="26153106"/>
    <w:rsid w:val="261D5B57"/>
    <w:rsid w:val="261E32B9"/>
    <w:rsid w:val="262338E4"/>
    <w:rsid w:val="26240869"/>
    <w:rsid w:val="26241155"/>
    <w:rsid w:val="262612C3"/>
    <w:rsid w:val="262B0183"/>
    <w:rsid w:val="262D48F3"/>
    <w:rsid w:val="263129AE"/>
    <w:rsid w:val="26335313"/>
    <w:rsid w:val="2634676E"/>
    <w:rsid w:val="263712CE"/>
    <w:rsid w:val="263901DB"/>
    <w:rsid w:val="263A1BF8"/>
    <w:rsid w:val="263A2B6C"/>
    <w:rsid w:val="263B7C1F"/>
    <w:rsid w:val="263C3CD7"/>
    <w:rsid w:val="2641067D"/>
    <w:rsid w:val="26455EBA"/>
    <w:rsid w:val="2648423E"/>
    <w:rsid w:val="264B2FF9"/>
    <w:rsid w:val="264D41A4"/>
    <w:rsid w:val="264D6D44"/>
    <w:rsid w:val="264E5338"/>
    <w:rsid w:val="265005E2"/>
    <w:rsid w:val="2652435A"/>
    <w:rsid w:val="26527EB6"/>
    <w:rsid w:val="265453B2"/>
    <w:rsid w:val="26552343"/>
    <w:rsid w:val="26572466"/>
    <w:rsid w:val="265754CC"/>
    <w:rsid w:val="265A1564"/>
    <w:rsid w:val="26627F9E"/>
    <w:rsid w:val="26693D5F"/>
    <w:rsid w:val="266A16A4"/>
    <w:rsid w:val="266B0F56"/>
    <w:rsid w:val="266B2624"/>
    <w:rsid w:val="266B661B"/>
    <w:rsid w:val="26713044"/>
    <w:rsid w:val="267B565F"/>
    <w:rsid w:val="267D1396"/>
    <w:rsid w:val="26827404"/>
    <w:rsid w:val="26832765"/>
    <w:rsid w:val="2684677B"/>
    <w:rsid w:val="268624ED"/>
    <w:rsid w:val="26906C30"/>
    <w:rsid w:val="2694227D"/>
    <w:rsid w:val="26946800"/>
    <w:rsid w:val="26962499"/>
    <w:rsid w:val="2697057C"/>
    <w:rsid w:val="2699341F"/>
    <w:rsid w:val="269D0906"/>
    <w:rsid w:val="269E2238"/>
    <w:rsid w:val="26A273AA"/>
    <w:rsid w:val="26A363FE"/>
    <w:rsid w:val="26A455D9"/>
    <w:rsid w:val="26A864E6"/>
    <w:rsid w:val="26AA5266"/>
    <w:rsid w:val="26AF70B6"/>
    <w:rsid w:val="26B11081"/>
    <w:rsid w:val="26B4291F"/>
    <w:rsid w:val="26B71CCE"/>
    <w:rsid w:val="26BB0AC2"/>
    <w:rsid w:val="26BB1EFF"/>
    <w:rsid w:val="26BD5C77"/>
    <w:rsid w:val="26C100E1"/>
    <w:rsid w:val="26C32B62"/>
    <w:rsid w:val="26C40A9F"/>
    <w:rsid w:val="26C41A4E"/>
    <w:rsid w:val="26CA2142"/>
    <w:rsid w:val="26CD578F"/>
    <w:rsid w:val="26D22DA5"/>
    <w:rsid w:val="26D41D9C"/>
    <w:rsid w:val="26D46B1D"/>
    <w:rsid w:val="26D77652"/>
    <w:rsid w:val="26DA6531"/>
    <w:rsid w:val="26DB1B9F"/>
    <w:rsid w:val="26DF76F3"/>
    <w:rsid w:val="26E31F9A"/>
    <w:rsid w:val="26E608E7"/>
    <w:rsid w:val="26E95599"/>
    <w:rsid w:val="26EC58DC"/>
    <w:rsid w:val="26EF3957"/>
    <w:rsid w:val="26F0213C"/>
    <w:rsid w:val="26F26E65"/>
    <w:rsid w:val="26FC32F6"/>
    <w:rsid w:val="26FE29FA"/>
    <w:rsid w:val="26FE3B9A"/>
    <w:rsid w:val="270056D5"/>
    <w:rsid w:val="270216C1"/>
    <w:rsid w:val="2705317A"/>
    <w:rsid w:val="2705521C"/>
    <w:rsid w:val="270608B2"/>
    <w:rsid w:val="270F5985"/>
    <w:rsid w:val="27114FD8"/>
    <w:rsid w:val="27115711"/>
    <w:rsid w:val="271454AD"/>
    <w:rsid w:val="2719216A"/>
    <w:rsid w:val="271C5F64"/>
    <w:rsid w:val="271D2F8E"/>
    <w:rsid w:val="271E456D"/>
    <w:rsid w:val="271F0DEE"/>
    <w:rsid w:val="27217E52"/>
    <w:rsid w:val="27232340"/>
    <w:rsid w:val="27263EF2"/>
    <w:rsid w:val="272711F0"/>
    <w:rsid w:val="27271343"/>
    <w:rsid w:val="27282656"/>
    <w:rsid w:val="272A1A72"/>
    <w:rsid w:val="272A6194"/>
    <w:rsid w:val="272B1609"/>
    <w:rsid w:val="272C0707"/>
    <w:rsid w:val="272E1912"/>
    <w:rsid w:val="272F1FA5"/>
    <w:rsid w:val="27305E80"/>
    <w:rsid w:val="273112C2"/>
    <w:rsid w:val="27315D1D"/>
    <w:rsid w:val="27381C5A"/>
    <w:rsid w:val="273849A0"/>
    <w:rsid w:val="273852FE"/>
    <w:rsid w:val="273D1941"/>
    <w:rsid w:val="273F2493"/>
    <w:rsid w:val="27433CA3"/>
    <w:rsid w:val="27441EF5"/>
    <w:rsid w:val="27450BF0"/>
    <w:rsid w:val="27457A1B"/>
    <w:rsid w:val="27475541"/>
    <w:rsid w:val="2748227B"/>
    <w:rsid w:val="274C2B57"/>
    <w:rsid w:val="27513195"/>
    <w:rsid w:val="27526802"/>
    <w:rsid w:val="27533EE6"/>
    <w:rsid w:val="27573D6E"/>
    <w:rsid w:val="2759240E"/>
    <w:rsid w:val="27596B1E"/>
    <w:rsid w:val="275A0816"/>
    <w:rsid w:val="275C37EE"/>
    <w:rsid w:val="275F1799"/>
    <w:rsid w:val="275F4685"/>
    <w:rsid w:val="2760372C"/>
    <w:rsid w:val="27606603"/>
    <w:rsid w:val="27620068"/>
    <w:rsid w:val="276205CD"/>
    <w:rsid w:val="27624129"/>
    <w:rsid w:val="27684A40"/>
    <w:rsid w:val="276F4797"/>
    <w:rsid w:val="2771744A"/>
    <w:rsid w:val="277545C5"/>
    <w:rsid w:val="277702D7"/>
    <w:rsid w:val="2778394C"/>
    <w:rsid w:val="277C40BD"/>
    <w:rsid w:val="277D7431"/>
    <w:rsid w:val="277F1333"/>
    <w:rsid w:val="27842D7D"/>
    <w:rsid w:val="27867F1C"/>
    <w:rsid w:val="278B3ADD"/>
    <w:rsid w:val="278D39F6"/>
    <w:rsid w:val="278E28DE"/>
    <w:rsid w:val="278E4F1E"/>
    <w:rsid w:val="279A585C"/>
    <w:rsid w:val="279D3598"/>
    <w:rsid w:val="279D549A"/>
    <w:rsid w:val="27A06325"/>
    <w:rsid w:val="27A56564"/>
    <w:rsid w:val="27AB5FF2"/>
    <w:rsid w:val="27AC404B"/>
    <w:rsid w:val="27B626C7"/>
    <w:rsid w:val="27B939C5"/>
    <w:rsid w:val="27BC1E7A"/>
    <w:rsid w:val="27BF16DB"/>
    <w:rsid w:val="27BF3FDB"/>
    <w:rsid w:val="27C17DCB"/>
    <w:rsid w:val="27C36058"/>
    <w:rsid w:val="27C3777F"/>
    <w:rsid w:val="27C46164"/>
    <w:rsid w:val="27C6290A"/>
    <w:rsid w:val="27C64E63"/>
    <w:rsid w:val="27CB43C4"/>
    <w:rsid w:val="27CC3C98"/>
    <w:rsid w:val="27CC406E"/>
    <w:rsid w:val="27CE64E0"/>
    <w:rsid w:val="27D04CFE"/>
    <w:rsid w:val="27D50C46"/>
    <w:rsid w:val="27D52B4D"/>
    <w:rsid w:val="27D72D69"/>
    <w:rsid w:val="27E13374"/>
    <w:rsid w:val="27E2170E"/>
    <w:rsid w:val="27E62F33"/>
    <w:rsid w:val="27E90FA6"/>
    <w:rsid w:val="27E92A9C"/>
    <w:rsid w:val="27EA339A"/>
    <w:rsid w:val="27EB293F"/>
    <w:rsid w:val="27EF4666"/>
    <w:rsid w:val="27F22A82"/>
    <w:rsid w:val="27F356C9"/>
    <w:rsid w:val="27F427EF"/>
    <w:rsid w:val="27F51441"/>
    <w:rsid w:val="27F54CEC"/>
    <w:rsid w:val="27FA25B3"/>
    <w:rsid w:val="27FB38C0"/>
    <w:rsid w:val="27FC457D"/>
    <w:rsid w:val="28000212"/>
    <w:rsid w:val="280276BA"/>
    <w:rsid w:val="28033B5E"/>
    <w:rsid w:val="28037FA1"/>
    <w:rsid w:val="28041684"/>
    <w:rsid w:val="28085663"/>
    <w:rsid w:val="280A3E3D"/>
    <w:rsid w:val="280D1027"/>
    <w:rsid w:val="280E5984"/>
    <w:rsid w:val="281009B8"/>
    <w:rsid w:val="28126BBF"/>
    <w:rsid w:val="28127C99"/>
    <w:rsid w:val="281411CD"/>
    <w:rsid w:val="28153891"/>
    <w:rsid w:val="28162678"/>
    <w:rsid w:val="28164F13"/>
    <w:rsid w:val="28185E93"/>
    <w:rsid w:val="28187D56"/>
    <w:rsid w:val="2819675E"/>
    <w:rsid w:val="281C69CE"/>
    <w:rsid w:val="282056BC"/>
    <w:rsid w:val="28237D5C"/>
    <w:rsid w:val="28251E84"/>
    <w:rsid w:val="28275150"/>
    <w:rsid w:val="28277734"/>
    <w:rsid w:val="282E6701"/>
    <w:rsid w:val="282F6EC9"/>
    <w:rsid w:val="28302DCC"/>
    <w:rsid w:val="28312DD0"/>
    <w:rsid w:val="28325B62"/>
    <w:rsid w:val="28327F9F"/>
    <w:rsid w:val="28333D17"/>
    <w:rsid w:val="2835231A"/>
    <w:rsid w:val="283711A1"/>
    <w:rsid w:val="28372B7F"/>
    <w:rsid w:val="283870F5"/>
    <w:rsid w:val="28390908"/>
    <w:rsid w:val="28390B07"/>
    <w:rsid w:val="283B63BD"/>
    <w:rsid w:val="283C2BCC"/>
    <w:rsid w:val="283E2877"/>
    <w:rsid w:val="2845565B"/>
    <w:rsid w:val="28463A4A"/>
    <w:rsid w:val="284B2CED"/>
    <w:rsid w:val="284C7BC8"/>
    <w:rsid w:val="284E5C24"/>
    <w:rsid w:val="284F152B"/>
    <w:rsid w:val="285044F3"/>
    <w:rsid w:val="28540818"/>
    <w:rsid w:val="28583373"/>
    <w:rsid w:val="2858447E"/>
    <w:rsid w:val="285B5377"/>
    <w:rsid w:val="285B7D7C"/>
    <w:rsid w:val="2862462E"/>
    <w:rsid w:val="286345FC"/>
    <w:rsid w:val="28642123"/>
    <w:rsid w:val="28645438"/>
    <w:rsid w:val="2866708D"/>
    <w:rsid w:val="28667C49"/>
    <w:rsid w:val="286B45A6"/>
    <w:rsid w:val="286E6DDD"/>
    <w:rsid w:val="28700AC7"/>
    <w:rsid w:val="287134BA"/>
    <w:rsid w:val="287457A3"/>
    <w:rsid w:val="28746132"/>
    <w:rsid w:val="28792828"/>
    <w:rsid w:val="287A763D"/>
    <w:rsid w:val="287D2485"/>
    <w:rsid w:val="287E4F92"/>
    <w:rsid w:val="288051AE"/>
    <w:rsid w:val="28812CD5"/>
    <w:rsid w:val="28831186"/>
    <w:rsid w:val="2884003E"/>
    <w:rsid w:val="288665AC"/>
    <w:rsid w:val="288C0653"/>
    <w:rsid w:val="288C50AC"/>
    <w:rsid w:val="288E003E"/>
    <w:rsid w:val="288F702E"/>
    <w:rsid w:val="28934117"/>
    <w:rsid w:val="28961519"/>
    <w:rsid w:val="28976FB7"/>
    <w:rsid w:val="289C3008"/>
    <w:rsid w:val="28A1297A"/>
    <w:rsid w:val="28A30E9D"/>
    <w:rsid w:val="28A44A06"/>
    <w:rsid w:val="28A57C39"/>
    <w:rsid w:val="28A864B3"/>
    <w:rsid w:val="28AC7C95"/>
    <w:rsid w:val="28AF15F0"/>
    <w:rsid w:val="28B11647"/>
    <w:rsid w:val="28B208E1"/>
    <w:rsid w:val="28B25A48"/>
    <w:rsid w:val="28B33500"/>
    <w:rsid w:val="28B555A8"/>
    <w:rsid w:val="28B9246E"/>
    <w:rsid w:val="28BD4DD7"/>
    <w:rsid w:val="28BE0B66"/>
    <w:rsid w:val="28BF3029"/>
    <w:rsid w:val="28BF3505"/>
    <w:rsid w:val="28C63C18"/>
    <w:rsid w:val="28C849A8"/>
    <w:rsid w:val="28CC07BF"/>
    <w:rsid w:val="28CD6CD8"/>
    <w:rsid w:val="28CE48AE"/>
    <w:rsid w:val="28D07266"/>
    <w:rsid w:val="28D303FE"/>
    <w:rsid w:val="28D948BF"/>
    <w:rsid w:val="28DA55D4"/>
    <w:rsid w:val="28DC0708"/>
    <w:rsid w:val="28DD795B"/>
    <w:rsid w:val="28E7211F"/>
    <w:rsid w:val="28E725A8"/>
    <w:rsid w:val="28E77BA0"/>
    <w:rsid w:val="28E9233C"/>
    <w:rsid w:val="28EB4964"/>
    <w:rsid w:val="28EF5E90"/>
    <w:rsid w:val="28F03B0B"/>
    <w:rsid w:val="28F14933"/>
    <w:rsid w:val="28F434A6"/>
    <w:rsid w:val="28F60DD4"/>
    <w:rsid w:val="28F64045"/>
    <w:rsid w:val="28F6721F"/>
    <w:rsid w:val="28F7315B"/>
    <w:rsid w:val="28F74874"/>
    <w:rsid w:val="28FB65E3"/>
    <w:rsid w:val="28FB6B38"/>
    <w:rsid w:val="28FD68C7"/>
    <w:rsid w:val="290027F2"/>
    <w:rsid w:val="290D6316"/>
    <w:rsid w:val="291006B8"/>
    <w:rsid w:val="29155BB2"/>
    <w:rsid w:val="29156E5D"/>
    <w:rsid w:val="291727AB"/>
    <w:rsid w:val="2917540A"/>
    <w:rsid w:val="291A2E01"/>
    <w:rsid w:val="2920285F"/>
    <w:rsid w:val="29212575"/>
    <w:rsid w:val="29226D9D"/>
    <w:rsid w:val="29242FD1"/>
    <w:rsid w:val="2927562A"/>
    <w:rsid w:val="292902A4"/>
    <w:rsid w:val="29310375"/>
    <w:rsid w:val="29331AC6"/>
    <w:rsid w:val="29347D47"/>
    <w:rsid w:val="29352B40"/>
    <w:rsid w:val="293712A2"/>
    <w:rsid w:val="293935AF"/>
    <w:rsid w:val="293B7327"/>
    <w:rsid w:val="293F312A"/>
    <w:rsid w:val="29424212"/>
    <w:rsid w:val="294262B9"/>
    <w:rsid w:val="29431BAE"/>
    <w:rsid w:val="29473412"/>
    <w:rsid w:val="294759E8"/>
    <w:rsid w:val="294C2F70"/>
    <w:rsid w:val="294F4615"/>
    <w:rsid w:val="295403E9"/>
    <w:rsid w:val="295D53A7"/>
    <w:rsid w:val="295D6ADE"/>
    <w:rsid w:val="295F1CB2"/>
    <w:rsid w:val="296013D7"/>
    <w:rsid w:val="296022E2"/>
    <w:rsid w:val="29603EB3"/>
    <w:rsid w:val="296158E7"/>
    <w:rsid w:val="29626663"/>
    <w:rsid w:val="29630FD4"/>
    <w:rsid w:val="2964062C"/>
    <w:rsid w:val="2964687E"/>
    <w:rsid w:val="29695C42"/>
    <w:rsid w:val="296D52A1"/>
    <w:rsid w:val="297458AE"/>
    <w:rsid w:val="29760D6C"/>
    <w:rsid w:val="297B5986"/>
    <w:rsid w:val="297D5829"/>
    <w:rsid w:val="297D5830"/>
    <w:rsid w:val="297F5482"/>
    <w:rsid w:val="29827B2E"/>
    <w:rsid w:val="29834178"/>
    <w:rsid w:val="29865CC7"/>
    <w:rsid w:val="298712A2"/>
    <w:rsid w:val="2987256D"/>
    <w:rsid w:val="298A36D3"/>
    <w:rsid w:val="298A4F2C"/>
    <w:rsid w:val="298D7242"/>
    <w:rsid w:val="298F31CF"/>
    <w:rsid w:val="29932436"/>
    <w:rsid w:val="299407E6"/>
    <w:rsid w:val="299802D6"/>
    <w:rsid w:val="299A710B"/>
    <w:rsid w:val="299B0448"/>
    <w:rsid w:val="299C30F1"/>
    <w:rsid w:val="299E494A"/>
    <w:rsid w:val="299F19D2"/>
    <w:rsid w:val="29A40D6B"/>
    <w:rsid w:val="29A45B53"/>
    <w:rsid w:val="29A46C7B"/>
    <w:rsid w:val="29AA0009"/>
    <w:rsid w:val="29AA7DB4"/>
    <w:rsid w:val="29AC3D81"/>
    <w:rsid w:val="29AF3F5E"/>
    <w:rsid w:val="29B036B5"/>
    <w:rsid w:val="29B10E1A"/>
    <w:rsid w:val="29B231BB"/>
    <w:rsid w:val="29B36EBE"/>
    <w:rsid w:val="29B543DE"/>
    <w:rsid w:val="29B61260"/>
    <w:rsid w:val="29B772F9"/>
    <w:rsid w:val="29C241DE"/>
    <w:rsid w:val="29C34F55"/>
    <w:rsid w:val="29C448AF"/>
    <w:rsid w:val="29C5178E"/>
    <w:rsid w:val="29C879A0"/>
    <w:rsid w:val="29CA4207"/>
    <w:rsid w:val="29CA5CAE"/>
    <w:rsid w:val="29CC1CFC"/>
    <w:rsid w:val="29CE5AA6"/>
    <w:rsid w:val="29D86924"/>
    <w:rsid w:val="29D95D68"/>
    <w:rsid w:val="29DD3F3B"/>
    <w:rsid w:val="29DE3273"/>
    <w:rsid w:val="29DF4157"/>
    <w:rsid w:val="29E21551"/>
    <w:rsid w:val="29E307BC"/>
    <w:rsid w:val="29E46B85"/>
    <w:rsid w:val="29E9291C"/>
    <w:rsid w:val="29E96D83"/>
    <w:rsid w:val="29ED4A29"/>
    <w:rsid w:val="29EF6D69"/>
    <w:rsid w:val="29F24455"/>
    <w:rsid w:val="29F7287D"/>
    <w:rsid w:val="29F72FB0"/>
    <w:rsid w:val="29FB0C3E"/>
    <w:rsid w:val="29FB2613"/>
    <w:rsid w:val="29FC1BC0"/>
    <w:rsid w:val="29FE3B8E"/>
    <w:rsid w:val="2A010D9F"/>
    <w:rsid w:val="2A0616E3"/>
    <w:rsid w:val="2A0B3B50"/>
    <w:rsid w:val="2A10482E"/>
    <w:rsid w:val="2A132D54"/>
    <w:rsid w:val="2A166020"/>
    <w:rsid w:val="2A16744D"/>
    <w:rsid w:val="2A1B4642"/>
    <w:rsid w:val="2A1D409C"/>
    <w:rsid w:val="2A1F34D4"/>
    <w:rsid w:val="2A1F4744"/>
    <w:rsid w:val="2A2320CF"/>
    <w:rsid w:val="2A2429D8"/>
    <w:rsid w:val="2A27165A"/>
    <w:rsid w:val="2A277653"/>
    <w:rsid w:val="2A2D5918"/>
    <w:rsid w:val="2A30605C"/>
    <w:rsid w:val="2A32072A"/>
    <w:rsid w:val="2A35718D"/>
    <w:rsid w:val="2A3B777E"/>
    <w:rsid w:val="2A3D1827"/>
    <w:rsid w:val="2A3E46B1"/>
    <w:rsid w:val="2A3F69A3"/>
    <w:rsid w:val="2A401725"/>
    <w:rsid w:val="2A461AE0"/>
    <w:rsid w:val="2A4738AF"/>
    <w:rsid w:val="2A4E4E38"/>
    <w:rsid w:val="2A5162CF"/>
    <w:rsid w:val="2A52660F"/>
    <w:rsid w:val="2A532B82"/>
    <w:rsid w:val="2A550F99"/>
    <w:rsid w:val="2A571F3F"/>
    <w:rsid w:val="2A5979A0"/>
    <w:rsid w:val="2A5E151F"/>
    <w:rsid w:val="2A5F5886"/>
    <w:rsid w:val="2A6004B5"/>
    <w:rsid w:val="2A611121"/>
    <w:rsid w:val="2A612DBE"/>
    <w:rsid w:val="2A677CA8"/>
    <w:rsid w:val="2A68414C"/>
    <w:rsid w:val="2A69228E"/>
    <w:rsid w:val="2A6B59EA"/>
    <w:rsid w:val="2A6B7798"/>
    <w:rsid w:val="2A6C596E"/>
    <w:rsid w:val="2A6F54DA"/>
    <w:rsid w:val="2A7175A1"/>
    <w:rsid w:val="2A727AC6"/>
    <w:rsid w:val="2A742AF1"/>
    <w:rsid w:val="2A752626"/>
    <w:rsid w:val="2A7610F3"/>
    <w:rsid w:val="2A777BFB"/>
    <w:rsid w:val="2A7B200E"/>
    <w:rsid w:val="2A7C7BF7"/>
    <w:rsid w:val="2A842608"/>
    <w:rsid w:val="2A8E16D9"/>
    <w:rsid w:val="2A953B0E"/>
    <w:rsid w:val="2A97233B"/>
    <w:rsid w:val="2A994305"/>
    <w:rsid w:val="2A9B74D0"/>
    <w:rsid w:val="2A9D34F9"/>
    <w:rsid w:val="2A9E7255"/>
    <w:rsid w:val="2AA27047"/>
    <w:rsid w:val="2AA27121"/>
    <w:rsid w:val="2AA5080F"/>
    <w:rsid w:val="2AA739BC"/>
    <w:rsid w:val="2AAA4765"/>
    <w:rsid w:val="2AAC30E2"/>
    <w:rsid w:val="2AAD3254"/>
    <w:rsid w:val="2AAD7DB1"/>
    <w:rsid w:val="2AAF1D7B"/>
    <w:rsid w:val="2AB65389"/>
    <w:rsid w:val="2AB7478C"/>
    <w:rsid w:val="2AB7640D"/>
    <w:rsid w:val="2AB8024A"/>
    <w:rsid w:val="2ABB0155"/>
    <w:rsid w:val="2ABE3D6C"/>
    <w:rsid w:val="2ABE5B1A"/>
    <w:rsid w:val="2ABF3794"/>
    <w:rsid w:val="2ABF7E0F"/>
    <w:rsid w:val="2AC33130"/>
    <w:rsid w:val="2AC75FE8"/>
    <w:rsid w:val="2ACA4DE4"/>
    <w:rsid w:val="2AD321A5"/>
    <w:rsid w:val="2AD41652"/>
    <w:rsid w:val="2AD6400C"/>
    <w:rsid w:val="2AD6555A"/>
    <w:rsid w:val="2AD73AAA"/>
    <w:rsid w:val="2AD7622E"/>
    <w:rsid w:val="2ADD6A85"/>
    <w:rsid w:val="2AE20F52"/>
    <w:rsid w:val="2AE412F9"/>
    <w:rsid w:val="2AE63830"/>
    <w:rsid w:val="2AE80414"/>
    <w:rsid w:val="2AE93057"/>
    <w:rsid w:val="2AE962EB"/>
    <w:rsid w:val="2AED28A3"/>
    <w:rsid w:val="2AF015D1"/>
    <w:rsid w:val="2AF10FC4"/>
    <w:rsid w:val="2AF221B5"/>
    <w:rsid w:val="2AF2541E"/>
    <w:rsid w:val="2AFA1BEF"/>
    <w:rsid w:val="2AFA655C"/>
    <w:rsid w:val="2AFB2D49"/>
    <w:rsid w:val="2AFC349E"/>
    <w:rsid w:val="2AFD0BD7"/>
    <w:rsid w:val="2AFE098F"/>
    <w:rsid w:val="2B006133"/>
    <w:rsid w:val="2B0A0935"/>
    <w:rsid w:val="2B0A1D97"/>
    <w:rsid w:val="2B0B3FD2"/>
    <w:rsid w:val="2B0D0850"/>
    <w:rsid w:val="2B130CE6"/>
    <w:rsid w:val="2B14054C"/>
    <w:rsid w:val="2B1C20CD"/>
    <w:rsid w:val="2B2067D5"/>
    <w:rsid w:val="2B22254D"/>
    <w:rsid w:val="2B230073"/>
    <w:rsid w:val="2B243A89"/>
    <w:rsid w:val="2B2515CB"/>
    <w:rsid w:val="2B25752B"/>
    <w:rsid w:val="2B274302"/>
    <w:rsid w:val="2B282F05"/>
    <w:rsid w:val="2B3264F9"/>
    <w:rsid w:val="2B331284"/>
    <w:rsid w:val="2B354977"/>
    <w:rsid w:val="2B3617BA"/>
    <w:rsid w:val="2B376480"/>
    <w:rsid w:val="2B3B53BD"/>
    <w:rsid w:val="2B3B630C"/>
    <w:rsid w:val="2B3C2072"/>
    <w:rsid w:val="2B3D345D"/>
    <w:rsid w:val="2B3E6C5B"/>
    <w:rsid w:val="2B3F23E7"/>
    <w:rsid w:val="2B401844"/>
    <w:rsid w:val="2B417602"/>
    <w:rsid w:val="2B430715"/>
    <w:rsid w:val="2B44271B"/>
    <w:rsid w:val="2B481888"/>
    <w:rsid w:val="2B4B28F2"/>
    <w:rsid w:val="2B500237"/>
    <w:rsid w:val="2B5039A3"/>
    <w:rsid w:val="2B5917F8"/>
    <w:rsid w:val="2B5949B1"/>
    <w:rsid w:val="2B5A1A3C"/>
    <w:rsid w:val="2B5B780D"/>
    <w:rsid w:val="2B5D2D15"/>
    <w:rsid w:val="2B6111BC"/>
    <w:rsid w:val="2B612718"/>
    <w:rsid w:val="2B6200F2"/>
    <w:rsid w:val="2B620B9B"/>
    <w:rsid w:val="2B636A95"/>
    <w:rsid w:val="2B6567BF"/>
    <w:rsid w:val="2B6616DF"/>
    <w:rsid w:val="2B6C1A1A"/>
    <w:rsid w:val="2B6D012E"/>
    <w:rsid w:val="2B71099F"/>
    <w:rsid w:val="2B732E07"/>
    <w:rsid w:val="2B7D1204"/>
    <w:rsid w:val="2B7E39E7"/>
    <w:rsid w:val="2B7F0A18"/>
    <w:rsid w:val="2B8027DA"/>
    <w:rsid w:val="2B8C3147"/>
    <w:rsid w:val="2B8D373E"/>
    <w:rsid w:val="2B8E1990"/>
    <w:rsid w:val="2B8E2438"/>
    <w:rsid w:val="2B8F21F0"/>
    <w:rsid w:val="2B90559F"/>
    <w:rsid w:val="2B912078"/>
    <w:rsid w:val="2B9454DA"/>
    <w:rsid w:val="2B955D28"/>
    <w:rsid w:val="2B9E18BC"/>
    <w:rsid w:val="2BA15BBA"/>
    <w:rsid w:val="2BA215F0"/>
    <w:rsid w:val="2BA21FAD"/>
    <w:rsid w:val="2BA3260E"/>
    <w:rsid w:val="2BA47C5D"/>
    <w:rsid w:val="2BA66955"/>
    <w:rsid w:val="2BA8078D"/>
    <w:rsid w:val="2BA97AD6"/>
    <w:rsid w:val="2BAB3791"/>
    <w:rsid w:val="2BB21C62"/>
    <w:rsid w:val="2BB47198"/>
    <w:rsid w:val="2BB61AE5"/>
    <w:rsid w:val="2BB67139"/>
    <w:rsid w:val="2BBA0FDA"/>
    <w:rsid w:val="2BBB02AC"/>
    <w:rsid w:val="2BC047A8"/>
    <w:rsid w:val="2BC35C79"/>
    <w:rsid w:val="2BC43B92"/>
    <w:rsid w:val="2BC47B06"/>
    <w:rsid w:val="2BC57BD6"/>
    <w:rsid w:val="2BC70162"/>
    <w:rsid w:val="2BCB28BA"/>
    <w:rsid w:val="2BCD62F0"/>
    <w:rsid w:val="2BCE5F4F"/>
    <w:rsid w:val="2BD00DFF"/>
    <w:rsid w:val="2BD10CEF"/>
    <w:rsid w:val="2BD31A99"/>
    <w:rsid w:val="2BD361E4"/>
    <w:rsid w:val="2BD40E84"/>
    <w:rsid w:val="2BD56553"/>
    <w:rsid w:val="2BD60D0D"/>
    <w:rsid w:val="2BD66E93"/>
    <w:rsid w:val="2BD9141E"/>
    <w:rsid w:val="2BDA1DB6"/>
    <w:rsid w:val="2BDB54DC"/>
    <w:rsid w:val="2BDE5160"/>
    <w:rsid w:val="2BE07D12"/>
    <w:rsid w:val="2BE2316D"/>
    <w:rsid w:val="2BE23A8A"/>
    <w:rsid w:val="2BE31E5A"/>
    <w:rsid w:val="2BE43568"/>
    <w:rsid w:val="2BE4499D"/>
    <w:rsid w:val="2BE94C96"/>
    <w:rsid w:val="2BEA79C8"/>
    <w:rsid w:val="2BEB2F9E"/>
    <w:rsid w:val="2BF11F1F"/>
    <w:rsid w:val="2BF12828"/>
    <w:rsid w:val="2BF23233"/>
    <w:rsid w:val="2BF26AF0"/>
    <w:rsid w:val="2BF44F91"/>
    <w:rsid w:val="2BF6650A"/>
    <w:rsid w:val="2BFA59DD"/>
    <w:rsid w:val="2BFC16C4"/>
    <w:rsid w:val="2C015FA1"/>
    <w:rsid w:val="2C0314D0"/>
    <w:rsid w:val="2C0460FA"/>
    <w:rsid w:val="2C0559CB"/>
    <w:rsid w:val="2C0B68EF"/>
    <w:rsid w:val="2C0C0B07"/>
    <w:rsid w:val="2C0C2053"/>
    <w:rsid w:val="2C0D32DF"/>
    <w:rsid w:val="2C0D7863"/>
    <w:rsid w:val="2C116084"/>
    <w:rsid w:val="2C1278E8"/>
    <w:rsid w:val="2C15675A"/>
    <w:rsid w:val="2C157E00"/>
    <w:rsid w:val="2C17461C"/>
    <w:rsid w:val="2C1B47E9"/>
    <w:rsid w:val="2C1C3440"/>
    <w:rsid w:val="2C1E29BF"/>
    <w:rsid w:val="2C1E4681"/>
    <w:rsid w:val="2C237B89"/>
    <w:rsid w:val="2C24182D"/>
    <w:rsid w:val="2C2B3683"/>
    <w:rsid w:val="2C2C5018"/>
    <w:rsid w:val="2C2E4F21"/>
    <w:rsid w:val="2C2F3B77"/>
    <w:rsid w:val="2C2F6C5B"/>
    <w:rsid w:val="2C303931"/>
    <w:rsid w:val="2C31778E"/>
    <w:rsid w:val="2C3936FA"/>
    <w:rsid w:val="2C3A0D65"/>
    <w:rsid w:val="2C3A1B18"/>
    <w:rsid w:val="2C3C36C0"/>
    <w:rsid w:val="2C405E5E"/>
    <w:rsid w:val="2C4219EE"/>
    <w:rsid w:val="2C441BA0"/>
    <w:rsid w:val="2C453C76"/>
    <w:rsid w:val="2C4A2591"/>
    <w:rsid w:val="2C502114"/>
    <w:rsid w:val="2C513AFF"/>
    <w:rsid w:val="2C536736"/>
    <w:rsid w:val="2C544A0B"/>
    <w:rsid w:val="2C5524AE"/>
    <w:rsid w:val="2C56116B"/>
    <w:rsid w:val="2C5807EF"/>
    <w:rsid w:val="2C5C1551"/>
    <w:rsid w:val="2C5D211A"/>
    <w:rsid w:val="2C5E3501"/>
    <w:rsid w:val="2C602C01"/>
    <w:rsid w:val="2C624BCB"/>
    <w:rsid w:val="2C626979"/>
    <w:rsid w:val="2C627055"/>
    <w:rsid w:val="2C6426F1"/>
    <w:rsid w:val="2C6907FE"/>
    <w:rsid w:val="2C6C3678"/>
    <w:rsid w:val="2C6E0B7D"/>
    <w:rsid w:val="2C717FBF"/>
    <w:rsid w:val="2C731569"/>
    <w:rsid w:val="2C7566AC"/>
    <w:rsid w:val="2C775117"/>
    <w:rsid w:val="2C793E90"/>
    <w:rsid w:val="2C7A05F5"/>
    <w:rsid w:val="2C7B2A34"/>
    <w:rsid w:val="2C7C04FF"/>
    <w:rsid w:val="2C7E7C57"/>
    <w:rsid w:val="2C802E20"/>
    <w:rsid w:val="2C803D54"/>
    <w:rsid w:val="2C806893"/>
    <w:rsid w:val="2C894F11"/>
    <w:rsid w:val="2C8C5B08"/>
    <w:rsid w:val="2C8E38A2"/>
    <w:rsid w:val="2C8E7DB1"/>
    <w:rsid w:val="2C923702"/>
    <w:rsid w:val="2C940BB2"/>
    <w:rsid w:val="2C9411C3"/>
    <w:rsid w:val="2C976847"/>
    <w:rsid w:val="2C9B0FB9"/>
    <w:rsid w:val="2C9E7F03"/>
    <w:rsid w:val="2CA23219"/>
    <w:rsid w:val="2CA2397C"/>
    <w:rsid w:val="2CA43263"/>
    <w:rsid w:val="2CA46912"/>
    <w:rsid w:val="2CA46F92"/>
    <w:rsid w:val="2CA60F5C"/>
    <w:rsid w:val="2CA72E78"/>
    <w:rsid w:val="2CA843FA"/>
    <w:rsid w:val="2CAE1688"/>
    <w:rsid w:val="2CB2345D"/>
    <w:rsid w:val="2CB371D5"/>
    <w:rsid w:val="2CB5119F"/>
    <w:rsid w:val="2CB52F4D"/>
    <w:rsid w:val="2CB71694"/>
    <w:rsid w:val="2CB74F17"/>
    <w:rsid w:val="2CB82A3D"/>
    <w:rsid w:val="2CBA592E"/>
    <w:rsid w:val="2CBB2EFA"/>
    <w:rsid w:val="2CBC44CC"/>
    <w:rsid w:val="2CC00849"/>
    <w:rsid w:val="2CC05842"/>
    <w:rsid w:val="2CC12C31"/>
    <w:rsid w:val="2CC413E2"/>
    <w:rsid w:val="2CC5764A"/>
    <w:rsid w:val="2CC66F08"/>
    <w:rsid w:val="2CC95E54"/>
    <w:rsid w:val="2CD1535C"/>
    <w:rsid w:val="2CD530E0"/>
    <w:rsid w:val="2CD613D6"/>
    <w:rsid w:val="2CD71115"/>
    <w:rsid w:val="2CD812B0"/>
    <w:rsid w:val="2CDA1EA6"/>
    <w:rsid w:val="2CDC7998"/>
    <w:rsid w:val="2CDE2BC5"/>
    <w:rsid w:val="2CDE6A33"/>
    <w:rsid w:val="2CDF1CD0"/>
    <w:rsid w:val="2CE35D0C"/>
    <w:rsid w:val="2CE65C7D"/>
    <w:rsid w:val="2CF0667B"/>
    <w:rsid w:val="2CF26D71"/>
    <w:rsid w:val="2CF3149E"/>
    <w:rsid w:val="2CF46A1A"/>
    <w:rsid w:val="2CF46E61"/>
    <w:rsid w:val="2CF61EDE"/>
    <w:rsid w:val="2CF74BC1"/>
    <w:rsid w:val="2CF75313"/>
    <w:rsid w:val="2CF92AE1"/>
    <w:rsid w:val="2CF954B7"/>
    <w:rsid w:val="2CFC6DCE"/>
    <w:rsid w:val="2CFC70F4"/>
    <w:rsid w:val="2CFF7460"/>
    <w:rsid w:val="2D000018"/>
    <w:rsid w:val="2D00468F"/>
    <w:rsid w:val="2D01054B"/>
    <w:rsid w:val="2D012636"/>
    <w:rsid w:val="2D03631B"/>
    <w:rsid w:val="2D044530"/>
    <w:rsid w:val="2D064C0C"/>
    <w:rsid w:val="2D0839C4"/>
    <w:rsid w:val="2D095047"/>
    <w:rsid w:val="2D0B3D7B"/>
    <w:rsid w:val="2D0B75EF"/>
    <w:rsid w:val="2D0D0D9E"/>
    <w:rsid w:val="2D0E4710"/>
    <w:rsid w:val="2D1166CA"/>
    <w:rsid w:val="2D151C3D"/>
    <w:rsid w:val="2D155826"/>
    <w:rsid w:val="2D1623D7"/>
    <w:rsid w:val="2D19172E"/>
    <w:rsid w:val="2D1A1CF9"/>
    <w:rsid w:val="2D205A01"/>
    <w:rsid w:val="2D254C2F"/>
    <w:rsid w:val="2D2554B3"/>
    <w:rsid w:val="2D255661"/>
    <w:rsid w:val="2D280B7D"/>
    <w:rsid w:val="2D2A2CC5"/>
    <w:rsid w:val="2D2A393B"/>
    <w:rsid w:val="2D300825"/>
    <w:rsid w:val="2D371F49"/>
    <w:rsid w:val="2D391DD0"/>
    <w:rsid w:val="2D396113"/>
    <w:rsid w:val="2D3A65CF"/>
    <w:rsid w:val="2D3E73E6"/>
    <w:rsid w:val="2D404F0C"/>
    <w:rsid w:val="2D422AE6"/>
    <w:rsid w:val="2D44561C"/>
    <w:rsid w:val="2D4744ED"/>
    <w:rsid w:val="2D485B6F"/>
    <w:rsid w:val="2D4D587B"/>
    <w:rsid w:val="2D4F086E"/>
    <w:rsid w:val="2D4F2752"/>
    <w:rsid w:val="2D510EC7"/>
    <w:rsid w:val="2D5704A8"/>
    <w:rsid w:val="2D582EE4"/>
    <w:rsid w:val="2D5926AB"/>
    <w:rsid w:val="2D595FCE"/>
    <w:rsid w:val="2D5A7705"/>
    <w:rsid w:val="2D5D1702"/>
    <w:rsid w:val="2D614EDD"/>
    <w:rsid w:val="2D641C47"/>
    <w:rsid w:val="2D666D51"/>
    <w:rsid w:val="2D677722"/>
    <w:rsid w:val="2D685441"/>
    <w:rsid w:val="2D6C6D9B"/>
    <w:rsid w:val="2D6D0E47"/>
    <w:rsid w:val="2D6D2812"/>
    <w:rsid w:val="2D727090"/>
    <w:rsid w:val="2D743AE8"/>
    <w:rsid w:val="2D7805F1"/>
    <w:rsid w:val="2D7921CC"/>
    <w:rsid w:val="2D7C63D0"/>
    <w:rsid w:val="2D7D1B84"/>
    <w:rsid w:val="2D7D2A99"/>
    <w:rsid w:val="2D7F46F6"/>
    <w:rsid w:val="2D8017AD"/>
    <w:rsid w:val="2D83304B"/>
    <w:rsid w:val="2D840162"/>
    <w:rsid w:val="2D843539"/>
    <w:rsid w:val="2D855015"/>
    <w:rsid w:val="2D870D8D"/>
    <w:rsid w:val="2D8716F2"/>
    <w:rsid w:val="2D872B3B"/>
    <w:rsid w:val="2D885FB0"/>
    <w:rsid w:val="2D8868B3"/>
    <w:rsid w:val="2D8B1B8B"/>
    <w:rsid w:val="2D8C63A3"/>
    <w:rsid w:val="2D8D5C78"/>
    <w:rsid w:val="2D8F58B1"/>
    <w:rsid w:val="2D8F6A40"/>
    <w:rsid w:val="2D940DB4"/>
    <w:rsid w:val="2D94618B"/>
    <w:rsid w:val="2D97608D"/>
    <w:rsid w:val="2D977A59"/>
    <w:rsid w:val="2D990DB5"/>
    <w:rsid w:val="2D9B3856"/>
    <w:rsid w:val="2D9B3904"/>
    <w:rsid w:val="2D9E60D7"/>
    <w:rsid w:val="2DA3549B"/>
    <w:rsid w:val="2DA47F51"/>
    <w:rsid w:val="2DA5501C"/>
    <w:rsid w:val="2DAA42B1"/>
    <w:rsid w:val="2DAA4A7C"/>
    <w:rsid w:val="2DAA682A"/>
    <w:rsid w:val="2DAB1B97"/>
    <w:rsid w:val="2DAC25A2"/>
    <w:rsid w:val="2DAD697B"/>
    <w:rsid w:val="2DB013D1"/>
    <w:rsid w:val="2DB201C1"/>
    <w:rsid w:val="2DB24B20"/>
    <w:rsid w:val="2DB26641"/>
    <w:rsid w:val="2DB45D05"/>
    <w:rsid w:val="2DB50E33"/>
    <w:rsid w:val="2DB826E2"/>
    <w:rsid w:val="2DBA3126"/>
    <w:rsid w:val="2DBA4F87"/>
    <w:rsid w:val="2DC02F7B"/>
    <w:rsid w:val="2DC22F7B"/>
    <w:rsid w:val="2DC92A81"/>
    <w:rsid w:val="2DCA6ABE"/>
    <w:rsid w:val="2DCA729A"/>
    <w:rsid w:val="2DCC67A0"/>
    <w:rsid w:val="2DD23A7A"/>
    <w:rsid w:val="2DD51E71"/>
    <w:rsid w:val="2DDA107B"/>
    <w:rsid w:val="2DDF6205"/>
    <w:rsid w:val="2DE20373"/>
    <w:rsid w:val="2DE300D1"/>
    <w:rsid w:val="2DE57862"/>
    <w:rsid w:val="2DE955A4"/>
    <w:rsid w:val="2DEA30CA"/>
    <w:rsid w:val="2DEC0850"/>
    <w:rsid w:val="2DF61A6F"/>
    <w:rsid w:val="2DF67CC1"/>
    <w:rsid w:val="2DF93567"/>
    <w:rsid w:val="2DF9440E"/>
    <w:rsid w:val="2DF96685"/>
    <w:rsid w:val="2DFB47A1"/>
    <w:rsid w:val="2DFC70A1"/>
    <w:rsid w:val="2DFE7DE3"/>
    <w:rsid w:val="2DFF5BF4"/>
    <w:rsid w:val="2E0223AF"/>
    <w:rsid w:val="2E040630"/>
    <w:rsid w:val="2E0423DE"/>
    <w:rsid w:val="2E066761"/>
    <w:rsid w:val="2E095462"/>
    <w:rsid w:val="2E0A208F"/>
    <w:rsid w:val="2E0A72C8"/>
    <w:rsid w:val="2E0B6EC8"/>
    <w:rsid w:val="2E1468C4"/>
    <w:rsid w:val="2E15634F"/>
    <w:rsid w:val="2E1A1528"/>
    <w:rsid w:val="2E1E49BF"/>
    <w:rsid w:val="2E1F0FC6"/>
    <w:rsid w:val="2E1F3018"/>
    <w:rsid w:val="2E200533"/>
    <w:rsid w:val="2E2341DD"/>
    <w:rsid w:val="2E2824CA"/>
    <w:rsid w:val="2E2858BE"/>
    <w:rsid w:val="2E29512F"/>
    <w:rsid w:val="2E2B796A"/>
    <w:rsid w:val="2E2C020B"/>
    <w:rsid w:val="2E2E2DB8"/>
    <w:rsid w:val="2E300E0A"/>
    <w:rsid w:val="2E310171"/>
    <w:rsid w:val="2E316244"/>
    <w:rsid w:val="2E3658D7"/>
    <w:rsid w:val="2E366AB8"/>
    <w:rsid w:val="2E374561"/>
    <w:rsid w:val="2E3B56D4"/>
    <w:rsid w:val="2E3E1D79"/>
    <w:rsid w:val="2E3F7374"/>
    <w:rsid w:val="2E414AE5"/>
    <w:rsid w:val="2E4245EE"/>
    <w:rsid w:val="2E456552"/>
    <w:rsid w:val="2E473FEE"/>
    <w:rsid w:val="2E493CAB"/>
    <w:rsid w:val="2E494294"/>
    <w:rsid w:val="2E4F4D97"/>
    <w:rsid w:val="2E532A1D"/>
    <w:rsid w:val="2E5429BC"/>
    <w:rsid w:val="2E58329E"/>
    <w:rsid w:val="2E590042"/>
    <w:rsid w:val="2E5D370D"/>
    <w:rsid w:val="2E5E060A"/>
    <w:rsid w:val="2E606953"/>
    <w:rsid w:val="2E611E5B"/>
    <w:rsid w:val="2E62704A"/>
    <w:rsid w:val="2E670766"/>
    <w:rsid w:val="2E67398A"/>
    <w:rsid w:val="2E675364"/>
    <w:rsid w:val="2E6764C9"/>
    <w:rsid w:val="2E6942CF"/>
    <w:rsid w:val="2E6B420B"/>
    <w:rsid w:val="2E6C1D31"/>
    <w:rsid w:val="2E7035CF"/>
    <w:rsid w:val="2E7260B2"/>
    <w:rsid w:val="2E755089"/>
    <w:rsid w:val="2E756040"/>
    <w:rsid w:val="2E7972C8"/>
    <w:rsid w:val="2E7C518F"/>
    <w:rsid w:val="2E7F3812"/>
    <w:rsid w:val="2E7F3A9B"/>
    <w:rsid w:val="2E800DF1"/>
    <w:rsid w:val="2E80518F"/>
    <w:rsid w:val="2E82446A"/>
    <w:rsid w:val="2E82753A"/>
    <w:rsid w:val="2E841576"/>
    <w:rsid w:val="2E861045"/>
    <w:rsid w:val="2E87171C"/>
    <w:rsid w:val="2E8B0409"/>
    <w:rsid w:val="2E8B0547"/>
    <w:rsid w:val="2E8E1CA7"/>
    <w:rsid w:val="2E914DFF"/>
    <w:rsid w:val="2E932916"/>
    <w:rsid w:val="2E945204"/>
    <w:rsid w:val="2E977742"/>
    <w:rsid w:val="2E987149"/>
    <w:rsid w:val="2E993F45"/>
    <w:rsid w:val="2E9B33F9"/>
    <w:rsid w:val="2E9D1EEA"/>
    <w:rsid w:val="2E9E177F"/>
    <w:rsid w:val="2E9E5EB4"/>
    <w:rsid w:val="2EA102EE"/>
    <w:rsid w:val="2EA26DD6"/>
    <w:rsid w:val="2EA414CB"/>
    <w:rsid w:val="2EA4771D"/>
    <w:rsid w:val="2EA72C7E"/>
    <w:rsid w:val="2EAF223A"/>
    <w:rsid w:val="2EB12291"/>
    <w:rsid w:val="2EB3170E"/>
    <w:rsid w:val="2EBE26AB"/>
    <w:rsid w:val="2EC102CF"/>
    <w:rsid w:val="2EC456C9"/>
    <w:rsid w:val="2EC5301F"/>
    <w:rsid w:val="2EC8033E"/>
    <w:rsid w:val="2EC90F31"/>
    <w:rsid w:val="2ECB3816"/>
    <w:rsid w:val="2ECB3C26"/>
    <w:rsid w:val="2ECE050C"/>
    <w:rsid w:val="2ECF0A27"/>
    <w:rsid w:val="2ECF6C02"/>
    <w:rsid w:val="2ED26038"/>
    <w:rsid w:val="2ED57C09"/>
    <w:rsid w:val="2ED753FC"/>
    <w:rsid w:val="2EDE20C7"/>
    <w:rsid w:val="2EE1728E"/>
    <w:rsid w:val="2EE41A0E"/>
    <w:rsid w:val="2EE61AE3"/>
    <w:rsid w:val="2EE87609"/>
    <w:rsid w:val="2EED0919"/>
    <w:rsid w:val="2EEE4A50"/>
    <w:rsid w:val="2EF11762"/>
    <w:rsid w:val="2EF1712C"/>
    <w:rsid w:val="2EF17E5C"/>
    <w:rsid w:val="2EF22560"/>
    <w:rsid w:val="2EF93F4B"/>
    <w:rsid w:val="2EFA3CEF"/>
    <w:rsid w:val="2EFF6271"/>
    <w:rsid w:val="2F034443"/>
    <w:rsid w:val="2F04796F"/>
    <w:rsid w:val="2F050424"/>
    <w:rsid w:val="2F066B4C"/>
    <w:rsid w:val="2F0733D9"/>
    <w:rsid w:val="2F0735FF"/>
    <w:rsid w:val="2F077651"/>
    <w:rsid w:val="2F081A5A"/>
    <w:rsid w:val="2F0957D2"/>
    <w:rsid w:val="2F0A60BD"/>
    <w:rsid w:val="2F0D3DA3"/>
    <w:rsid w:val="2F0F103A"/>
    <w:rsid w:val="2F0F2DE8"/>
    <w:rsid w:val="2F0F4C9C"/>
    <w:rsid w:val="2F11484F"/>
    <w:rsid w:val="2F1166FB"/>
    <w:rsid w:val="2F1538F0"/>
    <w:rsid w:val="2F15600D"/>
    <w:rsid w:val="2F1601E3"/>
    <w:rsid w:val="2F171C9D"/>
    <w:rsid w:val="2F1A08A9"/>
    <w:rsid w:val="2F1F6E53"/>
    <w:rsid w:val="2F202EB4"/>
    <w:rsid w:val="2F212DDD"/>
    <w:rsid w:val="2F236894"/>
    <w:rsid w:val="2F251C76"/>
    <w:rsid w:val="2F27202C"/>
    <w:rsid w:val="2F292380"/>
    <w:rsid w:val="2F2A27CB"/>
    <w:rsid w:val="2F2E3020"/>
    <w:rsid w:val="2F2F27ED"/>
    <w:rsid w:val="2F303B49"/>
    <w:rsid w:val="2F313228"/>
    <w:rsid w:val="2F340AA1"/>
    <w:rsid w:val="2F3569C2"/>
    <w:rsid w:val="2F3C05AB"/>
    <w:rsid w:val="2F3E191F"/>
    <w:rsid w:val="2F3E547B"/>
    <w:rsid w:val="2F3F2FA2"/>
    <w:rsid w:val="2F4176C0"/>
    <w:rsid w:val="2F436F36"/>
    <w:rsid w:val="2F46600A"/>
    <w:rsid w:val="2F485FCE"/>
    <w:rsid w:val="2F495E42"/>
    <w:rsid w:val="2F4B3B31"/>
    <w:rsid w:val="2F5A7DDB"/>
    <w:rsid w:val="2F5C0644"/>
    <w:rsid w:val="2F5E0560"/>
    <w:rsid w:val="2F601832"/>
    <w:rsid w:val="2F623299"/>
    <w:rsid w:val="2F6E4C8D"/>
    <w:rsid w:val="2F6F1AD9"/>
    <w:rsid w:val="2F713AA3"/>
    <w:rsid w:val="2F71799E"/>
    <w:rsid w:val="2F73524B"/>
    <w:rsid w:val="2F737CA9"/>
    <w:rsid w:val="2F74558F"/>
    <w:rsid w:val="2F76187C"/>
    <w:rsid w:val="2F7768F0"/>
    <w:rsid w:val="2F7B4AEA"/>
    <w:rsid w:val="2F7B6B7C"/>
    <w:rsid w:val="2F7D0BFC"/>
    <w:rsid w:val="2F8127EE"/>
    <w:rsid w:val="2F821044"/>
    <w:rsid w:val="2F827A5E"/>
    <w:rsid w:val="2F846602"/>
    <w:rsid w:val="2F8530AA"/>
    <w:rsid w:val="2F86221E"/>
    <w:rsid w:val="2F864264"/>
    <w:rsid w:val="2F894647"/>
    <w:rsid w:val="2F8A246F"/>
    <w:rsid w:val="2F8D1E33"/>
    <w:rsid w:val="2F8F1C84"/>
    <w:rsid w:val="2F8F57F1"/>
    <w:rsid w:val="2F903341"/>
    <w:rsid w:val="2F917175"/>
    <w:rsid w:val="2F917F4B"/>
    <w:rsid w:val="2F9C41C9"/>
    <w:rsid w:val="2F9E23BE"/>
    <w:rsid w:val="2F9E416C"/>
    <w:rsid w:val="2FA24BF0"/>
    <w:rsid w:val="2FA61233"/>
    <w:rsid w:val="2FA63021"/>
    <w:rsid w:val="2FA71273"/>
    <w:rsid w:val="2FA821C0"/>
    <w:rsid w:val="2FAF126E"/>
    <w:rsid w:val="2FAF37E8"/>
    <w:rsid w:val="2FB06639"/>
    <w:rsid w:val="2FB303F4"/>
    <w:rsid w:val="2FB56E1D"/>
    <w:rsid w:val="2FBB622B"/>
    <w:rsid w:val="2FBB6ACC"/>
    <w:rsid w:val="2FBC1590"/>
    <w:rsid w:val="2FBC542F"/>
    <w:rsid w:val="2FC17E5A"/>
    <w:rsid w:val="2FC17E5D"/>
    <w:rsid w:val="2FC37139"/>
    <w:rsid w:val="2FC811E9"/>
    <w:rsid w:val="2FCA72C2"/>
    <w:rsid w:val="2FCD67FF"/>
    <w:rsid w:val="2FD43BDB"/>
    <w:rsid w:val="2FD45DE0"/>
    <w:rsid w:val="2FD50DC3"/>
    <w:rsid w:val="2FD70C99"/>
    <w:rsid w:val="2FD81BC2"/>
    <w:rsid w:val="2FD82E18"/>
    <w:rsid w:val="2FDB716E"/>
    <w:rsid w:val="2FDC6A42"/>
    <w:rsid w:val="2FDE015F"/>
    <w:rsid w:val="2FE06533"/>
    <w:rsid w:val="2FE16266"/>
    <w:rsid w:val="2FE21452"/>
    <w:rsid w:val="2FE36855"/>
    <w:rsid w:val="2FE372DE"/>
    <w:rsid w:val="2FE55A68"/>
    <w:rsid w:val="2FE778C1"/>
    <w:rsid w:val="2FEE67A1"/>
    <w:rsid w:val="2FF06D0B"/>
    <w:rsid w:val="2FF16992"/>
    <w:rsid w:val="2FF41FDE"/>
    <w:rsid w:val="2FF65D56"/>
    <w:rsid w:val="2FFA3A98"/>
    <w:rsid w:val="2FFC6171"/>
    <w:rsid w:val="2FFD4BC6"/>
    <w:rsid w:val="2FFE1750"/>
    <w:rsid w:val="30032221"/>
    <w:rsid w:val="30051B31"/>
    <w:rsid w:val="30052628"/>
    <w:rsid w:val="3006237F"/>
    <w:rsid w:val="30064097"/>
    <w:rsid w:val="30086806"/>
    <w:rsid w:val="30090AAE"/>
    <w:rsid w:val="300C37CC"/>
    <w:rsid w:val="30121A9A"/>
    <w:rsid w:val="30137CF7"/>
    <w:rsid w:val="3014689D"/>
    <w:rsid w:val="30146F8B"/>
    <w:rsid w:val="301A61F8"/>
    <w:rsid w:val="301F52AD"/>
    <w:rsid w:val="301F545A"/>
    <w:rsid w:val="30204B81"/>
    <w:rsid w:val="302407A7"/>
    <w:rsid w:val="30246A80"/>
    <w:rsid w:val="3029260D"/>
    <w:rsid w:val="302C5C1C"/>
    <w:rsid w:val="30360F64"/>
    <w:rsid w:val="30363DCA"/>
    <w:rsid w:val="30390D68"/>
    <w:rsid w:val="303A50FA"/>
    <w:rsid w:val="303B7C6D"/>
    <w:rsid w:val="30403475"/>
    <w:rsid w:val="30405223"/>
    <w:rsid w:val="3043093E"/>
    <w:rsid w:val="30470360"/>
    <w:rsid w:val="304D16A9"/>
    <w:rsid w:val="304E16EE"/>
    <w:rsid w:val="30544806"/>
    <w:rsid w:val="305667F5"/>
    <w:rsid w:val="30575512"/>
    <w:rsid w:val="30586A11"/>
    <w:rsid w:val="305F1B4D"/>
    <w:rsid w:val="30601F58"/>
    <w:rsid w:val="3061162A"/>
    <w:rsid w:val="30616D08"/>
    <w:rsid w:val="306727B0"/>
    <w:rsid w:val="30676C54"/>
    <w:rsid w:val="3069307E"/>
    <w:rsid w:val="306A5296"/>
    <w:rsid w:val="306D1CFE"/>
    <w:rsid w:val="306E7FE2"/>
    <w:rsid w:val="307025ED"/>
    <w:rsid w:val="30703191"/>
    <w:rsid w:val="3071345C"/>
    <w:rsid w:val="30716B1B"/>
    <w:rsid w:val="30791B3A"/>
    <w:rsid w:val="307E3BF7"/>
    <w:rsid w:val="30805FDB"/>
    <w:rsid w:val="30817E06"/>
    <w:rsid w:val="30852D42"/>
    <w:rsid w:val="3086532C"/>
    <w:rsid w:val="308A3E4C"/>
    <w:rsid w:val="309051B6"/>
    <w:rsid w:val="309275A7"/>
    <w:rsid w:val="309317F7"/>
    <w:rsid w:val="30934F96"/>
    <w:rsid w:val="30940170"/>
    <w:rsid w:val="309E518D"/>
    <w:rsid w:val="309F7BCD"/>
    <w:rsid w:val="30A06B69"/>
    <w:rsid w:val="30A12166"/>
    <w:rsid w:val="30A23E47"/>
    <w:rsid w:val="30A24D58"/>
    <w:rsid w:val="30A27C8C"/>
    <w:rsid w:val="30A51F4E"/>
    <w:rsid w:val="30A6569D"/>
    <w:rsid w:val="30AB0A46"/>
    <w:rsid w:val="30AC5B30"/>
    <w:rsid w:val="30AE0F34"/>
    <w:rsid w:val="30AE5ECE"/>
    <w:rsid w:val="30B05F05"/>
    <w:rsid w:val="30B24A44"/>
    <w:rsid w:val="30B52813"/>
    <w:rsid w:val="30B562D9"/>
    <w:rsid w:val="30B57AC2"/>
    <w:rsid w:val="30BA43E3"/>
    <w:rsid w:val="30BC360F"/>
    <w:rsid w:val="30CC192E"/>
    <w:rsid w:val="30CE0A81"/>
    <w:rsid w:val="30CE282F"/>
    <w:rsid w:val="30D00561"/>
    <w:rsid w:val="30D139C1"/>
    <w:rsid w:val="30D14B15"/>
    <w:rsid w:val="30D65986"/>
    <w:rsid w:val="30D90014"/>
    <w:rsid w:val="30D90E27"/>
    <w:rsid w:val="30DD15BB"/>
    <w:rsid w:val="30DF2CD7"/>
    <w:rsid w:val="30DF67EA"/>
    <w:rsid w:val="30E16A06"/>
    <w:rsid w:val="30E24248"/>
    <w:rsid w:val="30E34FEB"/>
    <w:rsid w:val="30E81B43"/>
    <w:rsid w:val="30F32296"/>
    <w:rsid w:val="30F54260"/>
    <w:rsid w:val="30F625B2"/>
    <w:rsid w:val="30F72DBA"/>
    <w:rsid w:val="30F83F0B"/>
    <w:rsid w:val="30F85B11"/>
    <w:rsid w:val="31015F42"/>
    <w:rsid w:val="31046701"/>
    <w:rsid w:val="3106021B"/>
    <w:rsid w:val="3106646D"/>
    <w:rsid w:val="310C4294"/>
    <w:rsid w:val="310F65A7"/>
    <w:rsid w:val="31102E48"/>
    <w:rsid w:val="31177244"/>
    <w:rsid w:val="31184F95"/>
    <w:rsid w:val="311B6C45"/>
    <w:rsid w:val="311D0D4C"/>
    <w:rsid w:val="312014C1"/>
    <w:rsid w:val="312267B4"/>
    <w:rsid w:val="31230DCD"/>
    <w:rsid w:val="3128113D"/>
    <w:rsid w:val="312F3EC4"/>
    <w:rsid w:val="312F62D9"/>
    <w:rsid w:val="313202E6"/>
    <w:rsid w:val="31322DBE"/>
    <w:rsid w:val="313346AF"/>
    <w:rsid w:val="31334FC7"/>
    <w:rsid w:val="31357889"/>
    <w:rsid w:val="3136169B"/>
    <w:rsid w:val="3136175A"/>
    <w:rsid w:val="313C46F6"/>
    <w:rsid w:val="313D6A41"/>
    <w:rsid w:val="31473CF4"/>
    <w:rsid w:val="31491E01"/>
    <w:rsid w:val="314E4ECB"/>
    <w:rsid w:val="315004C0"/>
    <w:rsid w:val="3152520E"/>
    <w:rsid w:val="31544CDB"/>
    <w:rsid w:val="31544D87"/>
    <w:rsid w:val="31554CFE"/>
    <w:rsid w:val="31590699"/>
    <w:rsid w:val="315A1DFC"/>
    <w:rsid w:val="315A5082"/>
    <w:rsid w:val="315B1EE5"/>
    <w:rsid w:val="315B522B"/>
    <w:rsid w:val="315C4EA3"/>
    <w:rsid w:val="315D0E7A"/>
    <w:rsid w:val="315F5C7B"/>
    <w:rsid w:val="31635843"/>
    <w:rsid w:val="3164188C"/>
    <w:rsid w:val="31674B18"/>
    <w:rsid w:val="31677002"/>
    <w:rsid w:val="316D58C3"/>
    <w:rsid w:val="316E33B4"/>
    <w:rsid w:val="316E4D0F"/>
    <w:rsid w:val="316F5DC0"/>
    <w:rsid w:val="3172734B"/>
    <w:rsid w:val="317715B6"/>
    <w:rsid w:val="31787827"/>
    <w:rsid w:val="317B2B05"/>
    <w:rsid w:val="317D30C4"/>
    <w:rsid w:val="317E4255"/>
    <w:rsid w:val="31800117"/>
    <w:rsid w:val="318111FC"/>
    <w:rsid w:val="31815AF3"/>
    <w:rsid w:val="318273C4"/>
    <w:rsid w:val="31856158"/>
    <w:rsid w:val="31861BE3"/>
    <w:rsid w:val="318D30B8"/>
    <w:rsid w:val="318E0D2E"/>
    <w:rsid w:val="318E6D18"/>
    <w:rsid w:val="318F02CF"/>
    <w:rsid w:val="3192109E"/>
    <w:rsid w:val="319475D5"/>
    <w:rsid w:val="319941E5"/>
    <w:rsid w:val="319B4252"/>
    <w:rsid w:val="319C292D"/>
    <w:rsid w:val="319C2A82"/>
    <w:rsid w:val="319F0A95"/>
    <w:rsid w:val="319F3583"/>
    <w:rsid w:val="31A051C9"/>
    <w:rsid w:val="31A27A28"/>
    <w:rsid w:val="31A33CBC"/>
    <w:rsid w:val="31A52164"/>
    <w:rsid w:val="31A537D7"/>
    <w:rsid w:val="31A83080"/>
    <w:rsid w:val="31A87524"/>
    <w:rsid w:val="31A95DDB"/>
    <w:rsid w:val="31A97850"/>
    <w:rsid w:val="31AA373C"/>
    <w:rsid w:val="31AA3A4C"/>
    <w:rsid w:val="31AA5146"/>
    <w:rsid w:val="31AA6151"/>
    <w:rsid w:val="31AD4C03"/>
    <w:rsid w:val="31AD6213"/>
    <w:rsid w:val="31AE5F62"/>
    <w:rsid w:val="31B12042"/>
    <w:rsid w:val="31B250E0"/>
    <w:rsid w:val="31B83178"/>
    <w:rsid w:val="31BA11D6"/>
    <w:rsid w:val="31BA1380"/>
    <w:rsid w:val="31BB3515"/>
    <w:rsid w:val="31BC3BEB"/>
    <w:rsid w:val="31BD4550"/>
    <w:rsid w:val="31C10368"/>
    <w:rsid w:val="31C5275A"/>
    <w:rsid w:val="31CB053B"/>
    <w:rsid w:val="31CB082A"/>
    <w:rsid w:val="31D57903"/>
    <w:rsid w:val="31DA1AB6"/>
    <w:rsid w:val="31DC2387"/>
    <w:rsid w:val="31DE0FE6"/>
    <w:rsid w:val="31DE3B22"/>
    <w:rsid w:val="31E40EB3"/>
    <w:rsid w:val="31E52168"/>
    <w:rsid w:val="31EB5763"/>
    <w:rsid w:val="31F04DAA"/>
    <w:rsid w:val="31F44517"/>
    <w:rsid w:val="31F46FF8"/>
    <w:rsid w:val="31F618CA"/>
    <w:rsid w:val="31FC5799"/>
    <w:rsid w:val="31FF1A3E"/>
    <w:rsid w:val="31FF5FF4"/>
    <w:rsid w:val="320A3D3B"/>
    <w:rsid w:val="320C2512"/>
    <w:rsid w:val="320D7387"/>
    <w:rsid w:val="320F1564"/>
    <w:rsid w:val="32121E5E"/>
    <w:rsid w:val="3216448E"/>
    <w:rsid w:val="321B1AA4"/>
    <w:rsid w:val="321F2FCC"/>
    <w:rsid w:val="322540B8"/>
    <w:rsid w:val="32262DBE"/>
    <w:rsid w:val="322748ED"/>
    <w:rsid w:val="322C3CB1"/>
    <w:rsid w:val="322E5C7B"/>
    <w:rsid w:val="32335040"/>
    <w:rsid w:val="323420ED"/>
    <w:rsid w:val="32342B66"/>
    <w:rsid w:val="32361136"/>
    <w:rsid w:val="32397BC8"/>
    <w:rsid w:val="323A2D06"/>
    <w:rsid w:val="323B0398"/>
    <w:rsid w:val="3241607A"/>
    <w:rsid w:val="32427031"/>
    <w:rsid w:val="32452CC5"/>
    <w:rsid w:val="32472787"/>
    <w:rsid w:val="32476D3D"/>
    <w:rsid w:val="3248523C"/>
    <w:rsid w:val="32491521"/>
    <w:rsid w:val="32494863"/>
    <w:rsid w:val="324B0148"/>
    <w:rsid w:val="324E4E66"/>
    <w:rsid w:val="325338BB"/>
    <w:rsid w:val="32546373"/>
    <w:rsid w:val="32552AE0"/>
    <w:rsid w:val="3257627A"/>
    <w:rsid w:val="32586854"/>
    <w:rsid w:val="325A3AF6"/>
    <w:rsid w:val="325E403E"/>
    <w:rsid w:val="325F5934"/>
    <w:rsid w:val="326246BE"/>
    <w:rsid w:val="326371CC"/>
    <w:rsid w:val="32654AA5"/>
    <w:rsid w:val="3269507D"/>
    <w:rsid w:val="326A2A2B"/>
    <w:rsid w:val="326B2519"/>
    <w:rsid w:val="326D3EFA"/>
    <w:rsid w:val="32717DF3"/>
    <w:rsid w:val="32735C95"/>
    <w:rsid w:val="327377C9"/>
    <w:rsid w:val="32747C01"/>
    <w:rsid w:val="3276317E"/>
    <w:rsid w:val="32777D59"/>
    <w:rsid w:val="32780CA4"/>
    <w:rsid w:val="327C031F"/>
    <w:rsid w:val="327D275F"/>
    <w:rsid w:val="3281157C"/>
    <w:rsid w:val="328156D2"/>
    <w:rsid w:val="3282353D"/>
    <w:rsid w:val="32854908"/>
    <w:rsid w:val="32891103"/>
    <w:rsid w:val="3289557F"/>
    <w:rsid w:val="328A3FE5"/>
    <w:rsid w:val="328C4750"/>
    <w:rsid w:val="328E04C8"/>
    <w:rsid w:val="329248B7"/>
    <w:rsid w:val="329641D3"/>
    <w:rsid w:val="32981347"/>
    <w:rsid w:val="329D2C38"/>
    <w:rsid w:val="329F776B"/>
    <w:rsid w:val="32A03CD6"/>
    <w:rsid w:val="32A23F73"/>
    <w:rsid w:val="32A24A38"/>
    <w:rsid w:val="32A25251"/>
    <w:rsid w:val="32A61E4B"/>
    <w:rsid w:val="32A93554"/>
    <w:rsid w:val="32AC088E"/>
    <w:rsid w:val="32B37F2E"/>
    <w:rsid w:val="32B54A22"/>
    <w:rsid w:val="32B65A83"/>
    <w:rsid w:val="32B7241A"/>
    <w:rsid w:val="32B72DF8"/>
    <w:rsid w:val="32B97FF0"/>
    <w:rsid w:val="32BC6996"/>
    <w:rsid w:val="32BE5522"/>
    <w:rsid w:val="32C044C4"/>
    <w:rsid w:val="32C71C0D"/>
    <w:rsid w:val="32CB5278"/>
    <w:rsid w:val="32CE74C9"/>
    <w:rsid w:val="32D00BA5"/>
    <w:rsid w:val="32D37E41"/>
    <w:rsid w:val="32D75F52"/>
    <w:rsid w:val="32D81A36"/>
    <w:rsid w:val="32DB2E02"/>
    <w:rsid w:val="32DC7485"/>
    <w:rsid w:val="32DF2AD1"/>
    <w:rsid w:val="32DF508C"/>
    <w:rsid w:val="32DF6F75"/>
    <w:rsid w:val="32E0684A"/>
    <w:rsid w:val="32E77BD8"/>
    <w:rsid w:val="32EC6B8F"/>
    <w:rsid w:val="32EC7AEE"/>
    <w:rsid w:val="32F30451"/>
    <w:rsid w:val="32F32D69"/>
    <w:rsid w:val="32F6606D"/>
    <w:rsid w:val="32F95CA6"/>
    <w:rsid w:val="32F95E6C"/>
    <w:rsid w:val="32FC7B27"/>
    <w:rsid w:val="32FE045B"/>
    <w:rsid w:val="32FF7114"/>
    <w:rsid w:val="33010C9A"/>
    <w:rsid w:val="33022C64"/>
    <w:rsid w:val="3303263C"/>
    <w:rsid w:val="33064502"/>
    <w:rsid w:val="330B3C91"/>
    <w:rsid w:val="330C5891"/>
    <w:rsid w:val="331165AB"/>
    <w:rsid w:val="3312497A"/>
    <w:rsid w:val="33130ECB"/>
    <w:rsid w:val="3313496F"/>
    <w:rsid w:val="33154745"/>
    <w:rsid w:val="33154F2C"/>
    <w:rsid w:val="33163DF2"/>
    <w:rsid w:val="33180CD3"/>
    <w:rsid w:val="331857D6"/>
    <w:rsid w:val="331C3D26"/>
    <w:rsid w:val="331E66B0"/>
    <w:rsid w:val="331F5ACC"/>
    <w:rsid w:val="331F708D"/>
    <w:rsid w:val="33245CBD"/>
    <w:rsid w:val="33255888"/>
    <w:rsid w:val="33274478"/>
    <w:rsid w:val="332B21BB"/>
    <w:rsid w:val="332D0608"/>
    <w:rsid w:val="332D460B"/>
    <w:rsid w:val="33301DB6"/>
    <w:rsid w:val="33305A23"/>
    <w:rsid w:val="33313D10"/>
    <w:rsid w:val="3332273D"/>
    <w:rsid w:val="33322DA4"/>
    <w:rsid w:val="33380434"/>
    <w:rsid w:val="33385662"/>
    <w:rsid w:val="333A0650"/>
    <w:rsid w:val="333E1EEE"/>
    <w:rsid w:val="3341378C"/>
    <w:rsid w:val="334308AF"/>
    <w:rsid w:val="33451BC8"/>
    <w:rsid w:val="334A1A42"/>
    <w:rsid w:val="334C7E2A"/>
    <w:rsid w:val="33522800"/>
    <w:rsid w:val="33531DEE"/>
    <w:rsid w:val="33552D94"/>
    <w:rsid w:val="33557238"/>
    <w:rsid w:val="335A02C1"/>
    <w:rsid w:val="335B4AB3"/>
    <w:rsid w:val="335C2711"/>
    <w:rsid w:val="335C49A0"/>
    <w:rsid w:val="335D5402"/>
    <w:rsid w:val="335E091A"/>
    <w:rsid w:val="33627CC8"/>
    <w:rsid w:val="33633A8C"/>
    <w:rsid w:val="33670340"/>
    <w:rsid w:val="336970F4"/>
    <w:rsid w:val="336C1169"/>
    <w:rsid w:val="336D071C"/>
    <w:rsid w:val="336E0FD6"/>
    <w:rsid w:val="3370411F"/>
    <w:rsid w:val="337376BE"/>
    <w:rsid w:val="33751688"/>
    <w:rsid w:val="337716FE"/>
    <w:rsid w:val="33792F26"/>
    <w:rsid w:val="33842FD2"/>
    <w:rsid w:val="338509E0"/>
    <w:rsid w:val="338567E9"/>
    <w:rsid w:val="3388644C"/>
    <w:rsid w:val="338F447E"/>
    <w:rsid w:val="3390201E"/>
    <w:rsid w:val="33930C20"/>
    <w:rsid w:val="33932701"/>
    <w:rsid w:val="33947A59"/>
    <w:rsid w:val="33961DA5"/>
    <w:rsid w:val="33997CFE"/>
    <w:rsid w:val="339B3289"/>
    <w:rsid w:val="339B7340"/>
    <w:rsid w:val="339C0600"/>
    <w:rsid w:val="33A06705"/>
    <w:rsid w:val="33A317FE"/>
    <w:rsid w:val="33A60F1B"/>
    <w:rsid w:val="33A60F55"/>
    <w:rsid w:val="33A81699"/>
    <w:rsid w:val="33A8380B"/>
    <w:rsid w:val="33AB10CB"/>
    <w:rsid w:val="33AC2EC2"/>
    <w:rsid w:val="33AF1889"/>
    <w:rsid w:val="33B426F9"/>
    <w:rsid w:val="33B77164"/>
    <w:rsid w:val="33BC2E13"/>
    <w:rsid w:val="33BE302F"/>
    <w:rsid w:val="33BE46A4"/>
    <w:rsid w:val="33C24A1E"/>
    <w:rsid w:val="33C53668"/>
    <w:rsid w:val="33C57FBA"/>
    <w:rsid w:val="33C87A09"/>
    <w:rsid w:val="33CA462E"/>
    <w:rsid w:val="33CF1F9F"/>
    <w:rsid w:val="33D031CE"/>
    <w:rsid w:val="33D42CE3"/>
    <w:rsid w:val="33D4357B"/>
    <w:rsid w:val="33D463AE"/>
    <w:rsid w:val="33DC5263"/>
    <w:rsid w:val="33DD2863"/>
    <w:rsid w:val="33DE472A"/>
    <w:rsid w:val="33DE547F"/>
    <w:rsid w:val="33DF4673"/>
    <w:rsid w:val="33E10ACB"/>
    <w:rsid w:val="33E34843"/>
    <w:rsid w:val="33E37778"/>
    <w:rsid w:val="33E83C08"/>
    <w:rsid w:val="33EC7B9C"/>
    <w:rsid w:val="33EF3C9C"/>
    <w:rsid w:val="33F00D0E"/>
    <w:rsid w:val="33F22CD8"/>
    <w:rsid w:val="33F37300"/>
    <w:rsid w:val="33F656C4"/>
    <w:rsid w:val="33FB1B8D"/>
    <w:rsid w:val="33FC3D70"/>
    <w:rsid w:val="33FE13E8"/>
    <w:rsid w:val="34012F1B"/>
    <w:rsid w:val="340359B4"/>
    <w:rsid w:val="340364D7"/>
    <w:rsid w:val="34065DE8"/>
    <w:rsid w:val="340C0251"/>
    <w:rsid w:val="340F2FB7"/>
    <w:rsid w:val="34131C21"/>
    <w:rsid w:val="34160775"/>
    <w:rsid w:val="34162ADA"/>
    <w:rsid w:val="341B222F"/>
    <w:rsid w:val="341F2A15"/>
    <w:rsid w:val="34207B82"/>
    <w:rsid w:val="3421456B"/>
    <w:rsid w:val="34217B07"/>
    <w:rsid w:val="34230D21"/>
    <w:rsid w:val="34251695"/>
    <w:rsid w:val="34263F82"/>
    <w:rsid w:val="34267EDF"/>
    <w:rsid w:val="342C06C3"/>
    <w:rsid w:val="342C283D"/>
    <w:rsid w:val="342D7CA9"/>
    <w:rsid w:val="342F7FA6"/>
    <w:rsid w:val="34306259"/>
    <w:rsid w:val="34337CD5"/>
    <w:rsid w:val="343432F1"/>
    <w:rsid w:val="34367DA0"/>
    <w:rsid w:val="34396AD4"/>
    <w:rsid w:val="343C238F"/>
    <w:rsid w:val="344078BE"/>
    <w:rsid w:val="34433534"/>
    <w:rsid w:val="344341AB"/>
    <w:rsid w:val="344415E9"/>
    <w:rsid w:val="344828D8"/>
    <w:rsid w:val="345469E9"/>
    <w:rsid w:val="345538D4"/>
    <w:rsid w:val="34563267"/>
    <w:rsid w:val="345D2848"/>
    <w:rsid w:val="346239BA"/>
    <w:rsid w:val="34663CD0"/>
    <w:rsid w:val="34675474"/>
    <w:rsid w:val="346763D8"/>
    <w:rsid w:val="346A6D13"/>
    <w:rsid w:val="346E367C"/>
    <w:rsid w:val="347528E2"/>
    <w:rsid w:val="347A51A8"/>
    <w:rsid w:val="34871B33"/>
    <w:rsid w:val="34876187"/>
    <w:rsid w:val="34877904"/>
    <w:rsid w:val="348903E7"/>
    <w:rsid w:val="348C4EDB"/>
    <w:rsid w:val="348E47AF"/>
    <w:rsid w:val="34967B08"/>
    <w:rsid w:val="349710B0"/>
    <w:rsid w:val="349B3999"/>
    <w:rsid w:val="349D4154"/>
    <w:rsid w:val="349F7F3F"/>
    <w:rsid w:val="34A06275"/>
    <w:rsid w:val="34A915E9"/>
    <w:rsid w:val="34AE3693"/>
    <w:rsid w:val="34AF4725"/>
    <w:rsid w:val="34B15526"/>
    <w:rsid w:val="34B34EAD"/>
    <w:rsid w:val="34B50343"/>
    <w:rsid w:val="34B53459"/>
    <w:rsid w:val="34B6287C"/>
    <w:rsid w:val="34BA0DF3"/>
    <w:rsid w:val="34BF705E"/>
    <w:rsid w:val="34C20046"/>
    <w:rsid w:val="34C21100"/>
    <w:rsid w:val="34C74165"/>
    <w:rsid w:val="34C81959"/>
    <w:rsid w:val="34C96D45"/>
    <w:rsid w:val="34CA502B"/>
    <w:rsid w:val="34CB5A03"/>
    <w:rsid w:val="34CD748C"/>
    <w:rsid w:val="34D13A99"/>
    <w:rsid w:val="34D14809"/>
    <w:rsid w:val="34D2729D"/>
    <w:rsid w:val="34D369AB"/>
    <w:rsid w:val="34D66025"/>
    <w:rsid w:val="34D670AE"/>
    <w:rsid w:val="34D67F04"/>
    <w:rsid w:val="34D7150C"/>
    <w:rsid w:val="34D82830"/>
    <w:rsid w:val="34D87E69"/>
    <w:rsid w:val="34DE7D3B"/>
    <w:rsid w:val="34DF54E7"/>
    <w:rsid w:val="34E15227"/>
    <w:rsid w:val="34E2428A"/>
    <w:rsid w:val="34E33532"/>
    <w:rsid w:val="34E63ED8"/>
    <w:rsid w:val="34E8012D"/>
    <w:rsid w:val="34EA220B"/>
    <w:rsid w:val="34EB4778"/>
    <w:rsid w:val="34ED6EBA"/>
    <w:rsid w:val="34EF18D2"/>
    <w:rsid w:val="34F61545"/>
    <w:rsid w:val="34FA1E45"/>
    <w:rsid w:val="350158DF"/>
    <w:rsid w:val="3504237A"/>
    <w:rsid w:val="35044A71"/>
    <w:rsid w:val="35054751"/>
    <w:rsid w:val="35054FC1"/>
    <w:rsid w:val="350804F5"/>
    <w:rsid w:val="350C796F"/>
    <w:rsid w:val="350D4BE1"/>
    <w:rsid w:val="350D601C"/>
    <w:rsid w:val="35112B4A"/>
    <w:rsid w:val="3513435D"/>
    <w:rsid w:val="351741C1"/>
    <w:rsid w:val="351849C1"/>
    <w:rsid w:val="351B6A93"/>
    <w:rsid w:val="351F2FBB"/>
    <w:rsid w:val="35212259"/>
    <w:rsid w:val="352411E1"/>
    <w:rsid w:val="35250261"/>
    <w:rsid w:val="35254474"/>
    <w:rsid w:val="35274E68"/>
    <w:rsid w:val="352B0250"/>
    <w:rsid w:val="352C0243"/>
    <w:rsid w:val="352C6DA4"/>
    <w:rsid w:val="352D7F4C"/>
    <w:rsid w:val="352E28D5"/>
    <w:rsid w:val="352F0799"/>
    <w:rsid w:val="352F5416"/>
    <w:rsid w:val="352F73A0"/>
    <w:rsid w:val="35357321"/>
    <w:rsid w:val="35365259"/>
    <w:rsid w:val="35370862"/>
    <w:rsid w:val="35373AB4"/>
    <w:rsid w:val="35380BBF"/>
    <w:rsid w:val="35386E11"/>
    <w:rsid w:val="353A5C49"/>
    <w:rsid w:val="353A5E86"/>
    <w:rsid w:val="353B650D"/>
    <w:rsid w:val="353C06AF"/>
    <w:rsid w:val="353C0F29"/>
    <w:rsid w:val="35422A7F"/>
    <w:rsid w:val="35441312"/>
    <w:rsid w:val="35442320"/>
    <w:rsid w:val="35463542"/>
    <w:rsid w:val="35474883"/>
    <w:rsid w:val="3547620A"/>
    <w:rsid w:val="354B1DD2"/>
    <w:rsid w:val="354E6235"/>
    <w:rsid w:val="35516F6C"/>
    <w:rsid w:val="35551771"/>
    <w:rsid w:val="35573D37"/>
    <w:rsid w:val="355E0F25"/>
    <w:rsid w:val="355F439E"/>
    <w:rsid w:val="35612418"/>
    <w:rsid w:val="356216B8"/>
    <w:rsid w:val="356255D3"/>
    <w:rsid w:val="356A2A1B"/>
    <w:rsid w:val="35717291"/>
    <w:rsid w:val="35764901"/>
    <w:rsid w:val="357660D3"/>
    <w:rsid w:val="357D65D2"/>
    <w:rsid w:val="357E1C36"/>
    <w:rsid w:val="357F059C"/>
    <w:rsid w:val="357F78F2"/>
    <w:rsid w:val="35812566"/>
    <w:rsid w:val="35814314"/>
    <w:rsid w:val="35843AA7"/>
    <w:rsid w:val="358844D7"/>
    <w:rsid w:val="358B0CEF"/>
    <w:rsid w:val="358B6F41"/>
    <w:rsid w:val="358E07DF"/>
    <w:rsid w:val="358F5BF0"/>
    <w:rsid w:val="359009FB"/>
    <w:rsid w:val="35903584"/>
    <w:rsid w:val="3592207D"/>
    <w:rsid w:val="359510B7"/>
    <w:rsid w:val="35951B6D"/>
    <w:rsid w:val="35965761"/>
    <w:rsid w:val="3598340C"/>
    <w:rsid w:val="35986AE3"/>
    <w:rsid w:val="359A53D6"/>
    <w:rsid w:val="359B0272"/>
    <w:rsid w:val="359E4EC6"/>
    <w:rsid w:val="35A1251F"/>
    <w:rsid w:val="35A4212D"/>
    <w:rsid w:val="35A45D9F"/>
    <w:rsid w:val="35A52C64"/>
    <w:rsid w:val="35A548B0"/>
    <w:rsid w:val="35AB17ED"/>
    <w:rsid w:val="35B65DBF"/>
    <w:rsid w:val="35B96760"/>
    <w:rsid w:val="35BD757C"/>
    <w:rsid w:val="35BF0D0B"/>
    <w:rsid w:val="35C02C5D"/>
    <w:rsid w:val="35C3492C"/>
    <w:rsid w:val="35C438FC"/>
    <w:rsid w:val="35C6441D"/>
    <w:rsid w:val="35C661CB"/>
    <w:rsid w:val="35C8202E"/>
    <w:rsid w:val="35CA1D6E"/>
    <w:rsid w:val="35CE0DDC"/>
    <w:rsid w:val="35CE3A94"/>
    <w:rsid w:val="35D412B7"/>
    <w:rsid w:val="35D42696"/>
    <w:rsid w:val="35D603A2"/>
    <w:rsid w:val="35D62830"/>
    <w:rsid w:val="35DA3A24"/>
    <w:rsid w:val="35DA6829"/>
    <w:rsid w:val="35DB7EC8"/>
    <w:rsid w:val="35DC779C"/>
    <w:rsid w:val="35DE1766"/>
    <w:rsid w:val="35E43CC9"/>
    <w:rsid w:val="35E825E5"/>
    <w:rsid w:val="35E942A8"/>
    <w:rsid w:val="35EB79DF"/>
    <w:rsid w:val="35EC23BD"/>
    <w:rsid w:val="35F07A71"/>
    <w:rsid w:val="35F26E49"/>
    <w:rsid w:val="35F364A4"/>
    <w:rsid w:val="35F637BD"/>
    <w:rsid w:val="35F873F7"/>
    <w:rsid w:val="35F920FC"/>
    <w:rsid w:val="35F92A7F"/>
    <w:rsid w:val="35FC6A17"/>
    <w:rsid w:val="36034D29"/>
    <w:rsid w:val="36045748"/>
    <w:rsid w:val="360658FC"/>
    <w:rsid w:val="36077684"/>
    <w:rsid w:val="36080591"/>
    <w:rsid w:val="360845DB"/>
    <w:rsid w:val="360A4309"/>
    <w:rsid w:val="360A735F"/>
    <w:rsid w:val="360E36AB"/>
    <w:rsid w:val="360F48B7"/>
    <w:rsid w:val="361139C7"/>
    <w:rsid w:val="36127662"/>
    <w:rsid w:val="36141BBC"/>
    <w:rsid w:val="3615159B"/>
    <w:rsid w:val="361730C0"/>
    <w:rsid w:val="361C5DEB"/>
    <w:rsid w:val="361D70A7"/>
    <w:rsid w:val="36203625"/>
    <w:rsid w:val="3623361D"/>
    <w:rsid w:val="36257FD9"/>
    <w:rsid w:val="362863C9"/>
    <w:rsid w:val="362B3DDA"/>
    <w:rsid w:val="362B5E61"/>
    <w:rsid w:val="362E3F9B"/>
    <w:rsid w:val="36317AE8"/>
    <w:rsid w:val="36323860"/>
    <w:rsid w:val="36346DFE"/>
    <w:rsid w:val="36356EAC"/>
    <w:rsid w:val="36363350"/>
    <w:rsid w:val="36364FB6"/>
    <w:rsid w:val="36392746"/>
    <w:rsid w:val="36393D08"/>
    <w:rsid w:val="364019B6"/>
    <w:rsid w:val="36424BCE"/>
    <w:rsid w:val="36435878"/>
    <w:rsid w:val="36442226"/>
    <w:rsid w:val="36454EF4"/>
    <w:rsid w:val="36463490"/>
    <w:rsid w:val="3648329F"/>
    <w:rsid w:val="36494B79"/>
    <w:rsid w:val="364E35E2"/>
    <w:rsid w:val="36511F38"/>
    <w:rsid w:val="365321C4"/>
    <w:rsid w:val="36551664"/>
    <w:rsid w:val="365732C7"/>
    <w:rsid w:val="365B1159"/>
    <w:rsid w:val="365B4010"/>
    <w:rsid w:val="36653C36"/>
    <w:rsid w:val="366559E4"/>
    <w:rsid w:val="36663463"/>
    <w:rsid w:val="3667067B"/>
    <w:rsid w:val="3667350A"/>
    <w:rsid w:val="366F54F9"/>
    <w:rsid w:val="36710FB7"/>
    <w:rsid w:val="367118BF"/>
    <w:rsid w:val="36724133"/>
    <w:rsid w:val="36743E79"/>
    <w:rsid w:val="36745C27"/>
    <w:rsid w:val="3675490E"/>
    <w:rsid w:val="367C2AF7"/>
    <w:rsid w:val="367C4ADB"/>
    <w:rsid w:val="367C51E8"/>
    <w:rsid w:val="367D0F7F"/>
    <w:rsid w:val="36826596"/>
    <w:rsid w:val="3684440F"/>
    <w:rsid w:val="36892D9A"/>
    <w:rsid w:val="36897390"/>
    <w:rsid w:val="368A62D0"/>
    <w:rsid w:val="368B2EFE"/>
    <w:rsid w:val="368D4011"/>
    <w:rsid w:val="3696269D"/>
    <w:rsid w:val="369857B5"/>
    <w:rsid w:val="3699743B"/>
    <w:rsid w:val="369D134C"/>
    <w:rsid w:val="36A47AEF"/>
    <w:rsid w:val="36A6107B"/>
    <w:rsid w:val="36A66159"/>
    <w:rsid w:val="36A941D3"/>
    <w:rsid w:val="36AC3CB9"/>
    <w:rsid w:val="36AD31C9"/>
    <w:rsid w:val="36AE738B"/>
    <w:rsid w:val="36AE7E4D"/>
    <w:rsid w:val="36AF6C5F"/>
    <w:rsid w:val="36B37174"/>
    <w:rsid w:val="36B44275"/>
    <w:rsid w:val="36B65E9E"/>
    <w:rsid w:val="36B81FB7"/>
    <w:rsid w:val="36B85B13"/>
    <w:rsid w:val="36BE3B62"/>
    <w:rsid w:val="36BE3C31"/>
    <w:rsid w:val="36BF105A"/>
    <w:rsid w:val="36C00E6C"/>
    <w:rsid w:val="36C02C1A"/>
    <w:rsid w:val="36C3106A"/>
    <w:rsid w:val="36C3270A"/>
    <w:rsid w:val="36C40FA3"/>
    <w:rsid w:val="36C53202"/>
    <w:rsid w:val="36C67AC4"/>
    <w:rsid w:val="36C94C72"/>
    <w:rsid w:val="36CA43D1"/>
    <w:rsid w:val="36CC15BF"/>
    <w:rsid w:val="36CF41CF"/>
    <w:rsid w:val="36D05553"/>
    <w:rsid w:val="36D46E15"/>
    <w:rsid w:val="36D74593"/>
    <w:rsid w:val="36D85772"/>
    <w:rsid w:val="36DB4894"/>
    <w:rsid w:val="36DB5CA6"/>
    <w:rsid w:val="36DC334F"/>
    <w:rsid w:val="36DE12F2"/>
    <w:rsid w:val="36E55A25"/>
    <w:rsid w:val="36E56B24"/>
    <w:rsid w:val="36E932B6"/>
    <w:rsid w:val="36EC662C"/>
    <w:rsid w:val="36ED7A89"/>
    <w:rsid w:val="36EE3652"/>
    <w:rsid w:val="36EF6323"/>
    <w:rsid w:val="36F23D5C"/>
    <w:rsid w:val="36F31241"/>
    <w:rsid w:val="36F347AA"/>
    <w:rsid w:val="36F51070"/>
    <w:rsid w:val="36F566A9"/>
    <w:rsid w:val="36FB1EA4"/>
    <w:rsid w:val="36FC3DB1"/>
    <w:rsid w:val="36FC6348"/>
    <w:rsid w:val="36FE04A5"/>
    <w:rsid w:val="3700060A"/>
    <w:rsid w:val="370056AD"/>
    <w:rsid w:val="370313A7"/>
    <w:rsid w:val="37033F75"/>
    <w:rsid w:val="37040D59"/>
    <w:rsid w:val="370935FC"/>
    <w:rsid w:val="370B0C0A"/>
    <w:rsid w:val="370D7641"/>
    <w:rsid w:val="37131129"/>
    <w:rsid w:val="371770F1"/>
    <w:rsid w:val="37180A99"/>
    <w:rsid w:val="371A4D18"/>
    <w:rsid w:val="371C7472"/>
    <w:rsid w:val="3720190B"/>
    <w:rsid w:val="37221743"/>
    <w:rsid w:val="37243C1B"/>
    <w:rsid w:val="37287091"/>
    <w:rsid w:val="372907BF"/>
    <w:rsid w:val="3729571E"/>
    <w:rsid w:val="372B398F"/>
    <w:rsid w:val="372C701F"/>
    <w:rsid w:val="3730715C"/>
    <w:rsid w:val="3731311B"/>
    <w:rsid w:val="37313B18"/>
    <w:rsid w:val="37333AF5"/>
    <w:rsid w:val="373408A5"/>
    <w:rsid w:val="37357164"/>
    <w:rsid w:val="373A0C1E"/>
    <w:rsid w:val="373B6744"/>
    <w:rsid w:val="373B7263"/>
    <w:rsid w:val="373C0B79"/>
    <w:rsid w:val="373F4487"/>
    <w:rsid w:val="374070DE"/>
    <w:rsid w:val="3741494B"/>
    <w:rsid w:val="37442EB7"/>
    <w:rsid w:val="37443747"/>
    <w:rsid w:val="37447D6D"/>
    <w:rsid w:val="374638F7"/>
    <w:rsid w:val="37465815"/>
    <w:rsid w:val="374750E9"/>
    <w:rsid w:val="374870C0"/>
    <w:rsid w:val="374E77C8"/>
    <w:rsid w:val="374F69DC"/>
    <w:rsid w:val="37502D61"/>
    <w:rsid w:val="375318EC"/>
    <w:rsid w:val="3753277D"/>
    <w:rsid w:val="3754580C"/>
    <w:rsid w:val="375565FD"/>
    <w:rsid w:val="375717D0"/>
    <w:rsid w:val="37590E51"/>
    <w:rsid w:val="375E10BA"/>
    <w:rsid w:val="375E7ED5"/>
    <w:rsid w:val="375F3051"/>
    <w:rsid w:val="376076CF"/>
    <w:rsid w:val="37616ED6"/>
    <w:rsid w:val="3763409F"/>
    <w:rsid w:val="37640266"/>
    <w:rsid w:val="37667FD8"/>
    <w:rsid w:val="376D7534"/>
    <w:rsid w:val="37702892"/>
    <w:rsid w:val="37770BDD"/>
    <w:rsid w:val="37780297"/>
    <w:rsid w:val="377B4845"/>
    <w:rsid w:val="377E2B92"/>
    <w:rsid w:val="3781684D"/>
    <w:rsid w:val="378679C0"/>
    <w:rsid w:val="378C0D4E"/>
    <w:rsid w:val="37904B20"/>
    <w:rsid w:val="37977E1F"/>
    <w:rsid w:val="379833E2"/>
    <w:rsid w:val="379B69EA"/>
    <w:rsid w:val="379C29D4"/>
    <w:rsid w:val="379C3687"/>
    <w:rsid w:val="379E1D6D"/>
    <w:rsid w:val="379E2A51"/>
    <w:rsid w:val="379E73FF"/>
    <w:rsid w:val="379F3EED"/>
    <w:rsid w:val="37A17265"/>
    <w:rsid w:val="37A17C4F"/>
    <w:rsid w:val="37A32AE6"/>
    <w:rsid w:val="37A43AE5"/>
    <w:rsid w:val="37A60062"/>
    <w:rsid w:val="37A662B4"/>
    <w:rsid w:val="37A776B1"/>
    <w:rsid w:val="37A91900"/>
    <w:rsid w:val="37A96F0F"/>
    <w:rsid w:val="37AC403D"/>
    <w:rsid w:val="37AE6F16"/>
    <w:rsid w:val="37AF74CA"/>
    <w:rsid w:val="37B0004E"/>
    <w:rsid w:val="37B25A57"/>
    <w:rsid w:val="37B37C8C"/>
    <w:rsid w:val="37B5307D"/>
    <w:rsid w:val="37BD1C5E"/>
    <w:rsid w:val="37C11BAF"/>
    <w:rsid w:val="37C30C14"/>
    <w:rsid w:val="37C44757"/>
    <w:rsid w:val="37C44D03"/>
    <w:rsid w:val="37CA31E3"/>
    <w:rsid w:val="37CA4EEE"/>
    <w:rsid w:val="37CC2DB8"/>
    <w:rsid w:val="37CD7F1E"/>
    <w:rsid w:val="37CE3BFD"/>
    <w:rsid w:val="37D3136D"/>
    <w:rsid w:val="37D35C79"/>
    <w:rsid w:val="37D62B7D"/>
    <w:rsid w:val="37D71CEA"/>
    <w:rsid w:val="37D7646D"/>
    <w:rsid w:val="37D86E73"/>
    <w:rsid w:val="37E15FE5"/>
    <w:rsid w:val="37E256BE"/>
    <w:rsid w:val="37E74EFB"/>
    <w:rsid w:val="37E77885"/>
    <w:rsid w:val="37EB2DC8"/>
    <w:rsid w:val="37EC0A12"/>
    <w:rsid w:val="37EF1A09"/>
    <w:rsid w:val="37EF1F86"/>
    <w:rsid w:val="37F06791"/>
    <w:rsid w:val="37F2281E"/>
    <w:rsid w:val="37F25055"/>
    <w:rsid w:val="37F2650F"/>
    <w:rsid w:val="37F410FF"/>
    <w:rsid w:val="37F565FF"/>
    <w:rsid w:val="37F7445A"/>
    <w:rsid w:val="3802077B"/>
    <w:rsid w:val="380240FD"/>
    <w:rsid w:val="380460F4"/>
    <w:rsid w:val="3805122C"/>
    <w:rsid w:val="380B2330"/>
    <w:rsid w:val="380D12B4"/>
    <w:rsid w:val="380D6910"/>
    <w:rsid w:val="380E3748"/>
    <w:rsid w:val="38125624"/>
    <w:rsid w:val="3817420E"/>
    <w:rsid w:val="381A520E"/>
    <w:rsid w:val="381C6576"/>
    <w:rsid w:val="38217669"/>
    <w:rsid w:val="382C6671"/>
    <w:rsid w:val="383052E6"/>
    <w:rsid w:val="38390ED6"/>
    <w:rsid w:val="383B4C4E"/>
    <w:rsid w:val="383C5FE0"/>
    <w:rsid w:val="383D413A"/>
    <w:rsid w:val="38470BB0"/>
    <w:rsid w:val="38474189"/>
    <w:rsid w:val="38475D2A"/>
    <w:rsid w:val="38477BCF"/>
    <w:rsid w:val="384E522B"/>
    <w:rsid w:val="384F24A7"/>
    <w:rsid w:val="384F3CB1"/>
    <w:rsid w:val="38506315"/>
    <w:rsid w:val="38513DE2"/>
    <w:rsid w:val="3852226E"/>
    <w:rsid w:val="3853376C"/>
    <w:rsid w:val="385351A0"/>
    <w:rsid w:val="38561A88"/>
    <w:rsid w:val="3859075A"/>
    <w:rsid w:val="385A65E7"/>
    <w:rsid w:val="385D0BF9"/>
    <w:rsid w:val="385D7976"/>
    <w:rsid w:val="385E429B"/>
    <w:rsid w:val="3862042D"/>
    <w:rsid w:val="38624159"/>
    <w:rsid w:val="38646325"/>
    <w:rsid w:val="38695DE6"/>
    <w:rsid w:val="386B3A5B"/>
    <w:rsid w:val="386B3F3C"/>
    <w:rsid w:val="386B4E07"/>
    <w:rsid w:val="386D0B7F"/>
    <w:rsid w:val="386F3073"/>
    <w:rsid w:val="387168C2"/>
    <w:rsid w:val="387243E8"/>
    <w:rsid w:val="38735A0D"/>
    <w:rsid w:val="38743A38"/>
    <w:rsid w:val="38743CBC"/>
    <w:rsid w:val="387653CA"/>
    <w:rsid w:val="387939C8"/>
    <w:rsid w:val="3879662C"/>
    <w:rsid w:val="387A1CCE"/>
    <w:rsid w:val="387A73C9"/>
    <w:rsid w:val="387B14EE"/>
    <w:rsid w:val="387E769F"/>
    <w:rsid w:val="3884662A"/>
    <w:rsid w:val="388A34DF"/>
    <w:rsid w:val="388B2005"/>
    <w:rsid w:val="388C2881"/>
    <w:rsid w:val="388E7474"/>
    <w:rsid w:val="388F477D"/>
    <w:rsid w:val="388F4F9A"/>
    <w:rsid w:val="388F6147"/>
    <w:rsid w:val="38925F64"/>
    <w:rsid w:val="38940F0B"/>
    <w:rsid w:val="38993CC6"/>
    <w:rsid w:val="389C791D"/>
    <w:rsid w:val="389E5424"/>
    <w:rsid w:val="38A07EE1"/>
    <w:rsid w:val="38A310FB"/>
    <w:rsid w:val="38A316BD"/>
    <w:rsid w:val="38A93BB2"/>
    <w:rsid w:val="38AA6EBD"/>
    <w:rsid w:val="38AC248F"/>
    <w:rsid w:val="38AE178D"/>
    <w:rsid w:val="38AE37FF"/>
    <w:rsid w:val="38AE79FA"/>
    <w:rsid w:val="38B247E4"/>
    <w:rsid w:val="38B273A0"/>
    <w:rsid w:val="38B642D4"/>
    <w:rsid w:val="38B66756"/>
    <w:rsid w:val="38BB4203"/>
    <w:rsid w:val="38BD5663"/>
    <w:rsid w:val="38C308FB"/>
    <w:rsid w:val="38C53DAB"/>
    <w:rsid w:val="38C849C5"/>
    <w:rsid w:val="38C96FCD"/>
    <w:rsid w:val="38CC3AF8"/>
    <w:rsid w:val="38D26C34"/>
    <w:rsid w:val="38D317F6"/>
    <w:rsid w:val="38D367D9"/>
    <w:rsid w:val="38DB6A3C"/>
    <w:rsid w:val="38DC1DD8"/>
    <w:rsid w:val="38DC5427"/>
    <w:rsid w:val="38DE5F53"/>
    <w:rsid w:val="38DF4ED9"/>
    <w:rsid w:val="38E17B53"/>
    <w:rsid w:val="38E452E6"/>
    <w:rsid w:val="38EC7806"/>
    <w:rsid w:val="38F024E5"/>
    <w:rsid w:val="38F117B0"/>
    <w:rsid w:val="38F27B88"/>
    <w:rsid w:val="38F512A1"/>
    <w:rsid w:val="38F86633"/>
    <w:rsid w:val="38FB618B"/>
    <w:rsid w:val="38FD03D1"/>
    <w:rsid w:val="38FE5C7B"/>
    <w:rsid w:val="39007C46"/>
    <w:rsid w:val="3902751A"/>
    <w:rsid w:val="390453E0"/>
    <w:rsid w:val="39082896"/>
    <w:rsid w:val="39090018"/>
    <w:rsid w:val="39103F9F"/>
    <w:rsid w:val="39111E53"/>
    <w:rsid w:val="3911751B"/>
    <w:rsid w:val="391361DB"/>
    <w:rsid w:val="391639A4"/>
    <w:rsid w:val="391A1404"/>
    <w:rsid w:val="391D07F7"/>
    <w:rsid w:val="39263173"/>
    <w:rsid w:val="39275184"/>
    <w:rsid w:val="39276F80"/>
    <w:rsid w:val="392A081F"/>
    <w:rsid w:val="392A2F44"/>
    <w:rsid w:val="392A30FB"/>
    <w:rsid w:val="392C6FE4"/>
    <w:rsid w:val="392D4038"/>
    <w:rsid w:val="39314D19"/>
    <w:rsid w:val="39365415"/>
    <w:rsid w:val="3936770E"/>
    <w:rsid w:val="39394D72"/>
    <w:rsid w:val="394221E6"/>
    <w:rsid w:val="39467D04"/>
    <w:rsid w:val="39495149"/>
    <w:rsid w:val="394C7FD3"/>
    <w:rsid w:val="394D229C"/>
    <w:rsid w:val="39566783"/>
    <w:rsid w:val="3957180B"/>
    <w:rsid w:val="395B4E7C"/>
    <w:rsid w:val="395D0BF4"/>
    <w:rsid w:val="396106E4"/>
    <w:rsid w:val="39643D30"/>
    <w:rsid w:val="39653B7F"/>
    <w:rsid w:val="396561EC"/>
    <w:rsid w:val="396957EB"/>
    <w:rsid w:val="396A35AB"/>
    <w:rsid w:val="396A50BF"/>
    <w:rsid w:val="396B3311"/>
    <w:rsid w:val="396C1913"/>
    <w:rsid w:val="396C3C01"/>
    <w:rsid w:val="396E05E2"/>
    <w:rsid w:val="39724482"/>
    <w:rsid w:val="3976413E"/>
    <w:rsid w:val="397B1BCF"/>
    <w:rsid w:val="397C74EE"/>
    <w:rsid w:val="397F0B6A"/>
    <w:rsid w:val="39820717"/>
    <w:rsid w:val="39827B7C"/>
    <w:rsid w:val="398B1820"/>
    <w:rsid w:val="398B779E"/>
    <w:rsid w:val="398C1968"/>
    <w:rsid w:val="398D4AE2"/>
    <w:rsid w:val="398E34A3"/>
    <w:rsid w:val="398F0CF0"/>
    <w:rsid w:val="39900FC9"/>
    <w:rsid w:val="39924D42"/>
    <w:rsid w:val="39934616"/>
    <w:rsid w:val="39936B4C"/>
    <w:rsid w:val="399654D7"/>
    <w:rsid w:val="39971B73"/>
    <w:rsid w:val="39982633"/>
    <w:rsid w:val="399D36E6"/>
    <w:rsid w:val="399F3E9D"/>
    <w:rsid w:val="39A35FB9"/>
    <w:rsid w:val="39A630BD"/>
    <w:rsid w:val="39AC0218"/>
    <w:rsid w:val="39AE60C8"/>
    <w:rsid w:val="39AF02DA"/>
    <w:rsid w:val="39B5145B"/>
    <w:rsid w:val="39B5458C"/>
    <w:rsid w:val="39B734AF"/>
    <w:rsid w:val="39B75636"/>
    <w:rsid w:val="39B8571B"/>
    <w:rsid w:val="39BC49B5"/>
    <w:rsid w:val="39BC7231"/>
    <w:rsid w:val="39BE5B37"/>
    <w:rsid w:val="39BF4F69"/>
    <w:rsid w:val="39BF58CD"/>
    <w:rsid w:val="39C07F2A"/>
    <w:rsid w:val="39C104DE"/>
    <w:rsid w:val="39C30DEE"/>
    <w:rsid w:val="39C649EB"/>
    <w:rsid w:val="39C830F9"/>
    <w:rsid w:val="39C8341B"/>
    <w:rsid w:val="39C95759"/>
    <w:rsid w:val="39CC1364"/>
    <w:rsid w:val="39CC14F3"/>
    <w:rsid w:val="39CC71A5"/>
    <w:rsid w:val="39D07993"/>
    <w:rsid w:val="39D901FA"/>
    <w:rsid w:val="39DB3C47"/>
    <w:rsid w:val="39DE630A"/>
    <w:rsid w:val="39DF785B"/>
    <w:rsid w:val="39E00291"/>
    <w:rsid w:val="39E135D3"/>
    <w:rsid w:val="39E60BE9"/>
    <w:rsid w:val="39EB4452"/>
    <w:rsid w:val="39ED47D1"/>
    <w:rsid w:val="39EE7A9E"/>
    <w:rsid w:val="39EE7BDC"/>
    <w:rsid w:val="39F01723"/>
    <w:rsid w:val="39F07CBA"/>
    <w:rsid w:val="39F14C64"/>
    <w:rsid w:val="39F2758E"/>
    <w:rsid w:val="39F33306"/>
    <w:rsid w:val="39F45D69"/>
    <w:rsid w:val="39F5707E"/>
    <w:rsid w:val="39F630B2"/>
    <w:rsid w:val="39FD260D"/>
    <w:rsid w:val="39FD2F94"/>
    <w:rsid w:val="3A013C75"/>
    <w:rsid w:val="3A024CAE"/>
    <w:rsid w:val="3A054308"/>
    <w:rsid w:val="3A07454B"/>
    <w:rsid w:val="3A0C69E4"/>
    <w:rsid w:val="3A0E1EEE"/>
    <w:rsid w:val="3A103EB8"/>
    <w:rsid w:val="3A1219DE"/>
    <w:rsid w:val="3A123C36"/>
    <w:rsid w:val="3A1406B6"/>
    <w:rsid w:val="3A176647"/>
    <w:rsid w:val="3A183E8B"/>
    <w:rsid w:val="3A1B7C74"/>
    <w:rsid w:val="3A1D6AB2"/>
    <w:rsid w:val="3A1E053A"/>
    <w:rsid w:val="3A1F0242"/>
    <w:rsid w:val="3A201D84"/>
    <w:rsid w:val="3A206B1E"/>
    <w:rsid w:val="3A2161EB"/>
    <w:rsid w:val="3A216A89"/>
    <w:rsid w:val="3A2243C8"/>
    <w:rsid w:val="3A224433"/>
    <w:rsid w:val="3A227E9E"/>
    <w:rsid w:val="3A282EEE"/>
    <w:rsid w:val="3A2967CE"/>
    <w:rsid w:val="3A2A021E"/>
    <w:rsid w:val="3A2B05F0"/>
    <w:rsid w:val="3A2C7423"/>
    <w:rsid w:val="3A303189"/>
    <w:rsid w:val="3A30455A"/>
    <w:rsid w:val="3A3214CC"/>
    <w:rsid w:val="3A330F2B"/>
    <w:rsid w:val="3A3666BD"/>
    <w:rsid w:val="3A371445"/>
    <w:rsid w:val="3A3D7512"/>
    <w:rsid w:val="3A3E487D"/>
    <w:rsid w:val="3A4028E8"/>
    <w:rsid w:val="3A40414F"/>
    <w:rsid w:val="3A443578"/>
    <w:rsid w:val="3A445910"/>
    <w:rsid w:val="3A4A561C"/>
    <w:rsid w:val="3A4E0707"/>
    <w:rsid w:val="3A507EF8"/>
    <w:rsid w:val="3A514477"/>
    <w:rsid w:val="3A526642"/>
    <w:rsid w:val="3A532654"/>
    <w:rsid w:val="3A5B451C"/>
    <w:rsid w:val="3A5E2E76"/>
    <w:rsid w:val="3A600652"/>
    <w:rsid w:val="3A614714"/>
    <w:rsid w:val="3A687850"/>
    <w:rsid w:val="3A6A7054"/>
    <w:rsid w:val="3A6F1D50"/>
    <w:rsid w:val="3A702260"/>
    <w:rsid w:val="3A721156"/>
    <w:rsid w:val="3A723FEB"/>
    <w:rsid w:val="3A725515"/>
    <w:rsid w:val="3A742699"/>
    <w:rsid w:val="3A751F6D"/>
    <w:rsid w:val="3A7772A9"/>
    <w:rsid w:val="3A7A7584"/>
    <w:rsid w:val="3A8013C4"/>
    <w:rsid w:val="3A84753C"/>
    <w:rsid w:val="3A850402"/>
    <w:rsid w:val="3A865F28"/>
    <w:rsid w:val="3A8C7C59"/>
    <w:rsid w:val="3A922B1F"/>
    <w:rsid w:val="3A931DD2"/>
    <w:rsid w:val="3A9366F9"/>
    <w:rsid w:val="3A9979F5"/>
    <w:rsid w:val="3A9C399E"/>
    <w:rsid w:val="3A9D60B7"/>
    <w:rsid w:val="3A9E5D9A"/>
    <w:rsid w:val="3A9F027C"/>
    <w:rsid w:val="3AA20330"/>
    <w:rsid w:val="3AA27753"/>
    <w:rsid w:val="3AA42209"/>
    <w:rsid w:val="3AA45BF2"/>
    <w:rsid w:val="3AA51D80"/>
    <w:rsid w:val="3AA765CB"/>
    <w:rsid w:val="3AAD1707"/>
    <w:rsid w:val="3AAD5BAB"/>
    <w:rsid w:val="3AB121BB"/>
    <w:rsid w:val="3AB67EFE"/>
    <w:rsid w:val="3AC03A36"/>
    <w:rsid w:val="3AC142F1"/>
    <w:rsid w:val="3AC37A18"/>
    <w:rsid w:val="3ACA7679"/>
    <w:rsid w:val="3ACC2C17"/>
    <w:rsid w:val="3ACD640A"/>
    <w:rsid w:val="3ACF169C"/>
    <w:rsid w:val="3AD46DA6"/>
    <w:rsid w:val="3AD54849"/>
    <w:rsid w:val="3AD655A2"/>
    <w:rsid w:val="3AD80004"/>
    <w:rsid w:val="3AD83785"/>
    <w:rsid w:val="3ADA6EB0"/>
    <w:rsid w:val="3ADB6274"/>
    <w:rsid w:val="3ADC6E4E"/>
    <w:rsid w:val="3AE113B1"/>
    <w:rsid w:val="3AE151E5"/>
    <w:rsid w:val="3AE467DF"/>
    <w:rsid w:val="3AE62A08"/>
    <w:rsid w:val="3AEB1E16"/>
    <w:rsid w:val="3AEC48FA"/>
    <w:rsid w:val="3AEF2E86"/>
    <w:rsid w:val="3AF033F9"/>
    <w:rsid w:val="3AF048C9"/>
    <w:rsid w:val="3AF17928"/>
    <w:rsid w:val="3AF23ECA"/>
    <w:rsid w:val="3AF24C31"/>
    <w:rsid w:val="3AF64E5C"/>
    <w:rsid w:val="3AF6669A"/>
    <w:rsid w:val="3AF668AF"/>
    <w:rsid w:val="3AFA0689"/>
    <w:rsid w:val="3AFB06C4"/>
    <w:rsid w:val="3AFB781A"/>
    <w:rsid w:val="3AFD4F44"/>
    <w:rsid w:val="3AFE4D0B"/>
    <w:rsid w:val="3B0311B9"/>
    <w:rsid w:val="3B044178"/>
    <w:rsid w:val="3B096234"/>
    <w:rsid w:val="3B0A0908"/>
    <w:rsid w:val="3B0A599B"/>
    <w:rsid w:val="3B0B4275"/>
    <w:rsid w:val="3B0B7F5A"/>
    <w:rsid w:val="3B0C0B24"/>
    <w:rsid w:val="3B165CA0"/>
    <w:rsid w:val="3B173090"/>
    <w:rsid w:val="3B173BF2"/>
    <w:rsid w:val="3B185AF1"/>
    <w:rsid w:val="3B1A693F"/>
    <w:rsid w:val="3B1B0CE9"/>
    <w:rsid w:val="3B1D4CD4"/>
    <w:rsid w:val="3B1D688D"/>
    <w:rsid w:val="3B1E03F3"/>
    <w:rsid w:val="3B2232D4"/>
    <w:rsid w:val="3B223EA3"/>
    <w:rsid w:val="3B264EE0"/>
    <w:rsid w:val="3B2A329F"/>
    <w:rsid w:val="3B2B4EB0"/>
    <w:rsid w:val="3B2C09E8"/>
    <w:rsid w:val="3B2E1447"/>
    <w:rsid w:val="3B2F7A47"/>
    <w:rsid w:val="3B331C0C"/>
    <w:rsid w:val="3B36178C"/>
    <w:rsid w:val="3B3D0CDD"/>
    <w:rsid w:val="3B401368"/>
    <w:rsid w:val="3B405151"/>
    <w:rsid w:val="3B464036"/>
    <w:rsid w:val="3B4C12AA"/>
    <w:rsid w:val="3B4F4CA9"/>
    <w:rsid w:val="3B526CA5"/>
    <w:rsid w:val="3B526DCC"/>
    <w:rsid w:val="3B53405D"/>
    <w:rsid w:val="3B5878C5"/>
    <w:rsid w:val="3B5A2273"/>
    <w:rsid w:val="3B5A363D"/>
    <w:rsid w:val="3B5B5607"/>
    <w:rsid w:val="3B5E6E75"/>
    <w:rsid w:val="3B60005A"/>
    <w:rsid w:val="3B60677A"/>
    <w:rsid w:val="3B6567D9"/>
    <w:rsid w:val="3B6D24F5"/>
    <w:rsid w:val="3B6E0E96"/>
    <w:rsid w:val="3B6E2755"/>
    <w:rsid w:val="3B6E533A"/>
    <w:rsid w:val="3B6E70E8"/>
    <w:rsid w:val="3B6F23B3"/>
    <w:rsid w:val="3B7010B2"/>
    <w:rsid w:val="3B736CDC"/>
    <w:rsid w:val="3B7402B8"/>
    <w:rsid w:val="3B742225"/>
    <w:rsid w:val="3B746452"/>
    <w:rsid w:val="3B762441"/>
    <w:rsid w:val="3B774A76"/>
    <w:rsid w:val="3B7A5A8D"/>
    <w:rsid w:val="3B7C46E8"/>
    <w:rsid w:val="3B7E23AF"/>
    <w:rsid w:val="3B7E69CB"/>
    <w:rsid w:val="3B7F34AA"/>
    <w:rsid w:val="3B8132BD"/>
    <w:rsid w:val="3B841D62"/>
    <w:rsid w:val="3B852864"/>
    <w:rsid w:val="3B8948DC"/>
    <w:rsid w:val="3B8F148F"/>
    <w:rsid w:val="3B9052B1"/>
    <w:rsid w:val="3B9603ED"/>
    <w:rsid w:val="3B974891"/>
    <w:rsid w:val="3B98242C"/>
    <w:rsid w:val="3B9C0921"/>
    <w:rsid w:val="3B9D352A"/>
    <w:rsid w:val="3B9E6191"/>
    <w:rsid w:val="3BA1059E"/>
    <w:rsid w:val="3BA269CE"/>
    <w:rsid w:val="3BA42B0A"/>
    <w:rsid w:val="3BAC5E63"/>
    <w:rsid w:val="3BAD4B47"/>
    <w:rsid w:val="3BB002D7"/>
    <w:rsid w:val="3BB46028"/>
    <w:rsid w:val="3BB6621C"/>
    <w:rsid w:val="3BB91FE7"/>
    <w:rsid w:val="3BBB7E54"/>
    <w:rsid w:val="3BBC60A6"/>
    <w:rsid w:val="3BBF5B96"/>
    <w:rsid w:val="3BC1190E"/>
    <w:rsid w:val="3BC1546A"/>
    <w:rsid w:val="3BC4467B"/>
    <w:rsid w:val="3BC83446"/>
    <w:rsid w:val="3BC9431F"/>
    <w:rsid w:val="3BCB5986"/>
    <w:rsid w:val="3BCC2061"/>
    <w:rsid w:val="3BCD233D"/>
    <w:rsid w:val="3BD1529A"/>
    <w:rsid w:val="3BD412DA"/>
    <w:rsid w:val="3BD76654"/>
    <w:rsid w:val="3BD86C58"/>
    <w:rsid w:val="3BDB709E"/>
    <w:rsid w:val="3BE13D5E"/>
    <w:rsid w:val="3BE949C1"/>
    <w:rsid w:val="3BED2703"/>
    <w:rsid w:val="3BF05D4F"/>
    <w:rsid w:val="3BF172A6"/>
    <w:rsid w:val="3BF35840"/>
    <w:rsid w:val="3BF5780A"/>
    <w:rsid w:val="3BF72E59"/>
    <w:rsid w:val="3BFB1A37"/>
    <w:rsid w:val="3BFF41E4"/>
    <w:rsid w:val="3C006FAE"/>
    <w:rsid w:val="3C02216E"/>
    <w:rsid w:val="3C090BBF"/>
    <w:rsid w:val="3C095063"/>
    <w:rsid w:val="3C0B1C91"/>
    <w:rsid w:val="3C0D06AF"/>
    <w:rsid w:val="3C0D6901"/>
    <w:rsid w:val="3C0F1E1C"/>
    <w:rsid w:val="3C0F45C4"/>
    <w:rsid w:val="3C1001A0"/>
    <w:rsid w:val="3C157564"/>
    <w:rsid w:val="3C1B03FB"/>
    <w:rsid w:val="3C1C512B"/>
    <w:rsid w:val="3C1F46AD"/>
    <w:rsid w:val="3C1F6ED2"/>
    <w:rsid w:val="3C236125"/>
    <w:rsid w:val="3C2459F9"/>
    <w:rsid w:val="3C264B94"/>
    <w:rsid w:val="3C2719FC"/>
    <w:rsid w:val="3C281788"/>
    <w:rsid w:val="3C2B4FD9"/>
    <w:rsid w:val="3C2C343F"/>
    <w:rsid w:val="3C2D302D"/>
    <w:rsid w:val="3C2D6FA3"/>
    <w:rsid w:val="3C2F5D6D"/>
    <w:rsid w:val="3C331B7E"/>
    <w:rsid w:val="3C334F54"/>
    <w:rsid w:val="3C335C3C"/>
    <w:rsid w:val="3C3814A4"/>
    <w:rsid w:val="3C387830"/>
    <w:rsid w:val="3C3C2D43"/>
    <w:rsid w:val="3C403A78"/>
    <w:rsid w:val="3C407959"/>
    <w:rsid w:val="3C4251B0"/>
    <w:rsid w:val="3C432795"/>
    <w:rsid w:val="3C48260D"/>
    <w:rsid w:val="3C4B567C"/>
    <w:rsid w:val="3C4C63CA"/>
    <w:rsid w:val="3C4D337F"/>
    <w:rsid w:val="3C4F6E67"/>
    <w:rsid w:val="3C5013FF"/>
    <w:rsid w:val="3C510449"/>
    <w:rsid w:val="3C5114D0"/>
    <w:rsid w:val="3C5502A8"/>
    <w:rsid w:val="3C553E04"/>
    <w:rsid w:val="3C555670"/>
    <w:rsid w:val="3C570FBE"/>
    <w:rsid w:val="3C5957EE"/>
    <w:rsid w:val="3C5A3B6D"/>
    <w:rsid w:val="3C5B71D2"/>
    <w:rsid w:val="3C5C1637"/>
    <w:rsid w:val="3C5E53AF"/>
    <w:rsid w:val="3C611C19"/>
    <w:rsid w:val="3C664263"/>
    <w:rsid w:val="3C686A8A"/>
    <w:rsid w:val="3C6F6A11"/>
    <w:rsid w:val="3C6F7098"/>
    <w:rsid w:val="3C714095"/>
    <w:rsid w:val="3C732B74"/>
    <w:rsid w:val="3C737607"/>
    <w:rsid w:val="3C7544A7"/>
    <w:rsid w:val="3C7626F9"/>
    <w:rsid w:val="3C771367"/>
    <w:rsid w:val="3C7921E9"/>
    <w:rsid w:val="3C7A1ABD"/>
    <w:rsid w:val="3C7B55E4"/>
    <w:rsid w:val="3C7C3D25"/>
    <w:rsid w:val="3C816393"/>
    <w:rsid w:val="3C830972"/>
    <w:rsid w:val="3C85043D"/>
    <w:rsid w:val="3C8C23B5"/>
    <w:rsid w:val="3C8D24D1"/>
    <w:rsid w:val="3C8D6729"/>
    <w:rsid w:val="3C8E4297"/>
    <w:rsid w:val="3C8F7316"/>
    <w:rsid w:val="3C925213"/>
    <w:rsid w:val="3C926E07"/>
    <w:rsid w:val="3C94492D"/>
    <w:rsid w:val="3C945797"/>
    <w:rsid w:val="3C965623"/>
    <w:rsid w:val="3C9A45A8"/>
    <w:rsid w:val="3C9F32D2"/>
    <w:rsid w:val="3CA1529C"/>
    <w:rsid w:val="3CA20B6B"/>
    <w:rsid w:val="3CAA4867"/>
    <w:rsid w:val="3CAC79B9"/>
    <w:rsid w:val="3CAD59EE"/>
    <w:rsid w:val="3CB13AB8"/>
    <w:rsid w:val="3CB30D14"/>
    <w:rsid w:val="3CB44FA2"/>
    <w:rsid w:val="3CB46D7D"/>
    <w:rsid w:val="3CB85E9D"/>
    <w:rsid w:val="3CBC6341"/>
    <w:rsid w:val="3CBD50BF"/>
    <w:rsid w:val="3CC03974"/>
    <w:rsid w:val="3CC16D3F"/>
    <w:rsid w:val="3CC34AE5"/>
    <w:rsid w:val="3CC3627A"/>
    <w:rsid w:val="3CC45E84"/>
    <w:rsid w:val="3CC7056B"/>
    <w:rsid w:val="3CC91AA5"/>
    <w:rsid w:val="3CCB5157"/>
    <w:rsid w:val="3CCC2B0D"/>
    <w:rsid w:val="3CCC799D"/>
    <w:rsid w:val="3CCD0BC4"/>
    <w:rsid w:val="3CCE1207"/>
    <w:rsid w:val="3CD122C5"/>
    <w:rsid w:val="3CD22C45"/>
    <w:rsid w:val="3CD32E37"/>
    <w:rsid w:val="3CD4741F"/>
    <w:rsid w:val="3CD60BE5"/>
    <w:rsid w:val="3CD72A6B"/>
    <w:rsid w:val="3CD82F64"/>
    <w:rsid w:val="3CD845C6"/>
    <w:rsid w:val="3CD94A35"/>
    <w:rsid w:val="3CD97D33"/>
    <w:rsid w:val="3CDB07AE"/>
    <w:rsid w:val="3CDC0658"/>
    <w:rsid w:val="3CDD29C1"/>
    <w:rsid w:val="3CE04319"/>
    <w:rsid w:val="3CE116D3"/>
    <w:rsid w:val="3CE138EA"/>
    <w:rsid w:val="3CE162E7"/>
    <w:rsid w:val="3CE17CEF"/>
    <w:rsid w:val="3CE22DCE"/>
    <w:rsid w:val="3CE23FFF"/>
    <w:rsid w:val="3CE41E03"/>
    <w:rsid w:val="3CE51764"/>
    <w:rsid w:val="3CE86B77"/>
    <w:rsid w:val="3CEB253C"/>
    <w:rsid w:val="3CF11D7F"/>
    <w:rsid w:val="3CF4361D"/>
    <w:rsid w:val="3CF568EC"/>
    <w:rsid w:val="3CF60ACF"/>
    <w:rsid w:val="3CF75015"/>
    <w:rsid w:val="3CF814CF"/>
    <w:rsid w:val="3CFE1A11"/>
    <w:rsid w:val="3CFE624A"/>
    <w:rsid w:val="3D0156BE"/>
    <w:rsid w:val="3D053A7C"/>
    <w:rsid w:val="3D0714CA"/>
    <w:rsid w:val="3D08158A"/>
    <w:rsid w:val="3D0A54AC"/>
    <w:rsid w:val="3D0C2743"/>
    <w:rsid w:val="3D0C6BB9"/>
    <w:rsid w:val="3D0D33AB"/>
    <w:rsid w:val="3D1039F4"/>
    <w:rsid w:val="3D112421"/>
    <w:rsid w:val="3D162EFA"/>
    <w:rsid w:val="3D1C33DD"/>
    <w:rsid w:val="3D1E09A4"/>
    <w:rsid w:val="3D2044EF"/>
    <w:rsid w:val="3D271C45"/>
    <w:rsid w:val="3D2832C7"/>
    <w:rsid w:val="3D2B3432"/>
    <w:rsid w:val="3D2D6B2F"/>
    <w:rsid w:val="3D2E3078"/>
    <w:rsid w:val="3D317BF3"/>
    <w:rsid w:val="3D346110"/>
    <w:rsid w:val="3D3A24DE"/>
    <w:rsid w:val="3D3C393E"/>
    <w:rsid w:val="3D404AB5"/>
    <w:rsid w:val="3D471934"/>
    <w:rsid w:val="3D473EB5"/>
    <w:rsid w:val="3D497FBC"/>
    <w:rsid w:val="3D4A148F"/>
    <w:rsid w:val="3D4D2D2E"/>
    <w:rsid w:val="3D4D63D3"/>
    <w:rsid w:val="3D4F2F4A"/>
    <w:rsid w:val="3D503CB6"/>
    <w:rsid w:val="3D5521DF"/>
    <w:rsid w:val="3D5634B1"/>
    <w:rsid w:val="3D592F61"/>
    <w:rsid w:val="3D5C6433"/>
    <w:rsid w:val="3D5F7A13"/>
    <w:rsid w:val="3D626DBB"/>
    <w:rsid w:val="3D630A62"/>
    <w:rsid w:val="3D66684E"/>
    <w:rsid w:val="3D6708EA"/>
    <w:rsid w:val="3D694C63"/>
    <w:rsid w:val="3D6962D3"/>
    <w:rsid w:val="3D6B36DE"/>
    <w:rsid w:val="3D7309E6"/>
    <w:rsid w:val="3D78424E"/>
    <w:rsid w:val="3D785FFC"/>
    <w:rsid w:val="3D850574"/>
    <w:rsid w:val="3D864BBD"/>
    <w:rsid w:val="3D871FDB"/>
    <w:rsid w:val="3D874491"/>
    <w:rsid w:val="3D87623F"/>
    <w:rsid w:val="3D8B20CC"/>
    <w:rsid w:val="3D8B49A9"/>
    <w:rsid w:val="3D8C7CFA"/>
    <w:rsid w:val="3D8E52AA"/>
    <w:rsid w:val="3D8F50C4"/>
    <w:rsid w:val="3D9267FC"/>
    <w:rsid w:val="3D946844"/>
    <w:rsid w:val="3D9A555D"/>
    <w:rsid w:val="3D9F1959"/>
    <w:rsid w:val="3D9F50BB"/>
    <w:rsid w:val="3DA07E5F"/>
    <w:rsid w:val="3DA30820"/>
    <w:rsid w:val="3DA35AEA"/>
    <w:rsid w:val="3DA43295"/>
    <w:rsid w:val="3DA70F36"/>
    <w:rsid w:val="3DA908A0"/>
    <w:rsid w:val="3DAB715D"/>
    <w:rsid w:val="3DAD746C"/>
    <w:rsid w:val="3DAE1A1E"/>
    <w:rsid w:val="3DAE5EC2"/>
    <w:rsid w:val="3DAE7DCE"/>
    <w:rsid w:val="3DB01748"/>
    <w:rsid w:val="3DB159B2"/>
    <w:rsid w:val="3DB26A4B"/>
    <w:rsid w:val="3DB53026"/>
    <w:rsid w:val="3DB80B66"/>
    <w:rsid w:val="3DB8289D"/>
    <w:rsid w:val="3DBA5C3A"/>
    <w:rsid w:val="3DBB2DFD"/>
    <w:rsid w:val="3DBC344D"/>
    <w:rsid w:val="3DBF00CF"/>
    <w:rsid w:val="3DC2196D"/>
    <w:rsid w:val="3DC62CCD"/>
    <w:rsid w:val="3DC762C2"/>
    <w:rsid w:val="3DC9257A"/>
    <w:rsid w:val="3DC95A8B"/>
    <w:rsid w:val="3DCB6A74"/>
    <w:rsid w:val="3DD5018E"/>
    <w:rsid w:val="3DD54684"/>
    <w:rsid w:val="3DD564C3"/>
    <w:rsid w:val="3DD57856"/>
    <w:rsid w:val="3DD84CED"/>
    <w:rsid w:val="3DDA0A65"/>
    <w:rsid w:val="3DDE0B48"/>
    <w:rsid w:val="3DDF0D5F"/>
    <w:rsid w:val="3DDF3C75"/>
    <w:rsid w:val="3DE048E8"/>
    <w:rsid w:val="3DE10046"/>
    <w:rsid w:val="3DE25B6C"/>
    <w:rsid w:val="3DE55DF3"/>
    <w:rsid w:val="3DE6565C"/>
    <w:rsid w:val="3DE701FE"/>
    <w:rsid w:val="3DE74F30"/>
    <w:rsid w:val="3DEB2C72"/>
    <w:rsid w:val="3DEB7990"/>
    <w:rsid w:val="3DF0506E"/>
    <w:rsid w:val="3DF149B1"/>
    <w:rsid w:val="3DF338D5"/>
    <w:rsid w:val="3DF34DCE"/>
    <w:rsid w:val="3DF65025"/>
    <w:rsid w:val="3DF855AD"/>
    <w:rsid w:val="3DFA4C63"/>
    <w:rsid w:val="3DFC17A7"/>
    <w:rsid w:val="3DFD6502"/>
    <w:rsid w:val="3DFF13AC"/>
    <w:rsid w:val="3E0047CB"/>
    <w:rsid w:val="3E03620E"/>
    <w:rsid w:val="3E0408A9"/>
    <w:rsid w:val="3E045AE2"/>
    <w:rsid w:val="3E0C379E"/>
    <w:rsid w:val="3E100141"/>
    <w:rsid w:val="3E173A67"/>
    <w:rsid w:val="3E181F8B"/>
    <w:rsid w:val="3E1D4DF6"/>
    <w:rsid w:val="3E235316"/>
    <w:rsid w:val="3E235947"/>
    <w:rsid w:val="3E24093C"/>
    <w:rsid w:val="3E271B73"/>
    <w:rsid w:val="3E27259A"/>
    <w:rsid w:val="3E281F2B"/>
    <w:rsid w:val="3E2A006A"/>
    <w:rsid w:val="3E2B114E"/>
    <w:rsid w:val="3E2D328B"/>
    <w:rsid w:val="3E2D50C6"/>
    <w:rsid w:val="3E2F6AD5"/>
    <w:rsid w:val="3E334F1E"/>
    <w:rsid w:val="3E344619"/>
    <w:rsid w:val="3E35213F"/>
    <w:rsid w:val="3E391C30"/>
    <w:rsid w:val="3E3A0EB7"/>
    <w:rsid w:val="3E3A663A"/>
    <w:rsid w:val="3E3A73E3"/>
    <w:rsid w:val="3E3C20E0"/>
    <w:rsid w:val="3E3D2DA2"/>
    <w:rsid w:val="3E3F4C76"/>
    <w:rsid w:val="3E3F73A7"/>
    <w:rsid w:val="3E4124A1"/>
    <w:rsid w:val="3E432AAE"/>
    <w:rsid w:val="3E467B86"/>
    <w:rsid w:val="3E4717E2"/>
    <w:rsid w:val="3E4C7624"/>
    <w:rsid w:val="3E5527E2"/>
    <w:rsid w:val="3E562A67"/>
    <w:rsid w:val="3E5A17AD"/>
    <w:rsid w:val="3E5B7702"/>
    <w:rsid w:val="3E5C147A"/>
    <w:rsid w:val="3E5C76CC"/>
    <w:rsid w:val="3E5D1219"/>
    <w:rsid w:val="3E5D1630"/>
    <w:rsid w:val="3E605D79"/>
    <w:rsid w:val="3E630A5B"/>
    <w:rsid w:val="3E634FAF"/>
    <w:rsid w:val="3E664265"/>
    <w:rsid w:val="3E6B7FCA"/>
    <w:rsid w:val="3E6F01F8"/>
    <w:rsid w:val="3E6F7963"/>
    <w:rsid w:val="3E7162AE"/>
    <w:rsid w:val="3E734A16"/>
    <w:rsid w:val="3E737FB7"/>
    <w:rsid w:val="3E740EBA"/>
    <w:rsid w:val="3E7C15F5"/>
    <w:rsid w:val="3E7C38CA"/>
    <w:rsid w:val="3E7F1384"/>
    <w:rsid w:val="3E811382"/>
    <w:rsid w:val="3E8160DA"/>
    <w:rsid w:val="3E841EE5"/>
    <w:rsid w:val="3E850779"/>
    <w:rsid w:val="3E85413A"/>
    <w:rsid w:val="3E861193"/>
    <w:rsid w:val="3E88193B"/>
    <w:rsid w:val="3E897D84"/>
    <w:rsid w:val="3E8E07A6"/>
    <w:rsid w:val="3E912E79"/>
    <w:rsid w:val="3E96049C"/>
    <w:rsid w:val="3E960EFF"/>
    <w:rsid w:val="3E970704"/>
    <w:rsid w:val="3E977155"/>
    <w:rsid w:val="3E98379F"/>
    <w:rsid w:val="3EA01CAF"/>
    <w:rsid w:val="3EA13331"/>
    <w:rsid w:val="3EA847F2"/>
    <w:rsid w:val="3EA92717"/>
    <w:rsid w:val="3EA92B8D"/>
    <w:rsid w:val="3EAF1EF2"/>
    <w:rsid w:val="3EB017C6"/>
    <w:rsid w:val="3EB23EB7"/>
    <w:rsid w:val="3EB74BA6"/>
    <w:rsid w:val="3EB85391"/>
    <w:rsid w:val="3EBA244F"/>
    <w:rsid w:val="3EBB1512"/>
    <w:rsid w:val="3EBC2FED"/>
    <w:rsid w:val="3EBE565A"/>
    <w:rsid w:val="3EC2309F"/>
    <w:rsid w:val="3EC23630"/>
    <w:rsid w:val="3EC51715"/>
    <w:rsid w:val="3EC534C3"/>
    <w:rsid w:val="3EC7178D"/>
    <w:rsid w:val="3EC7672F"/>
    <w:rsid w:val="3EC82FB3"/>
    <w:rsid w:val="3ECA7B77"/>
    <w:rsid w:val="3ECB4469"/>
    <w:rsid w:val="3ED50DF5"/>
    <w:rsid w:val="3ED52C17"/>
    <w:rsid w:val="3EDA4180"/>
    <w:rsid w:val="3EDD6E27"/>
    <w:rsid w:val="3EDD777D"/>
    <w:rsid w:val="3EDE27D7"/>
    <w:rsid w:val="3EDE4585"/>
    <w:rsid w:val="3EE14075"/>
    <w:rsid w:val="3EE15410"/>
    <w:rsid w:val="3EE24CD8"/>
    <w:rsid w:val="3EE41DD1"/>
    <w:rsid w:val="3EE52344"/>
    <w:rsid w:val="3EE65614"/>
    <w:rsid w:val="3EEC7B84"/>
    <w:rsid w:val="3EEE07F8"/>
    <w:rsid w:val="3EEE558E"/>
    <w:rsid w:val="3EEF6CC1"/>
    <w:rsid w:val="3EF26F72"/>
    <w:rsid w:val="3EF27DD2"/>
    <w:rsid w:val="3EFE0783"/>
    <w:rsid w:val="3F010273"/>
    <w:rsid w:val="3F0414A2"/>
    <w:rsid w:val="3F04432B"/>
    <w:rsid w:val="3F056592"/>
    <w:rsid w:val="3F09723D"/>
    <w:rsid w:val="3F11495A"/>
    <w:rsid w:val="3F1211DE"/>
    <w:rsid w:val="3F124BFD"/>
    <w:rsid w:val="3F14143C"/>
    <w:rsid w:val="3F170D53"/>
    <w:rsid w:val="3F172BE7"/>
    <w:rsid w:val="3F177A97"/>
    <w:rsid w:val="3F1B3768"/>
    <w:rsid w:val="3F1B53D0"/>
    <w:rsid w:val="3F1B6A16"/>
    <w:rsid w:val="3F1B7587"/>
    <w:rsid w:val="3F1F3C47"/>
    <w:rsid w:val="3F2112DE"/>
    <w:rsid w:val="3F226DC3"/>
    <w:rsid w:val="3F261A88"/>
    <w:rsid w:val="3F2720AF"/>
    <w:rsid w:val="3F27785D"/>
    <w:rsid w:val="3F281CA4"/>
    <w:rsid w:val="3F2B0DAF"/>
    <w:rsid w:val="3F2B709E"/>
    <w:rsid w:val="3F2E142E"/>
    <w:rsid w:val="3F32553B"/>
    <w:rsid w:val="3F32667F"/>
    <w:rsid w:val="3F3341BE"/>
    <w:rsid w:val="3F3415AC"/>
    <w:rsid w:val="3F355F88"/>
    <w:rsid w:val="3F36236C"/>
    <w:rsid w:val="3F3643C1"/>
    <w:rsid w:val="3F39625E"/>
    <w:rsid w:val="3F3E3BC8"/>
    <w:rsid w:val="3F3F42B9"/>
    <w:rsid w:val="3F440272"/>
    <w:rsid w:val="3F4574DA"/>
    <w:rsid w:val="3F4A3C78"/>
    <w:rsid w:val="3F4A5C66"/>
    <w:rsid w:val="3F4B5B5E"/>
    <w:rsid w:val="3F4B6C90"/>
    <w:rsid w:val="3F4C14EF"/>
    <w:rsid w:val="3F4C7741"/>
    <w:rsid w:val="3F5071F8"/>
    <w:rsid w:val="3F522077"/>
    <w:rsid w:val="3F522A2A"/>
    <w:rsid w:val="3F592ADF"/>
    <w:rsid w:val="3F597D16"/>
    <w:rsid w:val="3F5A650B"/>
    <w:rsid w:val="3F5B3E28"/>
    <w:rsid w:val="3F5D194E"/>
    <w:rsid w:val="3F5E0891"/>
    <w:rsid w:val="3F5E7474"/>
    <w:rsid w:val="3F6031EC"/>
    <w:rsid w:val="3F612297"/>
    <w:rsid w:val="3F620D12"/>
    <w:rsid w:val="3F645126"/>
    <w:rsid w:val="3F650802"/>
    <w:rsid w:val="3F6827AF"/>
    <w:rsid w:val="3F6A51F3"/>
    <w:rsid w:val="3F7104F7"/>
    <w:rsid w:val="3F7160CC"/>
    <w:rsid w:val="3F716AD8"/>
    <w:rsid w:val="3F7337E4"/>
    <w:rsid w:val="3F74107C"/>
    <w:rsid w:val="3F7938EA"/>
    <w:rsid w:val="3F794BDA"/>
    <w:rsid w:val="3F7C14D6"/>
    <w:rsid w:val="3F874C1D"/>
    <w:rsid w:val="3F890593"/>
    <w:rsid w:val="3F890995"/>
    <w:rsid w:val="3F8C2233"/>
    <w:rsid w:val="3F8C3FE1"/>
    <w:rsid w:val="3F9058A8"/>
    <w:rsid w:val="3F917386"/>
    <w:rsid w:val="3F95689F"/>
    <w:rsid w:val="3F965D4C"/>
    <w:rsid w:val="3F980BD8"/>
    <w:rsid w:val="3F984734"/>
    <w:rsid w:val="3F9904AC"/>
    <w:rsid w:val="3F9C6353"/>
    <w:rsid w:val="3FA0183A"/>
    <w:rsid w:val="3FA4132B"/>
    <w:rsid w:val="3FA4757D"/>
    <w:rsid w:val="3FA638B5"/>
    <w:rsid w:val="3FAA40F9"/>
    <w:rsid w:val="3FAB42DE"/>
    <w:rsid w:val="3FAC4683"/>
    <w:rsid w:val="3FAD5971"/>
    <w:rsid w:val="3FAE03FB"/>
    <w:rsid w:val="3FAF687E"/>
    <w:rsid w:val="3FB019F3"/>
    <w:rsid w:val="3FB329A2"/>
    <w:rsid w:val="3FB34FBE"/>
    <w:rsid w:val="3FB52F51"/>
    <w:rsid w:val="3FB62E0C"/>
    <w:rsid w:val="3FB66FCC"/>
    <w:rsid w:val="3FB71B3C"/>
    <w:rsid w:val="3FC10E0A"/>
    <w:rsid w:val="3FC21BA0"/>
    <w:rsid w:val="3FC25C55"/>
    <w:rsid w:val="3FC45529"/>
    <w:rsid w:val="3FC46458"/>
    <w:rsid w:val="3FC5223F"/>
    <w:rsid w:val="3FC72484"/>
    <w:rsid w:val="3FC82845"/>
    <w:rsid w:val="3FC94057"/>
    <w:rsid w:val="3FCA3682"/>
    <w:rsid w:val="3FCC0881"/>
    <w:rsid w:val="3FCE63A8"/>
    <w:rsid w:val="3FD634AE"/>
    <w:rsid w:val="3FD65C03"/>
    <w:rsid w:val="3FD662F8"/>
    <w:rsid w:val="3FD74587"/>
    <w:rsid w:val="3FDA4E1B"/>
    <w:rsid w:val="3FDB43DA"/>
    <w:rsid w:val="3FDE4346"/>
    <w:rsid w:val="3FE22B5E"/>
    <w:rsid w:val="3FE444E6"/>
    <w:rsid w:val="3FE7624D"/>
    <w:rsid w:val="3FE94BD7"/>
    <w:rsid w:val="3FEB0490"/>
    <w:rsid w:val="3FEC2619"/>
    <w:rsid w:val="3FED1EB2"/>
    <w:rsid w:val="3FEE6A4A"/>
    <w:rsid w:val="3FF0187B"/>
    <w:rsid w:val="3FF04CAC"/>
    <w:rsid w:val="3FF20172"/>
    <w:rsid w:val="3FF714A8"/>
    <w:rsid w:val="3FF81229"/>
    <w:rsid w:val="3FF96422"/>
    <w:rsid w:val="3FFD02C3"/>
    <w:rsid w:val="3FFD1E63"/>
    <w:rsid w:val="40014EE0"/>
    <w:rsid w:val="4003513D"/>
    <w:rsid w:val="40041346"/>
    <w:rsid w:val="40042B5D"/>
    <w:rsid w:val="40087718"/>
    <w:rsid w:val="400D7D3D"/>
    <w:rsid w:val="40114D22"/>
    <w:rsid w:val="401251F4"/>
    <w:rsid w:val="401266D9"/>
    <w:rsid w:val="401423CF"/>
    <w:rsid w:val="4014461A"/>
    <w:rsid w:val="40162B31"/>
    <w:rsid w:val="40172880"/>
    <w:rsid w:val="40180C28"/>
    <w:rsid w:val="402022DE"/>
    <w:rsid w:val="40217CE4"/>
    <w:rsid w:val="402204A1"/>
    <w:rsid w:val="40232DC3"/>
    <w:rsid w:val="402B6A5D"/>
    <w:rsid w:val="402C1320"/>
    <w:rsid w:val="402C30CE"/>
    <w:rsid w:val="402E6E46"/>
    <w:rsid w:val="40311615"/>
    <w:rsid w:val="40330D6F"/>
    <w:rsid w:val="403468FB"/>
    <w:rsid w:val="40360C15"/>
    <w:rsid w:val="40363F4D"/>
    <w:rsid w:val="40373749"/>
    <w:rsid w:val="40397424"/>
    <w:rsid w:val="403E62C3"/>
    <w:rsid w:val="40400708"/>
    <w:rsid w:val="404008A9"/>
    <w:rsid w:val="40405564"/>
    <w:rsid w:val="404232BF"/>
    <w:rsid w:val="40432BB8"/>
    <w:rsid w:val="40437E8C"/>
    <w:rsid w:val="404448BC"/>
    <w:rsid w:val="404C0D6A"/>
    <w:rsid w:val="405016DC"/>
    <w:rsid w:val="40550877"/>
    <w:rsid w:val="40564282"/>
    <w:rsid w:val="40596414"/>
    <w:rsid w:val="405C39B3"/>
    <w:rsid w:val="405C442F"/>
    <w:rsid w:val="405E087F"/>
    <w:rsid w:val="405F207C"/>
    <w:rsid w:val="405F3261"/>
    <w:rsid w:val="406279CB"/>
    <w:rsid w:val="40671C80"/>
    <w:rsid w:val="406805AA"/>
    <w:rsid w:val="406B009A"/>
    <w:rsid w:val="406B0DD8"/>
    <w:rsid w:val="406E4984"/>
    <w:rsid w:val="406E7B8B"/>
    <w:rsid w:val="406F60E2"/>
    <w:rsid w:val="406F68CD"/>
    <w:rsid w:val="40706B5C"/>
    <w:rsid w:val="40706F10"/>
    <w:rsid w:val="407254DE"/>
    <w:rsid w:val="40725A48"/>
    <w:rsid w:val="407266AE"/>
    <w:rsid w:val="40751F09"/>
    <w:rsid w:val="40763DA4"/>
    <w:rsid w:val="407668ED"/>
    <w:rsid w:val="40784565"/>
    <w:rsid w:val="407B0CCF"/>
    <w:rsid w:val="407F76A2"/>
    <w:rsid w:val="408178BE"/>
    <w:rsid w:val="40873D5C"/>
    <w:rsid w:val="40896772"/>
    <w:rsid w:val="408B43F2"/>
    <w:rsid w:val="408D1DBF"/>
    <w:rsid w:val="409222EE"/>
    <w:rsid w:val="409754FF"/>
    <w:rsid w:val="409B5806"/>
    <w:rsid w:val="409D5514"/>
    <w:rsid w:val="409F5B4F"/>
    <w:rsid w:val="40A02416"/>
    <w:rsid w:val="40A11F9C"/>
    <w:rsid w:val="40A13BE1"/>
    <w:rsid w:val="40A779A9"/>
    <w:rsid w:val="40A825CD"/>
    <w:rsid w:val="40A86BF9"/>
    <w:rsid w:val="40AD06B3"/>
    <w:rsid w:val="40AF442B"/>
    <w:rsid w:val="40B02A5C"/>
    <w:rsid w:val="40B27A77"/>
    <w:rsid w:val="40B57698"/>
    <w:rsid w:val="40B7182B"/>
    <w:rsid w:val="40B76D6A"/>
    <w:rsid w:val="40B9613B"/>
    <w:rsid w:val="40BC1002"/>
    <w:rsid w:val="40BD72A3"/>
    <w:rsid w:val="40BD7F53"/>
    <w:rsid w:val="40C02C53"/>
    <w:rsid w:val="40C04C42"/>
    <w:rsid w:val="40C33A32"/>
    <w:rsid w:val="40C41559"/>
    <w:rsid w:val="40C70288"/>
    <w:rsid w:val="40C720FB"/>
    <w:rsid w:val="40C770F8"/>
    <w:rsid w:val="40C81C9F"/>
    <w:rsid w:val="40CB061C"/>
    <w:rsid w:val="40CD027A"/>
    <w:rsid w:val="40D07EFD"/>
    <w:rsid w:val="40D23C76"/>
    <w:rsid w:val="40D27627"/>
    <w:rsid w:val="40D53A62"/>
    <w:rsid w:val="40DB2728"/>
    <w:rsid w:val="40DE6ABE"/>
    <w:rsid w:val="40E165AE"/>
    <w:rsid w:val="40E4433B"/>
    <w:rsid w:val="40E57E4D"/>
    <w:rsid w:val="40EA33E2"/>
    <w:rsid w:val="40ED0AAF"/>
    <w:rsid w:val="40ED4F53"/>
    <w:rsid w:val="40F843A5"/>
    <w:rsid w:val="40FA31CC"/>
    <w:rsid w:val="40FE0F0E"/>
    <w:rsid w:val="40FF7B85"/>
    <w:rsid w:val="4102085A"/>
    <w:rsid w:val="41023096"/>
    <w:rsid w:val="41032081"/>
    <w:rsid w:val="41035FA5"/>
    <w:rsid w:val="410743DE"/>
    <w:rsid w:val="410A0B2A"/>
    <w:rsid w:val="410D4CAE"/>
    <w:rsid w:val="410F6C78"/>
    <w:rsid w:val="4115056A"/>
    <w:rsid w:val="41160006"/>
    <w:rsid w:val="41164F32"/>
    <w:rsid w:val="41170448"/>
    <w:rsid w:val="411A74C4"/>
    <w:rsid w:val="411B0E77"/>
    <w:rsid w:val="41223B95"/>
    <w:rsid w:val="41287D39"/>
    <w:rsid w:val="412A1D04"/>
    <w:rsid w:val="412F6501"/>
    <w:rsid w:val="413126CA"/>
    <w:rsid w:val="4131666C"/>
    <w:rsid w:val="41364227"/>
    <w:rsid w:val="41395AA3"/>
    <w:rsid w:val="413E130B"/>
    <w:rsid w:val="41400D97"/>
    <w:rsid w:val="41427F1C"/>
    <w:rsid w:val="4144738B"/>
    <w:rsid w:val="41474664"/>
    <w:rsid w:val="41483ADF"/>
    <w:rsid w:val="4149771A"/>
    <w:rsid w:val="414B60ED"/>
    <w:rsid w:val="414D043F"/>
    <w:rsid w:val="414E7258"/>
    <w:rsid w:val="414F18C3"/>
    <w:rsid w:val="41562C5B"/>
    <w:rsid w:val="41566655"/>
    <w:rsid w:val="41601281"/>
    <w:rsid w:val="41657749"/>
    <w:rsid w:val="41662976"/>
    <w:rsid w:val="416C4D63"/>
    <w:rsid w:val="416C59A5"/>
    <w:rsid w:val="416D614F"/>
    <w:rsid w:val="416F3312"/>
    <w:rsid w:val="4170137B"/>
    <w:rsid w:val="41761360"/>
    <w:rsid w:val="417E204F"/>
    <w:rsid w:val="41862D01"/>
    <w:rsid w:val="41872CF1"/>
    <w:rsid w:val="41881561"/>
    <w:rsid w:val="418825ED"/>
    <w:rsid w:val="4189248C"/>
    <w:rsid w:val="418A27A2"/>
    <w:rsid w:val="418A5390"/>
    <w:rsid w:val="41910459"/>
    <w:rsid w:val="41910BD3"/>
    <w:rsid w:val="41915B31"/>
    <w:rsid w:val="41965875"/>
    <w:rsid w:val="419942DE"/>
    <w:rsid w:val="419D6876"/>
    <w:rsid w:val="419F16CC"/>
    <w:rsid w:val="419F57ED"/>
    <w:rsid w:val="41A01FC6"/>
    <w:rsid w:val="41A251CC"/>
    <w:rsid w:val="41A27001"/>
    <w:rsid w:val="41A63953"/>
    <w:rsid w:val="41A63BF5"/>
    <w:rsid w:val="41A70716"/>
    <w:rsid w:val="41A73354"/>
    <w:rsid w:val="41B220EF"/>
    <w:rsid w:val="41B806E8"/>
    <w:rsid w:val="41B94E35"/>
    <w:rsid w:val="41BC428A"/>
    <w:rsid w:val="41BD2B78"/>
    <w:rsid w:val="41BF7940"/>
    <w:rsid w:val="41C77552"/>
    <w:rsid w:val="41CB13D2"/>
    <w:rsid w:val="41CF2738"/>
    <w:rsid w:val="41D13F2D"/>
    <w:rsid w:val="41D20A0F"/>
    <w:rsid w:val="41D34AE2"/>
    <w:rsid w:val="41D37CA5"/>
    <w:rsid w:val="41D42390"/>
    <w:rsid w:val="41D517BE"/>
    <w:rsid w:val="41D80A96"/>
    <w:rsid w:val="41D82FF7"/>
    <w:rsid w:val="41DA15EE"/>
    <w:rsid w:val="41DB2FFE"/>
    <w:rsid w:val="41E14641"/>
    <w:rsid w:val="41E85CFB"/>
    <w:rsid w:val="41EE16B8"/>
    <w:rsid w:val="41EF0857"/>
    <w:rsid w:val="41F12821"/>
    <w:rsid w:val="41F458D5"/>
    <w:rsid w:val="41F61BE6"/>
    <w:rsid w:val="41F73FBD"/>
    <w:rsid w:val="41F8595E"/>
    <w:rsid w:val="41F933B8"/>
    <w:rsid w:val="41F93484"/>
    <w:rsid w:val="41FA1194"/>
    <w:rsid w:val="41FA5088"/>
    <w:rsid w:val="41FD11C6"/>
    <w:rsid w:val="41FF010B"/>
    <w:rsid w:val="42004812"/>
    <w:rsid w:val="4201488A"/>
    <w:rsid w:val="4202058A"/>
    <w:rsid w:val="42074B61"/>
    <w:rsid w:val="42091919"/>
    <w:rsid w:val="420A6FAA"/>
    <w:rsid w:val="420E0199"/>
    <w:rsid w:val="420E2DE6"/>
    <w:rsid w:val="420E33D3"/>
    <w:rsid w:val="420F4A55"/>
    <w:rsid w:val="420F6EBB"/>
    <w:rsid w:val="42186000"/>
    <w:rsid w:val="421A58D4"/>
    <w:rsid w:val="421D05DF"/>
    <w:rsid w:val="421F4058"/>
    <w:rsid w:val="42233FB3"/>
    <w:rsid w:val="4225313E"/>
    <w:rsid w:val="422B24E9"/>
    <w:rsid w:val="422B7713"/>
    <w:rsid w:val="42300571"/>
    <w:rsid w:val="42323BE4"/>
    <w:rsid w:val="423A0574"/>
    <w:rsid w:val="423C3269"/>
    <w:rsid w:val="423D0F96"/>
    <w:rsid w:val="423D73CA"/>
    <w:rsid w:val="42486569"/>
    <w:rsid w:val="4249016A"/>
    <w:rsid w:val="424B0183"/>
    <w:rsid w:val="424B72CB"/>
    <w:rsid w:val="424C5CAA"/>
    <w:rsid w:val="424C5D66"/>
    <w:rsid w:val="42531FE2"/>
    <w:rsid w:val="42574009"/>
    <w:rsid w:val="42576B28"/>
    <w:rsid w:val="42597BE5"/>
    <w:rsid w:val="425C5EED"/>
    <w:rsid w:val="425E3946"/>
    <w:rsid w:val="42665289"/>
    <w:rsid w:val="42674502"/>
    <w:rsid w:val="426938F4"/>
    <w:rsid w:val="426941B4"/>
    <w:rsid w:val="426B4687"/>
    <w:rsid w:val="426C0E4F"/>
    <w:rsid w:val="426C1EA8"/>
    <w:rsid w:val="427051ED"/>
    <w:rsid w:val="42725710"/>
    <w:rsid w:val="42731488"/>
    <w:rsid w:val="42746839"/>
    <w:rsid w:val="427A20D1"/>
    <w:rsid w:val="427C3704"/>
    <w:rsid w:val="42813BA5"/>
    <w:rsid w:val="42832791"/>
    <w:rsid w:val="428418E8"/>
    <w:rsid w:val="42876D91"/>
    <w:rsid w:val="42917A7F"/>
    <w:rsid w:val="429B0FC3"/>
    <w:rsid w:val="429C0C25"/>
    <w:rsid w:val="429E0961"/>
    <w:rsid w:val="42A17749"/>
    <w:rsid w:val="42A45AE6"/>
    <w:rsid w:val="42A548A2"/>
    <w:rsid w:val="42AB259C"/>
    <w:rsid w:val="42AB29D0"/>
    <w:rsid w:val="42AB5884"/>
    <w:rsid w:val="42AF358B"/>
    <w:rsid w:val="42B172B7"/>
    <w:rsid w:val="42B470B2"/>
    <w:rsid w:val="42B91F04"/>
    <w:rsid w:val="42BF210F"/>
    <w:rsid w:val="42C10446"/>
    <w:rsid w:val="42C358C8"/>
    <w:rsid w:val="42C45C15"/>
    <w:rsid w:val="42C46125"/>
    <w:rsid w:val="42C52E22"/>
    <w:rsid w:val="42C52FE1"/>
    <w:rsid w:val="42C568BF"/>
    <w:rsid w:val="42C84B4E"/>
    <w:rsid w:val="42CB3072"/>
    <w:rsid w:val="42D15A7C"/>
    <w:rsid w:val="42D877E3"/>
    <w:rsid w:val="42DC527F"/>
    <w:rsid w:val="42DC67E7"/>
    <w:rsid w:val="42DE0FF8"/>
    <w:rsid w:val="42E163F2"/>
    <w:rsid w:val="42E17DA2"/>
    <w:rsid w:val="42E813C0"/>
    <w:rsid w:val="42E91084"/>
    <w:rsid w:val="42E95DC2"/>
    <w:rsid w:val="42E97853"/>
    <w:rsid w:val="42EE71D6"/>
    <w:rsid w:val="42F00936"/>
    <w:rsid w:val="42F025B9"/>
    <w:rsid w:val="42F36125"/>
    <w:rsid w:val="42F42AD1"/>
    <w:rsid w:val="42F44377"/>
    <w:rsid w:val="42FC059C"/>
    <w:rsid w:val="42FE1A53"/>
    <w:rsid w:val="42FE6FA4"/>
    <w:rsid w:val="42FF2D1C"/>
    <w:rsid w:val="43010E0D"/>
    <w:rsid w:val="430173AE"/>
    <w:rsid w:val="43083360"/>
    <w:rsid w:val="43090526"/>
    <w:rsid w:val="430A7002"/>
    <w:rsid w:val="430E1887"/>
    <w:rsid w:val="430E6037"/>
    <w:rsid w:val="43104F29"/>
    <w:rsid w:val="43137DCF"/>
    <w:rsid w:val="43152DA6"/>
    <w:rsid w:val="432804C5"/>
    <w:rsid w:val="4329195E"/>
    <w:rsid w:val="432B1D63"/>
    <w:rsid w:val="432D7889"/>
    <w:rsid w:val="43321D6F"/>
    <w:rsid w:val="43364990"/>
    <w:rsid w:val="433B01F8"/>
    <w:rsid w:val="433F136A"/>
    <w:rsid w:val="4340181D"/>
    <w:rsid w:val="43422533"/>
    <w:rsid w:val="43423544"/>
    <w:rsid w:val="43432C09"/>
    <w:rsid w:val="43452DD1"/>
    <w:rsid w:val="43456981"/>
    <w:rsid w:val="43476B9D"/>
    <w:rsid w:val="4349650B"/>
    <w:rsid w:val="434B0550"/>
    <w:rsid w:val="434B5F61"/>
    <w:rsid w:val="43505F47"/>
    <w:rsid w:val="435209F6"/>
    <w:rsid w:val="43525E03"/>
    <w:rsid w:val="43533887"/>
    <w:rsid w:val="435530CD"/>
    <w:rsid w:val="43560B8E"/>
    <w:rsid w:val="4358477E"/>
    <w:rsid w:val="435B43F6"/>
    <w:rsid w:val="435E1C0C"/>
    <w:rsid w:val="435E5C94"/>
    <w:rsid w:val="43620BE0"/>
    <w:rsid w:val="43627D13"/>
    <w:rsid w:val="436332AB"/>
    <w:rsid w:val="43657D9A"/>
    <w:rsid w:val="436623CA"/>
    <w:rsid w:val="43686B13"/>
    <w:rsid w:val="436B7220"/>
    <w:rsid w:val="437231C8"/>
    <w:rsid w:val="43723592"/>
    <w:rsid w:val="437348AA"/>
    <w:rsid w:val="43744246"/>
    <w:rsid w:val="43745558"/>
    <w:rsid w:val="4374600D"/>
    <w:rsid w:val="437B05F4"/>
    <w:rsid w:val="437C5721"/>
    <w:rsid w:val="437C6D3A"/>
    <w:rsid w:val="437D39A2"/>
    <w:rsid w:val="43812666"/>
    <w:rsid w:val="43816108"/>
    <w:rsid w:val="438219D4"/>
    <w:rsid w:val="43844C37"/>
    <w:rsid w:val="43880F63"/>
    <w:rsid w:val="438A0ED8"/>
    <w:rsid w:val="438A238D"/>
    <w:rsid w:val="438A637F"/>
    <w:rsid w:val="438A7C97"/>
    <w:rsid w:val="438B74D5"/>
    <w:rsid w:val="438C28D1"/>
    <w:rsid w:val="438E55CC"/>
    <w:rsid w:val="43910624"/>
    <w:rsid w:val="439416B6"/>
    <w:rsid w:val="439A35C1"/>
    <w:rsid w:val="43A0005B"/>
    <w:rsid w:val="43A22025"/>
    <w:rsid w:val="43A27B0E"/>
    <w:rsid w:val="43A55E31"/>
    <w:rsid w:val="43A833B4"/>
    <w:rsid w:val="43AB222C"/>
    <w:rsid w:val="43AB7284"/>
    <w:rsid w:val="43AB764B"/>
    <w:rsid w:val="43AC4C52"/>
    <w:rsid w:val="43AD109A"/>
    <w:rsid w:val="43AE5F3F"/>
    <w:rsid w:val="43AE76F6"/>
    <w:rsid w:val="43AF64F0"/>
    <w:rsid w:val="43B22BA6"/>
    <w:rsid w:val="43B43B06"/>
    <w:rsid w:val="43B4503F"/>
    <w:rsid w:val="43BB1FCC"/>
    <w:rsid w:val="43BF2BD7"/>
    <w:rsid w:val="43C659F5"/>
    <w:rsid w:val="43C74575"/>
    <w:rsid w:val="43C9229E"/>
    <w:rsid w:val="43CB4F91"/>
    <w:rsid w:val="43CB7C06"/>
    <w:rsid w:val="43CC52F4"/>
    <w:rsid w:val="43D020E1"/>
    <w:rsid w:val="43D1290A"/>
    <w:rsid w:val="43D30AF4"/>
    <w:rsid w:val="43D641E9"/>
    <w:rsid w:val="43D70A3E"/>
    <w:rsid w:val="43D877F5"/>
    <w:rsid w:val="43D87FA5"/>
    <w:rsid w:val="43D946E9"/>
    <w:rsid w:val="43DB3001"/>
    <w:rsid w:val="43DB36F4"/>
    <w:rsid w:val="43DC273C"/>
    <w:rsid w:val="43DF5113"/>
    <w:rsid w:val="43DF6A64"/>
    <w:rsid w:val="43DF7967"/>
    <w:rsid w:val="43E0340E"/>
    <w:rsid w:val="43E07BB8"/>
    <w:rsid w:val="43E414F5"/>
    <w:rsid w:val="43E50164"/>
    <w:rsid w:val="43E57388"/>
    <w:rsid w:val="43EA39CC"/>
    <w:rsid w:val="43EA5BEF"/>
    <w:rsid w:val="43EC14F2"/>
    <w:rsid w:val="43EF0FE2"/>
    <w:rsid w:val="43F14D5A"/>
    <w:rsid w:val="43F2107B"/>
    <w:rsid w:val="43F36B39"/>
    <w:rsid w:val="43F72CBA"/>
    <w:rsid w:val="43F87E97"/>
    <w:rsid w:val="43FB7F4C"/>
    <w:rsid w:val="43FD0F94"/>
    <w:rsid w:val="43FE2FD4"/>
    <w:rsid w:val="44000FD4"/>
    <w:rsid w:val="4400284E"/>
    <w:rsid w:val="44015BAF"/>
    <w:rsid w:val="4403141B"/>
    <w:rsid w:val="4404683C"/>
    <w:rsid w:val="44072485"/>
    <w:rsid w:val="440920A4"/>
    <w:rsid w:val="44093E45"/>
    <w:rsid w:val="440B219C"/>
    <w:rsid w:val="440B70DD"/>
    <w:rsid w:val="440C3942"/>
    <w:rsid w:val="44110F59"/>
    <w:rsid w:val="441507D1"/>
    <w:rsid w:val="44177745"/>
    <w:rsid w:val="44183DEF"/>
    <w:rsid w:val="44192553"/>
    <w:rsid w:val="441978BD"/>
    <w:rsid w:val="441A7E0D"/>
    <w:rsid w:val="441B5E9C"/>
    <w:rsid w:val="441E71D2"/>
    <w:rsid w:val="44221393"/>
    <w:rsid w:val="442343E0"/>
    <w:rsid w:val="44240665"/>
    <w:rsid w:val="442567B2"/>
    <w:rsid w:val="442A70F4"/>
    <w:rsid w:val="442B52D2"/>
    <w:rsid w:val="442C79F9"/>
    <w:rsid w:val="442F112C"/>
    <w:rsid w:val="442F777D"/>
    <w:rsid w:val="44337121"/>
    <w:rsid w:val="44384A65"/>
    <w:rsid w:val="443864E5"/>
    <w:rsid w:val="443F6F60"/>
    <w:rsid w:val="44427222"/>
    <w:rsid w:val="44427364"/>
    <w:rsid w:val="44444E8A"/>
    <w:rsid w:val="44523886"/>
    <w:rsid w:val="44563E2D"/>
    <w:rsid w:val="445741DF"/>
    <w:rsid w:val="445923FA"/>
    <w:rsid w:val="445A645C"/>
    <w:rsid w:val="445A6A7C"/>
    <w:rsid w:val="445B51E7"/>
    <w:rsid w:val="445D0C54"/>
    <w:rsid w:val="44631132"/>
    <w:rsid w:val="44632262"/>
    <w:rsid w:val="44651B53"/>
    <w:rsid w:val="446A44AB"/>
    <w:rsid w:val="446C71A7"/>
    <w:rsid w:val="446E622D"/>
    <w:rsid w:val="447163C6"/>
    <w:rsid w:val="4473751E"/>
    <w:rsid w:val="447514E8"/>
    <w:rsid w:val="4477025B"/>
    <w:rsid w:val="447716BF"/>
    <w:rsid w:val="447845F0"/>
    <w:rsid w:val="447B4624"/>
    <w:rsid w:val="447F2A73"/>
    <w:rsid w:val="447F555B"/>
    <w:rsid w:val="44841A06"/>
    <w:rsid w:val="44844CC5"/>
    <w:rsid w:val="44864163"/>
    <w:rsid w:val="44896004"/>
    <w:rsid w:val="448E6105"/>
    <w:rsid w:val="449004A8"/>
    <w:rsid w:val="4492209A"/>
    <w:rsid w:val="4496744E"/>
    <w:rsid w:val="44992F67"/>
    <w:rsid w:val="449979A8"/>
    <w:rsid w:val="449C6A74"/>
    <w:rsid w:val="449E27C4"/>
    <w:rsid w:val="449F47B6"/>
    <w:rsid w:val="44A2655D"/>
    <w:rsid w:val="44A678F3"/>
    <w:rsid w:val="44A702C0"/>
    <w:rsid w:val="44AA2020"/>
    <w:rsid w:val="44AA3933"/>
    <w:rsid w:val="44AA701E"/>
    <w:rsid w:val="44AB7881"/>
    <w:rsid w:val="44AD38D3"/>
    <w:rsid w:val="44AD421E"/>
    <w:rsid w:val="44B27016"/>
    <w:rsid w:val="44B4618C"/>
    <w:rsid w:val="44B67473"/>
    <w:rsid w:val="44B85878"/>
    <w:rsid w:val="44B91AF4"/>
    <w:rsid w:val="44B971D4"/>
    <w:rsid w:val="44BB2022"/>
    <w:rsid w:val="44BE0EA8"/>
    <w:rsid w:val="44C01965"/>
    <w:rsid w:val="44C16AAC"/>
    <w:rsid w:val="44C24001"/>
    <w:rsid w:val="44C9538F"/>
    <w:rsid w:val="44CA6FED"/>
    <w:rsid w:val="44D1580F"/>
    <w:rsid w:val="44D24AA9"/>
    <w:rsid w:val="44D37FBC"/>
    <w:rsid w:val="44D426B2"/>
    <w:rsid w:val="44DB4707"/>
    <w:rsid w:val="44DE0E31"/>
    <w:rsid w:val="44DE7E7C"/>
    <w:rsid w:val="44E53E58"/>
    <w:rsid w:val="44E757FE"/>
    <w:rsid w:val="44E91DA0"/>
    <w:rsid w:val="44EA4BDC"/>
    <w:rsid w:val="44F048EE"/>
    <w:rsid w:val="44F07603"/>
    <w:rsid w:val="44F71434"/>
    <w:rsid w:val="44F92271"/>
    <w:rsid w:val="44FA0924"/>
    <w:rsid w:val="44FA7C3F"/>
    <w:rsid w:val="44FC4FD6"/>
    <w:rsid w:val="450103C2"/>
    <w:rsid w:val="45012D7B"/>
    <w:rsid w:val="45091C30"/>
    <w:rsid w:val="450971DC"/>
    <w:rsid w:val="450C740F"/>
    <w:rsid w:val="450E47A6"/>
    <w:rsid w:val="4510761C"/>
    <w:rsid w:val="45126D36"/>
    <w:rsid w:val="4512725F"/>
    <w:rsid w:val="45132AAF"/>
    <w:rsid w:val="45163349"/>
    <w:rsid w:val="451924DA"/>
    <w:rsid w:val="45232CF2"/>
    <w:rsid w:val="45256F21"/>
    <w:rsid w:val="452A22D2"/>
    <w:rsid w:val="452A7B79"/>
    <w:rsid w:val="45327D49"/>
    <w:rsid w:val="45342462"/>
    <w:rsid w:val="453431DB"/>
    <w:rsid w:val="45345371"/>
    <w:rsid w:val="453B57BD"/>
    <w:rsid w:val="453D7631"/>
    <w:rsid w:val="454413B2"/>
    <w:rsid w:val="4549510F"/>
    <w:rsid w:val="454C4C9E"/>
    <w:rsid w:val="454D737F"/>
    <w:rsid w:val="4551515C"/>
    <w:rsid w:val="455446A1"/>
    <w:rsid w:val="45546A64"/>
    <w:rsid w:val="455530C7"/>
    <w:rsid w:val="455D140A"/>
    <w:rsid w:val="45627D2E"/>
    <w:rsid w:val="456744C7"/>
    <w:rsid w:val="456904E4"/>
    <w:rsid w:val="456A18B9"/>
    <w:rsid w:val="456A7058"/>
    <w:rsid w:val="456C328C"/>
    <w:rsid w:val="45727F0B"/>
    <w:rsid w:val="45747072"/>
    <w:rsid w:val="45763769"/>
    <w:rsid w:val="45795020"/>
    <w:rsid w:val="457A20AB"/>
    <w:rsid w:val="457F003D"/>
    <w:rsid w:val="45800144"/>
    <w:rsid w:val="45821F09"/>
    <w:rsid w:val="4582326B"/>
    <w:rsid w:val="458C732D"/>
    <w:rsid w:val="458D1AC1"/>
    <w:rsid w:val="458D460F"/>
    <w:rsid w:val="458D711B"/>
    <w:rsid w:val="458F65D9"/>
    <w:rsid w:val="45904BD8"/>
    <w:rsid w:val="45940BB5"/>
    <w:rsid w:val="45955840"/>
    <w:rsid w:val="459A4A00"/>
    <w:rsid w:val="459B04C9"/>
    <w:rsid w:val="459C6F7F"/>
    <w:rsid w:val="459D0D90"/>
    <w:rsid w:val="459D29E8"/>
    <w:rsid w:val="459E681C"/>
    <w:rsid w:val="459F1732"/>
    <w:rsid w:val="45A02594"/>
    <w:rsid w:val="45A04342"/>
    <w:rsid w:val="45A13F65"/>
    <w:rsid w:val="45A33E32"/>
    <w:rsid w:val="45A35BE1"/>
    <w:rsid w:val="45A52571"/>
    <w:rsid w:val="45A641ED"/>
    <w:rsid w:val="45A93D1A"/>
    <w:rsid w:val="45B1323B"/>
    <w:rsid w:val="45B557B6"/>
    <w:rsid w:val="45BC1AF1"/>
    <w:rsid w:val="45BC6267"/>
    <w:rsid w:val="45BE6EBE"/>
    <w:rsid w:val="45BF72AF"/>
    <w:rsid w:val="45BF7E22"/>
    <w:rsid w:val="45C36122"/>
    <w:rsid w:val="45C45140"/>
    <w:rsid w:val="45C4637F"/>
    <w:rsid w:val="45CB57BB"/>
    <w:rsid w:val="45CD3597"/>
    <w:rsid w:val="45CE025D"/>
    <w:rsid w:val="45CE4889"/>
    <w:rsid w:val="45CE7839"/>
    <w:rsid w:val="45D00592"/>
    <w:rsid w:val="45D73ADC"/>
    <w:rsid w:val="45D778A3"/>
    <w:rsid w:val="45D93CF8"/>
    <w:rsid w:val="45DD5596"/>
    <w:rsid w:val="45DD7344"/>
    <w:rsid w:val="45DE130F"/>
    <w:rsid w:val="45E2495B"/>
    <w:rsid w:val="45E3190C"/>
    <w:rsid w:val="45E36925"/>
    <w:rsid w:val="45E76415"/>
    <w:rsid w:val="45E845E5"/>
    <w:rsid w:val="45EA0D31"/>
    <w:rsid w:val="45EA150D"/>
    <w:rsid w:val="45F33CB6"/>
    <w:rsid w:val="45F7178D"/>
    <w:rsid w:val="45F87147"/>
    <w:rsid w:val="45F96148"/>
    <w:rsid w:val="45FA3231"/>
    <w:rsid w:val="45FA6252"/>
    <w:rsid w:val="45FC52AC"/>
    <w:rsid w:val="45FD1795"/>
    <w:rsid w:val="45FE72BB"/>
    <w:rsid w:val="45FF06B2"/>
    <w:rsid w:val="46012862"/>
    <w:rsid w:val="46032B23"/>
    <w:rsid w:val="4606410C"/>
    <w:rsid w:val="46091496"/>
    <w:rsid w:val="460B153D"/>
    <w:rsid w:val="460B69CC"/>
    <w:rsid w:val="460C053E"/>
    <w:rsid w:val="460D74FE"/>
    <w:rsid w:val="460F3276"/>
    <w:rsid w:val="461234F4"/>
    <w:rsid w:val="461427E4"/>
    <w:rsid w:val="461B7355"/>
    <w:rsid w:val="461C388C"/>
    <w:rsid w:val="461F15C7"/>
    <w:rsid w:val="46213426"/>
    <w:rsid w:val="4625725A"/>
    <w:rsid w:val="462D52F5"/>
    <w:rsid w:val="462E5DF2"/>
    <w:rsid w:val="46304ADA"/>
    <w:rsid w:val="46333408"/>
    <w:rsid w:val="463A31D1"/>
    <w:rsid w:val="463A5483"/>
    <w:rsid w:val="463B1C33"/>
    <w:rsid w:val="463F7FFF"/>
    <w:rsid w:val="464078D3"/>
    <w:rsid w:val="46410ACB"/>
    <w:rsid w:val="46432AD9"/>
    <w:rsid w:val="46434527"/>
    <w:rsid w:val="464473C4"/>
    <w:rsid w:val="46462C76"/>
    <w:rsid w:val="464652F0"/>
    <w:rsid w:val="464A554C"/>
    <w:rsid w:val="464B1239"/>
    <w:rsid w:val="464B4932"/>
    <w:rsid w:val="464C4E2C"/>
    <w:rsid w:val="464F075B"/>
    <w:rsid w:val="464F5C99"/>
    <w:rsid w:val="4650751B"/>
    <w:rsid w:val="46530D8D"/>
    <w:rsid w:val="46564E43"/>
    <w:rsid w:val="465810C1"/>
    <w:rsid w:val="46584C1D"/>
    <w:rsid w:val="465931D8"/>
    <w:rsid w:val="465A0995"/>
    <w:rsid w:val="465B470D"/>
    <w:rsid w:val="465F28D5"/>
    <w:rsid w:val="465F7871"/>
    <w:rsid w:val="46623CEE"/>
    <w:rsid w:val="466277F0"/>
    <w:rsid w:val="46674E60"/>
    <w:rsid w:val="466900DF"/>
    <w:rsid w:val="466B1918"/>
    <w:rsid w:val="466B770E"/>
    <w:rsid w:val="466F62BD"/>
    <w:rsid w:val="467B6B5D"/>
    <w:rsid w:val="467B79F8"/>
    <w:rsid w:val="467D255F"/>
    <w:rsid w:val="467F7C9F"/>
    <w:rsid w:val="46805F22"/>
    <w:rsid w:val="46853C1F"/>
    <w:rsid w:val="4687556D"/>
    <w:rsid w:val="468772B0"/>
    <w:rsid w:val="468C77F7"/>
    <w:rsid w:val="469176A3"/>
    <w:rsid w:val="46937D7D"/>
    <w:rsid w:val="469406A0"/>
    <w:rsid w:val="46954A56"/>
    <w:rsid w:val="46966AFE"/>
    <w:rsid w:val="4698158B"/>
    <w:rsid w:val="46983ADC"/>
    <w:rsid w:val="469F2B0B"/>
    <w:rsid w:val="46A04A0C"/>
    <w:rsid w:val="46A1247D"/>
    <w:rsid w:val="46A2233C"/>
    <w:rsid w:val="46A70FDF"/>
    <w:rsid w:val="46A71013"/>
    <w:rsid w:val="46A75BA4"/>
    <w:rsid w:val="46A8124D"/>
    <w:rsid w:val="46AE2714"/>
    <w:rsid w:val="46AE7DD8"/>
    <w:rsid w:val="46B1257F"/>
    <w:rsid w:val="46B13331"/>
    <w:rsid w:val="46B207D1"/>
    <w:rsid w:val="46B324FE"/>
    <w:rsid w:val="46B56E76"/>
    <w:rsid w:val="46B85FC3"/>
    <w:rsid w:val="46BA1F74"/>
    <w:rsid w:val="46BC1650"/>
    <w:rsid w:val="46BD0F24"/>
    <w:rsid w:val="46BE06EA"/>
    <w:rsid w:val="46BF0F8D"/>
    <w:rsid w:val="46BF6A4A"/>
    <w:rsid w:val="46C2724B"/>
    <w:rsid w:val="46C44060"/>
    <w:rsid w:val="46C71DA3"/>
    <w:rsid w:val="46C75D99"/>
    <w:rsid w:val="46C87590"/>
    <w:rsid w:val="46CB3641"/>
    <w:rsid w:val="46CD41E6"/>
    <w:rsid w:val="46D2354C"/>
    <w:rsid w:val="46D26719"/>
    <w:rsid w:val="46D30747"/>
    <w:rsid w:val="46D35896"/>
    <w:rsid w:val="46D52711"/>
    <w:rsid w:val="46D544C0"/>
    <w:rsid w:val="46D81106"/>
    <w:rsid w:val="46D91229"/>
    <w:rsid w:val="46DD15C6"/>
    <w:rsid w:val="46DD3374"/>
    <w:rsid w:val="46DF767E"/>
    <w:rsid w:val="46E21401"/>
    <w:rsid w:val="46E6047B"/>
    <w:rsid w:val="46E870D3"/>
    <w:rsid w:val="46EA544F"/>
    <w:rsid w:val="46EA5C7B"/>
    <w:rsid w:val="46ED6573"/>
    <w:rsid w:val="46EE50A4"/>
    <w:rsid w:val="46EE6E8E"/>
    <w:rsid w:val="46EF63DC"/>
    <w:rsid w:val="46F012F9"/>
    <w:rsid w:val="46F0301E"/>
    <w:rsid w:val="46F1770B"/>
    <w:rsid w:val="46F30070"/>
    <w:rsid w:val="46F36C54"/>
    <w:rsid w:val="47013507"/>
    <w:rsid w:val="4701473B"/>
    <w:rsid w:val="47046B53"/>
    <w:rsid w:val="47055C07"/>
    <w:rsid w:val="470E53D5"/>
    <w:rsid w:val="47113093"/>
    <w:rsid w:val="47116300"/>
    <w:rsid w:val="47121270"/>
    <w:rsid w:val="47134FE8"/>
    <w:rsid w:val="47152B0E"/>
    <w:rsid w:val="471B5214"/>
    <w:rsid w:val="471C1EF2"/>
    <w:rsid w:val="471D6AD1"/>
    <w:rsid w:val="471D7878"/>
    <w:rsid w:val="47232C3A"/>
    <w:rsid w:val="472703A0"/>
    <w:rsid w:val="47295681"/>
    <w:rsid w:val="472A26AC"/>
    <w:rsid w:val="472B0583"/>
    <w:rsid w:val="47312ACD"/>
    <w:rsid w:val="4732227C"/>
    <w:rsid w:val="47345776"/>
    <w:rsid w:val="47363DBC"/>
    <w:rsid w:val="473737A7"/>
    <w:rsid w:val="473867FC"/>
    <w:rsid w:val="4739083A"/>
    <w:rsid w:val="473B01DF"/>
    <w:rsid w:val="473B3F91"/>
    <w:rsid w:val="473C009B"/>
    <w:rsid w:val="473E02B7"/>
    <w:rsid w:val="473F58CB"/>
    <w:rsid w:val="47407079"/>
    <w:rsid w:val="47412E3C"/>
    <w:rsid w:val="474153AD"/>
    <w:rsid w:val="47423355"/>
    <w:rsid w:val="47423AD4"/>
    <w:rsid w:val="47424D52"/>
    <w:rsid w:val="47431429"/>
    <w:rsid w:val="47434B02"/>
    <w:rsid w:val="47486A40"/>
    <w:rsid w:val="4749036D"/>
    <w:rsid w:val="47492400"/>
    <w:rsid w:val="47495A3D"/>
    <w:rsid w:val="474E27EB"/>
    <w:rsid w:val="47561587"/>
    <w:rsid w:val="4757493E"/>
    <w:rsid w:val="47585A9A"/>
    <w:rsid w:val="475A49C5"/>
    <w:rsid w:val="47616007"/>
    <w:rsid w:val="47637138"/>
    <w:rsid w:val="47653AA5"/>
    <w:rsid w:val="476B76CA"/>
    <w:rsid w:val="476D24E0"/>
    <w:rsid w:val="4770545C"/>
    <w:rsid w:val="477171F4"/>
    <w:rsid w:val="47757377"/>
    <w:rsid w:val="47762884"/>
    <w:rsid w:val="477702CB"/>
    <w:rsid w:val="47775577"/>
    <w:rsid w:val="47775DDF"/>
    <w:rsid w:val="47793291"/>
    <w:rsid w:val="477A04D7"/>
    <w:rsid w:val="477D7D36"/>
    <w:rsid w:val="47817A8E"/>
    <w:rsid w:val="47833F1C"/>
    <w:rsid w:val="478A452B"/>
    <w:rsid w:val="478C2A98"/>
    <w:rsid w:val="478E02A1"/>
    <w:rsid w:val="478F4ECF"/>
    <w:rsid w:val="4791488A"/>
    <w:rsid w:val="479233B5"/>
    <w:rsid w:val="47924127"/>
    <w:rsid w:val="479413A3"/>
    <w:rsid w:val="479954ED"/>
    <w:rsid w:val="4799729B"/>
    <w:rsid w:val="479B6D32"/>
    <w:rsid w:val="479E3B5A"/>
    <w:rsid w:val="47A345C4"/>
    <w:rsid w:val="47A45C40"/>
    <w:rsid w:val="47A55EF4"/>
    <w:rsid w:val="47A81BD4"/>
    <w:rsid w:val="47A93E40"/>
    <w:rsid w:val="47AC3472"/>
    <w:rsid w:val="47AD0D2F"/>
    <w:rsid w:val="47B16438"/>
    <w:rsid w:val="47B17B81"/>
    <w:rsid w:val="47B21776"/>
    <w:rsid w:val="47B265AF"/>
    <w:rsid w:val="47B33247"/>
    <w:rsid w:val="47B71E17"/>
    <w:rsid w:val="47B7571E"/>
    <w:rsid w:val="47B8344E"/>
    <w:rsid w:val="47BC49A0"/>
    <w:rsid w:val="47BD56E5"/>
    <w:rsid w:val="47BE4264"/>
    <w:rsid w:val="47BF2915"/>
    <w:rsid w:val="47C238FE"/>
    <w:rsid w:val="47C37C78"/>
    <w:rsid w:val="47C55475"/>
    <w:rsid w:val="47C56BFB"/>
    <w:rsid w:val="47C86CFC"/>
    <w:rsid w:val="47CC58C3"/>
    <w:rsid w:val="47CE3F52"/>
    <w:rsid w:val="47CF39BE"/>
    <w:rsid w:val="47D041C6"/>
    <w:rsid w:val="47D26C51"/>
    <w:rsid w:val="47D41C69"/>
    <w:rsid w:val="47D567FA"/>
    <w:rsid w:val="47D61B34"/>
    <w:rsid w:val="47DC0D92"/>
    <w:rsid w:val="47DC5993"/>
    <w:rsid w:val="47DE63B3"/>
    <w:rsid w:val="47E0450C"/>
    <w:rsid w:val="47E25E1B"/>
    <w:rsid w:val="47E37174"/>
    <w:rsid w:val="47E51CFE"/>
    <w:rsid w:val="47E805D3"/>
    <w:rsid w:val="47EC1AC1"/>
    <w:rsid w:val="47EC7D13"/>
    <w:rsid w:val="47F045E0"/>
    <w:rsid w:val="47F54193"/>
    <w:rsid w:val="480037BE"/>
    <w:rsid w:val="48013092"/>
    <w:rsid w:val="48015AC8"/>
    <w:rsid w:val="48033AA3"/>
    <w:rsid w:val="480660D7"/>
    <w:rsid w:val="48075876"/>
    <w:rsid w:val="480C031E"/>
    <w:rsid w:val="480C0F07"/>
    <w:rsid w:val="48110B7A"/>
    <w:rsid w:val="48121518"/>
    <w:rsid w:val="4812529F"/>
    <w:rsid w:val="48147F28"/>
    <w:rsid w:val="481806DB"/>
    <w:rsid w:val="481C1C7A"/>
    <w:rsid w:val="481D7AAE"/>
    <w:rsid w:val="481F1051"/>
    <w:rsid w:val="48214B0A"/>
    <w:rsid w:val="482464BF"/>
    <w:rsid w:val="482B417E"/>
    <w:rsid w:val="482D6D54"/>
    <w:rsid w:val="482F2F24"/>
    <w:rsid w:val="482F3821"/>
    <w:rsid w:val="48324BD3"/>
    <w:rsid w:val="48345295"/>
    <w:rsid w:val="483A14AB"/>
    <w:rsid w:val="48415990"/>
    <w:rsid w:val="48430B65"/>
    <w:rsid w:val="4844450B"/>
    <w:rsid w:val="48461E94"/>
    <w:rsid w:val="484860C4"/>
    <w:rsid w:val="485052AE"/>
    <w:rsid w:val="485062C1"/>
    <w:rsid w:val="48513D0B"/>
    <w:rsid w:val="48515DC8"/>
    <w:rsid w:val="48545FB0"/>
    <w:rsid w:val="485C3F8A"/>
    <w:rsid w:val="485C4F5C"/>
    <w:rsid w:val="485E04E5"/>
    <w:rsid w:val="485F6737"/>
    <w:rsid w:val="48644654"/>
    <w:rsid w:val="48653621"/>
    <w:rsid w:val="4867383D"/>
    <w:rsid w:val="48693111"/>
    <w:rsid w:val="486A1135"/>
    <w:rsid w:val="486C0E54"/>
    <w:rsid w:val="486E2853"/>
    <w:rsid w:val="486F1D79"/>
    <w:rsid w:val="486F710E"/>
    <w:rsid w:val="4879763E"/>
    <w:rsid w:val="487A3570"/>
    <w:rsid w:val="487F59B9"/>
    <w:rsid w:val="48804A9C"/>
    <w:rsid w:val="48832D0E"/>
    <w:rsid w:val="4884619D"/>
    <w:rsid w:val="48850DC0"/>
    <w:rsid w:val="488C5AAE"/>
    <w:rsid w:val="488D761F"/>
    <w:rsid w:val="488F069E"/>
    <w:rsid w:val="48902522"/>
    <w:rsid w:val="489716FB"/>
    <w:rsid w:val="489A7E9C"/>
    <w:rsid w:val="489D3BB8"/>
    <w:rsid w:val="489E4A98"/>
    <w:rsid w:val="48A203D1"/>
    <w:rsid w:val="48A24875"/>
    <w:rsid w:val="48A44912"/>
    <w:rsid w:val="48AA0166"/>
    <w:rsid w:val="48AA2D18"/>
    <w:rsid w:val="48AA7124"/>
    <w:rsid w:val="48AE62EA"/>
    <w:rsid w:val="48BA63E5"/>
    <w:rsid w:val="48BC4A06"/>
    <w:rsid w:val="48BC64AB"/>
    <w:rsid w:val="48BD6740"/>
    <w:rsid w:val="48BF7D2B"/>
    <w:rsid w:val="48C1457D"/>
    <w:rsid w:val="48C22822"/>
    <w:rsid w:val="48C325D3"/>
    <w:rsid w:val="48C41631"/>
    <w:rsid w:val="48C742DC"/>
    <w:rsid w:val="48C93BB0"/>
    <w:rsid w:val="48CD4B44"/>
    <w:rsid w:val="48D13041"/>
    <w:rsid w:val="48D65CE6"/>
    <w:rsid w:val="48D82045"/>
    <w:rsid w:val="48D83DF3"/>
    <w:rsid w:val="48D95437"/>
    <w:rsid w:val="48DB1B35"/>
    <w:rsid w:val="48DD3AFF"/>
    <w:rsid w:val="48E1539E"/>
    <w:rsid w:val="48E56107"/>
    <w:rsid w:val="48E61440"/>
    <w:rsid w:val="48E7200F"/>
    <w:rsid w:val="48E96000"/>
    <w:rsid w:val="48EA7806"/>
    <w:rsid w:val="48F002B2"/>
    <w:rsid w:val="48F350D1"/>
    <w:rsid w:val="48F37B94"/>
    <w:rsid w:val="48F64B00"/>
    <w:rsid w:val="48F75A1D"/>
    <w:rsid w:val="48F963E2"/>
    <w:rsid w:val="48FB5D34"/>
    <w:rsid w:val="48FD1D08"/>
    <w:rsid w:val="48FE649B"/>
    <w:rsid w:val="4901347C"/>
    <w:rsid w:val="49024890"/>
    <w:rsid w:val="490258E8"/>
    <w:rsid w:val="490546CD"/>
    <w:rsid w:val="4906799A"/>
    <w:rsid w:val="49085FD9"/>
    <w:rsid w:val="49086163"/>
    <w:rsid w:val="4910358D"/>
    <w:rsid w:val="49115557"/>
    <w:rsid w:val="49131FCC"/>
    <w:rsid w:val="49165DA6"/>
    <w:rsid w:val="491958B9"/>
    <w:rsid w:val="491D1353"/>
    <w:rsid w:val="491F7C74"/>
    <w:rsid w:val="49201299"/>
    <w:rsid w:val="49221512"/>
    <w:rsid w:val="492321E5"/>
    <w:rsid w:val="492360B3"/>
    <w:rsid w:val="49247038"/>
    <w:rsid w:val="49262DB0"/>
    <w:rsid w:val="4926444D"/>
    <w:rsid w:val="49266EAB"/>
    <w:rsid w:val="49274D05"/>
    <w:rsid w:val="49282FCC"/>
    <w:rsid w:val="492928A1"/>
    <w:rsid w:val="492B486B"/>
    <w:rsid w:val="492B6005"/>
    <w:rsid w:val="49313094"/>
    <w:rsid w:val="49315BB1"/>
    <w:rsid w:val="493308BF"/>
    <w:rsid w:val="49357497"/>
    <w:rsid w:val="49357CB0"/>
    <w:rsid w:val="493A24B5"/>
    <w:rsid w:val="493A5F0B"/>
    <w:rsid w:val="493F24FC"/>
    <w:rsid w:val="49402B6C"/>
    <w:rsid w:val="49453A90"/>
    <w:rsid w:val="494616A5"/>
    <w:rsid w:val="49475EBD"/>
    <w:rsid w:val="49492647"/>
    <w:rsid w:val="49496A9F"/>
    <w:rsid w:val="494D5008"/>
    <w:rsid w:val="494D5F89"/>
    <w:rsid w:val="494F7DDD"/>
    <w:rsid w:val="495023FB"/>
    <w:rsid w:val="4950445A"/>
    <w:rsid w:val="49520049"/>
    <w:rsid w:val="4956580F"/>
    <w:rsid w:val="495711BC"/>
    <w:rsid w:val="495B6FDA"/>
    <w:rsid w:val="495C2C76"/>
    <w:rsid w:val="495D254A"/>
    <w:rsid w:val="495D3DF8"/>
    <w:rsid w:val="495E69EE"/>
    <w:rsid w:val="495E6EA1"/>
    <w:rsid w:val="495F6F59"/>
    <w:rsid w:val="49622292"/>
    <w:rsid w:val="4965289B"/>
    <w:rsid w:val="49676CD4"/>
    <w:rsid w:val="496C146C"/>
    <w:rsid w:val="496F0090"/>
    <w:rsid w:val="4970355D"/>
    <w:rsid w:val="497242AF"/>
    <w:rsid w:val="49746212"/>
    <w:rsid w:val="49746D0E"/>
    <w:rsid w:val="4976415E"/>
    <w:rsid w:val="497C19B5"/>
    <w:rsid w:val="49847B92"/>
    <w:rsid w:val="498902F7"/>
    <w:rsid w:val="498A08F0"/>
    <w:rsid w:val="498C4937"/>
    <w:rsid w:val="498C49B3"/>
    <w:rsid w:val="4992019B"/>
    <w:rsid w:val="49940172"/>
    <w:rsid w:val="49942410"/>
    <w:rsid w:val="4994419B"/>
    <w:rsid w:val="499A379E"/>
    <w:rsid w:val="499B6895"/>
    <w:rsid w:val="499C7517"/>
    <w:rsid w:val="499D52EC"/>
    <w:rsid w:val="49A00C98"/>
    <w:rsid w:val="49A53D6E"/>
    <w:rsid w:val="49A567C9"/>
    <w:rsid w:val="49A861D1"/>
    <w:rsid w:val="49AC7040"/>
    <w:rsid w:val="49B02067"/>
    <w:rsid w:val="49B04D70"/>
    <w:rsid w:val="49B120BE"/>
    <w:rsid w:val="49B17BD4"/>
    <w:rsid w:val="49B22896"/>
    <w:rsid w:val="49B43537"/>
    <w:rsid w:val="49B54134"/>
    <w:rsid w:val="49B75A10"/>
    <w:rsid w:val="49BB0A0C"/>
    <w:rsid w:val="49BB1589"/>
    <w:rsid w:val="49BB516F"/>
    <w:rsid w:val="49C03205"/>
    <w:rsid w:val="49C16F7D"/>
    <w:rsid w:val="49C40F8B"/>
    <w:rsid w:val="49C455C3"/>
    <w:rsid w:val="49C46777"/>
    <w:rsid w:val="49C7619E"/>
    <w:rsid w:val="49C9126E"/>
    <w:rsid w:val="49CC1AA2"/>
    <w:rsid w:val="49CD2AE9"/>
    <w:rsid w:val="49D76CD8"/>
    <w:rsid w:val="49D85622"/>
    <w:rsid w:val="49D92D54"/>
    <w:rsid w:val="49DA4F57"/>
    <w:rsid w:val="49DE18DD"/>
    <w:rsid w:val="49E60792"/>
    <w:rsid w:val="49E669E4"/>
    <w:rsid w:val="49F033BE"/>
    <w:rsid w:val="49F06870"/>
    <w:rsid w:val="49F17862"/>
    <w:rsid w:val="49F607CB"/>
    <w:rsid w:val="49F60938"/>
    <w:rsid w:val="4A050C18"/>
    <w:rsid w:val="4A08433A"/>
    <w:rsid w:val="4A0A0924"/>
    <w:rsid w:val="4A0C51B2"/>
    <w:rsid w:val="4A145439"/>
    <w:rsid w:val="4A1470AD"/>
    <w:rsid w:val="4A1809EE"/>
    <w:rsid w:val="4A1968C6"/>
    <w:rsid w:val="4A1C23CF"/>
    <w:rsid w:val="4A201EF6"/>
    <w:rsid w:val="4A223A4C"/>
    <w:rsid w:val="4A27377F"/>
    <w:rsid w:val="4A290593"/>
    <w:rsid w:val="4A2C4097"/>
    <w:rsid w:val="4A2C5EDB"/>
    <w:rsid w:val="4A2C7FBF"/>
    <w:rsid w:val="4A2E7C0C"/>
    <w:rsid w:val="4A302AA5"/>
    <w:rsid w:val="4A342E82"/>
    <w:rsid w:val="4A34774F"/>
    <w:rsid w:val="4A3540DC"/>
    <w:rsid w:val="4A367DC9"/>
    <w:rsid w:val="4A3741C1"/>
    <w:rsid w:val="4A385DC6"/>
    <w:rsid w:val="4A3E05CE"/>
    <w:rsid w:val="4A3E412A"/>
    <w:rsid w:val="4A3F507F"/>
    <w:rsid w:val="4A410466"/>
    <w:rsid w:val="4A422867"/>
    <w:rsid w:val="4A432B3B"/>
    <w:rsid w:val="4A435BE4"/>
    <w:rsid w:val="4A436F6A"/>
    <w:rsid w:val="4A44252C"/>
    <w:rsid w:val="4A4554B8"/>
    <w:rsid w:val="4A4954D2"/>
    <w:rsid w:val="4A4A0542"/>
    <w:rsid w:val="4A4C6847"/>
    <w:rsid w:val="4A4D183F"/>
    <w:rsid w:val="4A4F6337"/>
    <w:rsid w:val="4A511BB0"/>
    <w:rsid w:val="4A5408CE"/>
    <w:rsid w:val="4A557521"/>
    <w:rsid w:val="4A5C5634"/>
    <w:rsid w:val="4A5E0608"/>
    <w:rsid w:val="4A5F68A6"/>
    <w:rsid w:val="4A613C17"/>
    <w:rsid w:val="4A631DE2"/>
    <w:rsid w:val="4A653DAC"/>
    <w:rsid w:val="4A674035"/>
    <w:rsid w:val="4A683E2D"/>
    <w:rsid w:val="4A690FAF"/>
    <w:rsid w:val="4A6C513B"/>
    <w:rsid w:val="4A6D51FD"/>
    <w:rsid w:val="4A6F69D9"/>
    <w:rsid w:val="4A7364C9"/>
    <w:rsid w:val="4A757926"/>
    <w:rsid w:val="4A783AA4"/>
    <w:rsid w:val="4A7A1CD7"/>
    <w:rsid w:val="4A7B5E55"/>
    <w:rsid w:val="4A7D1643"/>
    <w:rsid w:val="4A824BA6"/>
    <w:rsid w:val="4A825A9A"/>
    <w:rsid w:val="4A834233"/>
    <w:rsid w:val="4A844EF3"/>
    <w:rsid w:val="4A8A5A40"/>
    <w:rsid w:val="4A8B09F3"/>
    <w:rsid w:val="4A8B32D8"/>
    <w:rsid w:val="4A8B43C9"/>
    <w:rsid w:val="4A8E1217"/>
    <w:rsid w:val="4A900C68"/>
    <w:rsid w:val="4A944618"/>
    <w:rsid w:val="4A9A0F36"/>
    <w:rsid w:val="4A9E2E1A"/>
    <w:rsid w:val="4AA26464"/>
    <w:rsid w:val="4AA30431"/>
    <w:rsid w:val="4AA33382"/>
    <w:rsid w:val="4AA466DB"/>
    <w:rsid w:val="4AA523FB"/>
    <w:rsid w:val="4AA64F47"/>
    <w:rsid w:val="4AA83F0C"/>
    <w:rsid w:val="4AA863C1"/>
    <w:rsid w:val="4AA96C38"/>
    <w:rsid w:val="4AAB6C21"/>
    <w:rsid w:val="4AAC3789"/>
    <w:rsid w:val="4AAE5753"/>
    <w:rsid w:val="4AB30AAE"/>
    <w:rsid w:val="4AB663B6"/>
    <w:rsid w:val="4AB97F2B"/>
    <w:rsid w:val="4ABC2D4A"/>
    <w:rsid w:val="4ABF34BD"/>
    <w:rsid w:val="4ABF7097"/>
    <w:rsid w:val="4AC03B87"/>
    <w:rsid w:val="4AC06393"/>
    <w:rsid w:val="4AC42881"/>
    <w:rsid w:val="4AC43252"/>
    <w:rsid w:val="4AC72371"/>
    <w:rsid w:val="4ACB764B"/>
    <w:rsid w:val="4ACE0368"/>
    <w:rsid w:val="4AD04D95"/>
    <w:rsid w:val="4AD16E75"/>
    <w:rsid w:val="4AD350A4"/>
    <w:rsid w:val="4AD764A4"/>
    <w:rsid w:val="4ADA1681"/>
    <w:rsid w:val="4ADB5E1D"/>
    <w:rsid w:val="4ADF5E03"/>
    <w:rsid w:val="4AE73D70"/>
    <w:rsid w:val="4AEA028D"/>
    <w:rsid w:val="4AEA73C7"/>
    <w:rsid w:val="4AEB2504"/>
    <w:rsid w:val="4AED1DBA"/>
    <w:rsid w:val="4AF51A4F"/>
    <w:rsid w:val="4AF550ED"/>
    <w:rsid w:val="4AF82570"/>
    <w:rsid w:val="4AFD5D93"/>
    <w:rsid w:val="4B014227"/>
    <w:rsid w:val="4B06798C"/>
    <w:rsid w:val="4B0E6A3E"/>
    <w:rsid w:val="4B1355B6"/>
    <w:rsid w:val="4B2257F9"/>
    <w:rsid w:val="4B245008"/>
    <w:rsid w:val="4B271062"/>
    <w:rsid w:val="4B2A1534"/>
    <w:rsid w:val="4B2B1A79"/>
    <w:rsid w:val="4B2C6678"/>
    <w:rsid w:val="4B2D58AE"/>
    <w:rsid w:val="4B2D6C05"/>
    <w:rsid w:val="4B310E2D"/>
    <w:rsid w:val="4B320132"/>
    <w:rsid w:val="4B35609A"/>
    <w:rsid w:val="4B371829"/>
    <w:rsid w:val="4B3A5748"/>
    <w:rsid w:val="4B3A6FE7"/>
    <w:rsid w:val="4B3C5727"/>
    <w:rsid w:val="4B3F5F2B"/>
    <w:rsid w:val="4B4C55F8"/>
    <w:rsid w:val="4B5366E5"/>
    <w:rsid w:val="4B571947"/>
    <w:rsid w:val="4B5A4F93"/>
    <w:rsid w:val="4B5E6C72"/>
    <w:rsid w:val="4B5E77D2"/>
    <w:rsid w:val="4B6422B6"/>
    <w:rsid w:val="4B6A3785"/>
    <w:rsid w:val="4B6A6AB1"/>
    <w:rsid w:val="4B6C49E5"/>
    <w:rsid w:val="4B6D2F19"/>
    <w:rsid w:val="4B700C5B"/>
    <w:rsid w:val="4B7557F7"/>
    <w:rsid w:val="4B7D6E26"/>
    <w:rsid w:val="4B83273C"/>
    <w:rsid w:val="4B854878"/>
    <w:rsid w:val="4B8778CD"/>
    <w:rsid w:val="4B8A2A0D"/>
    <w:rsid w:val="4B9227C3"/>
    <w:rsid w:val="4B95246F"/>
    <w:rsid w:val="4B9B7FB0"/>
    <w:rsid w:val="4BA523E9"/>
    <w:rsid w:val="4BA70A41"/>
    <w:rsid w:val="4BAA5463"/>
    <w:rsid w:val="4BAB3E6A"/>
    <w:rsid w:val="4BAD1869"/>
    <w:rsid w:val="4BAF1783"/>
    <w:rsid w:val="4BAF33E3"/>
    <w:rsid w:val="4BB26B7D"/>
    <w:rsid w:val="4BB573E1"/>
    <w:rsid w:val="4BB943B0"/>
    <w:rsid w:val="4BBE4157"/>
    <w:rsid w:val="4BBF74EC"/>
    <w:rsid w:val="4BC0073D"/>
    <w:rsid w:val="4BC16A27"/>
    <w:rsid w:val="4BC9159F"/>
    <w:rsid w:val="4BCE14DD"/>
    <w:rsid w:val="4BCE41B0"/>
    <w:rsid w:val="4BD026F4"/>
    <w:rsid w:val="4BD27220"/>
    <w:rsid w:val="4BD30473"/>
    <w:rsid w:val="4BD86D57"/>
    <w:rsid w:val="4BDC009E"/>
    <w:rsid w:val="4BDC56F8"/>
    <w:rsid w:val="4BDD24D2"/>
    <w:rsid w:val="4BDE0226"/>
    <w:rsid w:val="4BE312D6"/>
    <w:rsid w:val="4BEA0FB4"/>
    <w:rsid w:val="4BEB3013"/>
    <w:rsid w:val="4BEF7DD1"/>
    <w:rsid w:val="4BF03FDE"/>
    <w:rsid w:val="4BF325AA"/>
    <w:rsid w:val="4BF50DC0"/>
    <w:rsid w:val="4BFA0524"/>
    <w:rsid w:val="4BFB6AD6"/>
    <w:rsid w:val="4BFC24EE"/>
    <w:rsid w:val="4BFC3701"/>
    <w:rsid w:val="4BFE6267"/>
    <w:rsid w:val="4C001FDF"/>
    <w:rsid w:val="4C082C41"/>
    <w:rsid w:val="4C0845B9"/>
    <w:rsid w:val="4C0A69B9"/>
    <w:rsid w:val="4C0C31F6"/>
    <w:rsid w:val="4C107007"/>
    <w:rsid w:val="4C107D48"/>
    <w:rsid w:val="4C12586E"/>
    <w:rsid w:val="4C13619C"/>
    <w:rsid w:val="4C143CE2"/>
    <w:rsid w:val="4C1650B2"/>
    <w:rsid w:val="4C167C35"/>
    <w:rsid w:val="4C175E75"/>
    <w:rsid w:val="4C1930A0"/>
    <w:rsid w:val="4C1A4723"/>
    <w:rsid w:val="4C1B0BC7"/>
    <w:rsid w:val="4C204A92"/>
    <w:rsid w:val="4C2577FF"/>
    <w:rsid w:val="4C2832E3"/>
    <w:rsid w:val="4C2A4D09"/>
    <w:rsid w:val="4C2B0D22"/>
    <w:rsid w:val="4C2E1CC1"/>
    <w:rsid w:val="4C303F46"/>
    <w:rsid w:val="4C312198"/>
    <w:rsid w:val="4C32269B"/>
    <w:rsid w:val="4C3457E4"/>
    <w:rsid w:val="4C384C3D"/>
    <w:rsid w:val="4C3C0B3D"/>
    <w:rsid w:val="4C3C28EB"/>
    <w:rsid w:val="4C3E2B07"/>
    <w:rsid w:val="4C3E48B5"/>
    <w:rsid w:val="4C4109A5"/>
    <w:rsid w:val="4C45100A"/>
    <w:rsid w:val="4C455C43"/>
    <w:rsid w:val="4C4A14AC"/>
    <w:rsid w:val="4C4B1E4A"/>
    <w:rsid w:val="4C4C7539"/>
    <w:rsid w:val="4C4E4FDD"/>
    <w:rsid w:val="4C4E5A55"/>
    <w:rsid w:val="4C510646"/>
    <w:rsid w:val="4C523EBC"/>
    <w:rsid w:val="4C545E87"/>
    <w:rsid w:val="4C5639AD"/>
    <w:rsid w:val="4C5C2F8D"/>
    <w:rsid w:val="4C5C4D3B"/>
    <w:rsid w:val="4C5F30D6"/>
    <w:rsid w:val="4C5F5D29"/>
    <w:rsid w:val="4C60482B"/>
    <w:rsid w:val="4C6A599C"/>
    <w:rsid w:val="4C6B550C"/>
    <w:rsid w:val="4C6C7D64"/>
    <w:rsid w:val="4C6D4932"/>
    <w:rsid w:val="4C6F2CC0"/>
    <w:rsid w:val="4C735937"/>
    <w:rsid w:val="4C8007C1"/>
    <w:rsid w:val="4C86651A"/>
    <w:rsid w:val="4C8F3590"/>
    <w:rsid w:val="4C8F4137"/>
    <w:rsid w:val="4C8F5834"/>
    <w:rsid w:val="4C90260C"/>
    <w:rsid w:val="4C912C37"/>
    <w:rsid w:val="4C922AEB"/>
    <w:rsid w:val="4C9240F7"/>
    <w:rsid w:val="4C9D5A7F"/>
    <w:rsid w:val="4C9E7102"/>
    <w:rsid w:val="4CA01405"/>
    <w:rsid w:val="4CA138D5"/>
    <w:rsid w:val="4CA7245A"/>
    <w:rsid w:val="4CA75A30"/>
    <w:rsid w:val="4CA824AC"/>
    <w:rsid w:val="4CA95D3E"/>
    <w:rsid w:val="4CA961D2"/>
    <w:rsid w:val="4CAC181F"/>
    <w:rsid w:val="4CB07C88"/>
    <w:rsid w:val="4CB4212F"/>
    <w:rsid w:val="4CB541CC"/>
    <w:rsid w:val="4CB9218D"/>
    <w:rsid w:val="4CBB1996"/>
    <w:rsid w:val="4CBD1C7E"/>
    <w:rsid w:val="4CBD3A2C"/>
    <w:rsid w:val="4CBF2147"/>
    <w:rsid w:val="4CBF54BB"/>
    <w:rsid w:val="4CBF7AF9"/>
    <w:rsid w:val="4CC032CB"/>
    <w:rsid w:val="4CC45A35"/>
    <w:rsid w:val="4CC94FBD"/>
    <w:rsid w:val="4CCA7EF7"/>
    <w:rsid w:val="4CCB4B47"/>
    <w:rsid w:val="4CCC3A0C"/>
    <w:rsid w:val="4CCE2C6A"/>
    <w:rsid w:val="4CCF375F"/>
    <w:rsid w:val="4CE045B1"/>
    <w:rsid w:val="4CE05222"/>
    <w:rsid w:val="4CE247DE"/>
    <w:rsid w:val="4CE92A73"/>
    <w:rsid w:val="4CEC2985"/>
    <w:rsid w:val="4CED6F5E"/>
    <w:rsid w:val="4CF100A3"/>
    <w:rsid w:val="4CF27F10"/>
    <w:rsid w:val="4CF4062E"/>
    <w:rsid w:val="4CF41620"/>
    <w:rsid w:val="4CF431C6"/>
    <w:rsid w:val="4CF44F18"/>
    <w:rsid w:val="4CF80B4D"/>
    <w:rsid w:val="4CFA4C80"/>
    <w:rsid w:val="4CFE0CCC"/>
    <w:rsid w:val="4D007D9B"/>
    <w:rsid w:val="4D027691"/>
    <w:rsid w:val="4D044633"/>
    <w:rsid w:val="4D051315"/>
    <w:rsid w:val="4D056551"/>
    <w:rsid w:val="4D063625"/>
    <w:rsid w:val="4D090A1F"/>
    <w:rsid w:val="4D0B3123"/>
    <w:rsid w:val="4D0D637A"/>
    <w:rsid w:val="4D0E7075"/>
    <w:rsid w:val="4D0F1DAD"/>
    <w:rsid w:val="4D0F1DE0"/>
    <w:rsid w:val="4D10183F"/>
    <w:rsid w:val="4D102397"/>
    <w:rsid w:val="4D102794"/>
    <w:rsid w:val="4D115B26"/>
    <w:rsid w:val="4D145BD5"/>
    <w:rsid w:val="4D152015"/>
    <w:rsid w:val="4D1900AA"/>
    <w:rsid w:val="4D1C23CB"/>
    <w:rsid w:val="4D1C2599"/>
    <w:rsid w:val="4D272B73"/>
    <w:rsid w:val="4D280A86"/>
    <w:rsid w:val="4D302450"/>
    <w:rsid w:val="4D3A1670"/>
    <w:rsid w:val="4D3A5965"/>
    <w:rsid w:val="4D3B2BA3"/>
    <w:rsid w:val="4D405DB8"/>
    <w:rsid w:val="4D410246"/>
    <w:rsid w:val="4D447ACC"/>
    <w:rsid w:val="4D45233D"/>
    <w:rsid w:val="4D491763"/>
    <w:rsid w:val="4D492C42"/>
    <w:rsid w:val="4D4935B4"/>
    <w:rsid w:val="4D4C4DB0"/>
    <w:rsid w:val="4D504306"/>
    <w:rsid w:val="4D530F05"/>
    <w:rsid w:val="4D531869"/>
    <w:rsid w:val="4D564939"/>
    <w:rsid w:val="4D571ED5"/>
    <w:rsid w:val="4D5A1DF1"/>
    <w:rsid w:val="4D5C122A"/>
    <w:rsid w:val="4D5E4D9E"/>
    <w:rsid w:val="4D5E574B"/>
    <w:rsid w:val="4D5F0F87"/>
    <w:rsid w:val="4D663F2B"/>
    <w:rsid w:val="4D673568"/>
    <w:rsid w:val="4D6B4B4B"/>
    <w:rsid w:val="4D6B6E96"/>
    <w:rsid w:val="4D6C1F47"/>
    <w:rsid w:val="4D707E78"/>
    <w:rsid w:val="4D720B9D"/>
    <w:rsid w:val="4D7526D1"/>
    <w:rsid w:val="4D785BA5"/>
    <w:rsid w:val="4D796160"/>
    <w:rsid w:val="4D7A36CB"/>
    <w:rsid w:val="4D7B011C"/>
    <w:rsid w:val="4D7B2AC0"/>
    <w:rsid w:val="4D801FF4"/>
    <w:rsid w:val="4D820DE4"/>
    <w:rsid w:val="4D824589"/>
    <w:rsid w:val="4D83238D"/>
    <w:rsid w:val="4D864FA1"/>
    <w:rsid w:val="4D8F1F25"/>
    <w:rsid w:val="4D907ADE"/>
    <w:rsid w:val="4D922DC1"/>
    <w:rsid w:val="4D93263F"/>
    <w:rsid w:val="4D93589B"/>
    <w:rsid w:val="4D9724CF"/>
    <w:rsid w:val="4D9F2768"/>
    <w:rsid w:val="4D9F3131"/>
    <w:rsid w:val="4DA112FC"/>
    <w:rsid w:val="4DA36860"/>
    <w:rsid w:val="4DA44BEC"/>
    <w:rsid w:val="4DA4699A"/>
    <w:rsid w:val="4DA501AA"/>
    <w:rsid w:val="4DA644C0"/>
    <w:rsid w:val="4DA77A39"/>
    <w:rsid w:val="4DA92202"/>
    <w:rsid w:val="4DAA2DF3"/>
    <w:rsid w:val="4DAF2A8E"/>
    <w:rsid w:val="4DB203CE"/>
    <w:rsid w:val="4DB32F5A"/>
    <w:rsid w:val="4DBA514A"/>
    <w:rsid w:val="4DBE6EA4"/>
    <w:rsid w:val="4DC16DD5"/>
    <w:rsid w:val="4DC24DEA"/>
    <w:rsid w:val="4DC42B98"/>
    <w:rsid w:val="4DC564B9"/>
    <w:rsid w:val="4DC96400"/>
    <w:rsid w:val="4DCC40A8"/>
    <w:rsid w:val="4DCE1C69"/>
    <w:rsid w:val="4DD03C33"/>
    <w:rsid w:val="4DD42115"/>
    <w:rsid w:val="4DD80599"/>
    <w:rsid w:val="4DD92AE7"/>
    <w:rsid w:val="4DDF549A"/>
    <w:rsid w:val="4DDF5C24"/>
    <w:rsid w:val="4DE03A45"/>
    <w:rsid w:val="4DE1708D"/>
    <w:rsid w:val="4DE430CC"/>
    <w:rsid w:val="4DE4323A"/>
    <w:rsid w:val="4DE43B63"/>
    <w:rsid w:val="4DE4512B"/>
    <w:rsid w:val="4DEB2AE6"/>
    <w:rsid w:val="4DF109D9"/>
    <w:rsid w:val="4DF14773"/>
    <w:rsid w:val="4DF53699"/>
    <w:rsid w:val="4DF60B23"/>
    <w:rsid w:val="4DF63134"/>
    <w:rsid w:val="4DF72106"/>
    <w:rsid w:val="4DF96CE5"/>
    <w:rsid w:val="4DFD1DF6"/>
    <w:rsid w:val="4E00332C"/>
    <w:rsid w:val="4E011D6D"/>
    <w:rsid w:val="4E035DB6"/>
    <w:rsid w:val="4E0373C2"/>
    <w:rsid w:val="4E04568A"/>
    <w:rsid w:val="4E080364"/>
    <w:rsid w:val="4E081445"/>
    <w:rsid w:val="4E16389C"/>
    <w:rsid w:val="4E191136"/>
    <w:rsid w:val="4E1A089B"/>
    <w:rsid w:val="4E1B282B"/>
    <w:rsid w:val="4E1C0C26"/>
    <w:rsid w:val="4E1C74B5"/>
    <w:rsid w:val="4E1F448C"/>
    <w:rsid w:val="4E231FB4"/>
    <w:rsid w:val="4E2728E6"/>
    <w:rsid w:val="4E2B74D5"/>
    <w:rsid w:val="4E2F6BAB"/>
    <w:rsid w:val="4E351C41"/>
    <w:rsid w:val="4E373ED8"/>
    <w:rsid w:val="4E387150"/>
    <w:rsid w:val="4E3A1984"/>
    <w:rsid w:val="4E3F346B"/>
    <w:rsid w:val="4E40359B"/>
    <w:rsid w:val="4E434961"/>
    <w:rsid w:val="4E451F2B"/>
    <w:rsid w:val="4E4E3DD0"/>
    <w:rsid w:val="4E4F3CFF"/>
    <w:rsid w:val="4E552CA5"/>
    <w:rsid w:val="4E564138"/>
    <w:rsid w:val="4E575F07"/>
    <w:rsid w:val="4E592BD4"/>
    <w:rsid w:val="4E5D7793"/>
    <w:rsid w:val="4E5E4D9B"/>
    <w:rsid w:val="4E643CA3"/>
    <w:rsid w:val="4E656129"/>
    <w:rsid w:val="4E67600B"/>
    <w:rsid w:val="4E714CE8"/>
    <w:rsid w:val="4E714D85"/>
    <w:rsid w:val="4E761827"/>
    <w:rsid w:val="4E7B2B8D"/>
    <w:rsid w:val="4E7E71EB"/>
    <w:rsid w:val="4E7F64F1"/>
    <w:rsid w:val="4E810A89"/>
    <w:rsid w:val="4E851C91"/>
    <w:rsid w:val="4E9133C2"/>
    <w:rsid w:val="4E922FFC"/>
    <w:rsid w:val="4E9631DA"/>
    <w:rsid w:val="4E984750"/>
    <w:rsid w:val="4E9904C8"/>
    <w:rsid w:val="4E992277"/>
    <w:rsid w:val="4E9B245D"/>
    <w:rsid w:val="4E9B7D9D"/>
    <w:rsid w:val="4E9F1430"/>
    <w:rsid w:val="4EA42555"/>
    <w:rsid w:val="4EA51B89"/>
    <w:rsid w:val="4EA62512"/>
    <w:rsid w:val="4EA918F7"/>
    <w:rsid w:val="4EA94205"/>
    <w:rsid w:val="4EAD5D22"/>
    <w:rsid w:val="4EB24A1E"/>
    <w:rsid w:val="4EB470B0"/>
    <w:rsid w:val="4EB52EAD"/>
    <w:rsid w:val="4EB66985"/>
    <w:rsid w:val="4EB85C2B"/>
    <w:rsid w:val="4EB94BC3"/>
    <w:rsid w:val="4EBD5DF9"/>
    <w:rsid w:val="4EC5306C"/>
    <w:rsid w:val="4EC56BC8"/>
    <w:rsid w:val="4EC56D86"/>
    <w:rsid w:val="4EC579D8"/>
    <w:rsid w:val="4EC966C5"/>
    <w:rsid w:val="4ECB2CC2"/>
    <w:rsid w:val="4ECF5C98"/>
    <w:rsid w:val="4ED03489"/>
    <w:rsid w:val="4ED13458"/>
    <w:rsid w:val="4ED16532"/>
    <w:rsid w:val="4ED67027"/>
    <w:rsid w:val="4ED922A8"/>
    <w:rsid w:val="4ED96B17"/>
    <w:rsid w:val="4EDB57AF"/>
    <w:rsid w:val="4EDC198E"/>
    <w:rsid w:val="4EDD6607"/>
    <w:rsid w:val="4EDE17B5"/>
    <w:rsid w:val="4EDE600D"/>
    <w:rsid w:val="4EDF3DE5"/>
    <w:rsid w:val="4EE03C2E"/>
    <w:rsid w:val="4EE348C8"/>
    <w:rsid w:val="4EE367A8"/>
    <w:rsid w:val="4EE61D62"/>
    <w:rsid w:val="4EE94FAC"/>
    <w:rsid w:val="4EED611E"/>
    <w:rsid w:val="4EF01E61"/>
    <w:rsid w:val="4EF433CA"/>
    <w:rsid w:val="4EF529CD"/>
    <w:rsid w:val="4EF62B6C"/>
    <w:rsid w:val="4EF65EE6"/>
    <w:rsid w:val="4EFA2AB9"/>
    <w:rsid w:val="4EFE7134"/>
    <w:rsid w:val="4F044A22"/>
    <w:rsid w:val="4F0973FC"/>
    <w:rsid w:val="4F0E056F"/>
    <w:rsid w:val="4F10078B"/>
    <w:rsid w:val="4F102AAD"/>
    <w:rsid w:val="4F105C92"/>
    <w:rsid w:val="4F1326AE"/>
    <w:rsid w:val="4F1418FD"/>
    <w:rsid w:val="4F1A6685"/>
    <w:rsid w:val="4F1B0EDE"/>
    <w:rsid w:val="4F1B34DF"/>
    <w:rsid w:val="4F1C731A"/>
    <w:rsid w:val="4F1E0CCE"/>
    <w:rsid w:val="4F2268D9"/>
    <w:rsid w:val="4F29184C"/>
    <w:rsid w:val="4F2E0C11"/>
    <w:rsid w:val="4F3105A4"/>
    <w:rsid w:val="4F3B1580"/>
    <w:rsid w:val="4F3F0D95"/>
    <w:rsid w:val="4F42646A"/>
    <w:rsid w:val="4F443F90"/>
    <w:rsid w:val="4F447633"/>
    <w:rsid w:val="4F4531D3"/>
    <w:rsid w:val="4F477E65"/>
    <w:rsid w:val="4F4C1CDC"/>
    <w:rsid w:val="4F4C3DBC"/>
    <w:rsid w:val="4F502F66"/>
    <w:rsid w:val="4F520A65"/>
    <w:rsid w:val="4F573C42"/>
    <w:rsid w:val="4F5B1EA1"/>
    <w:rsid w:val="4F5F0DCA"/>
    <w:rsid w:val="4F602385"/>
    <w:rsid w:val="4F625AD8"/>
    <w:rsid w:val="4F6271DE"/>
    <w:rsid w:val="4F672375"/>
    <w:rsid w:val="4F672F12"/>
    <w:rsid w:val="4F6A2424"/>
    <w:rsid w:val="4F6C0472"/>
    <w:rsid w:val="4F6E6F23"/>
    <w:rsid w:val="4F6E725F"/>
    <w:rsid w:val="4F6F2AB0"/>
    <w:rsid w:val="4F6F4A0F"/>
    <w:rsid w:val="4F7004C1"/>
    <w:rsid w:val="4F702C6B"/>
    <w:rsid w:val="4F711DB9"/>
    <w:rsid w:val="4F7156CC"/>
    <w:rsid w:val="4F727E5D"/>
    <w:rsid w:val="4F776CD5"/>
    <w:rsid w:val="4F79232C"/>
    <w:rsid w:val="4F7973DD"/>
    <w:rsid w:val="4F7A6662"/>
    <w:rsid w:val="4F7B372A"/>
    <w:rsid w:val="4F7B5474"/>
    <w:rsid w:val="4F7B769C"/>
    <w:rsid w:val="4F7D56F4"/>
    <w:rsid w:val="4F7F023F"/>
    <w:rsid w:val="4F822D0B"/>
    <w:rsid w:val="4F870321"/>
    <w:rsid w:val="4F8E6E2A"/>
    <w:rsid w:val="4F8E7901"/>
    <w:rsid w:val="4F8F3A50"/>
    <w:rsid w:val="4F930919"/>
    <w:rsid w:val="4F967BDF"/>
    <w:rsid w:val="4F97346B"/>
    <w:rsid w:val="4F9A0054"/>
    <w:rsid w:val="4F9B3EA6"/>
    <w:rsid w:val="4F9D3290"/>
    <w:rsid w:val="4F9D72A0"/>
    <w:rsid w:val="4FA06318"/>
    <w:rsid w:val="4FA167AA"/>
    <w:rsid w:val="4FA41888"/>
    <w:rsid w:val="4FA56B4D"/>
    <w:rsid w:val="4FA81563"/>
    <w:rsid w:val="4FA91628"/>
    <w:rsid w:val="4FA91AB7"/>
    <w:rsid w:val="4FA93450"/>
    <w:rsid w:val="4FB11DBF"/>
    <w:rsid w:val="4FB1539E"/>
    <w:rsid w:val="4FB60BC2"/>
    <w:rsid w:val="4FB732C0"/>
    <w:rsid w:val="4FB80990"/>
    <w:rsid w:val="4FB93F63"/>
    <w:rsid w:val="4FB940D4"/>
    <w:rsid w:val="4FBA24A4"/>
    <w:rsid w:val="4FBB206B"/>
    <w:rsid w:val="4FBB4ACE"/>
    <w:rsid w:val="4FC136E7"/>
    <w:rsid w:val="4FCA73EA"/>
    <w:rsid w:val="4FCC2F58"/>
    <w:rsid w:val="4FD06F21"/>
    <w:rsid w:val="4FD24A8F"/>
    <w:rsid w:val="4FD277EE"/>
    <w:rsid w:val="4FD600B2"/>
    <w:rsid w:val="4FD60B6D"/>
    <w:rsid w:val="4FD844A6"/>
    <w:rsid w:val="4FDB395E"/>
    <w:rsid w:val="4FDC066D"/>
    <w:rsid w:val="4FE33C5F"/>
    <w:rsid w:val="4FE46F56"/>
    <w:rsid w:val="4FE70854"/>
    <w:rsid w:val="4FE71AF7"/>
    <w:rsid w:val="4FE90FDC"/>
    <w:rsid w:val="4FE92D8A"/>
    <w:rsid w:val="4FEE7D0C"/>
    <w:rsid w:val="4FF0236A"/>
    <w:rsid w:val="4FF56780"/>
    <w:rsid w:val="4FF74E86"/>
    <w:rsid w:val="4FF82FCD"/>
    <w:rsid w:val="4FFA1DA8"/>
    <w:rsid w:val="4FFC79DB"/>
    <w:rsid w:val="5003084A"/>
    <w:rsid w:val="50067498"/>
    <w:rsid w:val="50071620"/>
    <w:rsid w:val="500B32A2"/>
    <w:rsid w:val="500B500F"/>
    <w:rsid w:val="500C19CB"/>
    <w:rsid w:val="500D2CA5"/>
    <w:rsid w:val="500D6A78"/>
    <w:rsid w:val="500F2595"/>
    <w:rsid w:val="50100316"/>
    <w:rsid w:val="501222E0"/>
    <w:rsid w:val="5019494D"/>
    <w:rsid w:val="501C3A50"/>
    <w:rsid w:val="501C4F0D"/>
    <w:rsid w:val="501F17AD"/>
    <w:rsid w:val="502246FD"/>
    <w:rsid w:val="50224B06"/>
    <w:rsid w:val="50243DC2"/>
    <w:rsid w:val="50267B3A"/>
    <w:rsid w:val="502D78E6"/>
    <w:rsid w:val="502E382D"/>
    <w:rsid w:val="502F2E92"/>
    <w:rsid w:val="50310B7A"/>
    <w:rsid w:val="50362EF9"/>
    <w:rsid w:val="503B1837"/>
    <w:rsid w:val="503B7078"/>
    <w:rsid w:val="503F41BE"/>
    <w:rsid w:val="503F6741"/>
    <w:rsid w:val="50406E4E"/>
    <w:rsid w:val="50407A59"/>
    <w:rsid w:val="50440BC2"/>
    <w:rsid w:val="504547E3"/>
    <w:rsid w:val="50497336"/>
    <w:rsid w:val="504B0035"/>
    <w:rsid w:val="504D3319"/>
    <w:rsid w:val="50507683"/>
    <w:rsid w:val="5051105B"/>
    <w:rsid w:val="50562232"/>
    <w:rsid w:val="50583D9E"/>
    <w:rsid w:val="505948E3"/>
    <w:rsid w:val="505C355C"/>
    <w:rsid w:val="505C76D9"/>
    <w:rsid w:val="505D014C"/>
    <w:rsid w:val="50612832"/>
    <w:rsid w:val="5064435A"/>
    <w:rsid w:val="506C1659"/>
    <w:rsid w:val="506D39BB"/>
    <w:rsid w:val="506D7517"/>
    <w:rsid w:val="506E36EA"/>
    <w:rsid w:val="506F14E1"/>
    <w:rsid w:val="50704D5D"/>
    <w:rsid w:val="50720FD1"/>
    <w:rsid w:val="50730073"/>
    <w:rsid w:val="50741864"/>
    <w:rsid w:val="50755A57"/>
    <w:rsid w:val="507977C0"/>
    <w:rsid w:val="507B046A"/>
    <w:rsid w:val="507B60CF"/>
    <w:rsid w:val="507C01AF"/>
    <w:rsid w:val="507D4F4A"/>
    <w:rsid w:val="5080549C"/>
    <w:rsid w:val="50814E31"/>
    <w:rsid w:val="50835324"/>
    <w:rsid w:val="50841BB7"/>
    <w:rsid w:val="50855552"/>
    <w:rsid w:val="50875729"/>
    <w:rsid w:val="50896FA6"/>
    <w:rsid w:val="508D32EF"/>
    <w:rsid w:val="50966A6E"/>
    <w:rsid w:val="509B374F"/>
    <w:rsid w:val="509C1BAA"/>
    <w:rsid w:val="50A0169A"/>
    <w:rsid w:val="50A32F39"/>
    <w:rsid w:val="50A55C69"/>
    <w:rsid w:val="50A70C7B"/>
    <w:rsid w:val="50A81B62"/>
    <w:rsid w:val="50A866F6"/>
    <w:rsid w:val="50AA42C7"/>
    <w:rsid w:val="50AA6401"/>
    <w:rsid w:val="50AC430F"/>
    <w:rsid w:val="50AF1094"/>
    <w:rsid w:val="50B0470B"/>
    <w:rsid w:val="50B2610E"/>
    <w:rsid w:val="50B3698C"/>
    <w:rsid w:val="50B43398"/>
    <w:rsid w:val="50B83B8E"/>
    <w:rsid w:val="50B851CE"/>
    <w:rsid w:val="50BA0BE5"/>
    <w:rsid w:val="50BC224C"/>
    <w:rsid w:val="50C17863"/>
    <w:rsid w:val="50C35389"/>
    <w:rsid w:val="50C3797A"/>
    <w:rsid w:val="50C53825"/>
    <w:rsid w:val="50C874A7"/>
    <w:rsid w:val="50CA6229"/>
    <w:rsid w:val="50D70E34"/>
    <w:rsid w:val="50D94DC5"/>
    <w:rsid w:val="50E33C7D"/>
    <w:rsid w:val="50E70841"/>
    <w:rsid w:val="50E76465"/>
    <w:rsid w:val="50E960C0"/>
    <w:rsid w:val="50F5310A"/>
    <w:rsid w:val="50F83999"/>
    <w:rsid w:val="50FE6543"/>
    <w:rsid w:val="51065C9E"/>
    <w:rsid w:val="51095C3F"/>
    <w:rsid w:val="511205BD"/>
    <w:rsid w:val="511427D3"/>
    <w:rsid w:val="51165286"/>
    <w:rsid w:val="511A58F1"/>
    <w:rsid w:val="511D73EF"/>
    <w:rsid w:val="51211149"/>
    <w:rsid w:val="51216039"/>
    <w:rsid w:val="512978E2"/>
    <w:rsid w:val="512A18AC"/>
    <w:rsid w:val="512B0369"/>
    <w:rsid w:val="512B6237"/>
    <w:rsid w:val="512C5624"/>
    <w:rsid w:val="512F6EC2"/>
    <w:rsid w:val="513663DB"/>
    <w:rsid w:val="513833F9"/>
    <w:rsid w:val="51387735"/>
    <w:rsid w:val="5139377B"/>
    <w:rsid w:val="51396CBD"/>
    <w:rsid w:val="513B5867"/>
    <w:rsid w:val="513C54D2"/>
    <w:rsid w:val="513D15DF"/>
    <w:rsid w:val="513E19EC"/>
    <w:rsid w:val="51400CBB"/>
    <w:rsid w:val="514069D9"/>
    <w:rsid w:val="51410B71"/>
    <w:rsid w:val="51410F39"/>
    <w:rsid w:val="51452242"/>
    <w:rsid w:val="51453007"/>
    <w:rsid w:val="514C537E"/>
    <w:rsid w:val="515376B9"/>
    <w:rsid w:val="51556479"/>
    <w:rsid w:val="51564C64"/>
    <w:rsid w:val="51575083"/>
    <w:rsid w:val="515E4151"/>
    <w:rsid w:val="51621046"/>
    <w:rsid w:val="51622043"/>
    <w:rsid w:val="51630EC8"/>
    <w:rsid w:val="5163251D"/>
    <w:rsid w:val="5169052A"/>
    <w:rsid w:val="516C5A20"/>
    <w:rsid w:val="51703763"/>
    <w:rsid w:val="517224F3"/>
    <w:rsid w:val="517D2E0A"/>
    <w:rsid w:val="51800EE8"/>
    <w:rsid w:val="51810ACE"/>
    <w:rsid w:val="5181771E"/>
    <w:rsid w:val="51867E54"/>
    <w:rsid w:val="51881356"/>
    <w:rsid w:val="51883C9A"/>
    <w:rsid w:val="518C0F90"/>
    <w:rsid w:val="518D5141"/>
    <w:rsid w:val="518F170F"/>
    <w:rsid w:val="51952BC5"/>
    <w:rsid w:val="51954F77"/>
    <w:rsid w:val="519B6306"/>
    <w:rsid w:val="519E5909"/>
    <w:rsid w:val="519E78D2"/>
    <w:rsid w:val="519F2D2C"/>
    <w:rsid w:val="51A215D3"/>
    <w:rsid w:val="51A26F77"/>
    <w:rsid w:val="51A451BA"/>
    <w:rsid w:val="51A46F68"/>
    <w:rsid w:val="51A93B81"/>
    <w:rsid w:val="51B007CA"/>
    <w:rsid w:val="51B15B29"/>
    <w:rsid w:val="51B2723B"/>
    <w:rsid w:val="51B33EFA"/>
    <w:rsid w:val="51B37C8A"/>
    <w:rsid w:val="51B43FDF"/>
    <w:rsid w:val="51B573C7"/>
    <w:rsid w:val="51B71C82"/>
    <w:rsid w:val="51B74A13"/>
    <w:rsid w:val="51BD6D20"/>
    <w:rsid w:val="51C204C5"/>
    <w:rsid w:val="51C21086"/>
    <w:rsid w:val="51C71491"/>
    <w:rsid w:val="51C838E3"/>
    <w:rsid w:val="51C95B83"/>
    <w:rsid w:val="51CA025F"/>
    <w:rsid w:val="51CE3DE8"/>
    <w:rsid w:val="51CE5657"/>
    <w:rsid w:val="51D34090"/>
    <w:rsid w:val="51DE2EDE"/>
    <w:rsid w:val="51DE6B69"/>
    <w:rsid w:val="51DF28D6"/>
    <w:rsid w:val="51DF4444"/>
    <w:rsid w:val="51E043F4"/>
    <w:rsid w:val="51E27A91"/>
    <w:rsid w:val="51E5039F"/>
    <w:rsid w:val="51E50D09"/>
    <w:rsid w:val="51E732F9"/>
    <w:rsid w:val="51E83CDC"/>
    <w:rsid w:val="51E91768"/>
    <w:rsid w:val="51EC318F"/>
    <w:rsid w:val="51ED625C"/>
    <w:rsid w:val="51EE0B2B"/>
    <w:rsid w:val="51F003FF"/>
    <w:rsid w:val="51F11CA6"/>
    <w:rsid w:val="51F31B58"/>
    <w:rsid w:val="51F6029C"/>
    <w:rsid w:val="51F712B8"/>
    <w:rsid w:val="51F7602F"/>
    <w:rsid w:val="51FA7E28"/>
    <w:rsid w:val="51FC1B6B"/>
    <w:rsid w:val="51FD3F5E"/>
    <w:rsid w:val="51FF2114"/>
    <w:rsid w:val="52010037"/>
    <w:rsid w:val="520774F7"/>
    <w:rsid w:val="520806F5"/>
    <w:rsid w:val="520B0763"/>
    <w:rsid w:val="520B6D6E"/>
    <w:rsid w:val="520B73AA"/>
    <w:rsid w:val="52102850"/>
    <w:rsid w:val="521074C0"/>
    <w:rsid w:val="52157172"/>
    <w:rsid w:val="5217598C"/>
    <w:rsid w:val="521E4261"/>
    <w:rsid w:val="521F224C"/>
    <w:rsid w:val="5222097A"/>
    <w:rsid w:val="52263EE2"/>
    <w:rsid w:val="52264725"/>
    <w:rsid w:val="52265797"/>
    <w:rsid w:val="52280467"/>
    <w:rsid w:val="522B2D96"/>
    <w:rsid w:val="522E0F28"/>
    <w:rsid w:val="52316B3E"/>
    <w:rsid w:val="5233653E"/>
    <w:rsid w:val="5234712B"/>
    <w:rsid w:val="52352B08"/>
    <w:rsid w:val="52374280"/>
    <w:rsid w:val="523A1C55"/>
    <w:rsid w:val="523A6B31"/>
    <w:rsid w:val="523C3645"/>
    <w:rsid w:val="523F1387"/>
    <w:rsid w:val="523F3135"/>
    <w:rsid w:val="523F4825"/>
    <w:rsid w:val="52410C5B"/>
    <w:rsid w:val="5244074B"/>
    <w:rsid w:val="52442D54"/>
    <w:rsid w:val="52471B6A"/>
    <w:rsid w:val="52481D3D"/>
    <w:rsid w:val="524B1ADA"/>
    <w:rsid w:val="524B7D2C"/>
    <w:rsid w:val="524D2106"/>
    <w:rsid w:val="524E491B"/>
    <w:rsid w:val="524F15CA"/>
    <w:rsid w:val="52516D08"/>
    <w:rsid w:val="525210BA"/>
    <w:rsid w:val="525314BC"/>
    <w:rsid w:val="52597B47"/>
    <w:rsid w:val="526079A7"/>
    <w:rsid w:val="52612386"/>
    <w:rsid w:val="526233AE"/>
    <w:rsid w:val="52635075"/>
    <w:rsid w:val="526476CA"/>
    <w:rsid w:val="52674F43"/>
    <w:rsid w:val="52696164"/>
    <w:rsid w:val="526D3444"/>
    <w:rsid w:val="526D776F"/>
    <w:rsid w:val="526F3629"/>
    <w:rsid w:val="52714676"/>
    <w:rsid w:val="5276383A"/>
    <w:rsid w:val="52764FD4"/>
    <w:rsid w:val="52765707"/>
    <w:rsid w:val="527706FC"/>
    <w:rsid w:val="52783E71"/>
    <w:rsid w:val="527D14CC"/>
    <w:rsid w:val="527E0DBE"/>
    <w:rsid w:val="52824C4B"/>
    <w:rsid w:val="52834F24"/>
    <w:rsid w:val="52862B12"/>
    <w:rsid w:val="52881CAE"/>
    <w:rsid w:val="52882A51"/>
    <w:rsid w:val="528C16EB"/>
    <w:rsid w:val="528C614E"/>
    <w:rsid w:val="528E2150"/>
    <w:rsid w:val="528F2803"/>
    <w:rsid w:val="529209D9"/>
    <w:rsid w:val="5294522F"/>
    <w:rsid w:val="5295500F"/>
    <w:rsid w:val="52957497"/>
    <w:rsid w:val="529704A2"/>
    <w:rsid w:val="529855FD"/>
    <w:rsid w:val="529A4104"/>
    <w:rsid w:val="52A116FA"/>
    <w:rsid w:val="52A47C0E"/>
    <w:rsid w:val="52A6710E"/>
    <w:rsid w:val="52A80CDA"/>
    <w:rsid w:val="52A91DB3"/>
    <w:rsid w:val="52B14033"/>
    <w:rsid w:val="52B24C19"/>
    <w:rsid w:val="52BA5554"/>
    <w:rsid w:val="52BB083C"/>
    <w:rsid w:val="52BE04FE"/>
    <w:rsid w:val="52BE22AC"/>
    <w:rsid w:val="52C01350"/>
    <w:rsid w:val="52C14A1A"/>
    <w:rsid w:val="52C7304C"/>
    <w:rsid w:val="52C90449"/>
    <w:rsid w:val="52CC5E32"/>
    <w:rsid w:val="52CC76D1"/>
    <w:rsid w:val="52CF270B"/>
    <w:rsid w:val="52CF6267"/>
    <w:rsid w:val="52D6499F"/>
    <w:rsid w:val="52D65847"/>
    <w:rsid w:val="52D675F5"/>
    <w:rsid w:val="52D7511B"/>
    <w:rsid w:val="52D83D75"/>
    <w:rsid w:val="52D93A12"/>
    <w:rsid w:val="52DD0406"/>
    <w:rsid w:val="52E24E57"/>
    <w:rsid w:val="52E53CDC"/>
    <w:rsid w:val="52E75B7C"/>
    <w:rsid w:val="52EA30A1"/>
    <w:rsid w:val="52EA4FDB"/>
    <w:rsid w:val="52EC2116"/>
    <w:rsid w:val="52EE03C2"/>
    <w:rsid w:val="52F21A03"/>
    <w:rsid w:val="52F537F4"/>
    <w:rsid w:val="52F757BE"/>
    <w:rsid w:val="52FF004D"/>
    <w:rsid w:val="53005A6E"/>
    <w:rsid w:val="53053B16"/>
    <w:rsid w:val="53053D0D"/>
    <w:rsid w:val="53093E26"/>
    <w:rsid w:val="531050EF"/>
    <w:rsid w:val="53105DAE"/>
    <w:rsid w:val="53130849"/>
    <w:rsid w:val="53154F7C"/>
    <w:rsid w:val="53182FAD"/>
    <w:rsid w:val="53193BE6"/>
    <w:rsid w:val="53195C14"/>
    <w:rsid w:val="531B2E61"/>
    <w:rsid w:val="531D7790"/>
    <w:rsid w:val="531E532B"/>
    <w:rsid w:val="53203F72"/>
    <w:rsid w:val="53225DE2"/>
    <w:rsid w:val="53233749"/>
    <w:rsid w:val="5325232B"/>
    <w:rsid w:val="5329606B"/>
    <w:rsid w:val="532A7941"/>
    <w:rsid w:val="532C4CBB"/>
    <w:rsid w:val="532F74D8"/>
    <w:rsid w:val="53300549"/>
    <w:rsid w:val="53306416"/>
    <w:rsid w:val="53310CD0"/>
    <w:rsid w:val="53394028"/>
    <w:rsid w:val="5339492C"/>
    <w:rsid w:val="533B38FC"/>
    <w:rsid w:val="533E6F18"/>
    <w:rsid w:val="534053B7"/>
    <w:rsid w:val="53426A39"/>
    <w:rsid w:val="53426BBF"/>
    <w:rsid w:val="5346218D"/>
    <w:rsid w:val="534D53DE"/>
    <w:rsid w:val="534E0309"/>
    <w:rsid w:val="534E311E"/>
    <w:rsid w:val="534F2E9A"/>
    <w:rsid w:val="534F70CE"/>
    <w:rsid w:val="535126EC"/>
    <w:rsid w:val="5356226F"/>
    <w:rsid w:val="53564AF5"/>
    <w:rsid w:val="535A6478"/>
    <w:rsid w:val="535E13F9"/>
    <w:rsid w:val="535E3DA5"/>
    <w:rsid w:val="536912CC"/>
    <w:rsid w:val="53691933"/>
    <w:rsid w:val="536924F5"/>
    <w:rsid w:val="5373753A"/>
    <w:rsid w:val="53760DD8"/>
    <w:rsid w:val="537B1F4B"/>
    <w:rsid w:val="537C15C1"/>
    <w:rsid w:val="537E7FD9"/>
    <w:rsid w:val="53861684"/>
    <w:rsid w:val="53874193"/>
    <w:rsid w:val="538E2218"/>
    <w:rsid w:val="5392563E"/>
    <w:rsid w:val="53952289"/>
    <w:rsid w:val="53966D85"/>
    <w:rsid w:val="53987DB3"/>
    <w:rsid w:val="539B6029"/>
    <w:rsid w:val="539C4087"/>
    <w:rsid w:val="53A32676"/>
    <w:rsid w:val="53A5346C"/>
    <w:rsid w:val="53A53847"/>
    <w:rsid w:val="53AE2320"/>
    <w:rsid w:val="53B25E52"/>
    <w:rsid w:val="53B4516A"/>
    <w:rsid w:val="53BA6F17"/>
    <w:rsid w:val="53C02053"/>
    <w:rsid w:val="53C54664"/>
    <w:rsid w:val="53C61C25"/>
    <w:rsid w:val="53C658BC"/>
    <w:rsid w:val="53C66AC7"/>
    <w:rsid w:val="53C97D4B"/>
    <w:rsid w:val="53CB14A9"/>
    <w:rsid w:val="53CC50EF"/>
    <w:rsid w:val="53CF133C"/>
    <w:rsid w:val="53D241D3"/>
    <w:rsid w:val="53D3516F"/>
    <w:rsid w:val="53D729C9"/>
    <w:rsid w:val="53D76E73"/>
    <w:rsid w:val="53DB6E8D"/>
    <w:rsid w:val="53DB6F34"/>
    <w:rsid w:val="53E020D5"/>
    <w:rsid w:val="53E126F6"/>
    <w:rsid w:val="53E15070"/>
    <w:rsid w:val="53E150D9"/>
    <w:rsid w:val="53E421E6"/>
    <w:rsid w:val="53E45D42"/>
    <w:rsid w:val="53E64F60"/>
    <w:rsid w:val="53E82F40"/>
    <w:rsid w:val="53EC109A"/>
    <w:rsid w:val="53EC1857"/>
    <w:rsid w:val="53F01B21"/>
    <w:rsid w:val="53F55A4D"/>
    <w:rsid w:val="53F70FE3"/>
    <w:rsid w:val="53FA5969"/>
    <w:rsid w:val="5400361E"/>
    <w:rsid w:val="540168F4"/>
    <w:rsid w:val="54065CEC"/>
    <w:rsid w:val="540939FA"/>
    <w:rsid w:val="54095938"/>
    <w:rsid w:val="540B1521"/>
    <w:rsid w:val="540B7773"/>
    <w:rsid w:val="540C7047"/>
    <w:rsid w:val="540F762E"/>
    <w:rsid w:val="54125F78"/>
    <w:rsid w:val="54175EDF"/>
    <w:rsid w:val="54176117"/>
    <w:rsid w:val="54183C3E"/>
    <w:rsid w:val="541F4FCC"/>
    <w:rsid w:val="542021A5"/>
    <w:rsid w:val="54205F91"/>
    <w:rsid w:val="54240834"/>
    <w:rsid w:val="54263E20"/>
    <w:rsid w:val="54280B64"/>
    <w:rsid w:val="542B069A"/>
    <w:rsid w:val="542B3577"/>
    <w:rsid w:val="54330F82"/>
    <w:rsid w:val="54333F3D"/>
    <w:rsid w:val="543511B8"/>
    <w:rsid w:val="54352C91"/>
    <w:rsid w:val="543672DA"/>
    <w:rsid w:val="5438323B"/>
    <w:rsid w:val="543E3FE6"/>
    <w:rsid w:val="54414F42"/>
    <w:rsid w:val="54462559"/>
    <w:rsid w:val="54487F8F"/>
    <w:rsid w:val="544C4D8B"/>
    <w:rsid w:val="544C7E09"/>
    <w:rsid w:val="545033D7"/>
    <w:rsid w:val="54534C76"/>
    <w:rsid w:val="54570AFD"/>
    <w:rsid w:val="545A462C"/>
    <w:rsid w:val="545A7086"/>
    <w:rsid w:val="546106DE"/>
    <w:rsid w:val="546926EB"/>
    <w:rsid w:val="546935EB"/>
    <w:rsid w:val="54694499"/>
    <w:rsid w:val="546C5D7F"/>
    <w:rsid w:val="546D1ABE"/>
    <w:rsid w:val="546D21DB"/>
    <w:rsid w:val="546E011D"/>
    <w:rsid w:val="546E47F5"/>
    <w:rsid w:val="546F5CF7"/>
    <w:rsid w:val="54704386"/>
    <w:rsid w:val="54745318"/>
    <w:rsid w:val="547524D4"/>
    <w:rsid w:val="54754BEC"/>
    <w:rsid w:val="547831AD"/>
    <w:rsid w:val="547A0358"/>
    <w:rsid w:val="547A52F1"/>
    <w:rsid w:val="547D3EC6"/>
    <w:rsid w:val="547E1797"/>
    <w:rsid w:val="547F1F0F"/>
    <w:rsid w:val="548337C0"/>
    <w:rsid w:val="54834A12"/>
    <w:rsid w:val="54853CAF"/>
    <w:rsid w:val="54877DC4"/>
    <w:rsid w:val="548A79DA"/>
    <w:rsid w:val="548B1262"/>
    <w:rsid w:val="548D1E9D"/>
    <w:rsid w:val="548E2032"/>
    <w:rsid w:val="54914D2D"/>
    <w:rsid w:val="54920EE8"/>
    <w:rsid w:val="5493440E"/>
    <w:rsid w:val="54956660"/>
    <w:rsid w:val="54963DA0"/>
    <w:rsid w:val="54965DA4"/>
    <w:rsid w:val="549A4653"/>
    <w:rsid w:val="54A133DF"/>
    <w:rsid w:val="54A31759"/>
    <w:rsid w:val="54A43723"/>
    <w:rsid w:val="54A71D29"/>
    <w:rsid w:val="54A743C9"/>
    <w:rsid w:val="54AB62C7"/>
    <w:rsid w:val="54AD1579"/>
    <w:rsid w:val="54AD78EA"/>
    <w:rsid w:val="54AE6D43"/>
    <w:rsid w:val="54AF757F"/>
    <w:rsid w:val="54B042CB"/>
    <w:rsid w:val="54B1518C"/>
    <w:rsid w:val="54B24092"/>
    <w:rsid w:val="54B4022F"/>
    <w:rsid w:val="54B43966"/>
    <w:rsid w:val="54B47C57"/>
    <w:rsid w:val="54B6421E"/>
    <w:rsid w:val="54B75204"/>
    <w:rsid w:val="54B95421"/>
    <w:rsid w:val="54BA11FF"/>
    <w:rsid w:val="54BA6E1F"/>
    <w:rsid w:val="54BB2F47"/>
    <w:rsid w:val="54BE28F8"/>
    <w:rsid w:val="54BF68DB"/>
    <w:rsid w:val="54C17112"/>
    <w:rsid w:val="54C227E0"/>
    <w:rsid w:val="54C33BA9"/>
    <w:rsid w:val="54C51334"/>
    <w:rsid w:val="54C64427"/>
    <w:rsid w:val="54C94F38"/>
    <w:rsid w:val="54D315C4"/>
    <w:rsid w:val="54D43BFA"/>
    <w:rsid w:val="54D6053B"/>
    <w:rsid w:val="54D66671"/>
    <w:rsid w:val="54D67D81"/>
    <w:rsid w:val="54DC4C6B"/>
    <w:rsid w:val="54DC6E47"/>
    <w:rsid w:val="54DE52B3"/>
    <w:rsid w:val="54DF320D"/>
    <w:rsid w:val="54E2227B"/>
    <w:rsid w:val="54E30ACD"/>
    <w:rsid w:val="54E51D72"/>
    <w:rsid w:val="54E80C2F"/>
    <w:rsid w:val="54E912B3"/>
    <w:rsid w:val="54EF259B"/>
    <w:rsid w:val="54EF5661"/>
    <w:rsid w:val="54EF5F63"/>
    <w:rsid w:val="54F10143"/>
    <w:rsid w:val="54F1212A"/>
    <w:rsid w:val="54F2041B"/>
    <w:rsid w:val="54F23117"/>
    <w:rsid w:val="54F35804"/>
    <w:rsid w:val="54F41FB5"/>
    <w:rsid w:val="54F77CF7"/>
    <w:rsid w:val="54F86535"/>
    <w:rsid w:val="54F902BD"/>
    <w:rsid w:val="54F975CB"/>
    <w:rsid w:val="54FD69B2"/>
    <w:rsid w:val="55002762"/>
    <w:rsid w:val="55022203"/>
    <w:rsid w:val="55024AE0"/>
    <w:rsid w:val="550265A3"/>
    <w:rsid w:val="55084AEA"/>
    <w:rsid w:val="550979AB"/>
    <w:rsid w:val="55097E56"/>
    <w:rsid w:val="550A5C7C"/>
    <w:rsid w:val="550E48DE"/>
    <w:rsid w:val="550F63D1"/>
    <w:rsid w:val="55113D63"/>
    <w:rsid w:val="5511469E"/>
    <w:rsid w:val="55114C5C"/>
    <w:rsid w:val="55124B31"/>
    <w:rsid w:val="55130130"/>
    <w:rsid w:val="55154190"/>
    <w:rsid w:val="55172147"/>
    <w:rsid w:val="55182ABF"/>
    <w:rsid w:val="551B65FD"/>
    <w:rsid w:val="55253805"/>
    <w:rsid w:val="55260B40"/>
    <w:rsid w:val="552A59D6"/>
    <w:rsid w:val="552F06BE"/>
    <w:rsid w:val="552F0B5C"/>
    <w:rsid w:val="55325A37"/>
    <w:rsid w:val="55371493"/>
    <w:rsid w:val="55371A2E"/>
    <w:rsid w:val="553D1E59"/>
    <w:rsid w:val="553D637D"/>
    <w:rsid w:val="553E5530"/>
    <w:rsid w:val="553F3C63"/>
    <w:rsid w:val="553F4D49"/>
    <w:rsid w:val="55402455"/>
    <w:rsid w:val="55410F0D"/>
    <w:rsid w:val="554476D3"/>
    <w:rsid w:val="55452F19"/>
    <w:rsid w:val="55455BF6"/>
    <w:rsid w:val="55480552"/>
    <w:rsid w:val="55482ADB"/>
    <w:rsid w:val="55540CA5"/>
    <w:rsid w:val="55545183"/>
    <w:rsid w:val="555604F2"/>
    <w:rsid w:val="555D3FFE"/>
    <w:rsid w:val="555E06D4"/>
    <w:rsid w:val="556163B5"/>
    <w:rsid w:val="556D1D67"/>
    <w:rsid w:val="556D4C19"/>
    <w:rsid w:val="556F5ADF"/>
    <w:rsid w:val="556F7686"/>
    <w:rsid w:val="557115AC"/>
    <w:rsid w:val="557355CF"/>
    <w:rsid w:val="557747EE"/>
    <w:rsid w:val="557943A5"/>
    <w:rsid w:val="557E54D7"/>
    <w:rsid w:val="55827588"/>
    <w:rsid w:val="55833339"/>
    <w:rsid w:val="55835045"/>
    <w:rsid w:val="55855303"/>
    <w:rsid w:val="558C490B"/>
    <w:rsid w:val="558F09D2"/>
    <w:rsid w:val="55920CCF"/>
    <w:rsid w:val="55937A20"/>
    <w:rsid w:val="55945546"/>
    <w:rsid w:val="55957201"/>
    <w:rsid w:val="559612BE"/>
    <w:rsid w:val="5596306C"/>
    <w:rsid w:val="55970198"/>
    <w:rsid w:val="55971D20"/>
    <w:rsid w:val="559A5CA9"/>
    <w:rsid w:val="559C6EE0"/>
    <w:rsid w:val="559D301D"/>
    <w:rsid w:val="559D6D26"/>
    <w:rsid w:val="559E2662"/>
    <w:rsid w:val="559F1B3B"/>
    <w:rsid w:val="55A57E73"/>
    <w:rsid w:val="55A6040A"/>
    <w:rsid w:val="55AA02F5"/>
    <w:rsid w:val="55AA6BD7"/>
    <w:rsid w:val="55AC0F0B"/>
    <w:rsid w:val="55AF05D2"/>
    <w:rsid w:val="55AF565C"/>
    <w:rsid w:val="55B14516"/>
    <w:rsid w:val="55C44CFF"/>
    <w:rsid w:val="55C46700"/>
    <w:rsid w:val="55CA0F67"/>
    <w:rsid w:val="55CB3683"/>
    <w:rsid w:val="55CC3F76"/>
    <w:rsid w:val="55CF47D0"/>
    <w:rsid w:val="55D27455"/>
    <w:rsid w:val="55D3496E"/>
    <w:rsid w:val="55DA0456"/>
    <w:rsid w:val="55DB1802"/>
    <w:rsid w:val="55DB3175"/>
    <w:rsid w:val="55E23B87"/>
    <w:rsid w:val="55E50A19"/>
    <w:rsid w:val="55E93AE3"/>
    <w:rsid w:val="55EA70C8"/>
    <w:rsid w:val="55F01DD8"/>
    <w:rsid w:val="55F07611"/>
    <w:rsid w:val="55F348E9"/>
    <w:rsid w:val="55F34C1E"/>
    <w:rsid w:val="55F65332"/>
    <w:rsid w:val="55F935FB"/>
    <w:rsid w:val="55FA081A"/>
    <w:rsid w:val="55FC242E"/>
    <w:rsid w:val="55FD30EB"/>
    <w:rsid w:val="55FE163A"/>
    <w:rsid w:val="55FF50B5"/>
    <w:rsid w:val="56016381"/>
    <w:rsid w:val="56035998"/>
    <w:rsid w:val="560439A2"/>
    <w:rsid w:val="56076315"/>
    <w:rsid w:val="560A2BB2"/>
    <w:rsid w:val="56121EB3"/>
    <w:rsid w:val="5613290E"/>
    <w:rsid w:val="561870C5"/>
    <w:rsid w:val="561A1EEF"/>
    <w:rsid w:val="56237980"/>
    <w:rsid w:val="56292132"/>
    <w:rsid w:val="562B092C"/>
    <w:rsid w:val="562E14F6"/>
    <w:rsid w:val="562E7748"/>
    <w:rsid w:val="562F4523"/>
    <w:rsid w:val="56300F2A"/>
    <w:rsid w:val="563329F1"/>
    <w:rsid w:val="56336B0D"/>
    <w:rsid w:val="56344E50"/>
    <w:rsid w:val="56352885"/>
    <w:rsid w:val="56384D84"/>
    <w:rsid w:val="563B08DF"/>
    <w:rsid w:val="563B55EC"/>
    <w:rsid w:val="563E58EF"/>
    <w:rsid w:val="56446F6C"/>
    <w:rsid w:val="5647080A"/>
    <w:rsid w:val="564760B2"/>
    <w:rsid w:val="56483EF9"/>
    <w:rsid w:val="56491403"/>
    <w:rsid w:val="564B32F4"/>
    <w:rsid w:val="564D4072"/>
    <w:rsid w:val="5651119B"/>
    <w:rsid w:val="565C15FA"/>
    <w:rsid w:val="565D3B8A"/>
    <w:rsid w:val="56617B1E"/>
    <w:rsid w:val="56625680"/>
    <w:rsid w:val="56632316"/>
    <w:rsid w:val="566363D6"/>
    <w:rsid w:val="566847A1"/>
    <w:rsid w:val="5669176D"/>
    <w:rsid w:val="566B56EB"/>
    <w:rsid w:val="566B743F"/>
    <w:rsid w:val="567009A0"/>
    <w:rsid w:val="56753C8D"/>
    <w:rsid w:val="56762305"/>
    <w:rsid w:val="567A5D59"/>
    <w:rsid w:val="567A6FD2"/>
    <w:rsid w:val="568104EF"/>
    <w:rsid w:val="56811F6E"/>
    <w:rsid w:val="56851B83"/>
    <w:rsid w:val="568B06F7"/>
    <w:rsid w:val="568D7467"/>
    <w:rsid w:val="568F066A"/>
    <w:rsid w:val="568F6454"/>
    <w:rsid w:val="56920DDE"/>
    <w:rsid w:val="569277E8"/>
    <w:rsid w:val="56951575"/>
    <w:rsid w:val="56951647"/>
    <w:rsid w:val="56966AFF"/>
    <w:rsid w:val="56970914"/>
    <w:rsid w:val="5697353F"/>
    <w:rsid w:val="56991B10"/>
    <w:rsid w:val="569C3F31"/>
    <w:rsid w:val="569E667C"/>
    <w:rsid w:val="56A9637A"/>
    <w:rsid w:val="56AC737C"/>
    <w:rsid w:val="56AD68BF"/>
    <w:rsid w:val="56AE2780"/>
    <w:rsid w:val="56AE653C"/>
    <w:rsid w:val="56B40C1F"/>
    <w:rsid w:val="56B5042A"/>
    <w:rsid w:val="56C1680E"/>
    <w:rsid w:val="56C347E8"/>
    <w:rsid w:val="56C360E3"/>
    <w:rsid w:val="56C634EA"/>
    <w:rsid w:val="56CA1CA8"/>
    <w:rsid w:val="56CD0D0F"/>
    <w:rsid w:val="56CE4A87"/>
    <w:rsid w:val="56D226C4"/>
    <w:rsid w:val="56D229D1"/>
    <w:rsid w:val="56D57BC4"/>
    <w:rsid w:val="56D76331"/>
    <w:rsid w:val="56D85B8A"/>
    <w:rsid w:val="56D860A3"/>
    <w:rsid w:val="56DC4043"/>
    <w:rsid w:val="56DC5662"/>
    <w:rsid w:val="56E04A90"/>
    <w:rsid w:val="56E11927"/>
    <w:rsid w:val="56E32A1D"/>
    <w:rsid w:val="56E47444"/>
    <w:rsid w:val="56E524FD"/>
    <w:rsid w:val="56E71EC2"/>
    <w:rsid w:val="56E878F7"/>
    <w:rsid w:val="56EA5611"/>
    <w:rsid w:val="56ED2C4C"/>
    <w:rsid w:val="56EF5668"/>
    <w:rsid w:val="56F0190A"/>
    <w:rsid w:val="56F04CB9"/>
    <w:rsid w:val="56F26B86"/>
    <w:rsid w:val="56F706AE"/>
    <w:rsid w:val="56F752AB"/>
    <w:rsid w:val="56F919E5"/>
    <w:rsid w:val="56FA26AA"/>
    <w:rsid w:val="56FC7846"/>
    <w:rsid w:val="56FE32DB"/>
    <w:rsid w:val="570046B2"/>
    <w:rsid w:val="57037347"/>
    <w:rsid w:val="57037C29"/>
    <w:rsid w:val="57045951"/>
    <w:rsid w:val="57052050"/>
    <w:rsid w:val="57076C37"/>
    <w:rsid w:val="57081581"/>
    <w:rsid w:val="570B199B"/>
    <w:rsid w:val="570D3802"/>
    <w:rsid w:val="57105851"/>
    <w:rsid w:val="571100C3"/>
    <w:rsid w:val="571132F2"/>
    <w:rsid w:val="5714693E"/>
    <w:rsid w:val="57152D23"/>
    <w:rsid w:val="57154464"/>
    <w:rsid w:val="57160908"/>
    <w:rsid w:val="57191A00"/>
    <w:rsid w:val="571C7B48"/>
    <w:rsid w:val="571F0C30"/>
    <w:rsid w:val="57201787"/>
    <w:rsid w:val="57204FA9"/>
    <w:rsid w:val="57206913"/>
    <w:rsid w:val="5728063B"/>
    <w:rsid w:val="572D34AE"/>
    <w:rsid w:val="573214BA"/>
    <w:rsid w:val="57322D7F"/>
    <w:rsid w:val="57327464"/>
    <w:rsid w:val="57396ECA"/>
    <w:rsid w:val="573B2778"/>
    <w:rsid w:val="57407733"/>
    <w:rsid w:val="574148B8"/>
    <w:rsid w:val="574879CF"/>
    <w:rsid w:val="574952D1"/>
    <w:rsid w:val="57497DF5"/>
    <w:rsid w:val="574A6593"/>
    <w:rsid w:val="574C05C4"/>
    <w:rsid w:val="574D1084"/>
    <w:rsid w:val="57516EF7"/>
    <w:rsid w:val="575265BF"/>
    <w:rsid w:val="57544F8D"/>
    <w:rsid w:val="57566F57"/>
    <w:rsid w:val="575A70FC"/>
    <w:rsid w:val="576074E4"/>
    <w:rsid w:val="57634084"/>
    <w:rsid w:val="57660CB1"/>
    <w:rsid w:val="57682C5C"/>
    <w:rsid w:val="57686C8A"/>
    <w:rsid w:val="576F1DC6"/>
    <w:rsid w:val="576F626A"/>
    <w:rsid w:val="5770515B"/>
    <w:rsid w:val="577473DD"/>
    <w:rsid w:val="57765C4C"/>
    <w:rsid w:val="57766BFB"/>
    <w:rsid w:val="577671FB"/>
    <w:rsid w:val="57794FE0"/>
    <w:rsid w:val="577B4C0F"/>
    <w:rsid w:val="577C2E20"/>
    <w:rsid w:val="577C5427"/>
    <w:rsid w:val="577D2735"/>
    <w:rsid w:val="57812AC9"/>
    <w:rsid w:val="57815251"/>
    <w:rsid w:val="57836066"/>
    <w:rsid w:val="57846D8C"/>
    <w:rsid w:val="5785783C"/>
    <w:rsid w:val="57877110"/>
    <w:rsid w:val="57884788"/>
    <w:rsid w:val="578C0BCA"/>
    <w:rsid w:val="578C2978"/>
    <w:rsid w:val="57914433"/>
    <w:rsid w:val="5794159A"/>
    <w:rsid w:val="57976C6F"/>
    <w:rsid w:val="5798745C"/>
    <w:rsid w:val="579A38F2"/>
    <w:rsid w:val="579E2EE3"/>
    <w:rsid w:val="579E7AF2"/>
    <w:rsid w:val="57A06E5D"/>
    <w:rsid w:val="57A44166"/>
    <w:rsid w:val="57A82ED1"/>
    <w:rsid w:val="57A852D8"/>
    <w:rsid w:val="57AA6F52"/>
    <w:rsid w:val="57AC661C"/>
    <w:rsid w:val="57AD122A"/>
    <w:rsid w:val="57AD2295"/>
    <w:rsid w:val="57AF48B9"/>
    <w:rsid w:val="57B020D0"/>
    <w:rsid w:val="57B24E60"/>
    <w:rsid w:val="57B71519"/>
    <w:rsid w:val="57B86CDB"/>
    <w:rsid w:val="57B91DA5"/>
    <w:rsid w:val="57BA2602"/>
    <w:rsid w:val="57BC6716"/>
    <w:rsid w:val="57BE3D95"/>
    <w:rsid w:val="57C06AC6"/>
    <w:rsid w:val="57C245EC"/>
    <w:rsid w:val="57C2639A"/>
    <w:rsid w:val="57C35F98"/>
    <w:rsid w:val="57C54C06"/>
    <w:rsid w:val="57CA34A1"/>
    <w:rsid w:val="57CB373A"/>
    <w:rsid w:val="57CC0FC7"/>
    <w:rsid w:val="57CC546B"/>
    <w:rsid w:val="57D12A64"/>
    <w:rsid w:val="57D1478D"/>
    <w:rsid w:val="57D24779"/>
    <w:rsid w:val="57D305A7"/>
    <w:rsid w:val="57D32A11"/>
    <w:rsid w:val="57D52571"/>
    <w:rsid w:val="57D80E3F"/>
    <w:rsid w:val="57D8796C"/>
    <w:rsid w:val="57DA1E7E"/>
    <w:rsid w:val="57DB3900"/>
    <w:rsid w:val="57DB745C"/>
    <w:rsid w:val="57E26A3C"/>
    <w:rsid w:val="57E837D2"/>
    <w:rsid w:val="57E96277"/>
    <w:rsid w:val="57EA769F"/>
    <w:rsid w:val="57EB172B"/>
    <w:rsid w:val="57EE53E1"/>
    <w:rsid w:val="57EF2D2E"/>
    <w:rsid w:val="57EF5E2B"/>
    <w:rsid w:val="57F0691A"/>
    <w:rsid w:val="57F40292"/>
    <w:rsid w:val="57F4051E"/>
    <w:rsid w:val="57F624E8"/>
    <w:rsid w:val="57F81DBC"/>
    <w:rsid w:val="57F9479F"/>
    <w:rsid w:val="57FA3D86"/>
    <w:rsid w:val="58024877"/>
    <w:rsid w:val="580276A5"/>
    <w:rsid w:val="58062A08"/>
    <w:rsid w:val="58075BF2"/>
    <w:rsid w:val="5809221B"/>
    <w:rsid w:val="580A7D41"/>
    <w:rsid w:val="580B5F93"/>
    <w:rsid w:val="580C1D0B"/>
    <w:rsid w:val="580F1057"/>
    <w:rsid w:val="58102B5B"/>
    <w:rsid w:val="58122B18"/>
    <w:rsid w:val="581667FF"/>
    <w:rsid w:val="5818245E"/>
    <w:rsid w:val="581B7ADB"/>
    <w:rsid w:val="581C2DA2"/>
    <w:rsid w:val="581F12B3"/>
    <w:rsid w:val="581F3C8C"/>
    <w:rsid w:val="58223AE0"/>
    <w:rsid w:val="58253466"/>
    <w:rsid w:val="58270DB6"/>
    <w:rsid w:val="58272449"/>
    <w:rsid w:val="58357E05"/>
    <w:rsid w:val="58366D88"/>
    <w:rsid w:val="583A23D4"/>
    <w:rsid w:val="583A5806"/>
    <w:rsid w:val="583B614D"/>
    <w:rsid w:val="583C666D"/>
    <w:rsid w:val="583D120E"/>
    <w:rsid w:val="583D6CDD"/>
    <w:rsid w:val="583D7329"/>
    <w:rsid w:val="58404799"/>
    <w:rsid w:val="58483963"/>
    <w:rsid w:val="584A0F2F"/>
    <w:rsid w:val="584A30B0"/>
    <w:rsid w:val="584C1B15"/>
    <w:rsid w:val="584F2DA0"/>
    <w:rsid w:val="585131E6"/>
    <w:rsid w:val="58533AED"/>
    <w:rsid w:val="585B234B"/>
    <w:rsid w:val="585D0C27"/>
    <w:rsid w:val="585D4166"/>
    <w:rsid w:val="585E1DAA"/>
    <w:rsid w:val="58613E05"/>
    <w:rsid w:val="58637017"/>
    <w:rsid w:val="58637C97"/>
    <w:rsid w:val="58652558"/>
    <w:rsid w:val="5866766D"/>
    <w:rsid w:val="586B6CA8"/>
    <w:rsid w:val="58730A74"/>
    <w:rsid w:val="58752858"/>
    <w:rsid w:val="587A0A23"/>
    <w:rsid w:val="58810003"/>
    <w:rsid w:val="58811218"/>
    <w:rsid w:val="58845D45"/>
    <w:rsid w:val="588505A7"/>
    <w:rsid w:val="588C6621"/>
    <w:rsid w:val="5890016E"/>
    <w:rsid w:val="58935B67"/>
    <w:rsid w:val="58937D37"/>
    <w:rsid w:val="5895218A"/>
    <w:rsid w:val="58975A79"/>
    <w:rsid w:val="58977827"/>
    <w:rsid w:val="589870FB"/>
    <w:rsid w:val="589939CD"/>
    <w:rsid w:val="589A3F2C"/>
    <w:rsid w:val="58A106A5"/>
    <w:rsid w:val="58A17DC9"/>
    <w:rsid w:val="58A27F7A"/>
    <w:rsid w:val="58A36703"/>
    <w:rsid w:val="58A837E2"/>
    <w:rsid w:val="58AA5207"/>
    <w:rsid w:val="58AC2BA6"/>
    <w:rsid w:val="58AC7A82"/>
    <w:rsid w:val="58AE74DA"/>
    <w:rsid w:val="58B001F9"/>
    <w:rsid w:val="58B06B3A"/>
    <w:rsid w:val="58B54151"/>
    <w:rsid w:val="58B73C18"/>
    <w:rsid w:val="58B978CB"/>
    <w:rsid w:val="58BC3A8F"/>
    <w:rsid w:val="58BE3005"/>
    <w:rsid w:val="58BF15E9"/>
    <w:rsid w:val="58C319FE"/>
    <w:rsid w:val="58C45381"/>
    <w:rsid w:val="58C54FCD"/>
    <w:rsid w:val="58C825A0"/>
    <w:rsid w:val="58C94A90"/>
    <w:rsid w:val="58C94DE9"/>
    <w:rsid w:val="58CB5722"/>
    <w:rsid w:val="58CF2EBE"/>
    <w:rsid w:val="58D04AE7"/>
    <w:rsid w:val="58D34E52"/>
    <w:rsid w:val="58D9787E"/>
    <w:rsid w:val="58E00F99"/>
    <w:rsid w:val="58E10F36"/>
    <w:rsid w:val="58E56FAC"/>
    <w:rsid w:val="58E73667"/>
    <w:rsid w:val="58EC5D3C"/>
    <w:rsid w:val="58ED0B01"/>
    <w:rsid w:val="58EE31BF"/>
    <w:rsid w:val="58EE4857"/>
    <w:rsid w:val="58EF37CF"/>
    <w:rsid w:val="58EF535C"/>
    <w:rsid w:val="58F346A1"/>
    <w:rsid w:val="58F46A27"/>
    <w:rsid w:val="58F47773"/>
    <w:rsid w:val="58F509F1"/>
    <w:rsid w:val="58F702C5"/>
    <w:rsid w:val="58F80111"/>
    <w:rsid w:val="58F928DB"/>
    <w:rsid w:val="58FA1F94"/>
    <w:rsid w:val="58FA2064"/>
    <w:rsid w:val="58FA7946"/>
    <w:rsid w:val="58FB12F4"/>
    <w:rsid w:val="58FC1D80"/>
    <w:rsid w:val="590040F1"/>
    <w:rsid w:val="59036C6A"/>
    <w:rsid w:val="59043878"/>
    <w:rsid w:val="59060509"/>
    <w:rsid w:val="5907412F"/>
    <w:rsid w:val="590D5EE8"/>
    <w:rsid w:val="590E560F"/>
    <w:rsid w:val="591075D9"/>
    <w:rsid w:val="591A24CC"/>
    <w:rsid w:val="591E3AA4"/>
    <w:rsid w:val="591E4D6B"/>
    <w:rsid w:val="591E61AC"/>
    <w:rsid w:val="591F233E"/>
    <w:rsid w:val="592045F5"/>
    <w:rsid w:val="5922006D"/>
    <w:rsid w:val="59222C2F"/>
    <w:rsid w:val="59263334"/>
    <w:rsid w:val="59284923"/>
    <w:rsid w:val="59295427"/>
    <w:rsid w:val="592C090B"/>
    <w:rsid w:val="592F36B6"/>
    <w:rsid w:val="59320EE4"/>
    <w:rsid w:val="59333E87"/>
    <w:rsid w:val="593357EB"/>
    <w:rsid w:val="59352755"/>
    <w:rsid w:val="593947E3"/>
    <w:rsid w:val="593A4598"/>
    <w:rsid w:val="593B4004"/>
    <w:rsid w:val="593D143C"/>
    <w:rsid w:val="593F3A1A"/>
    <w:rsid w:val="59444EC0"/>
    <w:rsid w:val="5947415A"/>
    <w:rsid w:val="594C0DB9"/>
    <w:rsid w:val="594D450C"/>
    <w:rsid w:val="595003F6"/>
    <w:rsid w:val="59561FE9"/>
    <w:rsid w:val="59566F74"/>
    <w:rsid w:val="595A7CD7"/>
    <w:rsid w:val="595B79AC"/>
    <w:rsid w:val="595C45CC"/>
    <w:rsid w:val="595C7B76"/>
    <w:rsid w:val="595F7F75"/>
    <w:rsid w:val="596274D2"/>
    <w:rsid w:val="59641949"/>
    <w:rsid w:val="59642F62"/>
    <w:rsid w:val="596A0A97"/>
    <w:rsid w:val="596A140C"/>
    <w:rsid w:val="596E60EC"/>
    <w:rsid w:val="596F2552"/>
    <w:rsid w:val="596F60AE"/>
    <w:rsid w:val="59715CD0"/>
    <w:rsid w:val="597B0D1F"/>
    <w:rsid w:val="597C07CB"/>
    <w:rsid w:val="5980475F"/>
    <w:rsid w:val="5981515B"/>
    <w:rsid w:val="59815DE1"/>
    <w:rsid w:val="5983147C"/>
    <w:rsid w:val="5983761E"/>
    <w:rsid w:val="598453B0"/>
    <w:rsid w:val="598558D1"/>
    <w:rsid w:val="59861649"/>
    <w:rsid w:val="59870F98"/>
    <w:rsid w:val="598A5412"/>
    <w:rsid w:val="598B4E36"/>
    <w:rsid w:val="598E4111"/>
    <w:rsid w:val="59946511"/>
    <w:rsid w:val="5995090B"/>
    <w:rsid w:val="59971C6D"/>
    <w:rsid w:val="59994DBA"/>
    <w:rsid w:val="59997F3C"/>
    <w:rsid w:val="599B0D47"/>
    <w:rsid w:val="599B46D7"/>
    <w:rsid w:val="59A07329"/>
    <w:rsid w:val="59A56C56"/>
    <w:rsid w:val="59A65B29"/>
    <w:rsid w:val="59AF605E"/>
    <w:rsid w:val="59B625A5"/>
    <w:rsid w:val="59B874F0"/>
    <w:rsid w:val="59B9557B"/>
    <w:rsid w:val="59BB5797"/>
    <w:rsid w:val="59BC4AE8"/>
    <w:rsid w:val="59BD150F"/>
    <w:rsid w:val="59C416EA"/>
    <w:rsid w:val="59C7413C"/>
    <w:rsid w:val="59C77C52"/>
    <w:rsid w:val="59C87211"/>
    <w:rsid w:val="59CA59DA"/>
    <w:rsid w:val="59CC2FFD"/>
    <w:rsid w:val="59D70A8B"/>
    <w:rsid w:val="59D81EA5"/>
    <w:rsid w:val="59D830CD"/>
    <w:rsid w:val="59DC2A13"/>
    <w:rsid w:val="59E01C2D"/>
    <w:rsid w:val="59E52B65"/>
    <w:rsid w:val="59E62395"/>
    <w:rsid w:val="59EB3691"/>
    <w:rsid w:val="59EF71EF"/>
    <w:rsid w:val="59F91B3E"/>
    <w:rsid w:val="59FC6029"/>
    <w:rsid w:val="59FC642F"/>
    <w:rsid w:val="59FE5684"/>
    <w:rsid w:val="59FF57B4"/>
    <w:rsid w:val="5A012CB6"/>
    <w:rsid w:val="5A044F70"/>
    <w:rsid w:val="5A0566EE"/>
    <w:rsid w:val="5A0802B0"/>
    <w:rsid w:val="5A0A008F"/>
    <w:rsid w:val="5A0C1B4F"/>
    <w:rsid w:val="5A0D1CF3"/>
    <w:rsid w:val="5A0F7891"/>
    <w:rsid w:val="5A105077"/>
    <w:rsid w:val="5A132EDD"/>
    <w:rsid w:val="5A135DD3"/>
    <w:rsid w:val="5A1629CD"/>
    <w:rsid w:val="5A1667A4"/>
    <w:rsid w:val="5A1A164E"/>
    <w:rsid w:val="5A1B7FE4"/>
    <w:rsid w:val="5A1D7FB0"/>
    <w:rsid w:val="5A221372"/>
    <w:rsid w:val="5A2314FB"/>
    <w:rsid w:val="5A250154"/>
    <w:rsid w:val="5A275559"/>
    <w:rsid w:val="5A2A5C43"/>
    <w:rsid w:val="5A2C21F1"/>
    <w:rsid w:val="5A2C5EFC"/>
    <w:rsid w:val="5A2E0476"/>
    <w:rsid w:val="5A2E0E59"/>
    <w:rsid w:val="5A2F1CE1"/>
    <w:rsid w:val="5A300A8A"/>
    <w:rsid w:val="5A315A59"/>
    <w:rsid w:val="5A3522CD"/>
    <w:rsid w:val="5A3530DC"/>
    <w:rsid w:val="5A354E0B"/>
    <w:rsid w:val="5A3822B8"/>
    <w:rsid w:val="5A395C01"/>
    <w:rsid w:val="5A3A490E"/>
    <w:rsid w:val="5A3C41D9"/>
    <w:rsid w:val="5A3C4CE4"/>
    <w:rsid w:val="5A3E2A82"/>
    <w:rsid w:val="5A3E53BB"/>
    <w:rsid w:val="5A3F2E62"/>
    <w:rsid w:val="5A4240B6"/>
    <w:rsid w:val="5A425850"/>
    <w:rsid w:val="5A456470"/>
    <w:rsid w:val="5A47702B"/>
    <w:rsid w:val="5A4861B3"/>
    <w:rsid w:val="5A4968FF"/>
    <w:rsid w:val="5A4977B6"/>
    <w:rsid w:val="5A4E0C83"/>
    <w:rsid w:val="5A4E2167"/>
    <w:rsid w:val="5A4E4978"/>
    <w:rsid w:val="5A503136"/>
    <w:rsid w:val="5A543C1B"/>
    <w:rsid w:val="5A563EE6"/>
    <w:rsid w:val="5A5710A9"/>
    <w:rsid w:val="5A573B18"/>
    <w:rsid w:val="5A5B3055"/>
    <w:rsid w:val="5A5D05FC"/>
    <w:rsid w:val="5A5F4374"/>
    <w:rsid w:val="5A603A55"/>
    <w:rsid w:val="5A6159BD"/>
    <w:rsid w:val="5A623E64"/>
    <w:rsid w:val="5A690D4F"/>
    <w:rsid w:val="5A6B3A0D"/>
    <w:rsid w:val="5A6C5756"/>
    <w:rsid w:val="5A6E3292"/>
    <w:rsid w:val="5A6E34A8"/>
    <w:rsid w:val="5A70032F"/>
    <w:rsid w:val="5A705F4B"/>
    <w:rsid w:val="5A746DF2"/>
    <w:rsid w:val="5A7D2245"/>
    <w:rsid w:val="5A7D47FA"/>
    <w:rsid w:val="5A7E3FA7"/>
    <w:rsid w:val="5A7E4A56"/>
    <w:rsid w:val="5A7F699F"/>
    <w:rsid w:val="5A81078E"/>
    <w:rsid w:val="5A817C1D"/>
    <w:rsid w:val="5A843DDB"/>
    <w:rsid w:val="5A8B1A08"/>
    <w:rsid w:val="5A8E2B0C"/>
    <w:rsid w:val="5A917E3A"/>
    <w:rsid w:val="5A9378D7"/>
    <w:rsid w:val="5A950619"/>
    <w:rsid w:val="5A951B44"/>
    <w:rsid w:val="5A963550"/>
    <w:rsid w:val="5A971D60"/>
    <w:rsid w:val="5A981634"/>
    <w:rsid w:val="5A9A1850"/>
    <w:rsid w:val="5AA1213B"/>
    <w:rsid w:val="5AA64A5C"/>
    <w:rsid w:val="5AA81E47"/>
    <w:rsid w:val="5AAB6FEB"/>
    <w:rsid w:val="5AB25AFB"/>
    <w:rsid w:val="5AB3646E"/>
    <w:rsid w:val="5AB47ADA"/>
    <w:rsid w:val="5AB53F94"/>
    <w:rsid w:val="5AB5456B"/>
    <w:rsid w:val="5ABA0349"/>
    <w:rsid w:val="5ABA5A4E"/>
    <w:rsid w:val="5ABA77FD"/>
    <w:rsid w:val="5ABF2B31"/>
    <w:rsid w:val="5AC33A75"/>
    <w:rsid w:val="5AC81734"/>
    <w:rsid w:val="5AC91FDB"/>
    <w:rsid w:val="5ACD538E"/>
    <w:rsid w:val="5ACF1349"/>
    <w:rsid w:val="5AD05272"/>
    <w:rsid w:val="5AD060C4"/>
    <w:rsid w:val="5AD41312"/>
    <w:rsid w:val="5AD42DE5"/>
    <w:rsid w:val="5AD45B96"/>
    <w:rsid w:val="5AD50F48"/>
    <w:rsid w:val="5AD55BA9"/>
    <w:rsid w:val="5AD60C24"/>
    <w:rsid w:val="5ADC6993"/>
    <w:rsid w:val="5ADF1011"/>
    <w:rsid w:val="5ADF7503"/>
    <w:rsid w:val="5AE05E0B"/>
    <w:rsid w:val="5AE36348"/>
    <w:rsid w:val="5AE42ACB"/>
    <w:rsid w:val="5AE80357"/>
    <w:rsid w:val="5AEA3DC4"/>
    <w:rsid w:val="5AEC372E"/>
    <w:rsid w:val="5AEE394A"/>
    <w:rsid w:val="5AF56A87"/>
    <w:rsid w:val="5AF727FF"/>
    <w:rsid w:val="5AFD593B"/>
    <w:rsid w:val="5B002175"/>
    <w:rsid w:val="5B01367D"/>
    <w:rsid w:val="5B10566E"/>
    <w:rsid w:val="5B1218C7"/>
    <w:rsid w:val="5B124A58"/>
    <w:rsid w:val="5B12588A"/>
    <w:rsid w:val="5B1262B0"/>
    <w:rsid w:val="5B126DEE"/>
    <w:rsid w:val="5B1423AF"/>
    <w:rsid w:val="5B1433B1"/>
    <w:rsid w:val="5B163AB0"/>
    <w:rsid w:val="5B176115"/>
    <w:rsid w:val="5B1D34AD"/>
    <w:rsid w:val="5B2053DD"/>
    <w:rsid w:val="5B2264B1"/>
    <w:rsid w:val="5B2335F4"/>
    <w:rsid w:val="5B236D4A"/>
    <w:rsid w:val="5B264E92"/>
    <w:rsid w:val="5B266C40"/>
    <w:rsid w:val="5B2829B8"/>
    <w:rsid w:val="5B28748B"/>
    <w:rsid w:val="5B2D4100"/>
    <w:rsid w:val="5B312BC1"/>
    <w:rsid w:val="5B327682"/>
    <w:rsid w:val="5B351579"/>
    <w:rsid w:val="5B352FD5"/>
    <w:rsid w:val="5B3556D2"/>
    <w:rsid w:val="5B3752F1"/>
    <w:rsid w:val="5B392E17"/>
    <w:rsid w:val="5B3A5112"/>
    <w:rsid w:val="5B3B3C7D"/>
    <w:rsid w:val="5B3C46B5"/>
    <w:rsid w:val="5B3D3BC3"/>
    <w:rsid w:val="5B3F5F54"/>
    <w:rsid w:val="5B3F7CFE"/>
    <w:rsid w:val="5B41671D"/>
    <w:rsid w:val="5B43595A"/>
    <w:rsid w:val="5B4377F2"/>
    <w:rsid w:val="5B440603"/>
    <w:rsid w:val="5B4A6DD2"/>
    <w:rsid w:val="5B4B66A7"/>
    <w:rsid w:val="5B4C2BEE"/>
    <w:rsid w:val="5B513FEB"/>
    <w:rsid w:val="5B516E2C"/>
    <w:rsid w:val="5B526759"/>
    <w:rsid w:val="5B594632"/>
    <w:rsid w:val="5B5A2D8E"/>
    <w:rsid w:val="5B5B35B3"/>
    <w:rsid w:val="5B6101E1"/>
    <w:rsid w:val="5B612CF4"/>
    <w:rsid w:val="5B6210A0"/>
    <w:rsid w:val="5B677DCA"/>
    <w:rsid w:val="5B7163BD"/>
    <w:rsid w:val="5B71764E"/>
    <w:rsid w:val="5B771124"/>
    <w:rsid w:val="5B7857D5"/>
    <w:rsid w:val="5B793214"/>
    <w:rsid w:val="5B7C2D39"/>
    <w:rsid w:val="5B7E6A7C"/>
    <w:rsid w:val="5B87686F"/>
    <w:rsid w:val="5B8B1199"/>
    <w:rsid w:val="5B8B34BD"/>
    <w:rsid w:val="5B8D0623"/>
    <w:rsid w:val="5B937833"/>
    <w:rsid w:val="5B955468"/>
    <w:rsid w:val="5B961339"/>
    <w:rsid w:val="5B962018"/>
    <w:rsid w:val="5B967EE3"/>
    <w:rsid w:val="5B991E70"/>
    <w:rsid w:val="5B9C6F02"/>
    <w:rsid w:val="5B9D4172"/>
    <w:rsid w:val="5BA10B2A"/>
    <w:rsid w:val="5BA43FB8"/>
    <w:rsid w:val="5BA659AA"/>
    <w:rsid w:val="5BA835E7"/>
    <w:rsid w:val="5BA83AF9"/>
    <w:rsid w:val="5BA858A7"/>
    <w:rsid w:val="5BAA161F"/>
    <w:rsid w:val="5BAA5588"/>
    <w:rsid w:val="5BAB18A8"/>
    <w:rsid w:val="5BAD1A85"/>
    <w:rsid w:val="5BB24978"/>
    <w:rsid w:val="5BB40455"/>
    <w:rsid w:val="5BB4249E"/>
    <w:rsid w:val="5BB452F3"/>
    <w:rsid w:val="5BB57FC4"/>
    <w:rsid w:val="5BB706C7"/>
    <w:rsid w:val="5BB814B8"/>
    <w:rsid w:val="5BBA3B11"/>
    <w:rsid w:val="5BBC1352"/>
    <w:rsid w:val="5BC16969"/>
    <w:rsid w:val="5BC30B93"/>
    <w:rsid w:val="5BC326E1"/>
    <w:rsid w:val="5BC80E6E"/>
    <w:rsid w:val="5BCA0056"/>
    <w:rsid w:val="5BCC4C8F"/>
    <w:rsid w:val="5BD35106"/>
    <w:rsid w:val="5BD609E6"/>
    <w:rsid w:val="5BD82630"/>
    <w:rsid w:val="5BDC19F5"/>
    <w:rsid w:val="5BDE39BF"/>
    <w:rsid w:val="5BE014E5"/>
    <w:rsid w:val="5BE74621"/>
    <w:rsid w:val="5BE90010"/>
    <w:rsid w:val="5BEC0C09"/>
    <w:rsid w:val="5BEC1C38"/>
    <w:rsid w:val="5BEC7E8A"/>
    <w:rsid w:val="5BED4FF5"/>
    <w:rsid w:val="5BEE521F"/>
    <w:rsid w:val="5BF27F86"/>
    <w:rsid w:val="5BF3746A"/>
    <w:rsid w:val="5BF44F90"/>
    <w:rsid w:val="5BFB5910"/>
    <w:rsid w:val="5BFD2097"/>
    <w:rsid w:val="5BFD6FCE"/>
    <w:rsid w:val="5C013209"/>
    <w:rsid w:val="5C034B3A"/>
    <w:rsid w:val="5C0D0BE3"/>
    <w:rsid w:val="5C0E2186"/>
    <w:rsid w:val="5C0E52A6"/>
    <w:rsid w:val="5C11169E"/>
    <w:rsid w:val="5C124FFE"/>
    <w:rsid w:val="5C1271C4"/>
    <w:rsid w:val="5C136DDF"/>
    <w:rsid w:val="5C1372DE"/>
    <w:rsid w:val="5C155957"/>
    <w:rsid w:val="5C192ED7"/>
    <w:rsid w:val="5C25339C"/>
    <w:rsid w:val="5C273792"/>
    <w:rsid w:val="5C277114"/>
    <w:rsid w:val="5C286DA1"/>
    <w:rsid w:val="5C2B592A"/>
    <w:rsid w:val="5C2C0286"/>
    <w:rsid w:val="5C2C472A"/>
    <w:rsid w:val="5C2C4F2D"/>
    <w:rsid w:val="5C2E2250"/>
    <w:rsid w:val="5C2F39B3"/>
    <w:rsid w:val="5C306F0B"/>
    <w:rsid w:val="5C315063"/>
    <w:rsid w:val="5C334E92"/>
    <w:rsid w:val="5C381321"/>
    <w:rsid w:val="5C3D1FBD"/>
    <w:rsid w:val="5C3D4993"/>
    <w:rsid w:val="5C435566"/>
    <w:rsid w:val="5C471D06"/>
    <w:rsid w:val="5C495171"/>
    <w:rsid w:val="5C4D7325"/>
    <w:rsid w:val="5C52616A"/>
    <w:rsid w:val="5C55076C"/>
    <w:rsid w:val="5C5920A1"/>
    <w:rsid w:val="5C59281A"/>
    <w:rsid w:val="5C593045"/>
    <w:rsid w:val="5C5E7002"/>
    <w:rsid w:val="5C5F3CDE"/>
    <w:rsid w:val="5C6904EE"/>
    <w:rsid w:val="5C6A7000"/>
    <w:rsid w:val="5C703E0D"/>
    <w:rsid w:val="5C776D7D"/>
    <w:rsid w:val="5C7E49E8"/>
    <w:rsid w:val="5C841E70"/>
    <w:rsid w:val="5C855BE8"/>
    <w:rsid w:val="5C895E61"/>
    <w:rsid w:val="5C8C5183"/>
    <w:rsid w:val="5C91181F"/>
    <w:rsid w:val="5C912102"/>
    <w:rsid w:val="5C924690"/>
    <w:rsid w:val="5C934FFD"/>
    <w:rsid w:val="5C952E62"/>
    <w:rsid w:val="5C9C215C"/>
    <w:rsid w:val="5CA00D96"/>
    <w:rsid w:val="5CA0214F"/>
    <w:rsid w:val="5CA21203"/>
    <w:rsid w:val="5CA4528C"/>
    <w:rsid w:val="5CA455F4"/>
    <w:rsid w:val="5CA67217"/>
    <w:rsid w:val="5CA93FCD"/>
    <w:rsid w:val="5CAA4F27"/>
    <w:rsid w:val="5CAA564F"/>
    <w:rsid w:val="5CAA714B"/>
    <w:rsid w:val="5CB04F81"/>
    <w:rsid w:val="5CB11BE9"/>
    <w:rsid w:val="5CB449E0"/>
    <w:rsid w:val="5CB44D92"/>
    <w:rsid w:val="5CB5471F"/>
    <w:rsid w:val="5CB91037"/>
    <w:rsid w:val="5CBC6124"/>
    <w:rsid w:val="5CBD35D4"/>
    <w:rsid w:val="5CC13302"/>
    <w:rsid w:val="5CC21CCA"/>
    <w:rsid w:val="5CC2508E"/>
    <w:rsid w:val="5CC35CA8"/>
    <w:rsid w:val="5CC45DBD"/>
    <w:rsid w:val="5CC81BD5"/>
    <w:rsid w:val="5CCA2697"/>
    <w:rsid w:val="5CCA3EEF"/>
    <w:rsid w:val="5CCC49F6"/>
    <w:rsid w:val="5CCE725A"/>
    <w:rsid w:val="5CCE758F"/>
    <w:rsid w:val="5CCF5C7E"/>
    <w:rsid w:val="5CD03307"/>
    <w:rsid w:val="5CD03B6F"/>
    <w:rsid w:val="5CD1112B"/>
    <w:rsid w:val="5CD56B70"/>
    <w:rsid w:val="5CDA23D8"/>
    <w:rsid w:val="5CDB3A5A"/>
    <w:rsid w:val="5CDC4F0C"/>
    <w:rsid w:val="5CDC7EFE"/>
    <w:rsid w:val="5CDF3A03"/>
    <w:rsid w:val="5CE241EB"/>
    <w:rsid w:val="5CE32E02"/>
    <w:rsid w:val="5CE5561F"/>
    <w:rsid w:val="5CE9261B"/>
    <w:rsid w:val="5CEC27D4"/>
    <w:rsid w:val="5CEC53CC"/>
    <w:rsid w:val="5CF201EA"/>
    <w:rsid w:val="5CF2558C"/>
    <w:rsid w:val="5CF50FC0"/>
    <w:rsid w:val="5CFA0384"/>
    <w:rsid w:val="5CFD21A5"/>
    <w:rsid w:val="5CFF0D6B"/>
    <w:rsid w:val="5CFF1E3E"/>
    <w:rsid w:val="5D004ADA"/>
    <w:rsid w:val="5D066D29"/>
    <w:rsid w:val="5D08473E"/>
    <w:rsid w:val="5D0B2943"/>
    <w:rsid w:val="5D11580C"/>
    <w:rsid w:val="5D120878"/>
    <w:rsid w:val="5D137C8F"/>
    <w:rsid w:val="5D157EB0"/>
    <w:rsid w:val="5D177188"/>
    <w:rsid w:val="5D180999"/>
    <w:rsid w:val="5D1E5270"/>
    <w:rsid w:val="5D211DB5"/>
    <w:rsid w:val="5D213B63"/>
    <w:rsid w:val="5D2418A5"/>
    <w:rsid w:val="5D260644"/>
    <w:rsid w:val="5D283143"/>
    <w:rsid w:val="5D286D18"/>
    <w:rsid w:val="5D291694"/>
    <w:rsid w:val="5D2B4EC5"/>
    <w:rsid w:val="5D2D6D35"/>
    <w:rsid w:val="5D321D86"/>
    <w:rsid w:val="5D3250A1"/>
    <w:rsid w:val="5D3513BC"/>
    <w:rsid w:val="5D35760E"/>
    <w:rsid w:val="5D382C1A"/>
    <w:rsid w:val="5D395367"/>
    <w:rsid w:val="5D3970FE"/>
    <w:rsid w:val="5D3F223B"/>
    <w:rsid w:val="5D415FB3"/>
    <w:rsid w:val="5D423AD9"/>
    <w:rsid w:val="5D4538A3"/>
    <w:rsid w:val="5D465E28"/>
    <w:rsid w:val="5D4B0BE0"/>
    <w:rsid w:val="5D5007AD"/>
    <w:rsid w:val="5D551A5E"/>
    <w:rsid w:val="5D577585"/>
    <w:rsid w:val="5D587747"/>
    <w:rsid w:val="5D5A7075"/>
    <w:rsid w:val="5D5C103F"/>
    <w:rsid w:val="5D5E1CF1"/>
    <w:rsid w:val="5D616655"/>
    <w:rsid w:val="5D6213D4"/>
    <w:rsid w:val="5D6567A1"/>
    <w:rsid w:val="5D6865BA"/>
    <w:rsid w:val="5D691E07"/>
    <w:rsid w:val="5D6B71D1"/>
    <w:rsid w:val="5D6C2D90"/>
    <w:rsid w:val="5D6D0B56"/>
    <w:rsid w:val="5D6E7128"/>
    <w:rsid w:val="5D6F2D39"/>
    <w:rsid w:val="5D705C14"/>
    <w:rsid w:val="5D714BFC"/>
    <w:rsid w:val="5D740137"/>
    <w:rsid w:val="5D755C5D"/>
    <w:rsid w:val="5D774C0D"/>
    <w:rsid w:val="5D791EC8"/>
    <w:rsid w:val="5D796D82"/>
    <w:rsid w:val="5D7D3FE1"/>
    <w:rsid w:val="5D7E7207"/>
    <w:rsid w:val="5D8439AA"/>
    <w:rsid w:val="5D851169"/>
    <w:rsid w:val="5D8562D2"/>
    <w:rsid w:val="5D8714F7"/>
    <w:rsid w:val="5D881E34"/>
    <w:rsid w:val="5D883BE2"/>
    <w:rsid w:val="5D884FD3"/>
    <w:rsid w:val="5D8A1834"/>
    <w:rsid w:val="5D8F6448"/>
    <w:rsid w:val="5D900CE9"/>
    <w:rsid w:val="5D923908"/>
    <w:rsid w:val="5D924BBA"/>
    <w:rsid w:val="5D9407D9"/>
    <w:rsid w:val="5D961D21"/>
    <w:rsid w:val="5D9A5200"/>
    <w:rsid w:val="5D9E282E"/>
    <w:rsid w:val="5D9E6F62"/>
    <w:rsid w:val="5DA100D5"/>
    <w:rsid w:val="5DA11B55"/>
    <w:rsid w:val="5DA1671E"/>
    <w:rsid w:val="5DA92DAA"/>
    <w:rsid w:val="5DAB167E"/>
    <w:rsid w:val="5DAE3D5E"/>
    <w:rsid w:val="5DB1138B"/>
    <w:rsid w:val="5DB1142D"/>
    <w:rsid w:val="5DB66FAB"/>
    <w:rsid w:val="5DB744C7"/>
    <w:rsid w:val="5DB90168"/>
    <w:rsid w:val="5DBF512A"/>
    <w:rsid w:val="5DBF56D2"/>
    <w:rsid w:val="5DC10EA2"/>
    <w:rsid w:val="5DC94EAA"/>
    <w:rsid w:val="5DC9667E"/>
    <w:rsid w:val="5DD020DB"/>
    <w:rsid w:val="5DD03F39"/>
    <w:rsid w:val="5DD11426"/>
    <w:rsid w:val="5DD165FC"/>
    <w:rsid w:val="5DDA4491"/>
    <w:rsid w:val="5DDC3F2E"/>
    <w:rsid w:val="5DDE1827"/>
    <w:rsid w:val="5DE0344F"/>
    <w:rsid w:val="5DE11544"/>
    <w:rsid w:val="5DE137E5"/>
    <w:rsid w:val="5DE13B4B"/>
    <w:rsid w:val="5DE16DE1"/>
    <w:rsid w:val="5DE17815"/>
    <w:rsid w:val="5DE40447"/>
    <w:rsid w:val="5DE508DD"/>
    <w:rsid w:val="5DEB095A"/>
    <w:rsid w:val="5DEC7001"/>
    <w:rsid w:val="5DEF3A36"/>
    <w:rsid w:val="5DF64FF0"/>
    <w:rsid w:val="5DF911E9"/>
    <w:rsid w:val="5DFA3760"/>
    <w:rsid w:val="5DFD09F6"/>
    <w:rsid w:val="5DFE3466"/>
    <w:rsid w:val="5E0019CA"/>
    <w:rsid w:val="5E021BE6"/>
    <w:rsid w:val="5E03770C"/>
    <w:rsid w:val="5E047B42"/>
    <w:rsid w:val="5E0F1B75"/>
    <w:rsid w:val="5E0F573E"/>
    <w:rsid w:val="5E131AE1"/>
    <w:rsid w:val="5E14191A"/>
    <w:rsid w:val="5E164717"/>
    <w:rsid w:val="5E181FF2"/>
    <w:rsid w:val="5E1B66B2"/>
    <w:rsid w:val="5E1E0C2F"/>
    <w:rsid w:val="5E1E4546"/>
    <w:rsid w:val="5E213CEB"/>
    <w:rsid w:val="5E2234E9"/>
    <w:rsid w:val="5E2C648C"/>
    <w:rsid w:val="5E300107"/>
    <w:rsid w:val="5E331DA0"/>
    <w:rsid w:val="5E333B7F"/>
    <w:rsid w:val="5E34711E"/>
    <w:rsid w:val="5E365ACE"/>
    <w:rsid w:val="5E3A5DC1"/>
    <w:rsid w:val="5E3D49CC"/>
    <w:rsid w:val="5E3D6048"/>
    <w:rsid w:val="5E442121"/>
    <w:rsid w:val="5E473A9D"/>
    <w:rsid w:val="5E4C5828"/>
    <w:rsid w:val="5E4C6F4A"/>
    <w:rsid w:val="5E4F550B"/>
    <w:rsid w:val="5E503354"/>
    <w:rsid w:val="5E5249D9"/>
    <w:rsid w:val="5E5256BF"/>
    <w:rsid w:val="5E56783C"/>
    <w:rsid w:val="5E5835B4"/>
    <w:rsid w:val="5E5E4943"/>
    <w:rsid w:val="5E5F681E"/>
    <w:rsid w:val="5E615012"/>
    <w:rsid w:val="5E616929"/>
    <w:rsid w:val="5E650F0F"/>
    <w:rsid w:val="5E694493"/>
    <w:rsid w:val="5E6A0AC6"/>
    <w:rsid w:val="5E6C7DC0"/>
    <w:rsid w:val="5E6D08DD"/>
    <w:rsid w:val="5E6F6EE3"/>
    <w:rsid w:val="5E71501E"/>
    <w:rsid w:val="5E736640"/>
    <w:rsid w:val="5E742553"/>
    <w:rsid w:val="5E766130"/>
    <w:rsid w:val="5E79483C"/>
    <w:rsid w:val="5E79740E"/>
    <w:rsid w:val="5E7A0A4B"/>
    <w:rsid w:val="5E7B0BDE"/>
    <w:rsid w:val="5E7D43BC"/>
    <w:rsid w:val="5E7E5674"/>
    <w:rsid w:val="5E802B0B"/>
    <w:rsid w:val="5E843B4A"/>
    <w:rsid w:val="5E856373"/>
    <w:rsid w:val="5E86320C"/>
    <w:rsid w:val="5E875C48"/>
    <w:rsid w:val="5E897C12"/>
    <w:rsid w:val="5E8A398A"/>
    <w:rsid w:val="5E8A5738"/>
    <w:rsid w:val="5E8D0544"/>
    <w:rsid w:val="5E8F1FF0"/>
    <w:rsid w:val="5E903AFB"/>
    <w:rsid w:val="5E940365"/>
    <w:rsid w:val="5E944335"/>
    <w:rsid w:val="5E954808"/>
    <w:rsid w:val="5E9655D3"/>
    <w:rsid w:val="5E9807B9"/>
    <w:rsid w:val="5E9F42CF"/>
    <w:rsid w:val="5E9F531B"/>
    <w:rsid w:val="5EA225BC"/>
    <w:rsid w:val="5EA41270"/>
    <w:rsid w:val="5EA51946"/>
    <w:rsid w:val="5EAA68A5"/>
    <w:rsid w:val="5EAC1A00"/>
    <w:rsid w:val="5EAE515B"/>
    <w:rsid w:val="5EB06FC4"/>
    <w:rsid w:val="5EB3635A"/>
    <w:rsid w:val="5EBA426F"/>
    <w:rsid w:val="5EBB1D95"/>
    <w:rsid w:val="5EBE3544"/>
    <w:rsid w:val="5EC1349B"/>
    <w:rsid w:val="5EC249B9"/>
    <w:rsid w:val="5EC947A2"/>
    <w:rsid w:val="5ECC1F57"/>
    <w:rsid w:val="5ECC3FA2"/>
    <w:rsid w:val="5ED03293"/>
    <w:rsid w:val="5ED30E8D"/>
    <w:rsid w:val="5ED341CD"/>
    <w:rsid w:val="5ED4696B"/>
    <w:rsid w:val="5ED56C4A"/>
    <w:rsid w:val="5ED644D8"/>
    <w:rsid w:val="5EDC077C"/>
    <w:rsid w:val="5EE17A4E"/>
    <w:rsid w:val="5EEA61D6"/>
    <w:rsid w:val="5EEC5A1A"/>
    <w:rsid w:val="5EEC6B72"/>
    <w:rsid w:val="5EEE5694"/>
    <w:rsid w:val="5EEE700D"/>
    <w:rsid w:val="5EF1163D"/>
    <w:rsid w:val="5EF13A09"/>
    <w:rsid w:val="5EF431E8"/>
    <w:rsid w:val="5EF43E59"/>
    <w:rsid w:val="5EF51958"/>
    <w:rsid w:val="5EF534F9"/>
    <w:rsid w:val="5EF945FE"/>
    <w:rsid w:val="5EFA28BD"/>
    <w:rsid w:val="5EFA466C"/>
    <w:rsid w:val="5EFD0650"/>
    <w:rsid w:val="5F014138"/>
    <w:rsid w:val="5F020816"/>
    <w:rsid w:val="5F0279C4"/>
    <w:rsid w:val="5F027BDF"/>
    <w:rsid w:val="5F074FDA"/>
    <w:rsid w:val="5F090D52"/>
    <w:rsid w:val="5F0A6587"/>
    <w:rsid w:val="5F0E4F3A"/>
    <w:rsid w:val="5F11097E"/>
    <w:rsid w:val="5F1216B0"/>
    <w:rsid w:val="5F135AD9"/>
    <w:rsid w:val="5F146EA6"/>
    <w:rsid w:val="5F16521D"/>
    <w:rsid w:val="5F181329"/>
    <w:rsid w:val="5F197E63"/>
    <w:rsid w:val="5F1C2834"/>
    <w:rsid w:val="5F1D47FE"/>
    <w:rsid w:val="5F1F0576"/>
    <w:rsid w:val="5F2142EE"/>
    <w:rsid w:val="5F250216"/>
    <w:rsid w:val="5F2931A3"/>
    <w:rsid w:val="5F2D5FCE"/>
    <w:rsid w:val="5F2E7186"/>
    <w:rsid w:val="5F3202A9"/>
    <w:rsid w:val="5F362A86"/>
    <w:rsid w:val="5F373850"/>
    <w:rsid w:val="5F383A14"/>
    <w:rsid w:val="5F3A5E30"/>
    <w:rsid w:val="5F3B167C"/>
    <w:rsid w:val="5F3D31C3"/>
    <w:rsid w:val="5F3E6C4E"/>
    <w:rsid w:val="5F3F29C6"/>
    <w:rsid w:val="5F454B86"/>
    <w:rsid w:val="5F46283F"/>
    <w:rsid w:val="5F471BAD"/>
    <w:rsid w:val="5F4726FA"/>
    <w:rsid w:val="5F480F41"/>
    <w:rsid w:val="5F4902D9"/>
    <w:rsid w:val="5F49114F"/>
    <w:rsid w:val="5F4920F1"/>
    <w:rsid w:val="5F4973A1"/>
    <w:rsid w:val="5F4D23F1"/>
    <w:rsid w:val="5F5036CC"/>
    <w:rsid w:val="5F5070CC"/>
    <w:rsid w:val="5F557AF4"/>
    <w:rsid w:val="5F5A335C"/>
    <w:rsid w:val="5F610B8F"/>
    <w:rsid w:val="5F65288D"/>
    <w:rsid w:val="5F654F08"/>
    <w:rsid w:val="5F66156B"/>
    <w:rsid w:val="5F661CA7"/>
    <w:rsid w:val="5F661D01"/>
    <w:rsid w:val="5F666AAC"/>
    <w:rsid w:val="5F6711AD"/>
    <w:rsid w:val="5F677827"/>
    <w:rsid w:val="5F681234"/>
    <w:rsid w:val="5F681F1D"/>
    <w:rsid w:val="5F697A43"/>
    <w:rsid w:val="5F6E5059"/>
    <w:rsid w:val="5F6F5E8B"/>
    <w:rsid w:val="5F721709"/>
    <w:rsid w:val="5F742670"/>
    <w:rsid w:val="5F744410"/>
    <w:rsid w:val="5F7675D0"/>
    <w:rsid w:val="5F772C6D"/>
    <w:rsid w:val="5F7A0AF1"/>
    <w:rsid w:val="5F7A0D18"/>
    <w:rsid w:val="5F7C32D2"/>
    <w:rsid w:val="5F7F73C0"/>
    <w:rsid w:val="5F8108E9"/>
    <w:rsid w:val="5F8139F4"/>
    <w:rsid w:val="5F88631B"/>
    <w:rsid w:val="5F886E71"/>
    <w:rsid w:val="5F8A1E93"/>
    <w:rsid w:val="5F8C3B27"/>
    <w:rsid w:val="5F8E6ACA"/>
    <w:rsid w:val="5F9216A3"/>
    <w:rsid w:val="5F937738"/>
    <w:rsid w:val="5F965B22"/>
    <w:rsid w:val="5F9A0168"/>
    <w:rsid w:val="5F9B0B4A"/>
    <w:rsid w:val="5F9E2BC8"/>
    <w:rsid w:val="5F9E76ED"/>
    <w:rsid w:val="5FA12D39"/>
    <w:rsid w:val="5FA15FFE"/>
    <w:rsid w:val="5FA25E8E"/>
    <w:rsid w:val="5FA34062"/>
    <w:rsid w:val="5FA55B60"/>
    <w:rsid w:val="5FAA2ADB"/>
    <w:rsid w:val="5FAB3BB8"/>
    <w:rsid w:val="5FAE12AA"/>
    <w:rsid w:val="5FB071C9"/>
    <w:rsid w:val="5FB16619"/>
    <w:rsid w:val="5FB270D4"/>
    <w:rsid w:val="5FC22FA3"/>
    <w:rsid w:val="5FC23A00"/>
    <w:rsid w:val="5FC52ECB"/>
    <w:rsid w:val="5FC627A0"/>
    <w:rsid w:val="5FC7753F"/>
    <w:rsid w:val="5FC8476A"/>
    <w:rsid w:val="5FCD770E"/>
    <w:rsid w:val="5FCE26B8"/>
    <w:rsid w:val="5FD14004"/>
    <w:rsid w:val="5FD45374"/>
    <w:rsid w:val="5FD4774C"/>
    <w:rsid w:val="5FD80C9E"/>
    <w:rsid w:val="5FDA21E8"/>
    <w:rsid w:val="5FDE3F8D"/>
    <w:rsid w:val="5FE00FB7"/>
    <w:rsid w:val="5FE01F7F"/>
    <w:rsid w:val="5FE13D36"/>
    <w:rsid w:val="5FE1582B"/>
    <w:rsid w:val="5FE175D9"/>
    <w:rsid w:val="5FE557EC"/>
    <w:rsid w:val="5FEA46E0"/>
    <w:rsid w:val="5FEB0458"/>
    <w:rsid w:val="5FEB0A47"/>
    <w:rsid w:val="5FEB68CA"/>
    <w:rsid w:val="5FEC07C1"/>
    <w:rsid w:val="5FED2422"/>
    <w:rsid w:val="5FEF6F25"/>
    <w:rsid w:val="5FEF78BD"/>
    <w:rsid w:val="5FF52D97"/>
    <w:rsid w:val="5FF55F4C"/>
    <w:rsid w:val="5FF600B7"/>
    <w:rsid w:val="5FF607C4"/>
    <w:rsid w:val="5FF93E5A"/>
    <w:rsid w:val="5FFB68ED"/>
    <w:rsid w:val="5FFC200D"/>
    <w:rsid w:val="600168C7"/>
    <w:rsid w:val="60022122"/>
    <w:rsid w:val="60093A2E"/>
    <w:rsid w:val="600E33F2"/>
    <w:rsid w:val="600F2399"/>
    <w:rsid w:val="60117ECF"/>
    <w:rsid w:val="60145C01"/>
    <w:rsid w:val="60147DA4"/>
    <w:rsid w:val="60152602"/>
    <w:rsid w:val="60161979"/>
    <w:rsid w:val="60172FFB"/>
    <w:rsid w:val="601E4351"/>
    <w:rsid w:val="60222833"/>
    <w:rsid w:val="60237ECC"/>
    <w:rsid w:val="60262968"/>
    <w:rsid w:val="602E6017"/>
    <w:rsid w:val="602F0186"/>
    <w:rsid w:val="60356D91"/>
    <w:rsid w:val="60361BAD"/>
    <w:rsid w:val="6037335C"/>
    <w:rsid w:val="60380C34"/>
    <w:rsid w:val="603C3A3D"/>
    <w:rsid w:val="603D5158"/>
    <w:rsid w:val="603E7D7E"/>
    <w:rsid w:val="604031DB"/>
    <w:rsid w:val="60416965"/>
    <w:rsid w:val="60487659"/>
    <w:rsid w:val="60513939"/>
    <w:rsid w:val="6055022A"/>
    <w:rsid w:val="6055507D"/>
    <w:rsid w:val="60561D75"/>
    <w:rsid w:val="6056540E"/>
    <w:rsid w:val="605D3383"/>
    <w:rsid w:val="605D5E0D"/>
    <w:rsid w:val="605E35A7"/>
    <w:rsid w:val="605F17B4"/>
    <w:rsid w:val="60611002"/>
    <w:rsid w:val="6061643F"/>
    <w:rsid w:val="60623E1F"/>
    <w:rsid w:val="606647BC"/>
    <w:rsid w:val="60696039"/>
    <w:rsid w:val="606C1599"/>
    <w:rsid w:val="606C1A01"/>
    <w:rsid w:val="606D4BCA"/>
    <w:rsid w:val="606F334E"/>
    <w:rsid w:val="607131BE"/>
    <w:rsid w:val="60714E01"/>
    <w:rsid w:val="60720B77"/>
    <w:rsid w:val="60723264"/>
    <w:rsid w:val="60732927"/>
    <w:rsid w:val="607377E3"/>
    <w:rsid w:val="60763F7C"/>
    <w:rsid w:val="607641C6"/>
    <w:rsid w:val="60773464"/>
    <w:rsid w:val="60792FA8"/>
    <w:rsid w:val="607D470B"/>
    <w:rsid w:val="607F2317"/>
    <w:rsid w:val="608024B7"/>
    <w:rsid w:val="60864CCB"/>
    <w:rsid w:val="6086721E"/>
    <w:rsid w:val="60870E78"/>
    <w:rsid w:val="6087530D"/>
    <w:rsid w:val="608C5A13"/>
    <w:rsid w:val="608D4391"/>
    <w:rsid w:val="60901BF9"/>
    <w:rsid w:val="60912DAE"/>
    <w:rsid w:val="60976E00"/>
    <w:rsid w:val="60A14479"/>
    <w:rsid w:val="60A616D2"/>
    <w:rsid w:val="60A64770"/>
    <w:rsid w:val="60A919DB"/>
    <w:rsid w:val="60AA38DE"/>
    <w:rsid w:val="60AB42FB"/>
    <w:rsid w:val="60AC0D1D"/>
    <w:rsid w:val="60AE0913"/>
    <w:rsid w:val="60AF4ADF"/>
    <w:rsid w:val="60B14A21"/>
    <w:rsid w:val="60B160EA"/>
    <w:rsid w:val="60B3261B"/>
    <w:rsid w:val="60B33643"/>
    <w:rsid w:val="60B44CEE"/>
    <w:rsid w:val="60BB459F"/>
    <w:rsid w:val="60BB607C"/>
    <w:rsid w:val="60BE0AE9"/>
    <w:rsid w:val="60C05441"/>
    <w:rsid w:val="60C16F3B"/>
    <w:rsid w:val="60C60726"/>
    <w:rsid w:val="60C82547"/>
    <w:rsid w:val="60CB1591"/>
    <w:rsid w:val="60CF0438"/>
    <w:rsid w:val="60CF494B"/>
    <w:rsid w:val="60D1790D"/>
    <w:rsid w:val="60D246D0"/>
    <w:rsid w:val="60D430BC"/>
    <w:rsid w:val="60D72F78"/>
    <w:rsid w:val="60DF1762"/>
    <w:rsid w:val="60E00A1D"/>
    <w:rsid w:val="60E048D5"/>
    <w:rsid w:val="60E4354B"/>
    <w:rsid w:val="60ED7321"/>
    <w:rsid w:val="60EE7EEF"/>
    <w:rsid w:val="60F0649E"/>
    <w:rsid w:val="60F35816"/>
    <w:rsid w:val="60F577E0"/>
    <w:rsid w:val="60F97A9B"/>
    <w:rsid w:val="60FA6BA5"/>
    <w:rsid w:val="60FA7E7D"/>
    <w:rsid w:val="60FD1BF8"/>
    <w:rsid w:val="60FE3AFB"/>
    <w:rsid w:val="610712C2"/>
    <w:rsid w:val="610B2D58"/>
    <w:rsid w:val="610C5250"/>
    <w:rsid w:val="610C5B76"/>
    <w:rsid w:val="610C629B"/>
    <w:rsid w:val="610C70F8"/>
    <w:rsid w:val="610C76EE"/>
    <w:rsid w:val="610E08A2"/>
    <w:rsid w:val="610F6495"/>
    <w:rsid w:val="610F7ADC"/>
    <w:rsid w:val="6111263D"/>
    <w:rsid w:val="61127044"/>
    <w:rsid w:val="61147A32"/>
    <w:rsid w:val="611539DF"/>
    <w:rsid w:val="611A0837"/>
    <w:rsid w:val="611A2DA3"/>
    <w:rsid w:val="611A6F14"/>
    <w:rsid w:val="611B41D3"/>
    <w:rsid w:val="611D2DF6"/>
    <w:rsid w:val="611D4629"/>
    <w:rsid w:val="611E5AAD"/>
    <w:rsid w:val="611F7BBE"/>
    <w:rsid w:val="612719CE"/>
    <w:rsid w:val="612861BC"/>
    <w:rsid w:val="6129316A"/>
    <w:rsid w:val="612A4DC2"/>
    <w:rsid w:val="612A5EE5"/>
    <w:rsid w:val="612A7C83"/>
    <w:rsid w:val="612D6B7D"/>
    <w:rsid w:val="613025C6"/>
    <w:rsid w:val="61314591"/>
    <w:rsid w:val="61330309"/>
    <w:rsid w:val="61334045"/>
    <w:rsid w:val="61335CDB"/>
    <w:rsid w:val="613B0F6B"/>
    <w:rsid w:val="613E0962"/>
    <w:rsid w:val="613E4F83"/>
    <w:rsid w:val="61407C51"/>
    <w:rsid w:val="614442C4"/>
    <w:rsid w:val="614726C5"/>
    <w:rsid w:val="61483DB4"/>
    <w:rsid w:val="61492FD0"/>
    <w:rsid w:val="614B38A4"/>
    <w:rsid w:val="614D52B5"/>
    <w:rsid w:val="61502C69"/>
    <w:rsid w:val="61540553"/>
    <w:rsid w:val="61543232"/>
    <w:rsid w:val="6155177A"/>
    <w:rsid w:val="6158248A"/>
    <w:rsid w:val="61587D6F"/>
    <w:rsid w:val="61596B36"/>
    <w:rsid w:val="61597DE5"/>
    <w:rsid w:val="615A4EF5"/>
    <w:rsid w:val="615C785F"/>
    <w:rsid w:val="61642270"/>
    <w:rsid w:val="61644598"/>
    <w:rsid w:val="61644FE7"/>
    <w:rsid w:val="6164686A"/>
    <w:rsid w:val="61677FB2"/>
    <w:rsid w:val="616B095C"/>
    <w:rsid w:val="616C4B58"/>
    <w:rsid w:val="616E4528"/>
    <w:rsid w:val="616E5592"/>
    <w:rsid w:val="617050B9"/>
    <w:rsid w:val="61720E31"/>
    <w:rsid w:val="61736385"/>
    <w:rsid w:val="617701F5"/>
    <w:rsid w:val="61785BA4"/>
    <w:rsid w:val="617A2A42"/>
    <w:rsid w:val="617A4DC2"/>
    <w:rsid w:val="617D1584"/>
    <w:rsid w:val="618017E9"/>
    <w:rsid w:val="61811074"/>
    <w:rsid w:val="61823612"/>
    <w:rsid w:val="618446C0"/>
    <w:rsid w:val="6186668A"/>
    <w:rsid w:val="61880654"/>
    <w:rsid w:val="61932B55"/>
    <w:rsid w:val="619A05C2"/>
    <w:rsid w:val="619A2136"/>
    <w:rsid w:val="619B1F32"/>
    <w:rsid w:val="619D39D4"/>
    <w:rsid w:val="619D48C1"/>
    <w:rsid w:val="619F0059"/>
    <w:rsid w:val="619F599E"/>
    <w:rsid w:val="61A5642F"/>
    <w:rsid w:val="61A70152"/>
    <w:rsid w:val="61A77FF5"/>
    <w:rsid w:val="61A909F1"/>
    <w:rsid w:val="61AE197B"/>
    <w:rsid w:val="61AF5651"/>
    <w:rsid w:val="61B052CF"/>
    <w:rsid w:val="61B1749A"/>
    <w:rsid w:val="61B42529"/>
    <w:rsid w:val="61B73502"/>
    <w:rsid w:val="61B80783"/>
    <w:rsid w:val="61BC04F6"/>
    <w:rsid w:val="61BD2B79"/>
    <w:rsid w:val="61C15914"/>
    <w:rsid w:val="61C44A09"/>
    <w:rsid w:val="61C6117D"/>
    <w:rsid w:val="61C64A0E"/>
    <w:rsid w:val="61C72126"/>
    <w:rsid w:val="61C77C1D"/>
    <w:rsid w:val="61C92322"/>
    <w:rsid w:val="61C92810"/>
    <w:rsid w:val="61C95445"/>
    <w:rsid w:val="61CC480A"/>
    <w:rsid w:val="61CE1DDF"/>
    <w:rsid w:val="61D564F8"/>
    <w:rsid w:val="61D712D5"/>
    <w:rsid w:val="61DA55C4"/>
    <w:rsid w:val="61DC5AEA"/>
    <w:rsid w:val="61E15FB7"/>
    <w:rsid w:val="61E6537B"/>
    <w:rsid w:val="61E810F3"/>
    <w:rsid w:val="61E82A7D"/>
    <w:rsid w:val="61E873DA"/>
    <w:rsid w:val="61EA6C19"/>
    <w:rsid w:val="61F47ADB"/>
    <w:rsid w:val="61F71336"/>
    <w:rsid w:val="61F77588"/>
    <w:rsid w:val="61F95869"/>
    <w:rsid w:val="62050C82"/>
    <w:rsid w:val="62065A1D"/>
    <w:rsid w:val="620C24D2"/>
    <w:rsid w:val="620C3034"/>
    <w:rsid w:val="620D0B5A"/>
    <w:rsid w:val="620D2908"/>
    <w:rsid w:val="620D7CFC"/>
    <w:rsid w:val="62103A54"/>
    <w:rsid w:val="6217502E"/>
    <w:rsid w:val="621A071E"/>
    <w:rsid w:val="621B3218"/>
    <w:rsid w:val="621B6CC8"/>
    <w:rsid w:val="621E0FA4"/>
    <w:rsid w:val="621E7ECE"/>
    <w:rsid w:val="62200A31"/>
    <w:rsid w:val="62221E0D"/>
    <w:rsid w:val="622358D0"/>
    <w:rsid w:val="62245B18"/>
    <w:rsid w:val="62250FC8"/>
    <w:rsid w:val="62257C51"/>
    <w:rsid w:val="622814F0"/>
    <w:rsid w:val="62293607"/>
    <w:rsid w:val="622D32B1"/>
    <w:rsid w:val="622D58D2"/>
    <w:rsid w:val="623065F6"/>
    <w:rsid w:val="62335F3F"/>
    <w:rsid w:val="62353C0D"/>
    <w:rsid w:val="62380C13"/>
    <w:rsid w:val="623C31ED"/>
    <w:rsid w:val="623E1776"/>
    <w:rsid w:val="62410803"/>
    <w:rsid w:val="62436329"/>
    <w:rsid w:val="62444A13"/>
    <w:rsid w:val="6247406C"/>
    <w:rsid w:val="624812F3"/>
    <w:rsid w:val="6249158B"/>
    <w:rsid w:val="624A164E"/>
    <w:rsid w:val="624B1FDE"/>
    <w:rsid w:val="624B61B2"/>
    <w:rsid w:val="62563E1E"/>
    <w:rsid w:val="625C256C"/>
    <w:rsid w:val="625C73EB"/>
    <w:rsid w:val="625F7819"/>
    <w:rsid w:val="62600BF4"/>
    <w:rsid w:val="62610804"/>
    <w:rsid w:val="6261590B"/>
    <w:rsid w:val="62632AC2"/>
    <w:rsid w:val="62634F10"/>
    <w:rsid w:val="62651E55"/>
    <w:rsid w:val="62652744"/>
    <w:rsid w:val="62660E3D"/>
    <w:rsid w:val="62687C46"/>
    <w:rsid w:val="62697E9C"/>
    <w:rsid w:val="626C2D78"/>
    <w:rsid w:val="626C600C"/>
    <w:rsid w:val="626D397C"/>
    <w:rsid w:val="626E3CC8"/>
    <w:rsid w:val="626F0C97"/>
    <w:rsid w:val="626F35C2"/>
    <w:rsid w:val="62730E1A"/>
    <w:rsid w:val="62740F21"/>
    <w:rsid w:val="62781A05"/>
    <w:rsid w:val="62791D4B"/>
    <w:rsid w:val="627D3951"/>
    <w:rsid w:val="62826027"/>
    <w:rsid w:val="6285656B"/>
    <w:rsid w:val="628841B8"/>
    <w:rsid w:val="62890C71"/>
    <w:rsid w:val="628C2EB8"/>
    <w:rsid w:val="628E2CCB"/>
    <w:rsid w:val="628F018D"/>
    <w:rsid w:val="628F5A13"/>
    <w:rsid w:val="62902C20"/>
    <w:rsid w:val="62913539"/>
    <w:rsid w:val="62920336"/>
    <w:rsid w:val="62950132"/>
    <w:rsid w:val="62994C73"/>
    <w:rsid w:val="629A7990"/>
    <w:rsid w:val="629D0149"/>
    <w:rsid w:val="629E17B2"/>
    <w:rsid w:val="629E18EF"/>
    <w:rsid w:val="62A50D92"/>
    <w:rsid w:val="62A72AA2"/>
    <w:rsid w:val="62A768B8"/>
    <w:rsid w:val="62A92273"/>
    <w:rsid w:val="62AD67B6"/>
    <w:rsid w:val="62AE04EE"/>
    <w:rsid w:val="62AE2023"/>
    <w:rsid w:val="62AE6062"/>
    <w:rsid w:val="62B65696"/>
    <w:rsid w:val="62B81781"/>
    <w:rsid w:val="62B937F7"/>
    <w:rsid w:val="62BA24A2"/>
    <w:rsid w:val="62BD2580"/>
    <w:rsid w:val="62BE0F00"/>
    <w:rsid w:val="62BE1C11"/>
    <w:rsid w:val="62BE43D2"/>
    <w:rsid w:val="62BF00A6"/>
    <w:rsid w:val="62BF5F4D"/>
    <w:rsid w:val="62C217B6"/>
    <w:rsid w:val="62C80A41"/>
    <w:rsid w:val="62CD0E1C"/>
    <w:rsid w:val="62CD2097"/>
    <w:rsid w:val="62CD7748"/>
    <w:rsid w:val="62D1724C"/>
    <w:rsid w:val="62D17DD9"/>
    <w:rsid w:val="62D2730F"/>
    <w:rsid w:val="62D30F8A"/>
    <w:rsid w:val="62D43425"/>
    <w:rsid w:val="62D73D96"/>
    <w:rsid w:val="62D82519"/>
    <w:rsid w:val="62D86992"/>
    <w:rsid w:val="62D96C8E"/>
    <w:rsid w:val="62DA5E27"/>
    <w:rsid w:val="62DC4519"/>
    <w:rsid w:val="62DC6753"/>
    <w:rsid w:val="62DE42A4"/>
    <w:rsid w:val="62DF2ABE"/>
    <w:rsid w:val="62E013B1"/>
    <w:rsid w:val="62E01EC4"/>
    <w:rsid w:val="62E17727"/>
    <w:rsid w:val="62E278F0"/>
    <w:rsid w:val="62EA49F7"/>
    <w:rsid w:val="62EC5C38"/>
    <w:rsid w:val="62EF200D"/>
    <w:rsid w:val="62F4450F"/>
    <w:rsid w:val="62FB0777"/>
    <w:rsid w:val="62FD0BCE"/>
    <w:rsid w:val="62FD7F32"/>
    <w:rsid w:val="62FF376F"/>
    <w:rsid w:val="630162F6"/>
    <w:rsid w:val="630547C5"/>
    <w:rsid w:val="63076944"/>
    <w:rsid w:val="630A33CD"/>
    <w:rsid w:val="630B228C"/>
    <w:rsid w:val="630D6478"/>
    <w:rsid w:val="630F6C8D"/>
    <w:rsid w:val="63103306"/>
    <w:rsid w:val="631127C2"/>
    <w:rsid w:val="63147CC6"/>
    <w:rsid w:val="63184C6C"/>
    <w:rsid w:val="63185A08"/>
    <w:rsid w:val="63190757"/>
    <w:rsid w:val="631A4A47"/>
    <w:rsid w:val="631C5D60"/>
    <w:rsid w:val="631D653F"/>
    <w:rsid w:val="631F6B73"/>
    <w:rsid w:val="63220635"/>
    <w:rsid w:val="632225B3"/>
    <w:rsid w:val="63272EBA"/>
    <w:rsid w:val="6329064A"/>
    <w:rsid w:val="632A4016"/>
    <w:rsid w:val="632C223A"/>
    <w:rsid w:val="632D08AA"/>
    <w:rsid w:val="63304B00"/>
    <w:rsid w:val="63311F80"/>
    <w:rsid w:val="63317CE5"/>
    <w:rsid w:val="633609DD"/>
    <w:rsid w:val="63371176"/>
    <w:rsid w:val="633B0925"/>
    <w:rsid w:val="633B1E87"/>
    <w:rsid w:val="633D669B"/>
    <w:rsid w:val="633E3785"/>
    <w:rsid w:val="63401365"/>
    <w:rsid w:val="63423E46"/>
    <w:rsid w:val="63435725"/>
    <w:rsid w:val="63475591"/>
    <w:rsid w:val="634821C8"/>
    <w:rsid w:val="634B5E1D"/>
    <w:rsid w:val="634C3014"/>
    <w:rsid w:val="63511F1B"/>
    <w:rsid w:val="63514A76"/>
    <w:rsid w:val="635330EC"/>
    <w:rsid w:val="635922C6"/>
    <w:rsid w:val="63595381"/>
    <w:rsid w:val="63640C4D"/>
    <w:rsid w:val="63650ACE"/>
    <w:rsid w:val="63652B79"/>
    <w:rsid w:val="63694312"/>
    <w:rsid w:val="636B11B1"/>
    <w:rsid w:val="636C7B02"/>
    <w:rsid w:val="636D2D43"/>
    <w:rsid w:val="636E440A"/>
    <w:rsid w:val="63702418"/>
    <w:rsid w:val="63706C05"/>
    <w:rsid w:val="63750765"/>
    <w:rsid w:val="63773E7B"/>
    <w:rsid w:val="637830FB"/>
    <w:rsid w:val="63785FDA"/>
    <w:rsid w:val="637916C8"/>
    <w:rsid w:val="637C6F72"/>
    <w:rsid w:val="637D1D0F"/>
    <w:rsid w:val="63804ADF"/>
    <w:rsid w:val="63816E79"/>
    <w:rsid w:val="63862972"/>
    <w:rsid w:val="63877A66"/>
    <w:rsid w:val="63894210"/>
    <w:rsid w:val="63904AD5"/>
    <w:rsid w:val="63921E8A"/>
    <w:rsid w:val="639318AD"/>
    <w:rsid w:val="63956E21"/>
    <w:rsid w:val="6396104A"/>
    <w:rsid w:val="639B1BC7"/>
    <w:rsid w:val="639C53D2"/>
    <w:rsid w:val="63A056BB"/>
    <w:rsid w:val="63A120C8"/>
    <w:rsid w:val="63A252D2"/>
    <w:rsid w:val="63A37553"/>
    <w:rsid w:val="63A460E4"/>
    <w:rsid w:val="63A47706"/>
    <w:rsid w:val="63A73190"/>
    <w:rsid w:val="63A80370"/>
    <w:rsid w:val="63AA1345"/>
    <w:rsid w:val="63AF02B3"/>
    <w:rsid w:val="63B156E4"/>
    <w:rsid w:val="63B34D1F"/>
    <w:rsid w:val="63B36AD9"/>
    <w:rsid w:val="63B73B5B"/>
    <w:rsid w:val="63B84AF5"/>
    <w:rsid w:val="63BC6393"/>
    <w:rsid w:val="63C05490"/>
    <w:rsid w:val="63C10369"/>
    <w:rsid w:val="63C83BAD"/>
    <w:rsid w:val="63C84CDC"/>
    <w:rsid w:val="63CD05A1"/>
    <w:rsid w:val="63CE4319"/>
    <w:rsid w:val="63CF22B0"/>
    <w:rsid w:val="63CF3DAE"/>
    <w:rsid w:val="63D01E3F"/>
    <w:rsid w:val="63D41FBE"/>
    <w:rsid w:val="63D77671"/>
    <w:rsid w:val="63DD6924"/>
    <w:rsid w:val="63DD7B2A"/>
    <w:rsid w:val="63DE27AE"/>
    <w:rsid w:val="63DE7DC0"/>
    <w:rsid w:val="63E2149B"/>
    <w:rsid w:val="63E9385F"/>
    <w:rsid w:val="63EB4ECB"/>
    <w:rsid w:val="63F147E5"/>
    <w:rsid w:val="63F529BD"/>
    <w:rsid w:val="63F7386F"/>
    <w:rsid w:val="63FC77FF"/>
    <w:rsid w:val="63FF1866"/>
    <w:rsid w:val="64003AD1"/>
    <w:rsid w:val="6401024A"/>
    <w:rsid w:val="64015A35"/>
    <w:rsid w:val="64025CCB"/>
    <w:rsid w:val="64032214"/>
    <w:rsid w:val="64077E60"/>
    <w:rsid w:val="640819C5"/>
    <w:rsid w:val="640C2128"/>
    <w:rsid w:val="640E5323"/>
    <w:rsid w:val="640F079D"/>
    <w:rsid w:val="640F290B"/>
    <w:rsid w:val="64115F39"/>
    <w:rsid w:val="6412307A"/>
    <w:rsid w:val="64171226"/>
    <w:rsid w:val="64176D34"/>
    <w:rsid w:val="641A130C"/>
    <w:rsid w:val="641A55BD"/>
    <w:rsid w:val="641B3078"/>
    <w:rsid w:val="641C0181"/>
    <w:rsid w:val="641F4B74"/>
    <w:rsid w:val="6420379D"/>
    <w:rsid w:val="642345CA"/>
    <w:rsid w:val="64257BD1"/>
    <w:rsid w:val="6429154F"/>
    <w:rsid w:val="64292951"/>
    <w:rsid w:val="642C4A3E"/>
    <w:rsid w:val="642E253A"/>
    <w:rsid w:val="6432146B"/>
    <w:rsid w:val="64322AF9"/>
    <w:rsid w:val="643423CE"/>
    <w:rsid w:val="643638B2"/>
    <w:rsid w:val="64373621"/>
    <w:rsid w:val="6438165D"/>
    <w:rsid w:val="64393E88"/>
    <w:rsid w:val="643B36EE"/>
    <w:rsid w:val="643B585D"/>
    <w:rsid w:val="643C6145"/>
    <w:rsid w:val="643D27AA"/>
    <w:rsid w:val="643E149E"/>
    <w:rsid w:val="643E4FFA"/>
    <w:rsid w:val="643E63F1"/>
    <w:rsid w:val="6442107A"/>
    <w:rsid w:val="64436AB5"/>
    <w:rsid w:val="644840CB"/>
    <w:rsid w:val="64492F21"/>
    <w:rsid w:val="6449399F"/>
    <w:rsid w:val="644D3D14"/>
    <w:rsid w:val="64502F80"/>
    <w:rsid w:val="6451723D"/>
    <w:rsid w:val="64573C08"/>
    <w:rsid w:val="645774AC"/>
    <w:rsid w:val="64587970"/>
    <w:rsid w:val="645962D8"/>
    <w:rsid w:val="645C2E28"/>
    <w:rsid w:val="645D1DB9"/>
    <w:rsid w:val="645D628E"/>
    <w:rsid w:val="645E311C"/>
    <w:rsid w:val="645E651F"/>
    <w:rsid w:val="64623690"/>
    <w:rsid w:val="6464424D"/>
    <w:rsid w:val="646507D9"/>
    <w:rsid w:val="64693CD7"/>
    <w:rsid w:val="6469735E"/>
    <w:rsid w:val="646A4041"/>
    <w:rsid w:val="647543EB"/>
    <w:rsid w:val="647924D6"/>
    <w:rsid w:val="647A7DFB"/>
    <w:rsid w:val="647B7FFD"/>
    <w:rsid w:val="647C0CBD"/>
    <w:rsid w:val="647F41B9"/>
    <w:rsid w:val="64800672"/>
    <w:rsid w:val="64835103"/>
    <w:rsid w:val="64857935"/>
    <w:rsid w:val="648619C5"/>
    <w:rsid w:val="648C2202"/>
    <w:rsid w:val="64916FED"/>
    <w:rsid w:val="64924634"/>
    <w:rsid w:val="649578F3"/>
    <w:rsid w:val="649752E4"/>
    <w:rsid w:val="649864A1"/>
    <w:rsid w:val="64996F5C"/>
    <w:rsid w:val="649C037C"/>
    <w:rsid w:val="649C10AD"/>
    <w:rsid w:val="64A01811"/>
    <w:rsid w:val="64A05E79"/>
    <w:rsid w:val="64A2280B"/>
    <w:rsid w:val="64A258CD"/>
    <w:rsid w:val="64A41536"/>
    <w:rsid w:val="64A63434"/>
    <w:rsid w:val="64AB3381"/>
    <w:rsid w:val="64AB40A0"/>
    <w:rsid w:val="64AD3F2E"/>
    <w:rsid w:val="64B40B31"/>
    <w:rsid w:val="64B67287"/>
    <w:rsid w:val="64B81EB5"/>
    <w:rsid w:val="64B928D3"/>
    <w:rsid w:val="64BD699D"/>
    <w:rsid w:val="64C20C65"/>
    <w:rsid w:val="64C3054D"/>
    <w:rsid w:val="64C30C1E"/>
    <w:rsid w:val="64C5324E"/>
    <w:rsid w:val="64C82500"/>
    <w:rsid w:val="64C94FF0"/>
    <w:rsid w:val="64CA01B0"/>
    <w:rsid w:val="64CA0F84"/>
    <w:rsid w:val="64CA3DD2"/>
    <w:rsid w:val="64CD45D0"/>
    <w:rsid w:val="64D21BE7"/>
    <w:rsid w:val="64D36C14"/>
    <w:rsid w:val="64D836A1"/>
    <w:rsid w:val="64E022C0"/>
    <w:rsid w:val="64E03F34"/>
    <w:rsid w:val="64E3322A"/>
    <w:rsid w:val="64E35BA2"/>
    <w:rsid w:val="64E5191A"/>
    <w:rsid w:val="64E53367"/>
    <w:rsid w:val="64EB370D"/>
    <w:rsid w:val="64ED7C96"/>
    <w:rsid w:val="64EF322F"/>
    <w:rsid w:val="64F102BF"/>
    <w:rsid w:val="64F92C6C"/>
    <w:rsid w:val="64F93617"/>
    <w:rsid w:val="64FE1FA8"/>
    <w:rsid w:val="6502063C"/>
    <w:rsid w:val="65033B84"/>
    <w:rsid w:val="6504627F"/>
    <w:rsid w:val="650502DA"/>
    <w:rsid w:val="65051FBC"/>
    <w:rsid w:val="65063A90"/>
    <w:rsid w:val="65065AB6"/>
    <w:rsid w:val="65094348"/>
    <w:rsid w:val="6512149A"/>
    <w:rsid w:val="65132ADF"/>
    <w:rsid w:val="651D26A1"/>
    <w:rsid w:val="651F307E"/>
    <w:rsid w:val="65202952"/>
    <w:rsid w:val="65232394"/>
    <w:rsid w:val="652A3402"/>
    <w:rsid w:val="652C356B"/>
    <w:rsid w:val="652F3F54"/>
    <w:rsid w:val="65336B29"/>
    <w:rsid w:val="653914B1"/>
    <w:rsid w:val="653B51B2"/>
    <w:rsid w:val="65415223"/>
    <w:rsid w:val="6545060B"/>
    <w:rsid w:val="654628C9"/>
    <w:rsid w:val="65467B16"/>
    <w:rsid w:val="654776BB"/>
    <w:rsid w:val="654A0B91"/>
    <w:rsid w:val="654A5B37"/>
    <w:rsid w:val="654E322D"/>
    <w:rsid w:val="654F5B39"/>
    <w:rsid w:val="65516386"/>
    <w:rsid w:val="655669CC"/>
    <w:rsid w:val="6556794C"/>
    <w:rsid w:val="655A301F"/>
    <w:rsid w:val="655C0752"/>
    <w:rsid w:val="656124B3"/>
    <w:rsid w:val="656909FE"/>
    <w:rsid w:val="656B71BD"/>
    <w:rsid w:val="656F7435"/>
    <w:rsid w:val="65752C9E"/>
    <w:rsid w:val="6578278E"/>
    <w:rsid w:val="657D1B52"/>
    <w:rsid w:val="6581322A"/>
    <w:rsid w:val="65820F0E"/>
    <w:rsid w:val="65842EE1"/>
    <w:rsid w:val="65855B94"/>
    <w:rsid w:val="6586374B"/>
    <w:rsid w:val="6587477F"/>
    <w:rsid w:val="65886CE5"/>
    <w:rsid w:val="65904BE8"/>
    <w:rsid w:val="65915CCD"/>
    <w:rsid w:val="659225D4"/>
    <w:rsid w:val="65930D07"/>
    <w:rsid w:val="659B022A"/>
    <w:rsid w:val="659E6714"/>
    <w:rsid w:val="65A73C7A"/>
    <w:rsid w:val="65A92947"/>
    <w:rsid w:val="65AA2625"/>
    <w:rsid w:val="65AD18B1"/>
    <w:rsid w:val="65AD6874"/>
    <w:rsid w:val="65AF5970"/>
    <w:rsid w:val="65B31A18"/>
    <w:rsid w:val="65B47EDF"/>
    <w:rsid w:val="65B70D83"/>
    <w:rsid w:val="65BF6897"/>
    <w:rsid w:val="65C77271"/>
    <w:rsid w:val="65C77B87"/>
    <w:rsid w:val="65CB3D70"/>
    <w:rsid w:val="65D427DB"/>
    <w:rsid w:val="65D8147F"/>
    <w:rsid w:val="65D827AA"/>
    <w:rsid w:val="65DD3899"/>
    <w:rsid w:val="65DE4CE7"/>
    <w:rsid w:val="65DF19BC"/>
    <w:rsid w:val="65DF280D"/>
    <w:rsid w:val="65E01371"/>
    <w:rsid w:val="65E03CB7"/>
    <w:rsid w:val="65E252EE"/>
    <w:rsid w:val="65E2561F"/>
    <w:rsid w:val="65E267F7"/>
    <w:rsid w:val="65E5228A"/>
    <w:rsid w:val="65E95DEF"/>
    <w:rsid w:val="65EA7846"/>
    <w:rsid w:val="65F04A1A"/>
    <w:rsid w:val="65F34BCA"/>
    <w:rsid w:val="65F8742B"/>
    <w:rsid w:val="65FC5586"/>
    <w:rsid w:val="65FE557F"/>
    <w:rsid w:val="65FE7137"/>
    <w:rsid w:val="66000B89"/>
    <w:rsid w:val="660109D5"/>
    <w:rsid w:val="66020D12"/>
    <w:rsid w:val="660B53B0"/>
    <w:rsid w:val="660C0B62"/>
    <w:rsid w:val="660C5ECE"/>
    <w:rsid w:val="660D1128"/>
    <w:rsid w:val="660D4F89"/>
    <w:rsid w:val="660E6FC0"/>
    <w:rsid w:val="66110EC7"/>
    <w:rsid w:val="66154481"/>
    <w:rsid w:val="661A02DA"/>
    <w:rsid w:val="661C1A68"/>
    <w:rsid w:val="661E50E3"/>
    <w:rsid w:val="66224CAD"/>
    <w:rsid w:val="662356C6"/>
    <w:rsid w:val="6624192D"/>
    <w:rsid w:val="662A2516"/>
    <w:rsid w:val="662A7F2C"/>
    <w:rsid w:val="662C36BF"/>
    <w:rsid w:val="662D6DA8"/>
    <w:rsid w:val="662F72F1"/>
    <w:rsid w:val="66307D70"/>
    <w:rsid w:val="66315729"/>
    <w:rsid w:val="66341D23"/>
    <w:rsid w:val="66365FD9"/>
    <w:rsid w:val="66384919"/>
    <w:rsid w:val="663A7A43"/>
    <w:rsid w:val="663C7C5F"/>
    <w:rsid w:val="663D3A56"/>
    <w:rsid w:val="663E374A"/>
    <w:rsid w:val="664002BE"/>
    <w:rsid w:val="66456B14"/>
    <w:rsid w:val="6646766D"/>
    <w:rsid w:val="66475879"/>
    <w:rsid w:val="664870DE"/>
    <w:rsid w:val="66562A63"/>
    <w:rsid w:val="66582E23"/>
    <w:rsid w:val="665925BF"/>
    <w:rsid w:val="665931F4"/>
    <w:rsid w:val="665A4EDB"/>
    <w:rsid w:val="665E6A84"/>
    <w:rsid w:val="665E75A0"/>
    <w:rsid w:val="665F78C7"/>
    <w:rsid w:val="66612387"/>
    <w:rsid w:val="66631C4F"/>
    <w:rsid w:val="666431AD"/>
    <w:rsid w:val="66646249"/>
    <w:rsid w:val="66682803"/>
    <w:rsid w:val="666F4237"/>
    <w:rsid w:val="66723681"/>
    <w:rsid w:val="66723DA6"/>
    <w:rsid w:val="66741416"/>
    <w:rsid w:val="66761EE6"/>
    <w:rsid w:val="66761FEF"/>
    <w:rsid w:val="667E3DD4"/>
    <w:rsid w:val="667E4280"/>
    <w:rsid w:val="66807ADF"/>
    <w:rsid w:val="6681678C"/>
    <w:rsid w:val="66835660"/>
    <w:rsid w:val="66861029"/>
    <w:rsid w:val="6686712D"/>
    <w:rsid w:val="66877EC6"/>
    <w:rsid w:val="668C4743"/>
    <w:rsid w:val="668D6CDE"/>
    <w:rsid w:val="66931BEC"/>
    <w:rsid w:val="669473E5"/>
    <w:rsid w:val="669C6179"/>
    <w:rsid w:val="669D352A"/>
    <w:rsid w:val="66A15D14"/>
    <w:rsid w:val="66A454F2"/>
    <w:rsid w:val="66A74F3F"/>
    <w:rsid w:val="66A96D21"/>
    <w:rsid w:val="66AF4D91"/>
    <w:rsid w:val="66AF79A6"/>
    <w:rsid w:val="66B21381"/>
    <w:rsid w:val="66B30BD3"/>
    <w:rsid w:val="66B612EF"/>
    <w:rsid w:val="66B6356E"/>
    <w:rsid w:val="66B650CD"/>
    <w:rsid w:val="66B912B0"/>
    <w:rsid w:val="66BB7AE0"/>
    <w:rsid w:val="66BC0585"/>
    <w:rsid w:val="66BC2339"/>
    <w:rsid w:val="66BD5B8A"/>
    <w:rsid w:val="66BD75B0"/>
    <w:rsid w:val="66C03632"/>
    <w:rsid w:val="66C20E7C"/>
    <w:rsid w:val="66C238D4"/>
    <w:rsid w:val="66C304E6"/>
    <w:rsid w:val="66C70092"/>
    <w:rsid w:val="66CB1165"/>
    <w:rsid w:val="66CE3A79"/>
    <w:rsid w:val="66D04A39"/>
    <w:rsid w:val="66D11E25"/>
    <w:rsid w:val="66D5005A"/>
    <w:rsid w:val="66D53406"/>
    <w:rsid w:val="66D53FF1"/>
    <w:rsid w:val="66D954AE"/>
    <w:rsid w:val="66E873C2"/>
    <w:rsid w:val="66EB03AE"/>
    <w:rsid w:val="66EC277A"/>
    <w:rsid w:val="66ED0FFC"/>
    <w:rsid w:val="66ED4AB6"/>
    <w:rsid w:val="66EF082E"/>
    <w:rsid w:val="66F422E8"/>
    <w:rsid w:val="66F57630"/>
    <w:rsid w:val="66F67B79"/>
    <w:rsid w:val="66F7221C"/>
    <w:rsid w:val="66FB3677"/>
    <w:rsid w:val="66FE2FE9"/>
    <w:rsid w:val="66FE3167"/>
    <w:rsid w:val="67021B74"/>
    <w:rsid w:val="670342D9"/>
    <w:rsid w:val="670544F5"/>
    <w:rsid w:val="6705488D"/>
    <w:rsid w:val="670A34FC"/>
    <w:rsid w:val="670A63F8"/>
    <w:rsid w:val="670C5884"/>
    <w:rsid w:val="670D5DDA"/>
    <w:rsid w:val="670E2E3D"/>
    <w:rsid w:val="670E33AA"/>
    <w:rsid w:val="670F1293"/>
    <w:rsid w:val="6712451C"/>
    <w:rsid w:val="671473D7"/>
    <w:rsid w:val="671604E7"/>
    <w:rsid w:val="67186A9E"/>
    <w:rsid w:val="67194F00"/>
    <w:rsid w:val="671C3E03"/>
    <w:rsid w:val="67211A19"/>
    <w:rsid w:val="6727127D"/>
    <w:rsid w:val="67283D40"/>
    <w:rsid w:val="672A0297"/>
    <w:rsid w:val="672C1A82"/>
    <w:rsid w:val="672E1BB9"/>
    <w:rsid w:val="672E40D5"/>
    <w:rsid w:val="672E57FA"/>
    <w:rsid w:val="67355643"/>
    <w:rsid w:val="6737032F"/>
    <w:rsid w:val="673821D5"/>
    <w:rsid w:val="6739288B"/>
    <w:rsid w:val="673D053F"/>
    <w:rsid w:val="6744501E"/>
    <w:rsid w:val="6747066A"/>
    <w:rsid w:val="675016AD"/>
    <w:rsid w:val="6753700F"/>
    <w:rsid w:val="675375CF"/>
    <w:rsid w:val="67570789"/>
    <w:rsid w:val="675826C2"/>
    <w:rsid w:val="67584625"/>
    <w:rsid w:val="67587852"/>
    <w:rsid w:val="6759039D"/>
    <w:rsid w:val="675C1E9F"/>
    <w:rsid w:val="675C63DC"/>
    <w:rsid w:val="675D530E"/>
    <w:rsid w:val="675D7E8D"/>
    <w:rsid w:val="67604DBC"/>
    <w:rsid w:val="67670D0C"/>
    <w:rsid w:val="676776F7"/>
    <w:rsid w:val="676F196F"/>
    <w:rsid w:val="67717495"/>
    <w:rsid w:val="677526EE"/>
    <w:rsid w:val="677531D6"/>
    <w:rsid w:val="6776387B"/>
    <w:rsid w:val="677B47B7"/>
    <w:rsid w:val="67802799"/>
    <w:rsid w:val="67803B7C"/>
    <w:rsid w:val="678278F4"/>
    <w:rsid w:val="67836389"/>
    <w:rsid w:val="67845968"/>
    <w:rsid w:val="67854E2C"/>
    <w:rsid w:val="678846A7"/>
    <w:rsid w:val="678A3B27"/>
    <w:rsid w:val="678C0773"/>
    <w:rsid w:val="6791279C"/>
    <w:rsid w:val="679353D0"/>
    <w:rsid w:val="67966EFB"/>
    <w:rsid w:val="679A69EC"/>
    <w:rsid w:val="679B2764"/>
    <w:rsid w:val="67A05FCC"/>
    <w:rsid w:val="67A27F96"/>
    <w:rsid w:val="67A506CD"/>
    <w:rsid w:val="67A71109"/>
    <w:rsid w:val="67AD27D7"/>
    <w:rsid w:val="67AE06E9"/>
    <w:rsid w:val="67B0620F"/>
    <w:rsid w:val="67B13D35"/>
    <w:rsid w:val="67B80600"/>
    <w:rsid w:val="67BA5C01"/>
    <w:rsid w:val="67BF46A4"/>
    <w:rsid w:val="67C3109B"/>
    <w:rsid w:val="67C31806"/>
    <w:rsid w:val="67C47F0C"/>
    <w:rsid w:val="67C62FB3"/>
    <w:rsid w:val="67C63C85"/>
    <w:rsid w:val="67CC0BD6"/>
    <w:rsid w:val="67CD5013"/>
    <w:rsid w:val="67CF2647"/>
    <w:rsid w:val="67CF4726"/>
    <w:rsid w:val="67CF572D"/>
    <w:rsid w:val="67D16931"/>
    <w:rsid w:val="67D31EFE"/>
    <w:rsid w:val="67DB6D92"/>
    <w:rsid w:val="67DD5F1A"/>
    <w:rsid w:val="67E51B87"/>
    <w:rsid w:val="67E902FD"/>
    <w:rsid w:val="67E97065"/>
    <w:rsid w:val="67F24A7A"/>
    <w:rsid w:val="67F2535B"/>
    <w:rsid w:val="67F634C9"/>
    <w:rsid w:val="67FB3A08"/>
    <w:rsid w:val="67FB59E2"/>
    <w:rsid w:val="67FC3439"/>
    <w:rsid w:val="67FC37A4"/>
    <w:rsid w:val="68000819"/>
    <w:rsid w:val="68021F70"/>
    <w:rsid w:val="68037FDF"/>
    <w:rsid w:val="68064081"/>
    <w:rsid w:val="68091DC3"/>
    <w:rsid w:val="68092AD1"/>
    <w:rsid w:val="680F301B"/>
    <w:rsid w:val="6810000F"/>
    <w:rsid w:val="68127979"/>
    <w:rsid w:val="681361C5"/>
    <w:rsid w:val="68142C42"/>
    <w:rsid w:val="68151AB0"/>
    <w:rsid w:val="6815774F"/>
    <w:rsid w:val="68172D5E"/>
    <w:rsid w:val="681834EC"/>
    <w:rsid w:val="68190258"/>
    <w:rsid w:val="681A18DB"/>
    <w:rsid w:val="681A7B2C"/>
    <w:rsid w:val="681D261C"/>
    <w:rsid w:val="681E090A"/>
    <w:rsid w:val="681F0897"/>
    <w:rsid w:val="681F15E7"/>
    <w:rsid w:val="68202928"/>
    <w:rsid w:val="6828621E"/>
    <w:rsid w:val="682A7C88"/>
    <w:rsid w:val="683851C9"/>
    <w:rsid w:val="68395314"/>
    <w:rsid w:val="683A6742"/>
    <w:rsid w:val="683B227B"/>
    <w:rsid w:val="683C524E"/>
    <w:rsid w:val="683D600D"/>
    <w:rsid w:val="683E7EEC"/>
    <w:rsid w:val="6841155D"/>
    <w:rsid w:val="684352D5"/>
    <w:rsid w:val="68453C1C"/>
    <w:rsid w:val="684611D7"/>
    <w:rsid w:val="68464DC5"/>
    <w:rsid w:val="684B23DC"/>
    <w:rsid w:val="68511756"/>
    <w:rsid w:val="685230BB"/>
    <w:rsid w:val="68525518"/>
    <w:rsid w:val="68544A88"/>
    <w:rsid w:val="6855791D"/>
    <w:rsid w:val="68585A0D"/>
    <w:rsid w:val="685A28EA"/>
    <w:rsid w:val="685B786B"/>
    <w:rsid w:val="685E23F3"/>
    <w:rsid w:val="685E6B05"/>
    <w:rsid w:val="68670F13"/>
    <w:rsid w:val="68690F04"/>
    <w:rsid w:val="686E699A"/>
    <w:rsid w:val="686F18E8"/>
    <w:rsid w:val="686F3ED2"/>
    <w:rsid w:val="686F7842"/>
    <w:rsid w:val="687078B0"/>
    <w:rsid w:val="68720205"/>
    <w:rsid w:val="68727AEC"/>
    <w:rsid w:val="687312F3"/>
    <w:rsid w:val="68731391"/>
    <w:rsid w:val="68747FC1"/>
    <w:rsid w:val="68752A81"/>
    <w:rsid w:val="687731D1"/>
    <w:rsid w:val="68784853"/>
    <w:rsid w:val="687B58DA"/>
    <w:rsid w:val="68803A47"/>
    <w:rsid w:val="688348E0"/>
    <w:rsid w:val="68906041"/>
    <w:rsid w:val="68906E9A"/>
    <w:rsid w:val="68925915"/>
    <w:rsid w:val="68994EF5"/>
    <w:rsid w:val="689A0C6D"/>
    <w:rsid w:val="68A11C9D"/>
    <w:rsid w:val="68A57FC2"/>
    <w:rsid w:val="68AA7102"/>
    <w:rsid w:val="68AA78F2"/>
    <w:rsid w:val="68AB6164"/>
    <w:rsid w:val="68B2190A"/>
    <w:rsid w:val="68B2519B"/>
    <w:rsid w:val="68B41D2F"/>
    <w:rsid w:val="68B63144"/>
    <w:rsid w:val="68B852C3"/>
    <w:rsid w:val="68BB1E68"/>
    <w:rsid w:val="68BD3BC7"/>
    <w:rsid w:val="68BD52C3"/>
    <w:rsid w:val="68C13DA5"/>
    <w:rsid w:val="68C161FA"/>
    <w:rsid w:val="68C53B3E"/>
    <w:rsid w:val="68C963FA"/>
    <w:rsid w:val="68D53926"/>
    <w:rsid w:val="68D92A15"/>
    <w:rsid w:val="68DB4723"/>
    <w:rsid w:val="68DC11D9"/>
    <w:rsid w:val="68DC4739"/>
    <w:rsid w:val="68DD1DE6"/>
    <w:rsid w:val="68DE144C"/>
    <w:rsid w:val="68E02B24"/>
    <w:rsid w:val="68E04191"/>
    <w:rsid w:val="68E25BB7"/>
    <w:rsid w:val="68E36170"/>
    <w:rsid w:val="68E47FED"/>
    <w:rsid w:val="68E85E7D"/>
    <w:rsid w:val="68E90878"/>
    <w:rsid w:val="68E92F19"/>
    <w:rsid w:val="68EA74FF"/>
    <w:rsid w:val="68EB4E0B"/>
    <w:rsid w:val="68ED60DB"/>
    <w:rsid w:val="68EF077E"/>
    <w:rsid w:val="68F0088D"/>
    <w:rsid w:val="68F6689B"/>
    <w:rsid w:val="68FC7232"/>
    <w:rsid w:val="68FE11FC"/>
    <w:rsid w:val="6901203E"/>
    <w:rsid w:val="69013057"/>
    <w:rsid w:val="690336DE"/>
    <w:rsid w:val="69036A27"/>
    <w:rsid w:val="69076E4A"/>
    <w:rsid w:val="690E6278"/>
    <w:rsid w:val="69116ACA"/>
    <w:rsid w:val="69123D92"/>
    <w:rsid w:val="691602F4"/>
    <w:rsid w:val="6917746F"/>
    <w:rsid w:val="691C62D0"/>
    <w:rsid w:val="69205616"/>
    <w:rsid w:val="69207E48"/>
    <w:rsid w:val="69210824"/>
    <w:rsid w:val="69260A14"/>
    <w:rsid w:val="692A3D9F"/>
    <w:rsid w:val="692D5624"/>
    <w:rsid w:val="692F61D9"/>
    <w:rsid w:val="6934422B"/>
    <w:rsid w:val="69344839"/>
    <w:rsid w:val="69345E4D"/>
    <w:rsid w:val="6935288E"/>
    <w:rsid w:val="69371955"/>
    <w:rsid w:val="69385685"/>
    <w:rsid w:val="693C5FA2"/>
    <w:rsid w:val="69402BF8"/>
    <w:rsid w:val="6941314D"/>
    <w:rsid w:val="694357D9"/>
    <w:rsid w:val="694442E9"/>
    <w:rsid w:val="69450271"/>
    <w:rsid w:val="694F0B13"/>
    <w:rsid w:val="69531548"/>
    <w:rsid w:val="69551A76"/>
    <w:rsid w:val="69573C53"/>
    <w:rsid w:val="695E1C9B"/>
    <w:rsid w:val="695E52B7"/>
    <w:rsid w:val="69600855"/>
    <w:rsid w:val="69640903"/>
    <w:rsid w:val="69690D6B"/>
    <w:rsid w:val="696A4AE4"/>
    <w:rsid w:val="696C6F94"/>
    <w:rsid w:val="696E0130"/>
    <w:rsid w:val="696E7ABF"/>
    <w:rsid w:val="696F3EA8"/>
    <w:rsid w:val="696F5446"/>
    <w:rsid w:val="69731BEA"/>
    <w:rsid w:val="69744294"/>
    <w:rsid w:val="69750E21"/>
    <w:rsid w:val="6975577E"/>
    <w:rsid w:val="69757BD6"/>
    <w:rsid w:val="69766FE4"/>
    <w:rsid w:val="69783528"/>
    <w:rsid w:val="69784FBE"/>
    <w:rsid w:val="69796AD5"/>
    <w:rsid w:val="697F233D"/>
    <w:rsid w:val="698010DB"/>
    <w:rsid w:val="698060B5"/>
    <w:rsid w:val="69823EBC"/>
    <w:rsid w:val="6984483D"/>
    <w:rsid w:val="69845BA5"/>
    <w:rsid w:val="69915149"/>
    <w:rsid w:val="699925C6"/>
    <w:rsid w:val="699A2669"/>
    <w:rsid w:val="699F077D"/>
    <w:rsid w:val="699F2B6C"/>
    <w:rsid w:val="699F653B"/>
    <w:rsid w:val="699F7F40"/>
    <w:rsid w:val="69AA5BBC"/>
    <w:rsid w:val="69AC0C58"/>
    <w:rsid w:val="69AC3512"/>
    <w:rsid w:val="69B01F8E"/>
    <w:rsid w:val="69B12607"/>
    <w:rsid w:val="69B1626F"/>
    <w:rsid w:val="69B25B26"/>
    <w:rsid w:val="69B266DE"/>
    <w:rsid w:val="69B44B75"/>
    <w:rsid w:val="69B67D29"/>
    <w:rsid w:val="69B87885"/>
    <w:rsid w:val="69BA11A7"/>
    <w:rsid w:val="69BA2751"/>
    <w:rsid w:val="69BB1792"/>
    <w:rsid w:val="69C04704"/>
    <w:rsid w:val="69C30AC0"/>
    <w:rsid w:val="69C40803"/>
    <w:rsid w:val="69C43AEF"/>
    <w:rsid w:val="69C650CD"/>
    <w:rsid w:val="69C66504"/>
    <w:rsid w:val="69C66CD0"/>
    <w:rsid w:val="69C906D2"/>
    <w:rsid w:val="69D12417"/>
    <w:rsid w:val="69D53AF9"/>
    <w:rsid w:val="69D64DD2"/>
    <w:rsid w:val="69DA57C5"/>
    <w:rsid w:val="69DB0968"/>
    <w:rsid w:val="69DC7D20"/>
    <w:rsid w:val="69DC7ED6"/>
    <w:rsid w:val="69DD0FAB"/>
    <w:rsid w:val="69DE2152"/>
    <w:rsid w:val="69DF4B8A"/>
    <w:rsid w:val="69E06B54"/>
    <w:rsid w:val="69E54278"/>
    <w:rsid w:val="69E73958"/>
    <w:rsid w:val="69EB4B37"/>
    <w:rsid w:val="69EF253C"/>
    <w:rsid w:val="69F04FE9"/>
    <w:rsid w:val="69F109A3"/>
    <w:rsid w:val="69F543AD"/>
    <w:rsid w:val="69F61ED3"/>
    <w:rsid w:val="69F87914"/>
    <w:rsid w:val="6A0067D7"/>
    <w:rsid w:val="6A035DA4"/>
    <w:rsid w:val="6A0B1E23"/>
    <w:rsid w:val="6A1047C4"/>
    <w:rsid w:val="6A1265C0"/>
    <w:rsid w:val="6A13037E"/>
    <w:rsid w:val="6A132A85"/>
    <w:rsid w:val="6A190439"/>
    <w:rsid w:val="6A1973EB"/>
    <w:rsid w:val="6A1A27ED"/>
    <w:rsid w:val="6A1E7E12"/>
    <w:rsid w:val="6A221DF4"/>
    <w:rsid w:val="6A2313FB"/>
    <w:rsid w:val="6A254F5A"/>
    <w:rsid w:val="6A26111C"/>
    <w:rsid w:val="6A291911"/>
    <w:rsid w:val="6A2C3A0C"/>
    <w:rsid w:val="6A2E296F"/>
    <w:rsid w:val="6A41193D"/>
    <w:rsid w:val="6A413A96"/>
    <w:rsid w:val="6A435E96"/>
    <w:rsid w:val="6A44663C"/>
    <w:rsid w:val="6A49718E"/>
    <w:rsid w:val="6A4C271E"/>
    <w:rsid w:val="6A4C5F97"/>
    <w:rsid w:val="6A4F2E1A"/>
    <w:rsid w:val="6A511EFA"/>
    <w:rsid w:val="6A537C4E"/>
    <w:rsid w:val="6A5469E4"/>
    <w:rsid w:val="6A5549A3"/>
    <w:rsid w:val="6A5A325D"/>
    <w:rsid w:val="6A5B3471"/>
    <w:rsid w:val="6A617C95"/>
    <w:rsid w:val="6A647492"/>
    <w:rsid w:val="6A694087"/>
    <w:rsid w:val="6A6A5225"/>
    <w:rsid w:val="6A6A6101"/>
    <w:rsid w:val="6A6E0176"/>
    <w:rsid w:val="6A7157A9"/>
    <w:rsid w:val="6A72463D"/>
    <w:rsid w:val="6A752FE8"/>
    <w:rsid w:val="6A793769"/>
    <w:rsid w:val="6A795D6A"/>
    <w:rsid w:val="6A7C27D9"/>
    <w:rsid w:val="6A8246F4"/>
    <w:rsid w:val="6A845731"/>
    <w:rsid w:val="6A883473"/>
    <w:rsid w:val="6A883982"/>
    <w:rsid w:val="6A8D6CDC"/>
    <w:rsid w:val="6A8E57CD"/>
    <w:rsid w:val="6A95610E"/>
    <w:rsid w:val="6A9811DC"/>
    <w:rsid w:val="6A99742E"/>
    <w:rsid w:val="6A9D144E"/>
    <w:rsid w:val="6A9E2C97"/>
    <w:rsid w:val="6A9F2904"/>
    <w:rsid w:val="6AA168E8"/>
    <w:rsid w:val="6AA61BD5"/>
    <w:rsid w:val="6AA75BA8"/>
    <w:rsid w:val="6AA86AB1"/>
    <w:rsid w:val="6AB844F7"/>
    <w:rsid w:val="6ABA55F7"/>
    <w:rsid w:val="6ABB79F7"/>
    <w:rsid w:val="6ABD4DBC"/>
    <w:rsid w:val="6AC124E1"/>
    <w:rsid w:val="6AC7100E"/>
    <w:rsid w:val="6ACA1836"/>
    <w:rsid w:val="6ACB4E31"/>
    <w:rsid w:val="6ACB678B"/>
    <w:rsid w:val="6ACE029F"/>
    <w:rsid w:val="6AD04F92"/>
    <w:rsid w:val="6AD17B23"/>
    <w:rsid w:val="6AD22940"/>
    <w:rsid w:val="6AD246EE"/>
    <w:rsid w:val="6AD304CC"/>
    <w:rsid w:val="6AD55800"/>
    <w:rsid w:val="6AD77E2D"/>
    <w:rsid w:val="6AD77F57"/>
    <w:rsid w:val="6AD903BB"/>
    <w:rsid w:val="6ADC1E9D"/>
    <w:rsid w:val="6ADC37BF"/>
    <w:rsid w:val="6ADE3832"/>
    <w:rsid w:val="6ADE5A39"/>
    <w:rsid w:val="6ADF06DE"/>
    <w:rsid w:val="6ADF0BB9"/>
    <w:rsid w:val="6AE30927"/>
    <w:rsid w:val="6AE508C6"/>
    <w:rsid w:val="6AE52674"/>
    <w:rsid w:val="6AE54422"/>
    <w:rsid w:val="6AE74869"/>
    <w:rsid w:val="6AE754DE"/>
    <w:rsid w:val="6AE82164"/>
    <w:rsid w:val="6AEA33A5"/>
    <w:rsid w:val="6AEC5EBB"/>
    <w:rsid w:val="6AED777A"/>
    <w:rsid w:val="6AF00EE6"/>
    <w:rsid w:val="6AF24D91"/>
    <w:rsid w:val="6AF50EEE"/>
    <w:rsid w:val="6AF77361"/>
    <w:rsid w:val="6AF9611F"/>
    <w:rsid w:val="6AFB2C44"/>
    <w:rsid w:val="6AFF6645"/>
    <w:rsid w:val="6B022900"/>
    <w:rsid w:val="6B025A6F"/>
    <w:rsid w:val="6B027D65"/>
    <w:rsid w:val="6B046E59"/>
    <w:rsid w:val="6B066991"/>
    <w:rsid w:val="6B0D1BCA"/>
    <w:rsid w:val="6B0D3978"/>
    <w:rsid w:val="6B1116BB"/>
    <w:rsid w:val="6B1828E5"/>
    <w:rsid w:val="6B1940CB"/>
    <w:rsid w:val="6B1C4F90"/>
    <w:rsid w:val="6B1F0677"/>
    <w:rsid w:val="6B25268C"/>
    <w:rsid w:val="6B272C8C"/>
    <w:rsid w:val="6B273C50"/>
    <w:rsid w:val="6B2A452A"/>
    <w:rsid w:val="6B2A5874"/>
    <w:rsid w:val="6B2B3DFF"/>
    <w:rsid w:val="6B2C65A2"/>
    <w:rsid w:val="6B385EB4"/>
    <w:rsid w:val="6B3A163D"/>
    <w:rsid w:val="6B3C1670"/>
    <w:rsid w:val="6B4078AA"/>
    <w:rsid w:val="6B417407"/>
    <w:rsid w:val="6B421874"/>
    <w:rsid w:val="6B4328E0"/>
    <w:rsid w:val="6B4372AD"/>
    <w:rsid w:val="6B43739A"/>
    <w:rsid w:val="6B476C2D"/>
    <w:rsid w:val="6B496724"/>
    <w:rsid w:val="6B4B1036"/>
    <w:rsid w:val="6B4F5D3F"/>
    <w:rsid w:val="6B4F61BF"/>
    <w:rsid w:val="6B507294"/>
    <w:rsid w:val="6B513865"/>
    <w:rsid w:val="6B5216DD"/>
    <w:rsid w:val="6B546645"/>
    <w:rsid w:val="6B554422"/>
    <w:rsid w:val="6B5C220A"/>
    <w:rsid w:val="6B5E41D4"/>
    <w:rsid w:val="6B60472D"/>
    <w:rsid w:val="6B684B4C"/>
    <w:rsid w:val="6B6A3D5A"/>
    <w:rsid w:val="6B6A4927"/>
    <w:rsid w:val="6B807647"/>
    <w:rsid w:val="6B81028B"/>
    <w:rsid w:val="6B8174C3"/>
    <w:rsid w:val="6B822EE9"/>
    <w:rsid w:val="6B845F39"/>
    <w:rsid w:val="6B87197D"/>
    <w:rsid w:val="6B895BD2"/>
    <w:rsid w:val="6B8A0AC6"/>
    <w:rsid w:val="6B9023FF"/>
    <w:rsid w:val="6B91660C"/>
    <w:rsid w:val="6B95347C"/>
    <w:rsid w:val="6B9853AF"/>
    <w:rsid w:val="6B9D6CA6"/>
    <w:rsid w:val="6BA348FB"/>
    <w:rsid w:val="6BA86DB0"/>
    <w:rsid w:val="6BAA0D42"/>
    <w:rsid w:val="6BAA5BA6"/>
    <w:rsid w:val="6BAD30F8"/>
    <w:rsid w:val="6BAE6F0A"/>
    <w:rsid w:val="6BB7368E"/>
    <w:rsid w:val="6BBB3E48"/>
    <w:rsid w:val="6BBF1117"/>
    <w:rsid w:val="6BC26511"/>
    <w:rsid w:val="6BC37D58"/>
    <w:rsid w:val="6BC621DB"/>
    <w:rsid w:val="6BC63F3A"/>
    <w:rsid w:val="6BCC5210"/>
    <w:rsid w:val="6BD050D2"/>
    <w:rsid w:val="6BD065D4"/>
    <w:rsid w:val="6BD525D8"/>
    <w:rsid w:val="6BD779E9"/>
    <w:rsid w:val="6BD91AE2"/>
    <w:rsid w:val="6BDD0389"/>
    <w:rsid w:val="6BDD2F6C"/>
    <w:rsid w:val="6BDE1541"/>
    <w:rsid w:val="6BDE4E99"/>
    <w:rsid w:val="6BDF0AC7"/>
    <w:rsid w:val="6BE12084"/>
    <w:rsid w:val="6BE57DF5"/>
    <w:rsid w:val="6BEC4054"/>
    <w:rsid w:val="6BEE3567"/>
    <w:rsid w:val="6BF110CF"/>
    <w:rsid w:val="6BF1329A"/>
    <w:rsid w:val="6BF26915"/>
    <w:rsid w:val="6BF637E3"/>
    <w:rsid w:val="6BF84E53"/>
    <w:rsid w:val="6BF8798E"/>
    <w:rsid w:val="6BF95CAB"/>
    <w:rsid w:val="6BFB1A23"/>
    <w:rsid w:val="6BFD3756"/>
    <w:rsid w:val="6BFD39ED"/>
    <w:rsid w:val="6BFF1513"/>
    <w:rsid w:val="6C001882"/>
    <w:rsid w:val="6C0139F0"/>
    <w:rsid w:val="6C014AA0"/>
    <w:rsid w:val="6C014D65"/>
    <w:rsid w:val="6C0430A9"/>
    <w:rsid w:val="6C052128"/>
    <w:rsid w:val="6C060AF4"/>
    <w:rsid w:val="6C090C57"/>
    <w:rsid w:val="6C1256EA"/>
    <w:rsid w:val="6C1270FF"/>
    <w:rsid w:val="6C132789"/>
    <w:rsid w:val="6C13669E"/>
    <w:rsid w:val="6C164AAF"/>
    <w:rsid w:val="6C190CFF"/>
    <w:rsid w:val="6C1A00FB"/>
    <w:rsid w:val="6C1C314D"/>
    <w:rsid w:val="6C1C3356"/>
    <w:rsid w:val="6C1F36D1"/>
    <w:rsid w:val="6C2008BD"/>
    <w:rsid w:val="6C21592D"/>
    <w:rsid w:val="6C220D52"/>
    <w:rsid w:val="6C230A7B"/>
    <w:rsid w:val="6C256AA0"/>
    <w:rsid w:val="6C290DE9"/>
    <w:rsid w:val="6C2934E8"/>
    <w:rsid w:val="6C2B3640"/>
    <w:rsid w:val="6C2C1662"/>
    <w:rsid w:val="6C2C6080"/>
    <w:rsid w:val="6C2D5CDD"/>
    <w:rsid w:val="6C32232C"/>
    <w:rsid w:val="6C341537"/>
    <w:rsid w:val="6C3746D6"/>
    <w:rsid w:val="6C376EFF"/>
    <w:rsid w:val="6C3876CA"/>
    <w:rsid w:val="6C3C4515"/>
    <w:rsid w:val="6C3D203B"/>
    <w:rsid w:val="6C3F3781"/>
    <w:rsid w:val="6C3F3F7C"/>
    <w:rsid w:val="6C400DED"/>
    <w:rsid w:val="6C414E16"/>
    <w:rsid w:val="6C4242DA"/>
    <w:rsid w:val="6C425C56"/>
    <w:rsid w:val="6C431C4F"/>
    <w:rsid w:val="6C4367F5"/>
    <w:rsid w:val="6C4476FA"/>
    <w:rsid w:val="6C44786E"/>
    <w:rsid w:val="6C453A26"/>
    <w:rsid w:val="6C467464"/>
    <w:rsid w:val="6C4D0140"/>
    <w:rsid w:val="6C4F47B7"/>
    <w:rsid w:val="6C504377"/>
    <w:rsid w:val="6C547DE8"/>
    <w:rsid w:val="6C57134F"/>
    <w:rsid w:val="6C5775A1"/>
    <w:rsid w:val="6C5A4700"/>
    <w:rsid w:val="6C5A6D52"/>
    <w:rsid w:val="6C5C4BB7"/>
    <w:rsid w:val="6C64761B"/>
    <w:rsid w:val="6C6577CB"/>
    <w:rsid w:val="6C6B559C"/>
    <w:rsid w:val="6C6E2E51"/>
    <w:rsid w:val="6C6E6699"/>
    <w:rsid w:val="6C7041BF"/>
    <w:rsid w:val="6C7308D9"/>
    <w:rsid w:val="6C733C7B"/>
    <w:rsid w:val="6C74510B"/>
    <w:rsid w:val="6C747D70"/>
    <w:rsid w:val="6C76021C"/>
    <w:rsid w:val="6C7675EA"/>
    <w:rsid w:val="6C77797C"/>
    <w:rsid w:val="6C793453"/>
    <w:rsid w:val="6C7B1FBF"/>
    <w:rsid w:val="6C7C0DB6"/>
    <w:rsid w:val="6C8906AA"/>
    <w:rsid w:val="6C891DAC"/>
    <w:rsid w:val="6C8D09BE"/>
    <w:rsid w:val="6C8F247C"/>
    <w:rsid w:val="6C905D74"/>
    <w:rsid w:val="6C917A19"/>
    <w:rsid w:val="6C943EAB"/>
    <w:rsid w:val="6C965B1A"/>
    <w:rsid w:val="6C971DBA"/>
    <w:rsid w:val="6C992C0F"/>
    <w:rsid w:val="6C9C1458"/>
    <w:rsid w:val="6C9D6EE8"/>
    <w:rsid w:val="6CA218CA"/>
    <w:rsid w:val="6CA336E2"/>
    <w:rsid w:val="6CA9548B"/>
    <w:rsid w:val="6CAA7EAD"/>
    <w:rsid w:val="6CAB51F7"/>
    <w:rsid w:val="6CAD3CED"/>
    <w:rsid w:val="6CAE643E"/>
    <w:rsid w:val="6CB0430A"/>
    <w:rsid w:val="6CB26F15"/>
    <w:rsid w:val="6CB347D0"/>
    <w:rsid w:val="6CB669EB"/>
    <w:rsid w:val="6CBE13CE"/>
    <w:rsid w:val="6CBE15F3"/>
    <w:rsid w:val="6CC0027B"/>
    <w:rsid w:val="6CC60283"/>
    <w:rsid w:val="6CCA67F5"/>
    <w:rsid w:val="6CCD33BF"/>
    <w:rsid w:val="6CCF7C02"/>
    <w:rsid w:val="6CD429A0"/>
    <w:rsid w:val="6CD44D6B"/>
    <w:rsid w:val="6CD53438"/>
    <w:rsid w:val="6CDB1910"/>
    <w:rsid w:val="6CE36B4B"/>
    <w:rsid w:val="6CE46DF0"/>
    <w:rsid w:val="6CE8719D"/>
    <w:rsid w:val="6CEC150E"/>
    <w:rsid w:val="6CEC7175"/>
    <w:rsid w:val="6CED6E0A"/>
    <w:rsid w:val="6CF87248"/>
    <w:rsid w:val="6CF9021D"/>
    <w:rsid w:val="6CFB26FD"/>
    <w:rsid w:val="6CFC2164"/>
    <w:rsid w:val="6CFE5E7F"/>
    <w:rsid w:val="6D00601D"/>
    <w:rsid w:val="6D013E44"/>
    <w:rsid w:val="6D042472"/>
    <w:rsid w:val="6D050DAB"/>
    <w:rsid w:val="6D055E2C"/>
    <w:rsid w:val="6D0847F5"/>
    <w:rsid w:val="6D0A40B3"/>
    <w:rsid w:val="6D0D0841"/>
    <w:rsid w:val="6D1234C8"/>
    <w:rsid w:val="6D1763FC"/>
    <w:rsid w:val="6D181AF9"/>
    <w:rsid w:val="6D184DC4"/>
    <w:rsid w:val="6D18549A"/>
    <w:rsid w:val="6D192556"/>
    <w:rsid w:val="6D192AA9"/>
    <w:rsid w:val="6D1C7EA3"/>
    <w:rsid w:val="6D1E1E6D"/>
    <w:rsid w:val="6D212ED6"/>
    <w:rsid w:val="6D221D5A"/>
    <w:rsid w:val="6D241989"/>
    <w:rsid w:val="6D246CC7"/>
    <w:rsid w:val="6D287DD7"/>
    <w:rsid w:val="6D2A4F31"/>
    <w:rsid w:val="6D2F1E6A"/>
    <w:rsid w:val="6D303E5D"/>
    <w:rsid w:val="6D323B6A"/>
    <w:rsid w:val="6D3314B3"/>
    <w:rsid w:val="6D350F65"/>
    <w:rsid w:val="6D372F2F"/>
    <w:rsid w:val="6D3B2A1F"/>
    <w:rsid w:val="6D413DAD"/>
    <w:rsid w:val="6D4215FC"/>
    <w:rsid w:val="6D426B11"/>
    <w:rsid w:val="6D4318D3"/>
    <w:rsid w:val="6D443C83"/>
    <w:rsid w:val="6D454822"/>
    <w:rsid w:val="6D475C2D"/>
    <w:rsid w:val="6D486EEA"/>
    <w:rsid w:val="6D4A67DD"/>
    <w:rsid w:val="6D4D62AE"/>
    <w:rsid w:val="6D4F2026"/>
    <w:rsid w:val="6D524541"/>
    <w:rsid w:val="6D527D69"/>
    <w:rsid w:val="6D5C2995"/>
    <w:rsid w:val="6D5C7184"/>
    <w:rsid w:val="6D5D5F11"/>
    <w:rsid w:val="6D5E47ED"/>
    <w:rsid w:val="6D6026B6"/>
    <w:rsid w:val="6D604233"/>
    <w:rsid w:val="6D60461E"/>
    <w:rsid w:val="6D61374B"/>
    <w:rsid w:val="6D652AF4"/>
    <w:rsid w:val="6D6539A0"/>
    <w:rsid w:val="6D655CEE"/>
    <w:rsid w:val="6D6B4264"/>
    <w:rsid w:val="6D6B4986"/>
    <w:rsid w:val="6D6C1375"/>
    <w:rsid w:val="6D6D1651"/>
    <w:rsid w:val="6D6F10B6"/>
    <w:rsid w:val="6D714693"/>
    <w:rsid w:val="6D7221B9"/>
    <w:rsid w:val="6D74033C"/>
    <w:rsid w:val="6D765805"/>
    <w:rsid w:val="6D780E19"/>
    <w:rsid w:val="6D793229"/>
    <w:rsid w:val="6D7D22A5"/>
    <w:rsid w:val="6D7F296A"/>
    <w:rsid w:val="6D83643A"/>
    <w:rsid w:val="6D85612D"/>
    <w:rsid w:val="6D88378A"/>
    <w:rsid w:val="6D8C05DE"/>
    <w:rsid w:val="6D8D489C"/>
    <w:rsid w:val="6D927FAC"/>
    <w:rsid w:val="6D9558EF"/>
    <w:rsid w:val="6D967B0A"/>
    <w:rsid w:val="6D986F75"/>
    <w:rsid w:val="6D9E6B0A"/>
    <w:rsid w:val="6DA02F4A"/>
    <w:rsid w:val="6DA22D00"/>
    <w:rsid w:val="6DA47B21"/>
    <w:rsid w:val="6DA54E42"/>
    <w:rsid w:val="6DA5748B"/>
    <w:rsid w:val="6DA61459"/>
    <w:rsid w:val="6DA76C84"/>
    <w:rsid w:val="6DB027C7"/>
    <w:rsid w:val="6DB02FDD"/>
    <w:rsid w:val="6DB427D1"/>
    <w:rsid w:val="6DB45779"/>
    <w:rsid w:val="6DB47310"/>
    <w:rsid w:val="6DB52632"/>
    <w:rsid w:val="6DBA3482"/>
    <w:rsid w:val="6DBB3B60"/>
    <w:rsid w:val="6DBB6A0D"/>
    <w:rsid w:val="6DBC1D8B"/>
    <w:rsid w:val="6DBD764E"/>
    <w:rsid w:val="6DBE13AC"/>
    <w:rsid w:val="6DC26C9C"/>
    <w:rsid w:val="6DC5712B"/>
    <w:rsid w:val="6DC62BE1"/>
    <w:rsid w:val="6DC9627D"/>
    <w:rsid w:val="6DCB3599"/>
    <w:rsid w:val="6DCD5EEB"/>
    <w:rsid w:val="6DD30A37"/>
    <w:rsid w:val="6DDE39AF"/>
    <w:rsid w:val="6DDF3059"/>
    <w:rsid w:val="6DE63034"/>
    <w:rsid w:val="6DE704B1"/>
    <w:rsid w:val="6DF06E77"/>
    <w:rsid w:val="6DF13F1B"/>
    <w:rsid w:val="6DF2036B"/>
    <w:rsid w:val="6DF55674"/>
    <w:rsid w:val="6DF63C69"/>
    <w:rsid w:val="6DF90D44"/>
    <w:rsid w:val="6DFF3A4C"/>
    <w:rsid w:val="6E022344"/>
    <w:rsid w:val="6E02353D"/>
    <w:rsid w:val="6E030F2D"/>
    <w:rsid w:val="6E05486B"/>
    <w:rsid w:val="6E0D4DB0"/>
    <w:rsid w:val="6E0E2CA1"/>
    <w:rsid w:val="6E0E5A3E"/>
    <w:rsid w:val="6E1010AF"/>
    <w:rsid w:val="6E112D3E"/>
    <w:rsid w:val="6E126FDF"/>
    <w:rsid w:val="6E156023"/>
    <w:rsid w:val="6E18794E"/>
    <w:rsid w:val="6E192634"/>
    <w:rsid w:val="6E193B7A"/>
    <w:rsid w:val="6E1A1A51"/>
    <w:rsid w:val="6E1E085D"/>
    <w:rsid w:val="6E2214E9"/>
    <w:rsid w:val="6E226710"/>
    <w:rsid w:val="6E233ABF"/>
    <w:rsid w:val="6E250FD9"/>
    <w:rsid w:val="6E25523B"/>
    <w:rsid w:val="6E260C96"/>
    <w:rsid w:val="6E27620E"/>
    <w:rsid w:val="6E281C6D"/>
    <w:rsid w:val="6E2C0469"/>
    <w:rsid w:val="6E331948"/>
    <w:rsid w:val="6E3659C8"/>
    <w:rsid w:val="6E3A26AB"/>
    <w:rsid w:val="6E3B7BBF"/>
    <w:rsid w:val="6E3E600B"/>
    <w:rsid w:val="6E433472"/>
    <w:rsid w:val="6E4334F3"/>
    <w:rsid w:val="6E4574F2"/>
    <w:rsid w:val="6E4870A7"/>
    <w:rsid w:val="6E492F1A"/>
    <w:rsid w:val="6E494CC8"/>
    <w:rsid w:val="6E4A6B8C"/>
    <w:rsid w:val="6E4C60A3"/>
    <w:rsid w:val="6E4F6056"/>
    <w:rsid w:val="6E5001A7"/>
    <w:rsid w:val="6E522172"/>
    <w:rsid w:val="6E5418B1"/>
    <w:rsid w:val="6E5507AC"/>
    <w:rsid w:val="6E587601"/>
    <w:rsid w:val="6E590265"/>
    <w:rsid w:val="6E5A0C83"/>
    <w:rsid w:val="6E5B1B92"/>
    <w:rsid w:val="6E5B5F66"/>
    <w:rsid w:val="6E642215"/>
    <w:rsid w:val="6E674A87"/>
    <w:rsid w:val="6E6A4E4D"/>
    <w:rsid w:val="6E6C4E5A"/>
    <w:rsid w:val="6E6C7980"/>
    <w:rsid w:val="6E6E6E51"/>
    <w:rsid w:val="6E70000E"/>
    <w:rsid w:val="6E722051"/>
    <w:rsid w:val="6E737F96"/>
    <w:rsid w:val="6E744072"/>
    <w:rsid w:val="6E761835"/>
    <w:rsid w:val="6E7A59EE"/>
    <w:rsid w:val="6E825C33"/>
    <w:rsid w:val="6E851A78"/>
    <w:rsid w:val="6E871B8D"/>
    <w:rsid w:val="6E8757F0"/>
    <w:rsid w:val="6E891649"/>
    <w:rsid w:val="6E950501"/>
    <w:rsid w:val="6E957F0D"/>
    <w:rsid w:val="6E972A43"/>
    <w:rsid w:val="6E9A19C7"/>
    <w:rsid w:val="6E9A7917"/>
    <w:rsid w:val="6E9E4EA3"/>
    <w:rsid w:val="6E9F7FE1"/>
    <w:rsid w:val="6EA12D56"/>
    <w:rsid w:val="6EA14B04"/>
    <w:rsid w:val="6EA42846"/>
    <w:rsid w:val="6EAA516E"/>
    <w:rsid w:val="6EAB5982"/>
    <w:rsid w:val="6EAC5256"/>
    <w:rsid w:val="6EB011EB"/>
    <w:rsid w:val="6EB071D1"/>
    <w:rsid w:val="6EB72EEC"/>
    <w:rsid w:val="6EB96263"/>
    <w:rsid w:val="6EBC5733"/>
    <w:rsid w:val="6EC42B5A"/>
    <w:rsid w:val="6EC440DF"/>
    <w:rsid w:val="6EC648B3"/>
    <w:rsid w:val="6EC84F2F"/>
    <w:rsid w:val="6EC9705E"/>
    <w:rsid w:val="6EC978BE"/>
    <w:rsid w:val="6ECD58F9"/>
    <w:rsid w:val="6ED22F0F"/>
    <w:rsid w:val="6ED26EEB"/>
    <w:rsid w:val="6ED3187C"/>
    <w:rsid w:val="6EDA0016"/>
    <w:rsid w:val="6EDC1FE0"/>
    <w:rsid w:val="6EDF0F11"/>
    <w:rsid w:val="6EDF562C"/>
    <w:rsid w:val="6EDF6383"/>
    <w:rsid w:val="6EE04E25"/>
    <w:rsid w:val="6EE113A4"/>
    <w:rsid w:val="6EE36ECA"/>
    <w:rsid w:val="6EE87822"/>
    <w:rsid w:val="6EEB6902"/>
    <w:rsid w:val="6EEB6CE5"/>
    <w:rsid w:val="6EEE2A89"/>
    <w:rsid w:val="6EF16C22"/>
    <w:rsid w:val="6EF274D9"/>
    <w:rsid w:val="6EF75C78"/>
    <w:rsid w:val="6EF83DD7"/>
    <w:rsid w:val="6EF95E62"/>
    <w:rsid w:val="6EFA07C6"/>
    <w:rsid w:val="6EFA4214"/>
    <w:rsid w:val="6EFC4430"/>
    <w:rsid w:val="6EFC7F8C"/>
    <w:rsid w:val="6EFE2749"/>
    <w:rsid w:val="6EFF09BF"/>
    <w:rsid w:val="6F011A46"/>
    <w:rsid w:val="6F030D06"/>
    <w:rsid w:val="6F030FB4"/>
    <w:rsid w:val="6F05121A"/>
    <w:rsid w:val="6F084B83"/>
    <w:rsid w:val="6F0859D8"/>
    <w:rsid w:val="6F086F15"/>
    <w:rsid w:val="6F092045"/>
    <w:rsid w:val="6F094CB0"/>
    <w:rsid w:val="6F0F1D22"/>
    <w:rsid w:val="6F101C89"/>
    <w:rsid w:val="6F1103E5"/>
    <w:rsid w:val="6F1654F2"/>
    <w:rsid w:val="6F1756D8"/>
    <w:rsid w:val="6F177B94"/>
    <w:rsid w:val="6F18123A"/>
    <w:rsid w:val="6F23376B"/>
    <w:rsid w:val="6F291EEA"/>
    <w:rsid w:val="6F2B6AC3"/>
    <w:rsid w:val="6F2C03CD"/>
    <w:rsid w:val="6F2F210F"/>
    <w:rsid w:val="6F303007"/>
    <w:rsid w:val="6F3040D9"/>
    <w:rsid w:val="6F3A4D84"/>
    <w:rsid w:val="6F3B6D06"/>
    <w:rsid w:val="6F3C409E"/>
    <w:rsid w:val="6F3C65DA"/>
    <w:rsid w:val="6F3D79CF"/>
    <w:rsid w:val="6F410095"/>
    <w:rsid w:val="6F42621A"/>
    <w:rsid w:val="6F451933"/>
    <w:rsid w:val="6F466A9E"/>
    <w:rsid w:val="6F502482"/>
    <w:rsid w:val="6F502CE5"/>
    <w:rsid w:val="6F505649"/>
    <w:rsid w:val="6F51652A"/>
    <w:rsid w:val="6F540CD9"/>
    <w:rsid w:val="6F63000B"/>
    <w:rsid w:val="6F675D4D"/>
    <w:rsid w:val="6F6948C0"/>
    <w:rsid w:val="6F6A0833"/>
    <w:rsid w:val="6F6B1B80"/>
    <w:rsid w:val="6F6E31AE"/>
    <w:rsid w:val="6F7155D0"/>
    <w:rsid w:val="6F73194A"/>
    <w:rsid w:val="6F7B613C"/>
    <w:rsid w:val="6F7B6E0B"/>
    <w:rsid w:val="6F7C731F"/>
    <w:rsid w:val="6F7D30DE"/>
    <w:rsid w:val="6F7E47DB"/>
    <w:rsid w:val="6F7E4E45"/>
    <w:rsid w:val="6F80261F"/>
    <w:rsid w:val="6F810491"/>
    <w:rsid w:val="6F8166E3"/>
    <w:rsid w:val="6F8225F6"/>
    <w:rsid w:val="6F830CBF"/>
    <w:rsid w:val="6F836FCE"/>
    <w:rsid w:val="6F855C67"/>
    <w:rsid w:val="6F875DE5"/>
    <w:rsid w:val="6F881820"/>
    <w:rsid w:val="6F8821FC"/>
    <w:rsid w:val="6F8E3D71"/>
    <w:rsid w:val="6F903954"/>
    <w:rsid w:val="6F90531F"/>
    <w:rsid w:val="6F917C7D"/>
    <w:rsid w:val="6F946416"/>
    <w:rsid w:val="6F955B30"/>
    <w:rsid w:val="6F962654"/>
    <w:rsid w:val="6F9838A8"/>
    <w:rsid w:val="6F9957DB"/>
    <w:rsid w:val="6F9A176F"/>
    <w:rsid w:val="6FA22496"/>
    <w:rsid w:val="6FA43C2D"/>
    <w:rsid w:val="6FA47F4A"/>
    <w:rsid w:val="6FA67EF8"/>
    <w:rsid w:val="6FA7614A"/>
    <w:rsid w:val="6FAB19FA"/>
    <w:rsid w:val="6FAB6B7E"/>
    <w:rsid w:val="6FAC7D2B"/>
    <w:rsid w:val="6FAE0037"/>
    <w:rsid w:val="6FAF13ED"/>
    <w:rsid w:val="6FB10D76"/>
    <w:rsid w:val="6FB2298B"/>
    <w:rsid w:val="6FB25798"/>
    <w:rsid w:val="6FB44055"/>
    <w:rsid w:val="6FB447C9"/>
    <w:rsid w:val="6FB53110"/>
    <w:rsid w:val="6FB97C2B"/>
    <w:rsid w:val="6FBA295A"/>
    <w:rsid w:val="6FBD133A"/>
    <w:rsid w:val="6FBE7937"/>
    <w:rsid w:val="6FBF1211"/>
    <w:rsid w:val="6FBF3A3B"/>
    <w:rsid w:val="6FC12511"/>
    <w:rsid w:val="6FC1608F"/>
    <w:rsid w:val="6FC3279B"/>
    <w:rsid w:val="6FC463B9"/>
    <w:rsid w:val="6FC50CC6"/>
    <w:rsid w:val="6FC575C6"/>
    <w:rsid w:val="6FC628AC"/>
    <w:rsid w:val="6FC70FEC"/>
    <w:rsid w:val="6FC80D63"/>
    <w:rsid w:val="6FCA008A"/>
    <w:rsid w:val="6FCB2F5F"/>
    <w:rsid w:val="6FCF6FF9"/>
    <w:rsid w:val="6FD02E8D"/>
    <w:rsid w:val="6FD430CB"/>
    <w:rsid w:val="6FD70D7C"/>
    <w:rsid w:val="6FDE635F"/>
    <w:rsid w:val="6FE253D4"/>
    <w:rsid w:val="6FE253E5"/>
    <w:rsid w:val="6FE30F60"/>
    <w:rsid w:val="6FE426E6"/>
    <w:rsid w:val="6FE46D0A"/>
    <w:rsid w:val="6FE5484F"/>
    <w:rsid w:val="6FEC5DB0"/>
    <w:rsid w:val="6FED55F9"/>
    <w:rsid w:val="6FF173C5"/>
    <w:rsid w:val="6FF70753"/>
    <w:rsid w:val="6FFA3B26"/>
    <w:rsid w:val="6FFD1E01"/>
    <w:rsid w:val="6FFE3193"/>
    <w:rsid w:val="6FFE6DB7"/>
    <w:rsid w:val="70027205"/>
    <w:rsid w:val="7003718F"/>
    <w:rsid w:val="70045CAD"/>
    <w:rsid w:val="700A3022"/>
    <w:rsid w:val="700D6055"/>
    <w:rsid w:val="70115CB9"/>
    <w:rsid w:val="70124AF0"/>
    <w:rsid w:val="7013537A"/>
    <w:rsid w:val="701557A9"/>
    <w:rsid w:val="70157426"/>
    <w:rsid w:val="70180DF5"/>
    <w:rsid w:val="701875CA"/>
    <w:rsid w:val="701B617F"/>
    <w:rsid w:val="701B7D3D"/>
    <w:rsid w:val="701D27F2"/>
    <w:rsid w:val="701D640C"/>
    <w:rsid w:val="701F74FE"/>
    <w:rsid w:val="70223A22"/>
    <w:rsid w:val="70251764"/>
    <w:rsid w:val="70253512"/>
    <w:rsid w:val="702552C0"/>
    <w:rsid w:val="702A0B29"/>
    <w:rsid w:val="702A3ADC"/>
    <w:rsid w:val="702D0C71"/>
    <w:rsid w:val="702F1BCD"/>
    <w:rsid w:val="702F5A17"/>
    <w:rsid w:val="70351797"/>
    <w:rsid w:val="703839EF"/>
    <w:rsid w:val="70391526"/>
    <w:rsid w:val="70397B2E"/>
    <w:rsid w:val="703C1AF2"/>
    <w:rsid w:val="703D5F48"/>
    <w:rsid w:val="703E6382"/>
    <w:rsid w:val="703F47CD"/>
    <w:rsid w:val="704020FA"/>
    <w:rsid w:val="70476155"/>
    <w:rsid w:val="704E4817"/>
    <w:rsid w:val="70521BB1"/>
    <w:rsid w:val="70530695"/>
    <w:rsid w:val="705C0686"/>
    <w:rsid w:val="705C33D8"/>
    <w:rsid w:val="705E53A2"/>
    <w:rsid w:val="7060279C"/>
    <w:rsid w:val="70624AA5"/>
    <w:rsid w:val="706347FA"/>
    <w:rsid w:val="706A076E"/>
    <w:rsid w:val="706B72E9"/>
    <w:rsid w:val="706C7393"/>
    <w:rsid w:val="7073427E"/>
    <w:rsid w:val="70743533"/>
    <w:rsid w:val="707703C6"/>
    <w:rsid w:val="707762D7"/>
    <w:rsid w:val="707859E6"/>
    <w:rsid w:val="70785D38"/>
    <w:rsid w:val="707924DE"/>
    <w:rsid w:val="707A7240"/>
    <w:rsid w:val="707F2C23"/>
    <w:rsid w:val="707F70C6"/>
    <w:rsid w:val="707F724D"/>
    <w:rsid w:val="70820965"/>
    <w:rsid w:val="708278F0"/>
    <w:rsid w:val="708A1E82"/>
    <w:rsid w:val="708A2490"/>
    <w:rsid w:val="708C2FB6"/>
    <w:rsid w:val="708F0AF3"/>
    <w:rsid w:val="70900EC3"/>
    <w:rsid w:val="7093000E"/>
    <w:rsid w:val="709366CE"/>
    <w:rsid w:val="70937D81"/>
    <w:rsid w:val="70967F6C"/>
    <w:rsid w:val="70983ACB"/>
    <w:rsid w:val="709A3F00"/>
    <w:rsid w:val="709B2013"/>
    <w:rsid w:val="70A22892"/>
    <w:rsid w:val="70A86F08"/>
    <w:rsid w:val="70A95EF1"/>
    <w:rsid w:val="70AC5DF4"/>
    <w:rsid w:val="70AF6D8F"/>
    <w:rsid w:val="70B12FF8"/>
    <w:rsid w:val="70B166D1"/>
    <w:rsid w:val="70B22511"/>
    <w:rsid w:val="70B452BC"/>
    <w:rsid w:val="70B67777"/>
    <w:rsid w:val="70BA00FF"/>
    <w:rsid w:val="70BA4772"/>
    <w:rsid w:val="70BA5E8F"/>
    <w:rsid w:val="70BC3377"/>
    <w:rsid w:val="70BD1913"/>
    <w:rsid w:val="70BF65BA"/>
    <w:rsid w:val="70C155BC"/>
    <w:rsid w:val="70C51232"/>
    <w:rsid w:val="70C90342"/>
    <w:rsid w:val="70CA108C"/>
    <w:rsid w:val="70CD74E6"/>
    <w:rsid w:val="70D31FDB"/>
    <w:rsid w:val="70D3259D"/>
    <w:rsid w:val="70D35434"/>
    <w:rsid w:val="70D37EBE"/>
    <w:rsid w:val="70D46DE8"/>
    <w:rsid w:val="70D5314C"/>
    <w:rsid w:val="70D6480D"/>
    <w:rsid w:val="70DC32AB"/>
    <w:rsid w:val="70E46F2A"/>
    <w:rsid w:val="70E970B4"/>
    <w:rsid w:val="70EC2A0D"/>
    <w:rsid w:val="70F31F6D"/>
    <w:rsid w:val="70F33611"/>
    <w:rsid w:val="70F508D8"/>
    <w:rsid w:val="70F7087A"/>
    <w:rsid w:val="70FA4428"/>
    <w:rsid w:val="7101188A"/>
    <w:rsid w:val="710203C4"/>
    <w:rsid w:val="71031AA6"/>
    <w:rsid w:val="7104581E"/>
    <w:rsid w:val="71084C3D"/>
    <w:rsid w:val="710B1736"/>
    <w:rsid w:val="710F044A"/>
    <w:rsid w:val="71126CC9"/>
    <w:rsid w:val="711549FE"/>
    <w:rsid w:val="71161F56"/>
    <w:rsid w:val="711871A9"/>
    <w:rsid w:val="711B4EA6"/>
    <w:rsid w:val="711B69C2"/>
    <w:rsid w:val="711E68DF"/>
    <w:rsid w:val="711F4406"/>
    <w:rsid w:val="71201650"/>
    <w:rsid w:val="71224713"/>
    <w:rsid w:val="71233EF6"/>
    <w:rsid w:val="71236203"/>
    <w:rsid w:val="712612F0"/>
    <w:rsid w:val="7126343E"/>
    <w:rsid w:val="712C0089"/>
    <w:rsid w:val="712E63F7"/>
    <w:rsid w:val="712E7A17"/>
    <w:rsid w:val="71312913"/>
    <w:rsid w:val="71333633"/>
    <w:rsid w:val="71333A0D"/>
    <w:rsid w:val="713420C5"/>
    <w:rsid w:val="71367F51"/>
    <w:rsid w:val="713734FD"/>
    <w:rsid w:val="713B36F4"/>
    <w:rsid w:val="71421DD4"/>
    <w:rsid w:val="7143015F"/>
    <w:rsid w:val="714479C8"/>
    <w:rsid w:val="71465249"/>
    <w:rsid w:val="714734AD"/>
    <w:rsid w:val="714D2290"/>
    <w:rsid w:val="714F0A66"/>
    <w:rsid w:val="715043AA"/>
    <w:rsid w:val="71527EB0"/>
    <w:rsid w:val="71594887"/>
    <w:rsid w:val="715C65EB"/>
    <w:rsid w:val="715D5E53"/>
    <w:rsid w:val="71635F5C"/>
    <w:rsid w:val="716562BC"/>
    <w:rsid w:val="71672F07"/>
    <w:rsid w:val="716C7B4C"/>
    <w:rsid w:val="716D6F1F"/>
    <w:rsid w:val="7173269C"/>
    <w:rsid w:val="71766B9D"/>
    <w:rsid w:val="71771B57"/>
    <w:rsid w:val="71782674"/>
    <w:rsid w:val="717A163C"/>
    <w:rsid w:val="717F1456"/>
    <w:rsid w:val="717F7BE0"/>
    <w:rsid w:val="71810C1C"/>
    <w:rsid w:val="71866138"/>
    <w:rsid w:val="71866F93"/>
    <w:rsid w:val="718A4E8A"/>
    <w:rsid w:val="718B3849"/>
    <w:rsid w:val="718C06C8"/>
    <w:rsid w:val="718F0882"/>
    <w:rsid w:val="71920FB5"/>
    <w:rsid w:val="71930BD3"/>
    <w:rsid w:val="7195377D"/>
    <w:rsid w:val="71954DDE"/>
    <w:rsid w:val="719721EE"/>
    <w:rsid w:val="71975A9D"/>
    <w:rsid w:val="719F6E44"/>
    <w:rsid w:val="71A010A2"/>
    <w:rsid w:val="71A07496"/>
    <w:rsid w:val="71AC656D"/>
    <w:rsid w:val="71AD1A11"/>
    <w:rsid w:val="71AF5F44"/>
    <w:rsid w:val="71B40089"/>
    <w:rsid w:val="71B4745D"/>
    <w:rsid w:val="71B52674"/>
    <w:rsid w:val="71B72099"/>
    <w:rsid w:val="71B92C84"/>
    <w:rsid w:val="71BA53B9"/>
    <w:rsid w:val="71BF1E86"/>
    <w:rsid w:val="71C006C3"/>
    <w:rsid w:val="71C019AC"/>
    <w:rsid w:val="71C04054"/>
    <w:rsid w:val="71C07997"/>
    <w:rsid w:val="71CA611F"/>
    <w:rsid w:val="71CD3E62"/>
    <w:rsid w:val="71CE21E8"/>
    <w:rsid w:val="71D701A8"/>
    <w:rsid w:val="71DC5E53"/>
    <w:rsid w:val="71DE606F"/>
    <w:rsid w:val="71E15445"/>
    <w:rsid w:val="71E2392B"/>
    <w:rsid w:val="71E27F8C"/>
    <w:rsid w:val="71E37FE1"/>
    <w:rsid w:val="71E759E0"/>
    <w:rsid w:val="71E76837"/>
    <w:rsid w:val="71E833B8"/>
    <w:rsid w:val="71EA492E"/>
    <w:rsid w:val="71EF6BAB"/>
    <w:rsid w:val="71F00B3D"/>
    <w:rsid w:val="71F40824"/>
    <w:rsid w:val="71F41151"/>
    <w:rsid w:val="71F41C95"/>
    <w:rsid w:val="71F53886"/>
    <w:rsid w:val="71F56B69"/>
    <w:rsid w:val="71FB20C0"/>
    <w:rsid w:val="71FC5476"/>
    <w:rsid w:val="71FE6257"/>
    <w:rsid w:val="72030A57"/>
    <w:rsid w:val="720553A9"/>
    <w:rsid w:val="72090944"/>
    <w:rsid w:val="72097936"/>
    <w:rsid w:val="720D5015"/>
    <w:rsid w:val="720E1DF4"/>
    <w:rsid w:val="720E6BFD"/>
    <w:rsid w:val="7210243F"/>
    <w:rsid w:val="72113D4E"/>
    <w:rsid w:val="72144E11"/>
    <w:rsid w:val="72170A72"/>
    <w:rsid w:val="721A50E2"/>
    <w:rsid w:val="721C3A9F"/>
    <w:rsid w:val="721F7EEB"/>
    <w:rsid w:val="72200435"/>
    <w:rsid w:val="722315F1"/>
    <w:rsid w:val="722570B1"/>
    <w:rsid w:val="722E2B52"/>
    <w:rsid w:val="722F0A51"/>
    <w:rsid w:val="722F3262"/>
    <w:rsid w:val="72307974"/>
    <w:rsid w:val="72316CDF"/>
    <w:rsid w:val="72317208"/>
    <w:rsid w:val="72321E29"/>
    <w:rsid w:val="723414D5"/>
    <w:rsid w:val="72361A07"/>
    <w:rsid w:val="72363559"/>
    <w:rsid w:val="72392E45"/>
    <w:rsid w:val="72395C10"/>
    <w:rsid w:val="723C2892"/>
    <w:rsid w:val="723D3896"/>
    <w:rsid w:val="723E08BB"/>
    <w:rsid w:val="723E2669"/>
    <w:rsid w:val="72421353"/>
    <w:rsid w:val="72426FFA"/>
    <w:rsid w:val="72477770"/>
    <w:rsid w:val="724C656F"/>
    <w:rsid w:val="7251239D"/>
    <w:rsid w:val="72513250"/>
    <w:rsid w:val="725325B9"/>
    <w:rsid w:val="72544725"/>
    <w:rsid w:val="72567431"/>
    <w:rsid w:val="725A0E4E"/>
    <w:rsid w:val="725C503F"/>
    <w:rsid w:val="725D6F93"/>
    <w:rsid w:val="725E36E6"/>
    <w:rsid w:val="725F5C27"/>
    <w:rsid w:val="726245AA"/>
    <w:rsid w:val="72653947"/>
    <w:rsid w:val="726B29A6"/>
    <w:rsid w:val="727049DE"/>
    <w:rsid w:val="727131F3"/>
    <w:rsid w:val="727147ED"/>
    <w:rsid w:val="72743CEF"/>
    <w:rsid w:val="7275396F"/>
    <w:rsid w:val="7276127B"/>
    <w:rsid w:val="727B75E6"/>
    <w:rsid w:val="727E27EB"/>
    <w:rsid w:val="727E6B96"/>
    <w:rsid w:val="72846009"/>
    <w:rsid w:val="72874010"/>
    <w:rsid w:val="728C1627"/>
    <w:rsid w:val="728E73F9"/>
    <w:rsid w:val="72904389"/>
    <w:rsid w:val="72914E8F"/>
    <w:rsid w:val="72923BB4"/>
    <w:rsid w:val="72952BD1"/>
    <w:rsid w:val="7298612F"/>
    <w:rsid w:val="729D53AB"/>
    <w:rsid w:val="72A050D2"/>
    <w:rsid w:val="72A07A51"/>
    <w:rsid w:val="72A42E14"/>
    <w:rsid w:val="72A65382"/>
    <w:rsid w:val="72A7120C"/>
    <w:rsid w:val="72A7755F"/>
    <w:rsid w:val="72AC3873"/>
    <w:rsid w:val="72AD76B6"/>
    <w:rsid w:val="72AE2AAD"/>
    <w:rsid w:val="72AE3C93"/>
    <w:rsid w:val="72AF08D5"/>
    <w:rsid w:val="72B7787D"/>
    <w:rsid w:val="72B945E6"/>
    <w:rsid w:val="72BC20E7"/>
    <w:rsid w:val="72C139C6"/>
    <w:rsid w:val="72C62D8B"/>
    <w:rsid w:val="72C708B1"/>
    <w:rsid w:val="72CD1B96"/>
    <w:rsid w:val="72D674C8"/>
    <w:rsid w:val="72D703EA"/>
    <w:rsid w:val="72D728E3"/>
    <w:rsid w:val="72D93D15"/>
    <w:rsid w:val="72DB3E69"/>
    <w:rsid w:val="72DF191D"/>
    <w:rsid w:val="72DF5BFA"/>
    <w:rsid w:val="72E0339F"/>
    <w:rsid w:val="72E133AF"/>
    <w:rsid w:val="72E231CE"/>
    <w:rsid w:val="72E40B34"/>
    <w:rsid w:val="72EC0317"/>
    <w:rsid w:val="72EC2688"/>
    <w:rsid w:val="72F01BB6"/>
    <w:rsid w:val="72F072B0"/>
    <w:rsid w:val="72F07E08"/>
    <w:rsid w:val="72F1282E"/>
    <w:rsid w:val="72F43A0C"/>
    <w:rsid w:val="72F6757D"/>
    <w:rsid w:val="72FC67AC"/>
    <w:rsid w:val="73005B71"/>
    <w:rsid w:val="73025C98"/>
    <w:rsid w:val="730438B3"/>
    <w:rsid w:val="731037D9"/>
    <w:rsid w:val="731070EB"/>
    <w:rsid w:val="73107C5C"/>
    <w:rsid w:val="731626DA"/>
    <w:rsid w:val="73187D7A"/>
    <w:rsid w:val="731955B0"/>
    <w:rsid w:val="731B7B5F"/>
    <w:rsid w:val="731C6E4F"/>
    <w:rsid w:val="731E2BC7"/>
    <w:rsid w:val="731F249B"/>
    <w:rsid w:val="73236401"/>
    <w:rsid w:val="73243F55"/>
    <w:rsid w:val="73274AD0"/>
    <w:rsid w:val="732855E2"/>
    <w:rsid w:val="732C1FC1"/>
    <w:rsid w:val="732C65AC"/>
    <w:rsid w:val="733158E0"/>
    <w:rsid w:val="73353A6C"/>
    <w:rsid w:val="733D7717"/>
    <w:rsid w:val="733F2B3D"/>
    <w:rsid w:val="7349598F"/>
    <w:rsid w:val="734C5836"/>
    <w:rsid w:val="734D708D"/>
    <w:rsid w:val="734F19AD"/>
    <w:rsid w:val="735071F1"/>
    <w:rsid w:val="73507CCF"/>
    <w:rsid w:val="73526806"/>
    <w:rsid w:val="73552361"/>
    <w:rsid w:val="73556C1C"/>
    <w:rsid w:val="735B551C"/>
    <w:rsid w:val="735E082A"/>
    <w:rsid w:val="735F6D3B"/>
    <w:rsid w:val="735F7B4C"/>
    <w:rsid w:val="73614861"/>
    <w:rsid w:val="73644352"/>
    <w:rsid w:val="7364685B"/>
    <w:rsid w:val="736A259F"/>
    <w:rsid w:val="736A56BF"/>
    <w:rsid w:val="736B313E"/>
    <w:rsid w:val="736D76AA"/>
    <w:rsid w:val="736F421A"/>
    <w:rsid w:val="737027D3"/>
    <w:rsid w:val="73740A39"/>
    <w:rsid w:val="73760918"/>
    <w:rsid w:val="737975D6"/>
    <w:rsid w:val="737A5923"/>
    <w:rsid w:val="73824229"/>
    <w:rsid w:val="738362F2"/>
    <w:rsid w:val="73845231"/>
    <w:rsid w:val="738661CC"/>
    <w:rsid w:val="738B158B"/>
    <w:rsid w:val="738B3C5C"/>
    <w:rsid w:val="738D1AFA"/>
    <w:rsid w:val="738D2E91"/>
    <w:rsid w:val="738F48A9"/>
    <w:rsid w:val="738F7621"/>
    <w:rsid w:val="739001B7"/>
    <w:rsid w:val="73920EBF"/>
    <w:rsid w:val="73981A6B"/>
    <w:rsid w:val="739A179F"/>
    <w:rsid w:val="739F6DA7"/>
    <w:rsid w:val="73A01530"/>
    <w:rsid w:val="73A0182E"/>
    <w:rsid w:val="73A20665"/>
    <w:rsid w:val="73A61D75"/>
    <w:rsid w:val="73A802FD"/>
    <w:rsid w:val="73AA3452"/>
    <w:rsid w:val="73AB1CF8"/>
    <w:rsid w:val="73AB3FFD"/>
    <w:rsid w:val="73AC27BA"/>
    <w:rsid w:val="73AE4F1D"/>
    <w:rsid w:val="73AE6635"/>
    <w:rsid w:val="73AF56DD"/>
    <w:rsid w:val="73AF7CC3"/>
    <w:rsid w:val="73B07F67"/>
    <w:rsid w:val="73B10181"/>
    <w:rsid w:val="73B15730"/>
    <w:rsid w:val="73B21561"/>
    <w:rsid w:val="73B250BD"/>
    <w:rsid w:val="73B9469D"/>
    <w:rsid w:val="73BE4B6D"/>
    <w:rsid w:val="73BF3D9C"/>
    <w:rsid w:val="73C3551C"/>
    <w:rsid w:val="73C66DBA"/>
    <w:rsid w:val="73C8044D"/>
    <w:rsid w:val="73C81BA8"/>
    <w:rsid w:val="73C85980"/>
    <w:rsid w:val="73CB1645"/>
    <w:rsid w:val="73CB17AC"/>
    <w:rsid w:val="73CC2623"/>
    <w:rsid w:val="73CE0806"/>
    <w:rsid w:val="73CF2DDF"/>
    <w:rsid w:val="73D365C7"/>
    <w:rsid w:val="73D47729"/>
    <w:rsid w:val="73D5257E"/>
    <w:rsid w:val="73E01D46"/>
    <w:rsid w:val="73E25A74"/>
    <w:rsid w:val="73E76F91"/>
    <w:rsid w:val="73E819A5"/>
    <w:rsid w:val="73E84D22"/>
    <w:rsid w:val="73EB05CF"/>
    <w:rsid w:val="73EB6821"/>
    <w:rsid w:val="73EB7799"/>
    <w:rsid w:val="73ED4347"/>
    <w:rsid w:val="73EE1A27"/>
    <w:rsid w:val="73EF4563"/>
    <w:rsid w:val="73F112D6"/>
    <w:rsid w:val="73F15E96"/>
    <w:rsid w:val="73F36140"/>
    <w:rsid w:val="73F54526"/>
    <w:rsid w:val="73F61362"/>
    <w:rsid w:val="73F73D09"/>
    <w:rsid w:val="73F755C4"/>
    <w:rsid w:val="73F86752"/>
    <w:rsid w:val="73F90394"/>
    <w:rsid w:val="73FB4CB6"/>
    <w:rsid w:val="73FB5727"/>
    <w:rsid w:val="73FC27DC"/>
    <w:rsid w:val="73FD4716"/>
    <w:rsid w:val="73FD79FC"/>
    <w:rsid w:val="73FF08C3"/>
    <w:rsid w:val="74010C42"/>
    <w:rsid w:val="74012809"/>
    <w:rsid w:val="74031DBD"/>
    <w:rsid w:val="7405426D"/>
    <w:rsid w:val="74105C0A"/>
    <w:rsid w:val="74127ACE"/>
    <w:rsid w:val="741337FF"/>
    <w:rsid w:val="74133C11"/>
    <w:rsid w:val="74165C25"/>
    <w:rsid w:val="7418684A"/>
    <w:rsid w:val="741D2E7E"/>
    <w:rsid w:val="741E1326"/>
    <w:rsid w:val="741F42D0"/>
    <w:rsid w:val="74244F87"/>
    <w:rsid w:val="74273CFD"/>
    <w:rsid w:val="742A3671"/>
    <w:rsid w:val="742A7349"/>
    <w:rsid w:val="742F2BB2"/>
    <w:rsid w:val="7430608E"/>
    <w:rsid w:val="7438503D"/>
    <w:rsid w:val="743D5B60"/>
    <w:rsid w:val="743E7FA4"/>
    <w:rsid w:val="744463E4"/>
    <w:rsid w:val="74455F31"/>
    <w:rsid w:val="74493F52"/>
    <w:rsid w:val="744C72C0"/>
    <w:rsid w:val="745078D0"/>
    <w:rsid w:val="74512B28"/>
    <w:rsid w:val="74522742"/>
    <w:rsid w:val="7453031D"/>
    <w:rsid w:val="7456013E"/>
    <w:rsid w:val="74573C7D"/>
    <w:rsid w:val="745750C0"/>
    <w:rsid w:val="745A0297"/>
    <w:rsid w:val="745D0743"/>
    <w:rsid w:val="745D1DF2"/>
    <w:rsid w:val="746335E0"/>
    <w:rsid w:val="746748B4"/>
    <w:rsid w:val="7469245C"/>
    <w:rsid w:val="746B02DE"/>
    <w:rsid w:val="746C4DC6"/>
    <w:rsid w:val="746C6769"/>
    <w:rsid w:val="746D7236"/>
    <w:rsid w:val="7470070A"/>
    <w:rsid w:val="74716D26"/>
    <w:rsid w:val="74746816"/>
    <w:rsid w:val="74747483"/>
    <w:rsid w:val="747607E0"/>
    <w:rsid w:val="747616AC"/>
    <w:rsid w:val="747A2501"/>
    <w:rsid w:val="747C0427"/>
    <w:rsid w:val="747C7B03"/>
    <w:rsid w:val="747F4194"/>
    <w:rsid w:val="748050C8"/>
    <w:rsid w:val="7481100B"/>
    <w:rsid w:val="74861C89"/>
    <w:rsid w:val="74863F93"/>
    <w:rsid w:val="74883614"/>
    <w:rsid w:val="748841B8"/>
    <w:rsid w:val="748864DD"/>
    <w:rsid w:val="748B260D"/>
    <w:rsid w:val="748E080D"/>
    <w:rsid w:val="748E7A7C"/>
    <w:rsid w:val="749312CB"/>
    <w:rsid w:val="74940C67"/>
    <w:rsid w:val="74940D67"/>
    <w:rsid w:val="74964724"/>
    <w:rsid w:val="74980757"/>
    <w:rsid w:val="74982505"/>
    <w:rsid w:val="74984413"/>
    <w:rsid w:val="749C48A6"/>
    <w:rsid w:val="74A144D3"/>
    <w:rsid w:val="74A83017"/>
    <w:rsid w:val="74A92DB1"/>
    <w:rsid w:val="74AD2004"/>
    <w:rsid w:val="74AD2FE1"/>
    <w:rsid w:val="74B2748C"/>
    <w:rsid w:val="74B43B24"/>
    <w:rsid w:val="74B44D47"/>
    <w:rsid w:val="74B65081"/>
    <w:rsid w:val="74C652C4"/>
    <w:rsid w:val="74C956BC"/>
    <w:rsid w:val="74C96D9D"/>
    <w:rsid w:val="74CA6436"/>
    <w:rsid w:val="74CE5F27"/>
    <w:rsid w:val="74D024F7"/>
    <w:rsid w:val="74D05E32"/>
    <w:rsid w:val="74D06143"/>
    <w:rsid w:val="74D21440"/>
    <w:rsid w:val="74D3353D"/>
    <w:rsid w:val="74D37E9F"/>
    <w:rsid w:val="74D53759"/>
    <w:rsid w:val="74D6302D"/>
    <w:rsid w:val="74D703E1"/>
    <w:rsid w:val="74D73693"/>
    <w:rsid w:val="74D95A94"/>
    <w:rsid w:val="74DB75F9"/>
    <w:rsid w:val="74DC2A68"/>
    <w:rsid w:val="74DC5D39"/>
    <w:rsid w:val="74DD0693"/>
    <w:rsid w:val="74DD260E"/>
    <w:rsid w:val="74E03F9D"/>
    <w:rsid w:val="74E4399C"/>
    <w:rsid w:val="74E66303"/>
    <w:rsid w:val="74E71189"/>
    <w:rsid w:val="74E77FFF"/>
    <w:rsid w:val="74EC6A40"/>
    <w:rsid w:val="74F11BE7"/>
    <w:rsid w:val="74F35C97"/>
    <w:rsid w:val="74F37229"/>
    <w:rsid w:val="74F411E5"/>
    <w:rsid w:val="74F45B9C"/>
    <w:rsid w:val="74F51614"/>
    <w:rsid w:val="74F83976"/>
    <w:rsid w:val="74FA31C0"/>
    <w:rsid w:val="74FC6F38"/>
    <w:rsid w:val="74FF2FA7"/>
    <w:rsid w:val="75035007"/>
    <w:rsid w:val="75037125"/>
    <w:rsid w:val="7504746A"/>
    <w:rsid w:val="750556C0"/>
    <w:rsid w:val="75083B63"/>
    <w:rsid w:val="750D7D7F"/>
    <w:rsid w:val="750F179B"/>
    <w:rsid w:val="750F1A37"/>
    <w:rsid w:val="751128FC"/>
    <w:rsid w:val="75145A45"/>
    <w:rsid w:val="751634FE"/>
    <w:rsid w:val="75163567"/>
    <w:rsid w:val="751659DE"/>
    <w:rsid w:val="75183646"/>
    <w:rsid w:val="751E4096"/>
    <w:rsid w:val="75211CF0"/>
    <w:rsid w:val="75241FEA"/>
    <w:rsid w:val="752B7F16"/>
    <w:rsid w:val="752C0889"/>
    <w:rsid w:val="752C0E9F"/>
    <w:rsid w:val="752C224D"/>
    <w:rsid w:val="752C5ED8"/>
    <w:rsid w:val="753016A8"/>
    <w:rsid w:val="75327821"/>
    <w:rsid w:val="7538008B"/>
    <w:rsid w:val="75426C6E"/>
    <w:rsid w:val="75436915"/>
    <w:rsid w:val="75461650"/>
    <w:rsid w:val="75461F61"/>
    <w:rsid w:val="75492FB1"/>
    <w:rsid w:val="75497CA3"/>
    <w:rsid w:val="754C5594"/>
    <w:rsid w:val="75532E4F"/>
    <w:rsid w:val="75560FE8"/>
    <w:rsid w:val="755634B9"/>
    <w:rsid w:val="755A2E0E"/>
    <w:rsid w:val="755A6260"/>
    <w:rsid w:val="755C08E8"/>
    <w:rsid w:val="755D6BFE"/>
    <w:rsid w:val="75610B49"/>
    <w:rsid w:val="756371F1"/>
    <w:rsid w:val="75640917"/>
    <w:rsid w:val="7565350D"/>
    <w:rsid w:val="756A7000"/>
    <w:rsid w:val="756D573F"/>
    <w:rsid w:val="756E6420"/>
    <w:rsid w:val="756F67BD"/>
    <w:rsid w:val="75734D20"/>
    <w:rsid w:val="75747288"/>
    <w:rsid w:val="75751540"/>
    <w:rsid w:val="75787C5A"/>
    <w:rsid w:val="75790B8C"/>
    <w:rsid w:val="757944DF"/>
    <w:rsid w:val="7580063C"/>
    <w:rsid w:val="75805BB6"/>
    <w:rsid w:val="758354A2"/>
    <w:rsid w:val="758366FC"/>
    <w:rsid w:val="75862D2A"/>
    <w:rsid w:val="75894543"/>
    <w:rsid w:val="758A21BC"/>
    <w:rsid w:val="758B02BC"/>
    <w:rsid w:val="758C6C69"/>
    <w:rsid w:val="758D4034"/>
    <w:rsid w:val="75940EA5"/>
    <w:rsid w:val="759712C6"/>
    <w:rsid w:val="759753ED"/>
    <w:rsid w:val="75976523"/>
    <w:rsid w:val="759B72E6"/>
    <w:rsid w:val="759C4EF4"/>
    <w:rsid w:val="759C6A25"/>
    <w:rsid w:val="759E7102"/>
    <w:rsid w:val="75A05205"/>
    <w:rsid w:val="75A2213D"/>
    <w:rsid w:val="75A37EBA"/>
    <w:rsid w:val="75A657F4"/>
    <w:rsid w:val="75A90DBF"/>
    <w:rsid w:val="75AA330D"/>
    <w:rsid w:val="75AA5497"/>
    <w:rsid w:val="75AB479D"/>
    <w:rsid w:val="75AD0232"/>
    <w:rsid w:val="75AE293F"/>
    <w:rsid w:val="75B144DC"/>
    <w:rsid w:val="75B65A81"/>
    <w:rsid w:val="75BA734C"/>
    <w:rsid w:val="75BC5701"/>
    <w:rsid w:val="75BF1BC5"/>
    <w:rsid w:val="75BF3AC1"/>
    <w:rsid w:val="75C128B8"/>
    <w:rsid w:val="75C22A91"/>
    <w:rsid w:val="75C61709"/>
    <w:rsid w:val="75CB0AC7"/>
    <w:rsid w:val="75CB19AE"/>
    <w:rsid w:val="75CC4039"/>
    <w:rsid w:val="75CD5A50"/>
    <w:rsid w:val="75D05CCE"/>
    <w:rsid w:val="75D06D38"/>
    <w:rsid w:val="75D21A46"/>
    <w:rsid w:val="75D37A22"/>
    <w:rsid w:val="75D637A2"/>
    <w:rsid w:val="75D8385C"/>
    <w:rsid w:val="75DA32E5"/>
    <w:rsid w:val="75DA3C69"/>
    <w:rsid w:val="75E05554"/>
    <w:rsid w:val="75E35A02"/>
    <w:rsid w:val="75E556A7"/>
    <w:rsid w:val="75E55DBE"/>
    <w:rsid w:val="75E77CEE"/>
    <w:rsid w:val="75E85738"/>
    <w:rsid w:val="75EA1F29"/>
    <w:rsid w:val="75ED6880"/>
    <w:rsid w:val="75EF463B"/>
    <w:rsid w:val="75F07DF0"/>
    <w:rsid w:val="75F251E4"/>
    <w:rsid w:val="75F4087F"/>
    <w:rsid w:val="75F66D43"/>
    <w:rsid w:val="75F96221"/>
    <w:rsid w:val="75FD10F2"/>
    <w:rsid w:val="75FD54FF"/>
    <w:rsid w:val="76004806"/>
    <w:rsid w:val="7601057E"/>
    <w:rsid w:val="760140DA"/>
    <w:rsid w:val="7606408C"/>
    <w:rsid w:val="76071E66"/>
    <w:rsid w:val="76082766"/>
    <w:rsid w:val="760870B2"/>
    <w:rsid w:val="760950A4"/>
    <w:rsid w:val="760A11E0"/>
    <w:rsid w:val="760A5684"/>
    <w:rsid w:val="760B4F58"/>
    <w:rsid w:val="760D0CD1"/>
    <w:rsid w:val="760E0994"/>
    <w:rsid w:val="760E58F2"/>
    <w:rsid w:val="760F3042"/>
    <w:rsid w:val="76172A46"/>
    <w:rsid w:val="761738FD"/>
    <w:rsid w:val="761C3A1F"/>
    <w:rsid w:val="761C7D99"/>
    <w:rsid w:val="761F544A"/>
    <w:rsid w:val="76214099"/>
    <w:rsid w:val="76261D92"/>
    <w:rsid w:val="762656E4"/>
    <w:rsid w:val="76277FE4"/>
    <w:rsid w:val="762A18ED"/>
    <w:rsid w:val="762D3121"/>
    <w:rsid w:val="762F2954"/>
    <w:rsid w:val="763025FA"/>
    <w:rsid w:val="76315454"/>
    <w:rsid w:val="76316710"/>
    <w:rsid w:val="76367EA1"/>
    <w:rsid w:val="76373058"/>
    <w:rsid w:val="76397D18"/>
    <w:rsid w:val="763B3D06"/>
    <w:rsid w:val="763C3364"/>
    <w:rsid w:val="763E2F56"/>
    <w:rsid w:val="763F7C1C"/>
    <w:rsid w:val="76417211"/>
    <w:rsid w:val="764204A7"/>
    <w:rsid w:val="764741E2"/>
    <w:rsid w:val="76477EF3"/>
    <w:rsid w:val="764A2D47"/>
    <w:rsid w:val="764A5A81"/>
    <w:rsid w:val="764A7757"/>
    <w:rsid w:val="764C7A4B"/>
    <w:rsid w:val="764E6BCF"/>
    <w:rsid w:val="76507A9D"/>
    <w:rsid w:val="76524935"/>
    <w:rsid w:val="76533F0B"/>
    <w:rsid w:val="765406AD"/>
    <w:rsid w:val="765661D4"/>
    <w:rsid w:val="76580A47"/>
    <w:rsid w:val="765927F0"/>
    <w:rsid w:val="765B2E6F"/>
    <w:rsid w:val="765E6BE4"/>
    <w:rsid w:val="76614845"/>
    <w:rsid w:val="76634D94"/>
    <w:rsid w:val="76653C30"/>
    <w:rsid w:val="76654E7F"/>
    <w:rsid w:val="7666784F"/>
    <w:rsid w:val="76671D59"/>
    <w:rsid w:val="76675C3B"/>
    <w:rsid w:val="766B0673"/>
    <w:rsid w:val="766E5C13"/>
    <w:rsid w:val="76717F6C"/>
    <w:rsid w:val="767228B5"/>
    <w:rsid w:val="76726D86"/>
    <w:rsid w:val="76726F26"/>
    <w:rsid w:val="767568EF"/>
    <w:rsid w:val="767814E2"/>
    <w:rsid w:val="76794EAF"/>
    <w:rsid w:val="767E1BCE"/>
    <w:rsid w:val="768039D3"/>
    <w:rsid w:val="7682647B"/>
    <w:rsid w:val="76850E85"/>
    <w:rsid w:val="7685650F"/>
    <w:rsid w:val="76880357"/>
    <w:rsid w:val="76887DFB"/>
    <w:rsid w:val="768C6099"/>
    <w:rsid w:val="768F5B89"/>
    <w:rsid w:val="768F7938"/>
    <w:rsid w:val="76930E09"/>
    <w:rsid w:val="76935B78"/>
    <w:rsid w:val="769A0FC0"/>
    <w:rsid w:val="769A6A08"/>
    <w:rsid w:val="769D2054"/>
    <w:rsid w:val="769F1C96"/>
    <w:rsid w:val="769F6864"/>
    <w:rsid w:val="76A165B6"/>
    <w:rsid w:val="76A32642"/>
    <w:rsid w:val="76A333E3"/>
    <w:rsid w:val="76A42B08"/>
    <w:rsid w:val="76A71125"/>
    <w:rsid w:val="76A85DEC"/>
    <w:rsid w:val="76AB3F46"/>
    <w:rsid w:val="76AD3CD2"/>
    <w:rsid w:val="76B25017"/>
    <w:rsid w:val="76B37D91"/>
    <w:rsid w:val="76B44B7C"/>
    <w:rsid w:val="76B51574"/>
    <w:rsid w:val="76B52298"/>
    <w:rsid w:val="76B63116"/>
    <w:rsid w:val="76B949B4"/>
    <w:rsid w:val="76BA0E58"/>
    <w:rsid w:val="76BE5FD4"/>
    <w:rsid w:val="76BF071E"/>
    <w:rsid w:val="76C019C5"/>
    <w:rsid w:val="76C43A85"/>
    <w:rsid w:val="76CD072A"/>
    <w:rsid w:val="76CD3907"/>
    <w:rsid w:val="76CF109E"/>
    <w:rsid w:val="76CF6530"/>
    <w:rsid w:val="76D11CFE"/>
    <w:rsid w:val="76D12520"/>
    <w:rsid w:val="76D23B71"/>
    <w:rsid w:val="76D2457D"/>
    <w:rsid w:val="76D33CC8"/>
    <w:rsid w:val="76D34F81"/>
    <w:rsid w:val="76D64A64"/>
    <w:rsid w:val="76D860BA"/>
    <w:rsid w:val="76DA2684"/>
    <w:rsid w:val="76DD31DC"/>
    <w:rsid w:val="76DF266D"/>
    <w:rsid w:val="76E01F41"/>
    <w:rsid w:val="76E40E51"/>
    <w:rsid w:val="76E45ED5"/>
    <w:rsid w:val="76E47C83"/>
    <w:rsid w:val="76E56C19"/>
    <w:rsid w:val="76E72BD8"/>
    <w:rsid w:val="76E77696"/>
    <w:rsid w:val="76E77774"/>
    <w:rsid w:val="76EC6B38"/>
    <w:rsid w:val="76ED4281"/>
    <w:rsid w:val="76EE6E72"/>
    <w:rsid w:val="76EF6C97"/>
    <w:rsid w:val="76F33E29"/>
    <w:rsid w:val="76F529A6"/>
    <w:rsid w:val="76F6287A"/>
    <w:rsid w:val="76FB0AD5"/>
    <w:rsid w:val="76FB14DA"/>
    <w:rsid w:val="77035102"/>
    <w:rsid w:val="770519A8"/>
    <w:rsid w:val="770611C6"/>
    <w:rsid w:val="77091483"/>
    <w:rsid w:val="770B11D8"/>
    <w:rsid w:val="770C0F88"/>
    <w:rsid w:val="770C6193"/>
    <w:rsid w:val="77104CB6"/>
    <w:rsid w:val="771137B1"/>
    <w:rsid w:val="77126D41"/>
    <w:rsid w:val="771527C9"/>
    <w:rsid w:val="771A18F7"/>
    <w:rsid w:val="771D5CCB"/>
    <w:rsid w:val="771F2FA1"/>
    <w:rsid w:val="772067E2"/>
    <w:rsid w:val="772306F8"/>
    <w:rsid w:val="77242776"/>
    <w:rsid w:val="77275DC2"/>
    <w:rsid w:val="772938E8"/>
    <w:rsid w:val="772E7150"/>
    <w:rsid w:val="772F0647"/>
    <w:rsid w:val="7730030E"/>
    <w:rsid w:val="7735770E"/>
    <w:rsid w:val="773D6723"/>
    <w:rsid w:val="773E351C"/>
    <w:rsid w:val="773E47C6"/>
    <w:rsid w:val="773F1043"/>
    <w:rsid w:val="774108B3"/>
    <w:rsid w:val="77453F58"/>
    <w:rsid w:val="774C3A9F"/>
    <w:rsid w:val="774C5829"/>
    <w:rsid w:val="774C7610"/>
    <w:rsid w:val="774E334F"/>
    <w:rsid w:val="77520274"/>
    <w:rsid w:val="77576E1F"/>
    <w:rsid w:val="775841CD"/>
    <w:rsid w:val="775E3C1A"/>
    <w:rsid w:val="776112D4"/>
    <w:rsid w:val="77644920"/>
    <w:rsid w:val="77647CB6"/>
    <w:rsid w:val="77674410"/>
    <w:rsid w:val="776F2028"/>
    <w:rsid w:val="7770350F"/>
    <w:rsid w:val="77756F07"/>
    <w:rsid w:val="777613EC"/>
    <w:rsid w:val="777A1857"/>
    <w:rsid w:val="777D59E2"/>
    <w:rsid w:val="777F0496"/>
    <w:rsid w:val="7782124A"/>
    <w:rsid w:val="778422CE"/>
    <w:rsid w:val="7785787E"/>
    <w:rsid w:val="7787176D"/>
    <w:rsid w:val="778721B7"/>
    <w:rsid w:val="778E13D9"/>
    <w:rsid w:val="778E4093"/>
    <w:rsid w:val="778E4BDC"/>
    <w:rsid w:val="778E7BEF"/>
    <w:rsid w:val="778F3379"/>
    <w:rsid w:val="77901C9E"/>
    <w:rsid w:val="7798319D"/>
    <w:rsid w:val="779A47E6"/>
    <w:rsid w:val="779B57ED"/>
    <w:rsid w:val="779F3BAA"/>
    <w:rsid w:val="77A10D47"/>
    <w:rsid w:val="77A35292"/>
    <w:rsid w:val="77A64F39"/>
    <w:rsid w:val="77A73B7B"/>
    <w:rsid w:val="77A80CB1"/>
    <w:rsid w:val="77A91023"/>
    <w:rsid w:val="77B164B3"/>
    <w:rsid w:val="77B21B30"/>
    <w:rsid w:val="77B31048"/>
    <w:rsid w:val="77B4189C"/>
    <w:rsid w:val="77B661C7"/>
    <w:rsid w:val="77C217CE"/>
    <w:rsid w:val="77C44AD8"/>
    <w:rsid w:val="77C47A51"/>
    <w:rsid w:val="77C60F55"/>
    <w:rsid w:val="77C67389"/>
    <w:rsid w:val="77C70C7A"/>
    <w:rsid w:val="77C8090F"/>
    <w:rsid w:val="77CA0BC6"/>
    <w:rsid w:val="77CD4D9A"/>
    <w:rsid w:val="77D235CB"/>
    <w:rsid w:val="77D35B3C"/>
    <w:rsid w:val="77D4784B"/>
    <w:rsid w:val="77DC6E04"/>
    <w:rsid w:val="77DC6F3D"/>
    <w:rsid w:val="77E018AB"/>
    <w:rsid w:val="77E07A92"/>
    <w:rsid w:val="77E45A61"/>
    <w:rsid w:val="77E51202"/>
    <w:rsid w:val="77EA418E"/>
    <w:rsid w:val="77EE068E"/>
    <w:rsid w:val="77EE25AC"/>
    <w:rsid w:val="77EF68E0"/>
    <w:rsid w:val="77F14D19"/>
    <w:rsid w:val="77F22330"/>
    <w:rsid w:val="77F42F94"/>
    <w:rsid w:val="77F521E0"/>
    <w:rsid w:val="77F76D67"/>
    <w:rsid w:val="77FC0FFD"/>
    <w:rsid w:val="77FE4D75"/>
    <w:rsid w:val="77FF5B8E"/>
    <w:rsid w:val="78000E1C"/>
    <w:rsid w:val="78007550"/>
    <w:rsid w:val="780250F0"/>
    <w:rsid w:val="78054355"/>
    <w:rsid w:val="780600CD"/>
    <w:rsid w:val="780659D7"/>
    <w:rsid w:val="780675B9"/>
    <w:rsid w:val="7808174F"/>
    <w:rsid w:val="780A04FC"/>
    <w:rsid w:val="780A42B6"/>
    <w:rsid w:val="780B305C"/>
    <w:rsid w:val="780C20BB"/>
    <w:rsid w:val="780D6D66"/>
    <w:rsid w:val="781A3AA8"/>
    <w:rsid w:val="781C0E7F"/>
    <w:rsid w:val="781C169F"/>
    <w:rsid w:val="781E5B7E"/>
    <w:rsid w:val="7820118F"/>
    <w:rsid w:val="7822641E"/>
    <w:rsid w:val="782555FC"/>
    <w:rsid w:val="78280828"/>
    <w:rsid w:val="782B5E90"/>
    <w:rsid w:val="78305249"/>
    <w:rsid w:val="7833750B"/>
    <w:rsid w:val="78380F8C"/>
    <w:rsid w:val="78383F1C"/>
    <w:rsid w:val="783A493F"/>
    <w:rsid w:val="783B3D54"/>
    <w:rsid w:val="783C61CC"/>
    <w:rsid w:val="78473460"/>
    <w:rsid w:val="78476B80"/>
    <w:rsid w:val="78482494"/>
    <w:rsid w:val="78486E90"/>
    <w:rsid w:val="784C0116"/>
    <w:rsid w:val="784D1858"/>
    <w:rsid w:val="785030F6"/>
    <w:rsid w:val="78507A1C"/>
    <w:rsid w:val="7855070D"/>
    <w:rsid w:val="78565D1D"/>
    <w:rsid w:val="785726D7"/>
    <w:rsid w:val="785B0E59"/>
    <w:rsid w:val="785B3F75"/>
    <w:rsid w:val="785B7AEC"/>
    <w:rsid w:val="785C7CED"/>
    <w:rsid w:val="785E5813"/>
    <w:rsid w:val="78633BB9"/>
    <w:rsid w:val="7866480C"/>
    <w:rsid w:val="78695D2B"/>
    <w:rsid w:val="78697340"/>
    <w:rsid w:val="786E205E"/>
    <w:rsid w:val="787119EB"/>
    <w:rsid w:val="787212BF"/>
    <w:rsid w:val="78723A52"/>
    <w:rsid w:val="78743289"/>
    <w:rsid w:val="78782D79"/>
    <w:rsid w:val="787A08FC"/>
    <w:rsid w:val="787C1597"/>
    <w:rsid w:val="788063D1"/>
    <w:rsid w:val="78811502"/>
    <w:rsid w:val="788208F8"/>
    <w:rsid w:val="7883171E"/>
    <w:rsid w:val="78852DA0"/>
    <w:rsid w:val="788570DA"/>
    <w:rsid w:val="788A05BA"/>
    <w:rsid w:val="788B2898"/>
    <w:rsid w:val="788D60F9"/>
    <w:rsid w:val="788E0646"/>
    <w:rsid w:val="78917805"/>
    <w:rsid w:val="78931961"/>
    <w:rsid w:val="78931D48"/>
    <w:rsid w:val="78955A57"/>
    <w:rsid w:val="78965E4A"/>
    <w:rsid w:val="78986F77"/>
    <w:rsid w:val="789E0306"/>
    <w:rsid w:val="789E6309"/>
    <w:rsid w:val="789E6D94"/>
    <w:rsid w:val="789F47A8"/>
    <w:rsid w:val="78AA493F"/>
    <w:rsid w:val="78AD0B88"/>
    <w:rsid w:val="78AD22F7"/>
    <w:rsid w:val="78B11DE7"/>
    <w:rsid w:val="78B25709"/>
    <w:rsid w:val="78B673FD"/>
    <w:rsid w:val="78BA00D2"/>
    <w:rsid w:val="78BA152E"/>
    <w:rsid w:val="78C22246"/>
    <w:rsid w:val="78C563D4"/>
    <w:rsid w:val="78C65643"/>
    <w:rsid w:val="78CA10FB"/>
    <w:rsid w:val="78CC4E73"/>
    <w:rsid w:val="78CD0377"/>
    <w:rsid w:val="78CF6C1E"/>
    <w:rsid w:val="78D36A6B"/>
    <w:rsid w:val="78D45AB3"/>
    <w:rsid w:val="78D6038F"/>
    <w:rsid w:val="78D74152"/>
    <w:rsid w:val="78DB50B6"/>
    <w:rsid w:val="78DC1251"/>
    <w:rsid w:val="78DD498A"/>
    <w:rsid w:val="78E41F7C"/>
    <w:rsid w:val="78E46179"/>
    <w:rsid w:val="78E81581"/>
    <w:rsid w:val="78E8332F"/>
    <w:rsid w:val="78E8667F"/>
    <w:rsid w:val="78EA319C"/>
    <w:rsid w:val="78ED00D3"/>
    <w:rsid w:val="78EF2783"/>
    <w:rsid w:val="78EF290F"/>
    <w:rsid w:val="78F1327B"/>
    <w:rsid w:val="78F166CE"/>
    <w:rsid w:val="78F16E83"/>
    <w:rsid w:val="78F63C9E"/>
    <w:rsid w:val="78F7142F"/>
    <w:rsid w:val="78F85EB2"/>
    <w:rsid w:val="78F87697"/>
    <w:rsid w:val="78FB12B4"/>
    <w:rsid w:val="78FB4AF5"/>
    <w:rsid w:val="78FF5307"/>
    <w:rsid w:val="79042614"/>
    <w:rsid w:val="7904460D"/>
    <w:rsid w:val="790E2D96"/>
    <w:rsid w:val="790E7A95"/>
    <w:rsid w:val="7915054A"/>
    <w:rsid w:val="79166140"/>
    <w:rsid w:val="791B3704"/>
    <w:rsid w:val="791B7630"/>
    <w:rsid w:val="791F5C70"/>
    <w:rsid w:val="792151BF"/>
    <w:rsid w:val="79232399"/>
    <w:rsid w:val="7929584B"/>
    <w:rsid w:val="792C761D"/>
    <w:rsid w:val="792C76C0"/>
    <w:rsid w:val="793119E3"/>
    <w:rsid w:val="79312F28"/>
    <w:rsid w:val="79361772"/>
    <w:rsid w:val="793A1D16"/>
    <w:rsid w:val="793B5291"/>
    <w:rsid w:val="793D18CD"/>
    <w:rsid w:val="793D7B1F"/>
    <w:rsid w:val="793E6D9E"/>
    <w:rsid w:val="7940739B"/>
    <w:rsid w:val="79433E60"/>
    <w:rsid w:val="79495FC6"/>
    <w:rsid w:val="794B223C"/>
    <w:rsid w:val="794C1B10"/>
    <w:rsid w:val="79515378"/>
    <w:rsid w:val="795378C2"/>
    <w:rsid w:val="79553815"/>
    <w:rsid w:val="7957544F"/>
    <w:rsid w:val="79580D8B"/>
    <w:rsid w:val="795870CE"/>
    <w:rsid w:val="795A1562"/>
    <w:rsid w:val="795A5AE8"/>
    <w:rsid w:val="795D0A33"/>
    <w:rsid w:val="796138D7"/>
    <w:rsid w:val="7961683A"/>
    <w:rsid w:val="79651524"/>
    <w:rsid w:val="7969129E"/>
    <w:rsid w:val="796A2308"/>
    <w:rsid w:val="796B47EC"/>
    <w:rsid w:val="796B544E"/>
    <w:rsid w:val="796D7F54"/>
    <w:rsid w:val="796E5F2A"/>
    <w:rsid w:val="796F62A7"/>
    <w:rsid w:val="79711576"/>
    <w:rsid w:val="797177C8"/>
    <w:rsid w:val="797931C8"/>
    <w:rsid w:val="797A48CF"/>
    <w:rsid w:val="797A5F8B"/>
    <w:rsid w:val="79817A0B"/>
    <w:rsid w:val="79821614"/>
    <w:rsid w:val="798219D5"/>
    <w:rsid w:val="7985274B"/>
    <w:rsid w:val="79872B48"/>
    <w:rsid w:val="79892D64"/>
    <w:rsid w:val="79892F17"/>
    <w:rsid w:val="798B2638"/>
    <w:rsid w:val="798C1327"/>
    <w:rsid w:val="798C4E30"/>
    <w:rsid w:val="798C51DF"/>
    <w:rsid w:val="798E36DA"/>
    <w:rsid w:val="798E5FF8"/>
    <w:rsid w:val="79902D65"/>
    <w:rsid w:val="79947930"/>
    <w:rsid w:val="799559BB"/>
    <w:rsid w:val="79976421"/>
    <w:rsid w:val="7997722F"/>
    <w:rsid w:val="79991008"/>
    <w:rsid w:val="799B65F3"/>
    <w:rsid w:val="799B7BCE"/>
    <w:rsid w:val="799C4845"/>
    <w:rsid w:val="799D236B"/>
    <w:rsid w:val="79A04D0E"/>
    <w:rsid w:val="79A95AD2"/>
    <w:rsid w:val="79AC4C41"/>
    <w:rsid w:val="79AC6AC3"/>
    <w:rsid w:val="79B053D5"/>
    <w:rsid w:val="79B34430"/>
    <w:rsid w:val="79B9330B"/>
    <w:rsid w:val="79BA2F1D"/>
    <w:rsid w:val="79C36345"/>
    <w:rsid w:val="79C43D9C"/>
    <w:rsid w:val="79C91AFC"/>
    <w:rsid w:val="79CC6F2F"/>
    <w:rsid w:val="79CE4F1A"/>
    <w:rsid w:val="79D20267"/>
    <w:rsid w:val="79D235E0"/>
    <w:rsid w:val="79D24C8C"/>
    <w:rsid w:val="79DA536E"/>
    <w:rsid w:val="79DD1412"/>
    <w:rsid w:val="79DF5CBF"/>
    <w:rsid w:val="79E4516F"/>
    <w:rsid w:val="79E462FC"/>
    <w:rsid w:val="79E81839"/>
    <w:rsid w:val="79E8408D"/>
    <w:rsid w:val="79E9404F"/>
    <w:rsid w:val="79EB279B"/>
    <w:rsid w:val="79ED4D77"/>
    <w:rsid w:val="79EE2BC7"/>
    <w:rsid w:val="79EF0484"/>
    <w:rsid w:val="79F22848"/>
    <w:rsid w:val="79F44681"/>
    <w:rsid w:val="79F602BD"/>
    <w:rsid w:val="79F672EA"/>
    <w:rsid w:val="79F857F4"/>
    <w:rsid w:val="79F86194"/>
    <w:rsid w:val="79FA0B94"/>
    <w:rsid w:val="79FE7282"/>
    <w:rsid w:val="7A02130C"/>
    <w:rsid w:val="7A0423EA"/>
    <w:rsid w:val="7A0554A4"/>
    <w:rsid w:val="7A055642"/>
    <w:rsid w:val="7A0661FB"/>
    <w:rsid w:val="7A093C81"/>
    <w:rsid w:val="7A0D129F"/>
    <w:rsid w:val="7A0D1C3D"/>
    <w:rsid w:val="7A1224F3"/>
    <w:rsid w:val="7A13262E"/>
    <w:rsid w:val="7A1E1264"/>
    <w:rsid w:val="7A2212DA"/>
    <w:rsid w:val="7A227B5B"/>
    <w:rsid w:val="7A25475F"/>
    <w:rsid w:val="7A262361"/>
    <w:rsid w:val="7A2A2604"/>
    <w:rsid w:val="7A2B7BB1"/>
    <w:rsid w:val="7A2D190E"/>
    <w:rsid w:val="7A2E1215"/>
    <w:rsid w:val="7A2E5DB1"/>
    <w:rsid w:val="7A2F7D3E"/>
    <w:rsid w:val="7A3074A5"/>
    <w:rsid w:val="7A326F58"/>
    <w:rsid w:val="7A363361"/>
    <w:rsid w:val="7A38281E"/>
    <w:rsid w:val="7A3902E6"/>
    <w:rsid w:val="7A3B11AA"/>
    <w:rsid w:val="7A3B22B0"/>
    <w:rsid w:val="7A3E07D4"/>
    <w:rsid w:val="7A3E76AA"/>
    <w:rsid w:val="7A401675"/>
    <w:rsid w:val="7A421A85"/>
    <w:rsid w:val="7A43089A"/>
    <w:rsid w:val="7A433E64"/>
    <w:rsid w:val="7A481196"/>
    <w:rsid w:val="7A486B67"/>
    <w:rsid w:val="7A49604F"/>
    <w:rsid w:val="7A4B0019"/>
    <w:rsid w:val="7A4B0EF9"/>
    <w:rsid w:val="7A4C655A"/>
    <w:rsid w:val="7A4E5630"/>
    <w:rsid w:val="7A524A5B"/>
    <w:rsid w:val="7A5769BE"/>
    <w:rsid w:val="7A5C4692"/>
    <w:rsid w:val="7A5D7C6A"/>
    <w:rsid w:val="7A5F3089"/>
    <w:rsid w:val="7A667AB5"/>
    <w:rsid w:val="7A6939F9"/>
    <w:rsid w:val="7A6A2192"/>
    <w:rsid w:val="7A732256"/>
    <w:rsid w:val="7A7415D3"/>
    <w:rsid w:val="7A7632E8"/>
    <w:rsid w:val="7A770E0E"/>
    <w:rsid w:val="7A773114"/>
    <w:rsid w:val="7A794B87"/>
    <w:rsid w:val="7A7A27B8"/>
    <w:rsid w:val="7A7A4CFD"/>
    <w:rsid w:val="7A7B26AD"/>
    <w:rsid w:val="7A7B4F6C"/>
    <w:rsid w:val="7A7C43AE"/>
    <w:rsid w:val="7A7E219D"/>
    <w:rsid w:val="7A7F0AE4"/>
    <w:rsid w:val="7A815907"/>
    <w:rsid w:val="7A841936"/>
    <w:rsid w:val="7A841A8B"/>
    <w:rsid w:val="7A867D67"/>
    <w:rsid w:val="7A88301C"/>
    <w:rsid w:val="7A88520F"/>
    <w:rsid w:val="7A885287"/>
    <w:rsid w:val="7A8A5729"/>
    <w:rsid w:val="7A8D23E0"/>
    <w:rsid w:val="7A95198B"/>
    <w:rsid w:val="7A9569B1"/>
    <w:rsid w:val="7A990535"/>
    <w:rsid w:val="7A995229"/>
    <w:rsid w:val="7A9B107F"/>
    <w:rsid w:val="7A9D6AC7"/>
    <w:rsid w:val="7AA3688D"/>
    <w:rsid w:val="7AA41AC2"/>
    <w:rsid w:val="7AA634A2"/>
    <w:rsid w:val="7AA84137"/>
    <w:rsid w:val="7AB11A95"/>
    <w:rsid w:val="7AB124AD"/>
    <w:rsid w:val="7AB404E5"/>
    <w:rsid w:val="7AB5380E"/>
    <w:rsid w:val="7AB83901"/>
    <w:rsid w:val="7ABA0452"/>
    <w:rsid w:val="7ABA46F2"/>
    <w:rsid w:val="7ABB0CFB"/>
    <w:rsid w:val="7ABB7A96"/>
    <w:rsid w:val="7AC1208A"/>
    <w:rsid w:val="7AC202DC"/>
    <w:rsid w:val="7AC207D8"/>
    <w:rsid w:val="7ACA7190"/>
    <w:rsid w:val="7ACF0C4A"/>
    <w:rsid w:val="7AD20620"/>
    <w:rsid w:val="7AD400B1"/>
    <w:rsid w:val="7AD55005"/>
    <w:rsid w:val="7ADB7996"/>
    <w:rsid w:val="7ADC1408"/>
    <w:rsid w:val="7ADC7B0F"/>
    <w:rsid w:val="7ADE2C3C"/>
    <w:rsid w:val="7ADE49EA"/>
    <w:rsid w:val="7AE00762"/>
    <w:rsid w:val="7AE2097E"/>
    <w:rsid w:val="7AE21AF2"/>
    <w:rsid w:val="7AE446F6"/>
    <w:rsid w:val="7AE502BA"/>
    <w:rsid w:val="7AE575DB"/>
    <w:rsid w:val="7AE85868"/>
    <w:rsid w:val="7AEA3436"/>
    <w:rsid w:val="7AEB48C6"/>
    <w:rsid w:val="7AEF7254"/>
    <w:rsid w:val="7AF34B9C"/>
    <w:rsid w:val="7AF52785"/>
    <w:rsid w:val="7AF74DA8"/>
    <w:rsid w:val="7B015B4B"/>
    <w:rsid w:val="7B0326A2"/>
    <w:rsid w:val="7B042D84"/>
    <w:rsid w:val="7B053505"/>
    <w:rsid w:val="7B0749C7"/>
    <w:rsid w:val="7B0D5E20"/>
    <w:rsid w:val="7B1651F8"/>
    <w:rsid w:val="7B172CCE"/>
    <w:rsid w:val="7B19005A"/>
    <w:rsid w:val="7B1C747A"/>
    <w:rsid w:val="7B1D68AD"/>
    <w:rsid w:val="7B1E74DC"/>
    <w:rsid w:val="7B203254"/>
    <w:rsid w:val="7B203F27"/>
    <w:rsid w:val="7B21235B"/>
    <w:rsid w:val="7B21365A"/>
    <w:rsid w:val="7B29035B"/>
    <w:rsid w:val="7B294BBC"/>
    <w:rsid w:val="7B2C01F1"/>
    <w:rsid w:val="7B3151C9"/>
    <w:rsid w:val="7B333078"/>
    <w:rsid w:val="7B354F51"/>
    <w:rsid w:val="7B38119B"/>
    <w:rsid w:val="7B38715D"/>
    <w:rsid w:val="7B387BB6"/>
    <w:rsid w:val="7B3D4519"/>
    <w:rsid w:val="7B3F5F83"/>
    <w:rsid w:val="7B4026D1"/>
    <w:rsid w:val="7B443FDB"/>
    <w:rsid w:val="7B492D83"/>
    <w:rsid w:val="7B4F44A7"/>
    <w:rsid w:val="7B501CA8"/>
    <w:rsid w:val="7B537186"/>
    <w:rsid w:val="7B542EFE"/>
    <w:rsid w:val="7B561FE1"/>
    <w:rsid w:val="7B581051"/>
    <w:rsid w:val="7B582367"/>
    <w:rsid w:val="7B583E02"/>
    <w:rsid w:val="7B585622"/>
    <w:rsid w:val="7B5D0004"/>
    <w:rsid w:val="7B630405"/>
    <w:rsid w:val="7B630A59"/>
    <w:rsid w:val="7B6326CC"/>
    <w:rsid w:val="7B68568E"/>
    <w:rsid w:val="7B6859D0"/>
    <w:rsid w:val="7B6B280D"/>
    <w:rsid w:val="7B6C46EB"/>
    <w:rsid w:val="7B6F062A"/>
    <w:rsid w:val="7B71585E"/>
    <w:rsid w:val="7B732647"/>
    <w:rsid w:val="7B736506"/>
    <w:rsid w:val="7B767318"/>
    <w:rsid w:val="7B7B3D39"/>
    <w:rsid w:val="7B80272C"/>
    <w:rsid w:val="7B827A6B"/>
    <w:rsid w:val="7B8321F9"/>
    <w:rsid w:val="7B84600B"/>
    <w:rsid w:val="7B86488F"/>
    <w:rsid w:val="7B876E2F"/>
    <w:rsid w:val="7B8D1796"/>
    <w:rsid w:val="7B8D60F3"/>
    <w:rsid w:val="7B8E2477"/>
    <w:rsid w:val="7B912D8C"/>
    <w:rsid w:val="7B914152"/>
    <w:rsid w:val="7B971768"/>
    <w:rsid w:val="7B98103C"/>
    <w:rsid w:val="7B995C27"/>
    <w:rsid w:val="7B9C6D7F"/>
    <w:rsid w:val="7BA1528F"/>
    <w:rsid w:val="7BA406A2"/>
    <w:rsid w:val="7BA46E03"/>
    <w:rsid w:val="7BAE03BE"/>
    <w:rsid w:val="7BAE4F8D"/>
    <w:rsid w:val="7BAF1D95"/>
    <w:rsid w:val="7BB16DAF"/>
    <w:rsid w:val="7BB73BB8"/>
    <w:rsid w:val="7BB81656"/>
    <w:rsid w:val="7BB91A25"/>
    <w:rsid w:val="7BBA3565"/>
    <w:rsid w:val="7BC00C7D"/>
    <w:rsid w:val="7BC05240"/>
    <w:rsid w:val="7BC2255D"/>
    <w:rsid w:val="7BC2401A"/>
    <w:rsid w:val="7BC65BA9"/>
    <w:rsid w:val="7BC77904"/>
    <w:rsid w:val="7BC80791"/>
    <w:rsid w:val="7BC91660"/>
    <w:rsid w:val="7BCB431A"/>
    <w:rsid w:val="7BCE4A5E"/>
    <w:rsid w:val="7BD42F30"/>
    <w:rsid w:val="7BD55DED"/>
    <w:rsid w:val="7BDB33AA"/>
    <w:rsid w:val="7BDB5629"/>
    <w:rsid w:val="7BDC6647"/>
    <w:rsid w:val="7BDC717B"/>
    <w:rsid w:val="7BDD59DD"/>
    <w:rsid w:val="7BDF0A19"/>
    <w:rsid w:val="7BE00E6E"/>
    <w:rsid w:val="7BE0203C"/>
    <w:rsid w:val="7BE239A7"/>
    <w:rsid w:val="7BE51155"/>
    <w:rsid w:val="7BE64FBE"/>
    <w:rsid w:val="7BEC3C2A"/>
    <w:rsid w:val="7BED44D0"/>
    <w:rsid w:val="7BEE7A3A"/>
    <w:rsid w:val="7BF302A3"/>
    <w:rsid w:val="7BF30969"/>
    <w:rsid w:val="7BF57AED"/>
    <w:rsid w:val="7BFA3AA5"/>
    <w:rsid w:val="7BFB5E4A"/>
    <w:rsid w:val="7BFC15CB"/>
    <w:rsid w:val="7BFD3658"/>
    <w:rsid w:val="7BFE016D"/>
    <w:rsid w:val="7BFF27A7"/>
    <w:rsid w:val="7BFF730D"/>
    <w:rsid w:val="7C016BE2"/>
    <w:rsid w:val="7C0E7382"/>
    <w:rsid w:val="7C105077"/>
    <w:rsid w:val="7C1259B6"/>
    <w:rsid w:val="7C143AD8"/>
    <w:rsid w:val="7C15504B"/>
    <w:rsid w:val="7C156B31"/>
    <w:rsid w:val="7C176405"/>
    <w:rsid w:val="7C183F2B"/>
    <w:rsid w:val="7C1E1418"/>
    <w:rsid w:val="7C1F03DB"/>
    <w:rsid w:val="7C1F175E"/>
    <w:rsid w:val="7C1F387A"/>
    <w:rsid w:val="7C24460C"/>
    <w:rsid w:val="7C2449E1"/>
    <w:rsid w:val="7C286BC1"/>
    <w:rsid w:val="7C323A24"/>
    <w:rsid w:val="7C343E10"/>
    <w:rsid w:val="7C377EAB"/>
    <w:rsid w:val="7C380C3D"/>
    <w:rsid w:val="7C384D5B"/>
    <w:rsid w:val="7C3C640A"/>
    <w:rsid w:val="7C3F374D"/>
    <w:rsid w:val="7C4371FA"/>
    <w:rsid w:val="7C440BE5"/>
    <w:rsid w:val="7C441084"/>
    <w:rsid w:val="7C442F72"/>
    <w:rsid w:val="7C4458CC"/>
    <w:rsid w:val="7C460A98"/>
    <w:rsid w:val="7C4660A6"/>
    <w:rsid w:val="7C484880"/>
    <w:rsid w:val="7C487D66"/>
    <w:rsid w:val="7C4D1E27"/>
    <w:rsid w:val="7C4E5882"/>
    <w:rsid w:val="7C5219EE"/>
    <w:rsid w:val="7C521B7C"/>
    <w:rsid w:val="7C540B05"/>
    <w:rsid w:val="7C5546E4"/>
    <w:rsid w:val="7C562DAC"/>
    <w:rsid w:val="7C5E4757"/>
    <w:rsid w:val="7C5F1B5A"/>
    <w:rsid w:val="7C635583"/>
    <w:rsid w:val="7C653614"/>
    <w:rsid w:val="7C6860B0"/>
    <w:rsid w:val="7C6879D4"/>
    <w:rsid w:val="7C6B04FF"/>
    <w:rsid w:val="7C6F7FEF"/>
    <w:rsid w:val="7C727735"/>
    <w:rsid w:val="7C741024"/>
    <w:rsid w:val="7C75137E"/>
    <w:rsid w:val="7C7A4BE6"/>
    <w:rsid w:val="7C7E0232"/>
    <w:rsid w:val="7C814335"/>
    <w:rsid w:val="7C817D22"/>
    <w:rsid w:val="7C831C9D"/>
    <w:rsid w:val="7C860296"/>
    <w:rsid w:val="7C896BD7"/>
    <w:rsid w:val="7C8A2035"/>
    <w:rsid w:val="7C8A4E29"/>
    <w:rsid w:val="7C8A620E"/>
    <w:rsid w:val="7C8D2B6B"/>
    <w:rsid w:val="7C936F49"/>
    <w:rsid w:val="7C9712F4"/>
    <w:rsid w:val="7C9865C8"/>
    <w:rsid w:val="7C992B5F"/>
    <w:rsid w:val="7C9E2682"/>
    <w:rsid w:val="7C9F01CF"/>
    <w:rsid w:val="7CA0289E"/>
    <w:rsid w:val="7CA05373"/>
    <w:rsid w:val="7CA22456"/>
    <w:rsid w:val="7CA2697F"/>
    <w:rsid w:val="7CA35EEB"/>
    <w:rsid w:val="7CA51C63"/>
    <w:rsid w:val="7CAA5868"/>
    <w:rsid w:val="7CAE2BAE"/>
    <w:rsid w:val="7CB023B6"/>
    <w:rsid w:val="7CB579CC"/>
    <w:rsid w:val="7CBA5AF1"/>
    <w:rsid w:val="7CBA5DA3"/>
    <w:rsid w:val="7CBC4124"/>
    <w:rsid w:val="7CBC5361"/>
    <w:rsid w:val="7CBC5583"/>
    <w:rsid w:val="7CBD6B2A"/>
    <w:rsid w:val="7CBE2D25"/>
    <w:rsid w:val="7CC124B0"/>
    <w:rsid w:val="7CC529AF"/>
    <w:rsid w:val="7CC77678"/>
    <w:rsid w:val="7CCA16C9"/>
    <w:rsid w:val="7CCD2F68"/>
    <w:rsid w:val="7CCD4D16"/>
    <w:rsid w:val="7CCE7D48"/>
    <w:rsid w:val="7CCF0A8E"/>
    <w:rsid w:val="7CD267D0"/>
    <w:rsid w:val="7CD80082"/>
    <w:rsid w:val="7CDE3CF8"/>
    <w:rsid w:val="7CE67A91"/>
    <w:rsid w:val="7CE81B50"/>
    <w:rsid w:val="7CE82716"/>
    <w:rsid w:val="7CE96E67"/>
    <w:rsid w:val="7CED7166"/>
    <w:rsid w:val="7CF00811"/>
    <w:rsid w:val="7CF6426C"/>
    <w:rsid w:val="7CF77FE5"/>
    <w:rsid w:val="7CFB604F"/>
    <w:rsid w:val="7D025F61"/>
    <w:rsid w:val="7D072780"/>
    <w:rsid w:val="7D083FA0"/>
    <w:rsid w:val="7D0C76D0"/>
    <w:rsid w:val="7D0D7748"/>
    <w:rsid w:val="7D124E1E"/>
    <w:rsid w:val="7D132D54"/>
    <w:rsid w:val="7D1634EE"/>
    <w:rsid w:val="7D197F35"/>
    <w:rsid w:val="7D197F5B"/>
    <w:rsid w:val="7D203B81"/>
    <w:rsid w:val="7D225061"/>
    <w:rsid w:val="7D242CD4"/>
    <w:rsid w:val="7D250129"/>
    <w:rsid w:val="7D2569AA"/>
    <w:rsid w:val="7D2610E2"/>
    <w:rsid w:val="7D2B2DDE"/>
    <w:rsid w:val="7D2C4132"/>
    <w:rsid w:val="7D2D069E"/>
    <w:rsid w:val="7D2E7EAA"/>
    <w:rsid w:val="7D2F2F60"/>
    <w:rsid w:val="7D31109D"/>
    <w:rsid w:val="7D317177"/>
    <w:rsid w:val="7D31799A"/>
    <w:rsid w:val="7D320E55"/>
    <w:rsid w:val="7D33726F"/>
    <w:rsid w:val="7D342FE7"/>
    <w:rsid w:val="7D387999"/>
    <w:rsid w:val="7D3B00B0"/>
    <w:rsid w:val="7D401CB4"/>
    <w:rsid w:val="7D4476CE"/>
    <w:rsid w:val="7D461A2A"/>
    <w:rsid w:val="7D465FC8"/>
    <w:rsid w:val="7D49070E"/>
    <w:rsid w:val="7D4A0A5C"/>
    <w:rsid w:val="7D4A1D97"/>
    <w:rsid w:val="7D4B1E05"/>
    <w:rsid w:val="7D4C6582"/>
    <w:rsid w:val="7D4C731A"/>
    <w:rsid w:val="7D4D2CF0"/>
    <w:rsid w:val="7D4E22FA"/>
    <w:rsid w:val="7D4E2E80"/>
    <w:rsid w:val="7D4F0A19"/>
    <w:rsid w:val="7D570CB6"/>
    <w:rsid w:val="7D5C1608"/>
    <w:rsid w:val="7D5D30F3"/>
    <w:rsid w:val="7D5E4D55"/>
    <w:rsid w:val="7D5F5CD7"/>
    <w:rsid w:val="7D60586B"/>
    <w:rsid w:val="7D68318B"/>
    <w:rsid w:val="7D684AEE"/>
    <w:rsid w:val="7D6A07B6"/>
    <w:rsid w:val="7D6D130D"/>
    <w:rsid w:val="7D6F401F"/>
    <w:rsid w:val="7D731D61"/>
    <w:rsid w:val="7D732FF0"/>
    <w:rsid w:val="7D7734B7"/>
    <w:rsid w:val="7D79534F"/>
    <w:rsid w:val="7D7A3DA6"/>
    <w:rsid w:val="7D7A699A"/>
    <w:rsid w:val="7D7F0706"/>
    <w:rsid w:val="7D8370C8"/>
    <w:rsid w:val="7D8822FA"/>
    <w:rsid w:val="7D8A547F"/>
    <w:rsid w:val="7D8A7D63"/>
    <w:rsid w:val="7D8B27B0"/>
    <w:rsid w:val="7D8E26F7"/>
    <w:rsid w:val="7D913F95"/>
    <w:rsid w:val="7D9341A0"/>
    <w:rsid w:val="7D937BB3"/>
    <w:rsid w:val="7D947DEE"/>
    <w:rsid w:val="7D97102F"/>
    <w:rsid w:val="7D973F15"/>
    <w:rsid w:val="7D9A2A39"/>
    <w:rsid w:val="7D9B7217"/>
    <w:rsid w:val="7D9C4475"/>
    <w:rsid w:val="7D9D488E"/>
    <w:rsid w:val="7D9F3AB7"/>
    <w:rsid w:val="7DA15827"/>
    <w:rsid w:val="7DA43F77"/>
    <w:rsid w:val="7DA57A41"/>
    <w:rsid w:val="7DA9663A"/>
    <w:rsid w:val="7DAB4365"/>
    <w:rsid w:val="7DAF2E81"/>
    <w:rsid w:val="7DB0591E"/>
    <w:rsid w:val="7DB54EBB"/>
    <w:rsid w:val="7DB61C4E"/>
    <w:rsid w:val="7DB63F5A"/>
    <w:rsid w:val="7DB80E33"/>
    <w:rsid w:val="7DB859C6"/>
    <w:rsid w:val="7DB85A82"/>
    <w:rsid w:val="7DBE3BDC"/>
    <w:rsid w:val="7DC1182B"/>
    <w:rsid w:val="7DC20AAD"/>
    <w:rsid w:val="7DC35DA7"/>
    <w:rsid w:val="7DC907E3"/>
    <w:rsid w:val="7DC91981"/>
    <w:rsid w:val="7DC9372F"/>
    <w:rsid w:val="7DCC321F"/>
    <w:rsid w:val="7DCD4F88"/>
    <w:rsid w:val="7DCD75AF"/>
    <w:rsid w:val="7DCE51E9"/>
    <w:rsid w:val="7DD23BEB"/>
    <w:rsid w:val="7DD302BC"/>
    <w:rsid w:val="7DD30A52"/>
    <w:rsid w:val="7DD44C5B"/>
    <w:rsid w:val="7DD86A7B"/>
    <w:rsid w:val="7DD86DC5"/>
    <w:rsid w:val="7DD9051A"/>
    <w:rsid w:val="7DDB16B4"/>
    <w:rsid w:val="7DDB3462"/>
    <w:rsid w:val="7DDC7906"/>
    <w:rsid w:val="7DDF5BA7"/>
    <w:rsid w:val="7DE20C95"/>
    <w:rsid w:val="7DF157F3"/>
    <w:rsid w:val="7DF26EF2"/>
    <w:rsid w:val="7DF76239"/>
    <w:rsid w:val="7DF85D02"/>
    <w:rsid w:val="7DF86410"/>
    <w:rsid w:val="7DFD1722"/>
    <w:rsid w:val="7E0155BF"/>
    <w:rsid w:val="7E015BC0"/>
    <w:rsid w:val="7E0547FB"/>
    <w:rsid w:val="7E0667DF"/>
    <w:rsid w:val="7E08550C"/>
    <w:rsid w:val="7E097A5B"/>
    <w:rsid w:val="7E0E3764"/>
    <w:rsid w:val="7E0F5C0B"/>
    <w:rsid w:val="7E1150D6"/>
    <w:rsid w:val="7E13155E"/>
    <w:rsid w:val="7E165D60"/>
    <w:rsid w:val="7E176B90"/>
    <w:rsid w:val="7E192908"/>
    <w:rsid w:val="7E1D3F2F"/>
    <w:rsid w:val="7E1E0FAA"/>
    <w:rsid w:val="7E222493"/>
    <w:rsid w:val="7E226EAA"/>
    <w:rsid w:val="7E244E09"/>
    <w:rsid w:val="7E256F3A"/>
    <w:rsid w:val="7E265025"/>
    <w:rsid w:val="7E285E41"/>
    <w:rsid w:val="7E2C3CBE"/>
    <w:rsid w:val="7E2F7B38"/>
    <w:rsid w:val="7E3239CA"/>
    <w:rsid w:val="7E3374B4"/>
    <w:rsid w:val="7E343B5B"/>
    <w:rsid w:val="7E372D8F"/>
    <w:rsid w:val="7E37679A"/>
    <w:rsid w:val="7E377F1E"/>
    <w:rsid w:val="7E395ABE"/>
    <w:rsid w:val="7E3A287F"/>
    <w:rsid w:val="7E3D5ECB"/>
    <w:rsid w:val="7E3D783E"/>
    <w:rsid w:val="7E40253C"/>
    <w:rsid w:val="7E413C0D"/>
    <w:rsid w:val="7E417769"/>
    <w:rsid w:val="7E422725"/>
    <w:rsid w:val="7E467CE8"/>
    <w:rsid w:val="7E470AF8"/>
    <w:rsid w:val="7E4816C8"/>
    <w:rsid w:val="7E4B1B41"/>
    <w:rsid w:val="7E4B683A"/>
    <w:rsid w:val="7E4F377D"/>
    <w:rsid w:val="7E507057"/>
    <w:rsid w:val="7E5356EF"/>
    <w:rsid w:val="7E5533A9"/>
    <w:rsid w:val="7E573431"/>
    <w:rsid w:val="7E5C4EFF"/>
    <w:rsid w:val="7E5C7A06"/>
    <w:rsid w:val="7E5E658D"/>
    <w:rsid w:val="7E640D3D"/>
    <w:rsid w:val="7E6671D0"/>
    <w:rsid w:val="7E66788B"/>
    <w:rsid w:val="7E6C0FA8"/>
    <w:rsid w:val="7E6C53C1"/>
    <w:rsid w:val="7E6D5828"/>
    <w:rsid w:val="7E6E1C40"/>
    <w:rsid w:val="7E700D50"/>
    <w:rsid w:val="7E715FA3"/>
    <w:rsid w:val="7E7347A5"/>
    <w:rsid w:val="7E7538B7"/>
    <w:rsid w:val="7E790FDA"/>
    <w:rsid w:val="7E7C2E97"/>
    <w:rsid w:val="7E7C4F2E"/>
    <w:rsid w:val="7E7D156B"/>
    <w:rsid w:val="7E7E6C0F"/>
    <w:rsid w:val="7E834E22"/>
    <w:rsid w:val="7E841750"/>
    <w:rsid w:val="7E867872"/>
    <w:rsid w:val="7E876F14"/>
    <w:rsid w:val="7E8A55B4"/>
    <w:rsid w:val="7E8B6C36"/>
    <w:rsid w:val="7E8E1BDA"/>
    <w:rsid w:val="7E8E266E"/>
    <w:rsid w:val="7E906943"/>
    <w:rsid w:val="7E9149BA"/>
    <w:rsid w:val="7E921852"/>
    <w:rsid w:val="7E9226EB"/>
    <w:rsid w:val="7E940BC6"/>
    <w:rsid w:val="7E9C0E44"/>
    <w:rsid w:val="7E9F0934"/>
    <w:rsid w:val="7E9F26E2"/>
    <w:rsid w:val="7EA05563"/>
    <w:rsid w:val="7EA6334F"/>
    <w:rsid w:val="7EA63DDD"/>
    <w:rsid w:val="7EAA6A11"/>
    <w:rsid w:val="7EAE3786"/>
    <w:rsid w:val="7EAF6449"/>
    <w:rsid w:val="7EB03CDB"/>
    <w:rsid w:val="7EB22A1D"/>
    <w:rsid w:val="7EB268B9"/>
    <w:rsid w:val="7EB663A9"/>
    <w:rsid w:val="7EB83D78"/>
    <w:rsid w:val="7EB95BF8"/>
    <w:rsid w:val="7EBB2475"/>
    <w:rsid w:val="7EBC7738"/>
    <w:rsid w:val="7EBD1E63"/>
    <w:rsid w:val="7EBD69B8"/>
    <w:rsid w:val="7EBE700C"/>
    <w:rsid w:val="7EC24E3A"/>
    <w:rsid w:val="7EC46BCF"/>
    <w:rsid w:val="7EC825E4"/>
    <w:rsid w:val="7ECC2A41"/>
    <w:rsid w:val="7ECD54A1"/>
    <w:rsid w:val="7ED16DE7"/>
    <w:rsid w:val="7ED33D79"/>
    <w:rsid w:val="7ED40141"/>
    <w:rsid w:val="7ED66628"/>
    <w:rsid w:val="7EDB7BBE"/>
    <w:rsid w:val="7EDC4BBA"/>
    <w:rsid w:val="7EDF0647"/>
    <w:rsid w:val="7EE011E6"/>
    <w:rsid w:val="7EE051D4"/>
    <w:rsid w:val="7EE10361"/>
    <w:rsid w:val="7EE41F32"/>
    <w:rsid w:val="7EE45F86"/>
    <w:rsid w:val="7EE53694"/>
    <w:rsid w:val="7EE84089"/>
    <w:rsid w:val="7EF11EAA"/>
    <w:rsid w:val="7EF1283D"/>
    <w:rsid w:val="7EF421D6"/>
    <w:rsid w:val="7EF46ED2"/>
    <w:rsid w:val="7EFA36CB"/>
    <w:rsid w:val="7EFB4F6E"/>
    <w:rsid w:val="7EFD2951"/>
    <w:rsid w:val="7EFE4B8C"/>
    <w:rsid w:val="7EFF28BB"/>
    <w:rsid w:val="7F00043A"/>
    <w:rsid w:val="7F017854"/>
    <w:rsid w:val="7F053EE9"/>
    <w:rsid w:val="7F080287"/>
    <w:rsid w:val="7F0E29B0"/>
    <w:rsid w:val="7F0F1615"/>
    <w:rsid w:val="7F0F1923"/>
    <w:rsid w:val="7F10538E"/>
    <w:rsid w:val="7F112C33"/>
    <w:rsid w:val="7F116CAB"/>
    <w:rsid w:val="7F1715F4"/>
    <w:rsid w:val="7F17534F"/>
    <w:rsid w:val="7F17671C"/>
    <w:rsid w:val="7F1949EB"/>
    <w:rsid w:val="7F1A3B7B"/>
    <w:rsid w:val="7F1B445E"/>
    <w:rsid w:val="7F1D501C"/>
    <w:rsid w:val="7F226EA1"/>
    <w:rsid w:val="7F2514E7"/>
    <w:rsid w:val="7F257827"/>
    <w:rsid w:val="7F2712B6"/>
    <w:rsid w:val="7F2712C4"/>
    <w:rsid w:val="7F293D20"/>
    <w:rsid w:val="7F2A2345"/>
    <w:rsid w:val="7F2E04CD"/>
    <w:rsid w:val="7F3345C7"/>
    <w:rsid w:val="7F365E18"/>
    <w:rsid w:val="7F3924D3"/>
    <w:rsid w:val="7F3A1854"/>
    <w:rsid w:val="7F3B065C"/>
    <w:rsid w:val="7F3C21FB"/>
    <w:rsid w:val="7F3C7064"/>
    <w:rsid w:val="7F3E639F"/>
    <w:rsid w:val="7F4219EB"/>
    <w:rsid w:val="7F437511"/>
    <w:rsid w:val="7F475253"/>
    <w:rsid w:val="7F4B7E2D"/>
    <w:rsid w:val="7F4C4235"/>
    <w:rsid w:val="7F4F5EB6"/>
    <w:rsid w:val="7F517421"/>
    <w:rsid w:val="7F517E80"/>
    <w:rsid w:val="7F546B4E"/>
    <w:rsid w:val="7F5748B9"/>
    <w:rsid w:val="7F590614"/>
    <w:rsid w:val="7F5931D8"/>
    <w:rsid w:val="7F5B6D59"/>
    <w:rsid w:val="7F6310E9"/>
    <w:rsid w:val="7F632AD8"/>
    <w:rsid w:val="7F651B7D"/>
    <w:rsid w:val="7F670D60"/>
    <w:rsid w:val="7F6A2CF0"/>
    <w:rsid w:val="7F6C4CBA"/>
    <w:rsid w:val="7F6D15ED"/>
    <w:rsid w:val="7F6E4F2C"/>
    <w:rsid w:val="7F6E52F3"/>
    <w:rsid w:val="7F6F47AA"/>
    <w:rsid w:val="7F731EA8"/>
    <w:rsid w:val="7F744857"/>
    <w:rsid w:val="7F77092E"/>
    <w:rsid w:val="7F7D572F"/>
    <w:rsid w:val="7F7E5056"/>
    <w:rsid w:val="7F815817"/>
    <w:rsid w:val="7F83401D"/>
    <w:rsid w:val="7F85081C"/>
    <w:rsid w:val="7F8647E3"/>
    <w:rsid w:val="7F8759F2"/>
    <w:rsid w:val="7F88269B"/>
    <w:rsid w:val="7F8C0830"/>
    <w:rsid w:val="7F902DCA"/>
    <w:rsid w:val="7F935CC2"/>
    <w:rsid w:val="7F966C81"/>
    <w:rsid w:val="7F9728BE"/>
    <w:rsid w:val="7F9B74A5"/>
    <w:rsid w:val="7F9F3437"/>
    <w:rsid w:val="7F9F4D2B"/>
    <w:rsid w:val="7FA709A8"/>
    <w:rsid w:val="7FA8300C"/>
    <w:rsid w:val="7FAE1EEA"/>
    <w:rsid w:val="7FB126CD"/>
    <w:rsid w:val="7FB55C1C"/>
    <w:rsid w:val="7FBA7D0A"/>
    <w:rsid w:val="7FBC2D20"/>
    <w:rsid w:val="7FBD5515"/>
    <w:rsid w:val="7FBE274D"/>
    <w:rsid w:val="7FC248DA"/>
    <w:rsid w:val="7FC5755B"/>
    <w:rsid w:val="7FC71EF0"/>
    <w:rsid w:val="7FC95C68"/>
    <w:rsid w:val="7FCC5758"/>
    <w:rsid w:val="7FCC605A"/>
    <w:rsid w:val="7FCE1523"/>
    <w:rsid w:val="7FD7685E"/>
    <w:rsid w:val="7FD840FD"/>
    <w:rsid w:val="7FDD5BB8"/>
    <w:rsid w:val="7FDE05EA"/>
    <w:rsid w:val="7FDF548C"/>
    <w:rsid w:val="7FE021F4"/>
    <w:rsid w:val="7FE31053"/>
    <w:rsid w:val="7FE47E97"/>
    <w:rsid w:val="7FE7641E"/>
    <w:rsid w:val="7FEA0CD3"/>
    <w:rsid w:val="7FEA3E31"/>
    <w:rsid w:val="7FEC059A"/>
    <w:rsid w:val="7FEC1642"/>
    <w:rsid w:val="7FEF3629"/>
    <w:rsid w:val="7FF32C78"/>
    <w:rsid w:val="7FF4549F"/>
    <w:rsid w:val="7FF4774B"/>
    <w:rsid w:val="7FF705ED"/>
    <w:rsid w:val="7FF90401"/>
    <w:rsid w:val="7FFD6B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qFormat="1" w:unhideWhenUsed="0" w:uiPriority="99"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iPriority="99" w:semiHidden="0" w:name="Body Text 2"/>
    <w:lsdException w:qFormat="1" w:unhideWhenUsed="0" w:uiPriority="0" w:semiHidden="0" w:name="Body Text 3"/>
    <w:lsdException w:qFormat="1" w:unhideWhenUsed="0" w:uiPriority="99"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heme="minorBidi"/>
      <w:b/>
      <w:kern w:val="2"/>
      <w:sz w:val="24"/>
      <w:szCs w:val="24"/>
      <w:lang w:val="en-US" w:eastAsia="zh-CN" w:bidi="ar-SA"/>
    </w:rPr>
  </w:style>
  <w:style w:type="paragraph" w:styleId="6">
    <w:name w:val="heading 1"/>
    <w:basedOn w:val="1"/>
    <w:next w:val="1"/>
    <w:qFormat/>
    <w:uiPriority w:val="0"/>
    <w:pPr>
      <w:keepNext/>
      <w:keepLines/>
      <w:outlineLvl w:val="0"/>
    </w:pPr>
    <w:rPr>
      <w:kern w:val="44"/>
      <w:sz w:val="30"/>
    </w:rPr>
  </w:style>
  <w:style w:type="paragraph" w:styleId="7">
    <w:name w:val="heading 2"/>
    <w:basedOn w:val="1"/>
    <w:next w:val="1"/>
    <w:unhideWhenUsed/>
    <w:qFormat/>
    <w:uiPriority w:val="0"/>
    <w:pPr>
      <w:keepNext/>
      <w:keepLines/>
      <w:outlineLvl w:val="1"/>
    </w:pPr>
    <w:rPr>
      <w:sz w:val="28"/>
    </w:rPr>
  </w:style>
  <w:style w:type="paragraph" w:styleId="8">
    <w:name w:val="heading 3"/>
    <w:basedOn w:val="1"/>
    <w:next w:val="1"/>
    <w:unhideWhenUsed/>
    <w:qFormat/>
    <w:uiPriority w:val="0"/>
    <w:pPr>
      <w:keepNext/>
      <w:keepLines/>
      <w:spacing w:line="360" w:lineRule="auto"/>
      <w:outlineLvl w:val="2"/>
    </w:pPr>
  </w:style>
  <w:style w:type="paragraph" w:styleId="9">
    <w:name w:val="heading 4"/>
    <w:basedOn w:val="1"/>
    <w:next w:val="1"/>
    <w:unhideWhenUsed/>
    <w:qFormat/>
    <w:uiPriority w:val="0"/>
    <w:pPr>
      <w:keepNext/>
      <w:keepLines/>
      <w:spacing w:line="360" w:lineRule="auto"/>
      <w:outlineLvl w:val="3"/>
    </w:pPr>
    <w:rPr>
      <w:bCs/>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tabs>
        <w:tab w:val="left" w:pos="840"/>
      </w:tabs>
      <w:spacing w:line="360" w:lineRule="auto"/>
      <w:ind w:firstLine="200"/>
      <w:jc w:val="both"/>
    </w:pPr>
  </w:style>
  <w:style w:type="paragraph" w:styleId="3">
    <w:name w:val="Normal Indent"/>
    <w:basedOn w:val="1"/>
    <w:next w:val="4"/>
    <w:qFormat/>
    <w:uiPriority w:val="0"/>
    <w:pPr>
      <w:ind w:firstLine="420" w:firstLineChars="200"/>
    </w:pPr>
  </w:style>
  <w:style w:type="paragraph" w:styleId="4">
    <w:name w:val="Body Text First Indent 2"/>
    <w:basedOn w:val="5"/>
    <w:next w:val="1"/>
    <w:qFormat/>
    <w:uiPriority w:val="0"/>
    <w:pPr>
      <w:ind w:firstLine="420"/>
    </w:pPr>
    <w:rPr>
      <w:rFonts w:ascii="Calibri" w:hAnsi="Calibri"/>
      <w:sz w:val="28"/>
      <w:szCs w:val="22"/>
    </w:rPr>
  </w:style>
  <w:style w:type="paragraph" w:styleId="5">
    <w:name w:val="Body Text Indent"/>
    <w:basedOn w:val="1"/>
    <w:next w:val="1"/>
    <w:qFormat/>
    <w:uiPriority w:val="0"/>
    <w:pPr>
      <w:spacing w:after="120"/>
      <w:ind w:left="420" w:leftChars="200"/>
    </w:pPr>
    <w:rPr>
      <w:kern w:val="0"/>
      <w:szCs w:val="20"/>
    </w:rPr>
  </w:style>
  <w:style w:type="paragraph" w:styleId="10">
    <w:name w:val="Note Heading"/>
    <w:basedOn w:val="1"/>
    <w:next w:val="1"/>
    <w:qFormat/>
    <w:uiPriority w:val="0"/>
    <w:pPr>
      <w:jc w:val="center"/>
    </w:pPr>
    <w:rPr>
      <w:rFonts w:ascii="宋体"/>
      <w:szCs w:val="20"/>
    </w:rPr>
  </w:style>
  <w:style w:type="paragraph" w:styleId="11">
    <w:name w:val="caption"/>
    <w:basedOn w:val="1"/>
    <w:next w:val="1"/>
    <w:qFormat/>
    <w:uiPriority w:val="35"/>
    <w:pPr>
      <w:jc w:val="center"/>
    </w:pPr>
    <w:rPr>
      <w:szCs w:val="20"/>
    </w:rPr>
  </w:style>
  <w:style w:type="paragraph" w:styleId="12">
    <w:name w:val="annotation text"/>
    <w:basedOn w:val="1"/>
    <w:link w:val="76"/>
    <w:qFormat/>
    <w:uiPriority w:val="0"/>
  </w:style>
  <w:style w:type="paragraph" w:styleId="13">
    <w:name w:val="Body Text 3"/>
    <w:basedOn w:val="1"/>
    <w:qFormat/>
    <w:uiPriority w:val="0"/>
    <w:pPr>
      <w:spacing w:after="120"/>
    </w:pPr>
    <w:rPr>
      <w:sz w:val="16"/>
      <w:szCs w:val="16"/>
    </w:rPr>
  </w:style>
  <w:style w:type="paragraph" w:styleId="14">
    <w:name w:val="Body Text"/>
    <w:basedOn w:val="1"/>
    <w:next w:val="15"/>
    <w:qFormat/>
    <w:uiPriority w:val="0"/>
    <w:pPr>
      <w:widowControl/>
      <w:snapToGrid w:val="0"/>
      <w:spacing w:before="60" w:after="160" w:line="259" w:lineRule="auto"/>
      <w:ind w:right="113"/>
    </w:pPr>
    <w:rPr>
      <w:kern w:val="0"/>
      <w:sz w:val="18"/>
      <w:szCs w:val="20"/>
    </w:rPr>
  </w:style>
  <w:style w:type="paragraph" w:styleId="15">
    <w:name w:val="List Bullet 5"/>
    <w:basedOn w:val="1"/>
    <w:qFormat/>
    <w:uiPriority w:val="0"/>
    <w:pPr>
      <w:numPr>
        <w:ilvl w:val="0"/>
        <w:numId w:val="1"/>
      </w:numPr>
    </w:pPr>
  </w:style>
  <w:style w:type="paragraph" w:styleId="16">
    <w:name w:val="Block Text"/>
    <w:basedOn w:val="1"/>
    <w:unhideWhenUsed/>
    <w:qFormat/>
    <w:uiPriority w:val="99"/>
    <w:pPr>
      <w:spacing w:after="120"/>
      <w:ind w:left="1440" w:leftChars="700" w:right="1440" w:rightChars="700"/>
    </w:pPr>
  </w:style>
  <w:style w:type="paragraph" w:styleId="17">
    <w:name w:val="Plain Text"/>
    <w:basedOn w:val="1"/>
    <w:next w:val="18"/>
    <w:qFormat/>
    <w:uiPriority w:val="0"/>
    <w:rPr>
      <w:rFonts w:hAnsi="Courier New" w:cs="Courier New"/>
      <w:szCs w:val="21"/>
    </w:rPr>
  </w:style>
  <w:style w:type="paragraph" w:styleId="18">
    <w:name w:val="toc 1"/>
    <w:basedOn w:val="1"/>
    <w:next w:val="1"/>
    <w:qFormat/>
    <w:uiPriority w:val="0"/>
    <w:rPr>
      <w:bCs/>
    </w:rPr>
  </w:style>
  <w:style w:type="paragraph" w:styleId="19">
    <w:name w:val="Date"/>
    <w:basedOn w:val="1"/>
    <w:next w:val="1"/>
    <w:qFormat/>
    <w:uiPriority w:val="0"/>
    <w:pPr>
      <w:ind w:left="100" w:leftChars="2500"/>
    </w:pPr>
    <w:rPr>
      <w:kern w:val="0"/>
      <w:sz w:val="24"/>
      <w:szCs w:val="20"/>
    </w:rPr>
  </w:style>
  <w:style w:type="paragraph" w:styleId="20">
    <w:name w:val="Body Text Indent 2"/>
    <w:basedOn w:val="1"/>
    <w:next w:val="4"/>
    <w:qFormat/>
    <w:uiPriority w:val="99"/>
    <w:pPr>
      <w:spacing w:after="120" w:line="480" w:lineRule="auto"/>
      <w:ind w:left="420" w:leftChars="200"/>
    </w:pPr>
  </w:style>
  <w:style w:type="paragraph" w:styleId="21">
    <w:name w:val="Balloon Text"/>
    <w:basedOn w:val="1"/>
    <w:semiHidden/>
    <w:qFormat/>
    <w:uiPriority w:val="0"/>
    <w:rPr>
      <w:kern w:val="0"/>
      <w:sz w:val="18"/>
      <w:szCs w:val="20"/>
    </w:rPr>
  </w:style>
  <w:style w:type="paragraph" w:styleId="22">
    <w:name w:val="footer"/>
    <w:basedOn w:val="1"/>
    <w:qFormat/>
    <w:uiPriority w:val="99"/>
    <w:pPr>
      <w:tabs>
        <w:tab w:val="center" w:pos="4153"/>
        <w:tab w:val="right" w:pos="8306"/>
      </w:tabs>
      <w:snapToGrid w:val="0"/>
    </w:pPr>
    <w:rPr>
      <w:kern w:val="0"/>
      <w:sz w:val="18"/>
      <w:szCs w:val="20"/>
    </w:rPr>
  </w:style>
  <w:style w:type="paragraph" w:styleId="23">
    <w:name w:val="header"/>
    <w:basedOn w:val="1"/>
    <w:next w:val="1"/>
    <w:link w:val="8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24">
    <w:name w:val="List Number 5"/>
    <w:basedOn w:val="1"/>
    <w:qFormat/>
    <w:uiPriority w:val="0"/>
    <w:pPr>
      <w:numPr>
        <w:ilvl w:val="0"/>
        <w:numId w:val="2"/>
      </w:numPr>
    </w:pPr>
  </w:style>
  <w:style w:type="paragraph" w:styleId="25">
    <w:name w:val="List"/>
    <w:basedOn w:val="1"/>
    <w:unhideWhenUsed/>
    <w:qFormat/>
    <w:uiPriority w:val="0"/>
    <w:pPr>
      <w:widowControl w:val="0"/>
      <w:wordWrap w:val="0"/>
      <w:autoSpaceDE w:val="0"/>
      <w:autoSpaceDN w:val="0"/>
      <w:adjustRightInd w:val="0"/>
      <w:spacing w:line="360" w:lineRule="auto"/>
      <w:ind w:left="-2" w:leftChars="-1" w:right="-108" w:rightChars="-45" w:firstLine="420" w:firstLineChars="200"/>
      <w:jc w:val="left"/>
    </w:pPr>
    <w:rPr>
      <w:rFonts w:ascii="黑体" w:hAnsi="Times New Roman" w:eastAsia="黑体" w:cs="Times New Roman"/>
      <w:kern w:val="0"/>
      <w:sz w:val="20"/>
      <w:szCs w:val="20"/>
      <w:lang w:val="zh-CN" w:eastAsia="zh-CN" w:bidi="zh-CN"/>
    </w:rPr>
  </w:style>
  <w:style w:type="paragraph" w:styleId="26">
    <w:name w:val="table of figures"/>
    <w:basedOn w:val="1"/>
    <w:next w:val="1"/>
    <w:semiHidden/>
    <w:qFormat/>
    <w:uiPriority w:val="99"/>
    <w:pPr>
      <w:jc w:val="center"/>
    </w:pPr>
    <w:rPr>
      <w:rFonts w:eastAsia="楷体_GB2312"/>
      <w:color w:val="000000"/>
      <w:spacing w:val="-4"/>
      <w:szCs w:val="20"/>
    </w:rPr>
  </w:style>
  <w:style w:type="paragraph" w:styleId="27">
    <w:name w:val="Body Text 2"/>
    <w:basedOn w:val="1"/>
    <w:link w:val="82"/>
    <w:unhideWhenUsed/>
    <w:qFormat/>
    <w:uiPriority w:val="99"/>
    <w:pPr>
      <w:spacing w:line="360" w:lineRule="auto"/>
      <w:ind w:firstLine="602" w:firstLineChars="200"/>
    </w:pPr>
    <w:rPr>
      <w:b w:val="0"/>
    </w:rPr>
  </w:style>
  <w:style w:type="paragraph" w:styleId="28">
    <w:name w:val="Normal (Web)"/>
    <w:basedOn w:val="1"/>
    <w:link w:val="67"/>
    <w:qFormat/>
    <w:uiPriority w:val="0"/>
    <w:pPr>
      <w:widowControl/>
      <w:spacing w:before="100" w:beforeAutospacing="1" w:after="100" w:afterAutospacing="1"/>
    </w:pPr>
    <w:rPr>
      <w:rFonts w:ascii="宋体" w:hAnsi="宋体"/>
      <w:kern w:val="0"/>
      <w:szCs w:val="20"/>
    </w:rPr>
  </w:style>
  <w:style w:type="paragraph" w:styleId="29">
    <w:name w:val="annotation subject"/>
    <w:basedOn w:val="12"/>
    <w:next w:val="12"/>
    <w:link w:val="77"/>
    <w:qFormat/>
    <w:uiPriority w:val="0"/>
    <w:rPr>
      <w:bCs/>
    </w:rPr>
  </w:style>
  <w:style w:type="paragraph" w:styleId="30">
    <w:name w:val="Body Text First Indent"/>
    <w:basedOn w:val="14"/>
    <w:next w:val="31"/>
    <w:qFormat/>
    <w:uiPriority w:val="0"/>
    <w:pPr>
      <w:ind w:firstLine="420" w:firstLineChars="100"/>
    </w:pPr>
  </w:style>
  <w:style w:type="paragraph" w:customStyle="1" w:styleId="31">
    <w:name w:val="样式 正文首行缩进 + 首行缩进:  2 字符1"/>
    <w:basedOn w:val="30"/>
    <w:next w:val="18"/>
    <w:qFormat/>
    <w:uiPriority w:val="0"/>
    <w:pPr>
      <w:spacing w:after="0" w:line="360" w:lineRule="auto"/>
      <w:ind w:firstLine="480" w:firstLineChars="200"/>
    </w:pPr>
    <w:rPr>
      <w:rFonts w:ascii="Times New Roman" w:hAnsi="Times New Roman"/>
      <w:sz w:val="24"/>
      <w:szCs w:val="24"/>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35">
    <w:name w:val="Strong"/>
    <w:basedOn w:val="34"/>
    <w:qFormat/>
    <w:uiPriority w:val="0"/>
    <w:rPr>
      <w:b/>
    </w:rPr>
  </w:style>
  <w:style w:type="character" w:styleId="36">
    <w:name w:val="page number"/>
    <w:basedOn w:val="34"/>
    <w:qFormat/>
    <w:uiPriority w:val="0"/>
  </w:style>
  <w:style w:type="character" w:styleId="37">
    <w:name w:val="Hyperlink"/>
    <w:basedOn w:val="34"/>
    <w:qFormat/>
    <w:uiPriority w:val="0"/>
    <w:rPr>
      <w:color w:val="0000FF"/>
      <w:u w:val="single"/>
    </w:rPr>
  </w:style>
  <w:style w:type="character" w:styleId="38">
    <w:name w:val="annotation reference"/>
    <w:basedOn w:val="34"/>
    <w:qFormat/>
    <w:uiPriority w:val="0"/>
    <w:rPr>
      <w:sz w:val="21"/>
      <w:szCs w:val="21"/>
    </w:rPr>
  </w:style>
  <w:style w:type="paragraph" w:customStyle="1" w:styleId="39">
    <w:name w:val="样式 首行缩进:  2 字符1"/>
    <w:basedOn w:val="1"/>
    <w:qFormat/>
    <w:uiPriority w:val="0"/>
    <w:pPr>
      <w:adjustRightInd w:val="0"/>
      <w:snapToGrid w:val="0"/>
      <w:spacing w:line="360" w:lineRule="auto"/>
      <w:ind w:firstLine="480" w:firstLineChars="200"/>
    </w:pPr>
    <w:rPr>
      <w:rFonts w:cs="宋体"/>
      <w:sz w:val="24"/>
      <w:lang w:val="en-US" w:eastAsia="zh-CN"/>
    </w:rPr>
  </w:style>
  <w:style w:type="paragraph" w:customStyle="1" w:styleId="40">
    <w:name w:val="样式 正文文本缩进 + 行距: 1.5 倍行距"/>
    <w:qFormat/>
    <w:uiPriority w:val="0"/>
    <w:pPr>
      <w:widowControl w:val="0"/>
      <w:spacing w:after="120" w:line="360" w:lineRule="auto"/>
      <w:ind w:left="90" w:leftChars="32" w:firstLine="560" w:firstLineChars="200"/>
      <w:jc w:val="both"/>
    </w:pPr>
    <w:rPr>
      <w:rFonts w:ascii="Times New Roman" w:hAnsi="Times New Roman" w:eastAsia="宋体" w:cs="宋体"/>
      <w:lang w:val="en-US" w:eastAsia="zh-CN" w:bidi="ar-SA"/>
    </w:rPr>
  </w:style>
  <w:style w:type="paragraph" w:customStyle="1" w:styleId="41">
    <w:name w:val="xl27"/>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42">
    <w:name w:val="Body Text 21"/>
    <w:basedOn w:val="1"/>
    <w:qFormat/>
    <w:uiPriority w:val="0"/>
    <w:pPr>
      <w:spacing w:after="120" w:line="480" w:lineRule="auto"/>
    </w:pPr>
  </w:style>
  <w:style w:type="paragraph" w:customStyle="1" w:styleId="43">
    <w:name w:val="默认段落"/>
    <w:basedOn w:val="1"/>
    <w:qFormat/>
    <w:uiPriority w:val="0"/>
  </w:style>
  <w:style w:type="paragraph" w:customStyle="1" w:styleId="44">
    <w:name w:val="表头字体"/>
    <w:basedOn w:val="1"/>
    <w:qFormat/>
    <w:uiPriority w:val="0"/>
    <w:pPr>
      <w:spacing w:line="360" w:lineRule="auto"/>
      <w:jc w:val="center"/>
    </w:pPr>
  </w:style>
  <w:style w:type="paragraph" w:customStyle="1" w:styleId="45">
    <w:name w:val="表格内容"/>
    <w:next w:val="46"/>
    <w:link w:val="80"/>
    <w:qFormat/>
    <w:uiPriority w:val="0"/>
    <w:pPr>
      <w:jc w:val="center"/>
    </w:pPr>
    <w:rPr>
      <w:rFonts w:ascii="Times New Roman" w:hAnsi="Times New Roman" w:eastAsia="宋体" w:cs="Times New Roman"/>
      <w:kern w:val="2"/>
      <w:sz w:val="21"/>
      <w:szCs w:val="24"/>
      <w:lang w:val="zh-TW" w:eastAsia="zh-TW" w:bidi="ar-SA"/>
    </w:rPr>
  </w:style>
  <w:style w:type="paragraph" w:customStyle="1" w:styleId="46">
    <w:name w:val="文本正文"/>
    <w:basedOn w:val="1"/>
    <w:qFormat/>
    <w:uiPriority w:val="0"/>
    <w:pPr>
      <w:ind w:firstLine="480"/>
    </w:pPr>
  </w:style>
  <w:style w:type="paragraph" w:customStyle="1" w:styleId="47">
    <w:name w:val="Default"/>
    <w:basedOn w:val="48"/>
    <w:next w:val="1"/>
    <w:qFormat/>
    <w:uiPriority w:val="0"/>
    <w:pPr>
      <w:autoSpaceDE w:val="0"/>
      <w:autoSpaceDN w:val="0"/>
      <w:adjustRightInd w:val="0"/>
    </w:pPr>
    <w:rPr>
      <w:rFonts w:hAnsi="Times New Roman" w:cs="宋体"/>
      <w:color w:val="000000"/>
      <w:sz w:val="24"/>
      <w:szCs w:val="24"/>
    </w:rPr>
  </w:style>
  <w:style w:type="paragraph" w:customStyle="1" w:styleId="48">
    <w:name w:val="1 表头"/>
    <w:basedOn w:val="1"/>
    <w:qFormat/>
    <w:uiPriority w:val="0"/>
    <w:pPr>
      <w:adjustRightInd w:val="0"/>
      <w:snapToGrid w:val="0"/>
      <w:jc w:val="center"/>
    </w:pPr>
    <w:rPr>
      <w:color w:val="000000"/>
      <w:sz w:val="21"/>
      <w:szCs w:val="21"/>
    </w:rPr>
  </w:style>
  <w:style w:type="paragraph" w:customStyle="1" w:styleId="49">
    <w:name w:val="纯文本1"/>
    <w:basedOn w:val="1"/>
    <w:qFormat/>
    <w:uiPriority w:val="0"/>
    <w:rPr>
      <w:rFonts w:ascii="宋体" w:hAnsi="Courier New" w:cs="Courier New"/>
      <w:sz w:val="21"/>
      <w:szCs w:val="21"/>
    </w:rPr>
  </w:style>
  <w:style w:type="paragraph" w:customStyle="1" w:styleId="50">
    <w:name w:val="正文1"/>
    <w:basedOn w:val="3"/>
    <w:next w:val="3"/>
    <w:qFormat/>
    <w:uiPriority w:val="0"/>
    <w:pPr>
      <w:ind w:firstLine="0" w:firstLineChars="0"/>
      <w:jc w:val="center"/>
    </w:pPr>
    <w:rPr>
      <w:b w:val="0"/>
      <w:sz w:val="21"/>
    </w:rPr>
  </w:style>
  <w:style w:type="paragraph" w:customStyle="1" w:styleId="51">
    <w:name w:val="表格字体"/>
    <w:basedOn w:val="44"/>
    <w:qFormat/>
    <w:uiPriority w:val="0"/>
    <w:pPr>
      <w:spacing w:line="240" w:lineRule="auto"/>
    </w:pPr>
    <w:rPr>
      <w:b w:val="0"/>
    </w:rPr>
  </w:style>
  <w:style w:type="paragraph" w:customStyle="1" w:styleId="52">
    <w:name w:val="正文格式"/>
    <w:basedOn w:val="1"/>
    <w:qFormat/>
    <w:uiPriority w:val="0"/>
    <w:pPr>
      <w:spacing w:before="78" w:beforeLines="25" w:after="78" w:afterLines="25" w:line="360" w:lineRule="auto"/>
      <w:ind w:firstLine="40"/>
    </w:pPr>
  </w:style>
  <w:style w:type="paragraph" w:customStyle="1" w:styleId="53">
    <w:name w:val="正文首行缩进 21"/>
    <w:basedOn w:val="54"/>
    <w:next w:val="14"/>
    <w:qFormat/>
    <w:uiPriority w:val="0"/>
    <w:pPr>
      <w:spacing w:after="120"/>
      <w:ind w:left="420" w:leftChars="200" w:firstLine="420" w:firstLineChars="200"/>
    </w:pPr>
    <w:rPr>
      <w:sz w:val="21"/>
    </w:rPr>
  </w:style>
  <w:style w:type="paragraph" w:customStyle="1" w:styleId="54">
    <w:name w:val="正文文本缩进1"/>
    <w:basedOn w:val="1"/>
    <w:qFormat/>
    <w:uiPriority w:val="0"/>
    <w:pPr>
      <w:ind w:firstLine="538" w:firstLineChars="192"/>
    </w:pPr>
    <w:rPr>
      <w:kern w:val="0"/>
      <w:sz w:val="28"/>
    </w:rPr>
  </w:style>
  <w:style w:type="paragraph" w:customStyle="1" w:styleId="55">
    <w:name w:val="1"/>
    <w:basedOn w:val="1"/>
    <w:qFormat/>
    <w:uiPriority w:val="0"/>
    <w:pPr>
      <w:ind w:firstLine="720" w:firstLineChars="200"/>
    </w:pPr>
    <w:rPr>
      <w:rFonts w:hint="eastAsia" w:cs="Times New Roman"/>
      <w:szCs w:val="32"/>
    </w:rPr>
  </w:style>
  <w:style w:type="paragraph" w:customStyle="1" w:styleId="56">
    <w:name w:val="表头"/>
    <w:basedOn w:val="57"/>
    <w:next w:val="1"/>
    <w:qFormat/>
    <w:uiPriority w:val="0"/>
    <w:pPr>
      <w:ind w:firstLine="0" w:firstLineChars="0"/>
      <w:jc w:val="center"/>
    </w:pPr>
    <w:rPr>
      <w:bCs/>
      <w:sz w:val="21"/>
      <w:szCs w:val="21"/>
    </w:rPr>
  </w:style>
  <w:style w:type="paragraph" w:customStyle="1" w:styleId="57">
    <w:name w:val="表格"/>
    <w:basedOn w:val="25"/>
    <w:next w:val="1"/>
    <w:qFormat/>
    <w:uiPriority w:val="0"/>
    <w:pPr>
      <w:adjustRightInd w:val="0"/>
      <w:snapToGrid w:val="0"/>
      <w:spacing w:beforeLines="10" w:afterLines="10" w:line="259" w:lineRule="auto"/>
      <w:jc w:val="center"/>
    </w:pPr>
  </w:style>
  <w:style w:type="paragraph" w:customStyle="1" w:styleId="58">
    <w:name w:val="正文001"/>
    <w:basedOn w:val="1"/>
    <w:qFormat/>
    <w:uiPriority w:val="0"/>
    <w:pPr>
      <w:spacing w:before="60" w:line="460" w:lineRule="exact"/>
      <w:ind w:firstLine="482"/>
    </w:pPr>
    <w:rPr>
      <w:szCs w:val="20"/>
    </w:rPr>
  </w:style>
  <w:style w:type="paragraph" w:customStyle="1" w:styleId="59">
    <w:name w:val="表格001"/>
    <w:basedOn w:val="1"/>
    <w:qFormat/>
    <w:uiPriority w:val="0"/>
    <w:pPr>
      <w:jc w:val="center"/>
    </w:pPr>
    <w:rPr>
      <w:szCs w:val="20"/>
    </w:rPr>
  </w:style>
  <w:style w:type="paragraph" w:customStyle="1" w:styleId="60">
    <w:name w:val="M正文"/>
    <w:basedOn w:val="1"/>
    <w:qFormat/>
    <w:uiPriority w:val="0"/>
    <w:pPr>
      <w:ind w:firstLine="200"/>
    </w:pPr>
    <w:rPr>
      <w:szCs w:val="21"/>
    </w:rPr>
  </w:style>
  <w:style w:type="paragraph" w:customStyle="1" w:styleId="61">
    <w:name w:val="德源报告表表格"/>
    <w:qFormat/>
    <w:uiPriority w:val="0"/>
    <w:pPr>
      <w:adjustRightInd w:val="0"/>
      <w:snapToGrid w:val="0"/>
      <w:spacing w:line="360" w:lineRule="exact"/>
      <w:jc w:val="center"/>
    </w:pPr>
    <w:rPr>
      <w:rFonts w:ascii="Times New Roman" w:hAnsi="Times New Roman" w:eastAsia="宋体" w:cs="Times New Roman"/>
      <w:snapToGrid w:val="0"/>
      <w:sz w:val="21"/>
      <w:szCs w:val="21"/>
      <w:lang w:val="en-US" w:eastAsia="zh-CN" w:bidi="ar-SA"/>
    </w:rPr>
  </w:style>
  <w:style w:type="paragraph" w:customStyle="1" w:styleId="62">
    <w:name w:val="表中文字"/>
    <w:basedOn w:val="13"/>
    <w:qFormat/>
    <w:uiPriority w:val="0"/>
    <w:pPr>
      <w:jc w:val="center"/>
    </w:pPr>
    <w:rPr>
      <w:rFonts w:ascii="Times New Roman" w:hAnsi="Times New Roman" w:eastAsia="宋体" w:cstheme="minorBidi"/>
      <w:color w:val="000000"/>
      <w:kern w:val="2"/>
      <w:sz w:val="21"/>
      <w:szCs w:val="24"/>
      <w:lang w:val="en-US" w:eastAsia="zh-CN" w:bidi="ar-SA"/>
    </w:rPr>
  </w:style>
  <w:style w:type="paragraph" w:customStyle="1" w:styleId="63">
    <w:name w:val="图表后空行"/>
    <w:next w:val="1"/>
    <w:qFormat/>
    <w:uiPriority w:val="0"/>
    <w:pPr>
      <w:ind w:firstLine="200"/>
    </w:pPr>
    <w:rPr>
      <w:rFonts w:ascii="Times New Roman" w:hAnsi="Times New Roman" w:eastAsia="宋体" w:cstheme="minorBidi"/>
      <w:kern w:val="2"/>
      <w:sz w:val="18"/>
      <w:szCs w:val="24"/>
      <w:lang w:val="en-US" w:eastAsia="zh-CN" w:bidi="ar-SA"/>
    </w:rPr>
  </w:style>
  <w:style w:type="paragraph" w:customStyle="1" w:styleId="64">
    <w:name w:val="表格1"/>
    <w:basedOn w:val="1"/>
    <w:qFormat/>
    <w:uiPriority w:val="0"/>
    <w:pPr>
      <w:adjustRightInd w:val="0"/>
      <w:snapToGrid w:val="0"/>
      <w:jc w:val="center"/>
    </w:pPr>
    <w:rPr>
      <w:rFonts w:eastAsia="方正仿宋_GBK"/>
      <w:color w:val="000000"/>
      <w:kern w:val="0"/>
    </w:rPr>
  </w:style>
  <w:style w:type="paragraph" w:customStyle="1" w:styleId="65">
    <w:name w:val="表格正文"/>
    <w:basedOn w:val="66"/>
    <w:qFormat/>
    <w:uiPriority w:val="0"/>
    <w:pPr>
      <w:wordWrap w:val="0"/>
    </w:pPr>
    <w:rPr>
      <w:b w:val="0"/>
    </w:rPr>
  </w:style>
  <w:style w:type="paragraph" w:customStyle="1" w:styleId="66">
    <w:name w:val="表格标题"/>
    <w:basedOn w:val="56"/>
    <w:qFormat/>
    <w:uiPriority w:val="0"/>
  </w:style>
  <w:style w:type="character" w:customStyle="1" w:styleId="67">
    <w:name w:val="普通(网站) Char"/>
    <w:link w:val="28"/>
    <w:qFormat/>
    <w:uiPriority w:val="0"/>
    <w:rPr>
      <w:rFonts w:ascii="宋体" w:hAnsi="宋体"/>
      <w:kern w:val="0"/>
      <w:sz w:val="24"/>
      <w:szCs w:val="20"/>
    </w:rPr>
  </w:style>
  <w:style w:type="character" w:customStyle="1" w:styleId="68">
    <w:name w:val="正文文本 2 Char"/>
    <w:link w:val="27"/>
    <w:qFormat/>
    <w:uiPriority w:val="99"/>
    <w:rPr>
      <w:rFonts w:ascii="Times New Roman" w:hAnsi="Times New Roman" w:eastAsia="宋体"/>
      <w:sz w:val="24"/>
    </w:rPr>
  </w:style>
  <w:style w:type="character" w:customStyle="1" w:styleId="69">
    <w:name w:val="font31"/>
    <w:qFormat/>
    <w:uiPriority w:val="0"/>
    <w:rPr>
      <w:rFonts w:hint="eastAsia" w:ascii="宋体" w:hAnsi="宋体" w:eastAsia="宋体" w:cs="宋体"/>
      <w:b/>
      <w:color w:val="FF0000"/>
      <w:sz w:val="21"/>
      <w:szCs w:val="21"/>
      <w:u w:val="none"/>
    </w:rPr>
  </w:style>
  <w:style w:type="character" w:customStyle="1" w:styleId="70">
    <w:name w:val="font51"/>
    <w:qFormat/>
    <w:uiPriority w:val="0"/>
    <w:rPr>
      <w:rFonts w:hint="eastAsia" w:ascii="宋体" w:hAnsi="宋体" w:eastAsia="宋体" w:cs="宋体"/>
      <w:color w:val="FF0000"/>
      <w:sz w:val="21"/>
      <w:szCs w:val="21"/>
      <w:u w:val="none"/>
    </w:rPr>
  </w:style>
  <w:style w:type="paragraph" w:customStyle="1" w:styleId="71">
    <w:name w:val="正文样式"/>
    <w:basedOn w:val="1"/>
    <w:qFormat/>
    <w:uiPriority w:val="0"/>
    <w:pPr>
      <w:adjustRightInd w:val="0"/>
      <w:snapToGrid w:val="0"/>
      <w:spacing w:line="360" w:lineRule="auto"/>
      <w:ind w:firstLine="542" w:firstLineChars="225"/>
      <w:jc w:val="center"/>
    </w:pPr>
    <w:rPr>
      <w:color w:val="FF0000"/>
    </w:rPr>
  </w:style>
  <w:style w:type="paragraph" w:customStyle="1" w:styleId="72">
    <w:name w:val="正文（缩进）"/>
    <w:basedOn w:val="1"/>
    <w:next w:val="1"/>
    <w:qFormat/>
    <w:uiPriority w:val="99"/>
    <w:pPr>
      <w:spacing w:line="360" w:lineRule="auto"/>
      <w:ind w:firstLine="480" w:firstLineChars="200"/>
    </w:pPr>
    <w:rPr>
      <w:rFonts w:cs="Times New Roman"/>
    </w:rPr>
  </w:style>
  <w:style w:type="table" w:customStyle="1" w:styleId="73">
    <w:name w:val="网格型3"/>
    <w:basedOn w:val="32"/>
    <w:qFormat/>
    <w:uiPriority w:val="59"/>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4">
    <w:name w:val="环评正文"/>
    <w:basedOn w:val="1"/>
    <w:qFormat/>
    <w:uiPriority w:val="0"/>
    <w:pPr>
      <w:autoSpaceDE w:val="0"/>
      <w:autoSpaceDN w:val="0"/>
      <w:adjustRightInd w:val="0"/>
      <w:snapToGrid w:val="0"/>
      <w:spacing w:line="360" w:lineRule="auto"/>
      <w:ind w:firstLine="200" w:firstLineChars="200"/>
    </w:pPr>
    <w:rPr>
      <w:rFonts w:cs="宋体"/>
      <w:kern w:val="0"/>
      <w:szCs w:val="21"/>
    </w:rPr>
  </w:style>
  <w:style w:type="paragraph" w:customStyle="1" w:styleId="75">
    <w:name w:val="！正文"/>
    <w:basedOn w:val="1"/>
    <w:qFormat/>
    <w:uiPriority w:val="0"/>
    <w:pPr>
      <w:spacing w:line="500" w:lineRule="exact"/>
      <w:ind w:firstLine="200" w:firstLineChars="200"/>
    </w:pPr>
    <w:rPr>
      <w:kern w:val="0"/>
    </w:rPr>
  </w:style>
  <w:style w:type="character" w:customStyle="1" w:styleId="76">
    <w:name w:val="批注文字 Char"/>
    <w:basedOn w:val="34"/>
    <w:link w:val="12"/>
    <w:qFormat/>
    <w:uiPriority w:val="0"/>
    <w:rPr>
      <w:rFonts w:cstheme="minorBidi"/>
      <w:b/>
      <w:kern w:val="2"/>
      <w:sz w:val="24"/>
      <w:szCs w:val="24"/>
    </w:rPr>
  </w:style>
  <w:style w:type="character" w:customStyle="1" w:styleId="77">
    <w:name w:val="批注主题 Char"/>
    <w:basedOn w:val="76"/>
    <w:link w:val="29"/>
    <w:qFormat/>
    <w:uiPriority w:val="0"/>
    <w:rPr>
      <w:rFonts w:cstheme="minorBidi"/>
      <w:bCs/>
      <w:kern w:val="2"/>
      <w:sz w:val="24"/>
      <w:szCs w:val="24"/>
    </w:rPr>
  </w:style>
  <w:style w:type="character" w:customStyle="1" w:styleId="78">
    <w:name w:val="正文文本 (2)_"/>
    <w:basedOn w:val="34"/>
    <w:link w:val="79"/>
    <w:qFormat/>
    <w:uiPriority w:val="0"/>
    <w:rPr>
      <w:rFonts w:ascii="仿宋" w:eastAsia="仿宋"/>
      <w:kern w:val="0"/>
      <w:sz w:val="13"/>
      <w:szCs w:val="13"/>
    </w:rPr>
  </w:style>
  <w:style w:type="paragraph" w:customStyle="1" w:styleId="79">
    <w:name w:val="正文文本 (2)1"/>
    <w:basedOn w:val="1"/>
    <w:link w:val="78"/>
    <w:qFormat/>
    <w:uiPriority w:val="0"/>
    <w:pPr>
      <w:shd w:val="clear" w:color="auto" w:fill="FFFFFF"/>
      <w:spacing w:line="259" w:lineRule="exact"/>
      <w:ind w:firstLine="300"/>
      <w:jc w:val="distribute"/>
    </w:pPr>
    <w:rPr>
      <w:rFonts w:ascii="仿宋" w:eastAsia="仿宋"/>
      <w:kern w:val="0"/>
      <w:sz w:val="13"/>
      <w:szCs w:val="13"/>
    </w:rPr>
  </w:style>
  <w:style w:type="character" w:customStyle="1" w:styleId="80">
    <w:name w:val="表格内容 Char"/>
    <w:link w:val="45"/>
    <w:qFormat/>
    <w:uiPriority w:val="0"/>
    <w:rPr>
      <w:rFonts w:ascii="Times New Roman" w:hAnsi="Times New Roman" w:eastAsia="宋体" w:cs="Times New Roman"/>
      <w:kern w:val="2"/>
      <w:sz w:val="21"/>
      <w:szCs w:val="24"/>
      <w:lang w:val="zh-TW" w:eastAsia="zh-TW" w:bidi="ar-SA"/>
    </w:rPr>
  </w:style>
  <w:style w:type="character" w:customStyle="1" w:styleId="81">
    <w:name w:val="页眉 Char"/>
    <w:link w:val="23"/>
    <w:qFormat/>
    <w:uiPriority w:val="0"/>
    <w:rPr>
      <w:sz w:val="18"/>
    </w:rPr>
  </w:style>
  <w:style w:type="character" w:customStyle="1" w:styleId="82">
    <w:name w:val="正文文本 2 Char1"/>
    <w:link w:val="27"/>
    <w:qFormat/>
    <w:uiPriority w:val="99"/>
    <w:rPr>
      <w:rFonts w:ascii="Times New Roman" w:hAnsi="Times New Roman" w:eastAsia="宋体"/>
      <w:sz w:val="24"/>
    </w:rPr>
  </w:style>
  <w:style w:type="character" w:customStyle="1" w:styleId="83">
    <w:name w:val="textbig1"/>
    <w:basedOn w:val="34"/>
    <w:qFormat/>
    <w:uiPriority w:val="0"/>
    <w:rPr>
      <w:sz w:val="18"/>
      <w:szCs w:val="18"/>
    </w:rPr>
  </w:style>
  <w:style w:type="paragraph" w:customStyle="1" w:styleId="84">
    <w:name w:val="正文样式1"/>
    <w:basedOn w:val="1"/>
    <w:qFormat/>
    <w:uiPriority w:val="0"/>
    <w:pPr>
      <w:adjustRightInd w:val="0"/>
      <w:spacing w:line="480" w:lineRule="atLeast"/>
      <w:ind w:firstLine="567"/>
      <w:jc w:val="left"/>
      <w:textAlignment w:val="baseline"/>
    </w:pPr>
    <w:rPr>
      <w:kern w:val="0"/>
      <w:sz w:val="28"/>
      <w:szCs w:val="20"/>
    </w:rPr>
  </w:style>
  <w:style w:type="paragraph" w:customStyle="1" w:styleId="85">
    <w:name w:val="正文新"/>
    <w:basedOn w:val="1"/>
    <w:qFormat/>
    <w:uiPriority w:val="0"/>
    <w:pPr>
      <w:spacing w:line="460" w:lineRule="exact"/>
      <w:ind w:firstLine="480" w:firstLineChars="200"/>
    </w:pPr>
    <w:rPr>
      <w:sz w:val="24"/>
    </w:rPr>
  </w:style>
  <w:style w:type="paragraph" w:customStyle="1" w:styleId="86">
    <w:name w:val="表格内"/>
    <w:basedOn w:val="1"/>
    <w:qFormat/>
    <w:uiPriority w:val="0"/>
    <w:pPr>
      <w:adjustRightInd w:val="0"/>
      <w:snapToGrid w:val="0"/>
      <w:spacing w:line="360" w:lineRule="exact"/>
      <w:jc w:val="center"/>
    </w:pPr>
    <w:rPr>
      <w:rFonts w:ascii="Times New Roman" w:hAnsi="Times New Roman" w:cs="Times New Roman"/>
      <w:snapToGrid w:val="0"/>
      <w:kern w:val="0"/>
      <w:szCs w:val="21"/>
    </w:rPr>
  </w:style>
  <w:style w:type="paragraph" w:customStyle="1" w:styleId="87">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88">
    <w:name w:val="报告1"/>
    <w:basedOn w:val="1"/>
    <w:qFormat/>
    <w:uiPriority w:val="0"/>
    <w:pPr>
      <w:adjustRightInd w:val="0"/>
      <w:spacing w:line="360" w:lineRule="auto"/>
      <w:ind w:firstLine="505"/>
      <w:jc w:val="left"/>
      <w:textAlignment w:val="baseline"/>
    </w:pPr>
    <w:rPr>
      <w:kern w:val="0"/>
      <w:sz w:val="24"/>
    </w:rPr>
  </w:style>
  <w:style w:type="paragraph" w:customStyle="1" w:styleId="89">
    <w:name w:val="@正文缩进"/>
    <w:basedOn w:val="1"/>
    <w:qFormat/>
    <w:uiPriority w:val="0"/>
    <w:pPr>
      <w:pBdr>
        <w:top w:val="none" w:color="auto" w:sz="0" w:space="3"/>
        <w:left w:val="none" w:color="auto" w:sz="0" w:space="4"/>
        <w:bottom w:val="none" w:color="auto" w:sz="0" w:space="1"/>
        <w:right w:val="none" w:color="auto" w:sz="0" w:space="4"/>
      </w:pBdr>
      <w:spacing w:line="360" w:lineRule="auto"/>
      <w:ind w:firstLine="420" w:firstLineChars="200"/>
      <w:textAlignment w:val="baseline"/>
    </w:pPr>
    <w:rPr>
      <w:sz w:val="24"/>
    </w:rPr>
  </w:style>
  <w:style w:type="paragraph" w:customStyle="1" w:styleId="90">
    <w:name w:val="3博创正文"/>
    <w:basedOn w:val="1"/>
    <w:unhideWhenUsed/>
    <w:qFormat/>
    <w:uiPriority w:val="0"/>
  </w:style>
  <w:style w:type="paragraph" w:customStyle="1" w:styleId="91">
    <w:name w:val="Table Text"/>
    <w:basedOn w:val="1"/>
    <w:semiHidden/>
    <w:qFormat/>
    <w:uiPriority w:val="0"/>
    <w:rPr>
      <w:rFonts w:ascii="宋体" w:hAnsi="宋体" w:eastAsia="宋体" w:cs="宋体"/>
      <w:sz w:val="24"/>
      <w:szCs w:val="24"/>
      <w:lang w:val="en-US" w:eastAsia="en-US" w:bidi="ar-SA"/>
    </w:rPr>
  </w:style>
  <w:style w:type="table" w:customStyle="1" w:styleId="92">
    <w:name w:val="Table Normal"/>
    <w:semiHidden/>
    <w:unhideWhenUsed/>
    <w:qFormat/>
    <w:uiPriority w:val="0"/>
    <w:tblPr>
      <w:tblCellMar>
        <w:top w:w="0" w:type="dxa"/>
        <w:left w:w="0" w:type="dxa"/>
        <w:bottom w:w="0" w:type="dxa"/>
        <w:right w:w="0" w:type="dxa"/>
      </w:tblCellMar>
    </w:tblPr>
  </w:style>
  <w:style w:type="paragraph" w:customStyle="1" w:styleId="93">
    <w:name w:val="正文11"/>
    <w:basedOn w:val="1"/>
    <w:qFormat/>
    <w:uiPriority w:val="0"/>
    <w:pPr>
      <w:spacing w:line="480" w:lineRule="exact"/>
      <w:ind w:firstLine="200" w:firstLineChars="200"/>
    </w:pPr>
    <w:rPr>
      <w:rFonts w:ascii="宋体" w:hAnsi="宋体" w:eastAsia="宋体" w:cs="宋体"/>
      <w:sz w:val="24"/>
    </w:rPr>
  </w:style>
  <w:style w:type="paragraph" w:styleId="94">
    <w:name w:val="List Paragraph"/>
    <w:basedOn w:val="1"/>
    <w:qFormat/>
    <w:uiPriority w:val="1"/>
    <w:pPr>
      <w:ind w:left="1159" w:hanging="602"/>
    </w:pPr>
    <w:rPr>
      <w:rFonts w:ascii="宋体" w:hAnsi="宋体" w:cs="宋体"/>
      <w:u w:val="single" w:color="000000"/>
      <w:lang w:val="zh-CN" w:bidi="zh-CN"/>
    </w:rPr>
  </w:style>
  <w:style w:type="table" w:customStyle="1" w:styleId="95">
    <w:name w:val="33"/>
    <w:qFormat/>
    <w:uiPriority w:val="0"/>
    <w:pPr>
      <w:widowControl w:val="0"/>
      <w:autoSpaceDE w:val="0"/>
      <w:autoSpaceDN w:val="0"/>
      <w:adjustRightInd w:val="0"/>
      <w:snapToGrid w:val="0"/>
    </w:pPr>
    <w:rPr>
      <w:sz w:val="24"/>
      <w:szCs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
    <w:tcPr>
      <w:vAlign w:val="center"/>
    </w:tcPr>
  </w:style>
  <w:style w:type="paragraph" w:customStyle="1" w:styleId="96">
    <w:name w:val="表格小"/>
    <w:basedOn w:val="1"/>
    <w:qFormat/>
    <w:uiPriority w:val="0"/>
    <w:pPr>
      <w:spacing w:line="240" w:lineRule="auto"/>
      <w:jc w:val="center"/>
    </w:pPr>
    <w:rPr>
      <w:sz w:val="18"/>
    </w:rPr>
  </w:style>
  <w:style w:type="paragraph" w:customStyle="1" w:styleId="97">
    <w:name w:val="样式 兴化美联正文样式 + 自动设置"/>
    <w:basedOn w:val="98"/>
    <w:qFormat/>
    <w:uiPriority w:val="0"/>
    <w:rPr>
      <w:color w:val="auto"/>
    </w:rPr>
  </w:style>
  <w:style w:type="paragraph" w:customStyle="1" w:styleId="98">
    <w:name w:val="兴化美联正文样式"/>
    <w:basedOn w:val="1"/>
    <w:qFormat/>
    <w:uiPriority w:val="0"/>
    <w:pPr>
      <w:widowControl/>
      <w:spacing w:line="360" w:lineRule="auto"/>
      <w:ind w:firstLine="480" w:firstLineChars="200"/>
      <w:jc w:val="left"/>
    </w:pPr>
    <w:rPr>
      <w:rFonts w:ascii="宋体" w:hAnsi="宋体" w:cs="宋体"/>
      <w:color w:val="000000"/>
      <w:kern w:val="0"/>
      <w:sz w:val="24"/>
      <w:szCs w:val="24"/>
    </w:rPr>
  </w:style>
  <w:style w:type="paragraph" w:customStyle="1" w:styleId="99">
    <w:name w:val="1表格内容加粗"/>
    <w:basedOn w:val="1"/>
    <w:qFormat/>
    <w:uiPriority w:val="0"/>
    <w:pPr>
      <w:adjustRightInd w:val="0"/>
      <w:snapToGrid w:val="0"/>
      <w:jc w:val="center"/>
    </w:pPr>
    <w:rPr>
      <w:bCs/>
      <w:szCs w:val="21"/>
    </w:rPr>
  </w:style>
  <w:style w:type="paragraph" w:customStyle="1" w:styleId="100">
    <w:name w:val="1表格内容"/>
    <w:basedOn w:val="101"/>
    <w:next w:val="1"/>
    <w:qFormat/>
    <w:uiPriority w:val="0"/>
    <w:rPr>
      <w:sz w:val="21"/>
    </w:rPr>
  </w:style>
  <w:style w:type="paragraph" w:customStyle="1" w:styleId="101">
    <w:name w:val="1表格标题"/>
    <w:basedOn w:val="1"/>
    <w:next w:val="100"/>
    <w:qFormat/>
    <w:uiPriority w:val="0"/>
    <w:pPr>
      <w:adjustRightInd w:val="0"/>
      <w:snapToGrid w:val="0"/>
      <w:spacing w:line="360" w:lineRule="auto"/>
      <w:jc w:val="center"/>
    </w:pPr>
    <w:rPr>
      <w:sz w:val="24"/>
    </w:rPr>
  </w:style>
  <w:style w:type="paragraph" w:customStyle="1" w:styleId="102">
    <w:name w:val="Normal_0"/>
    <w:qFormat/>
    <w:uiPriority w:val="0"/>
    <w:rPr>
      <w:rFonts w:ascii="Arial" w:hAnsi="Arial" w:eastAsia="宋体" w:cs="Arial"/>
      <w:snapToGrid w:val="0"/>
      <w:color w:val="000000"/>
      <w:sz w:val="21"/>
      <w:szCs w:val="21"/>
      <w:lang w:val="en-US" w:eastAsia="en-US" w:bidi="ar-SA"/>
    </w:rPr>
  </w:style>
  <w:style w:type="paragraph" w:customStyle="1" w:styleId="103">
    <w:name w:val="0正文内容"/>
    <w:basedOn w:val="1"/>
    <w:qFormat/>
    <w:uiPriority w:val="0"/>
    <w:pPr>
      <w:adjustRightInd w:val="0"/>
      <w:snapToGrid w:val="0"/>
      <w:spacing w:line="360" w:lineRule="auto"/>
      <w:ind w:firstLine="480" w:firstLineChars="200"/>
    </w:pPr>
    <w:rPr>
      <w:color w:val="000000"/>
      <w:kern w:val="0"/>
    </w:rPr>
  </w:style>
  <w:style w:type="paragraph" w:customStyle="1" w:styleId="104">
    <w:name w:val="表格内容1"/>
    <w:basedOn w:val="1"/>
    <w:qFormat/>
    <w:uiPriority w:val="0"/>
    <w:pPr>
      <w:tabs>
        <w:tab w:val="left" w:pos="1535"/>
        <w:tab w:val="left" w:pos="3105"/>
        <w:tab w:val="left" w:pos="4676"/>
        <w:tab w:val="left" w:pos="6247"/>
        <w:tab w:val="left" w:pos="7740"/>
        <w:tab w:val="left" w:pos="9288"/>
      </w:tabs>
      <w:adjustRightInd w:val="0"/>
      <w:snapToGrid w:val="0"/>
      <w:spacing w:line="240" w:lineRule="auto"/>
      <w:ind w:firstLine="0" w:firstLineChars="0"/>
      <w:jc w:val="center"/>
      <w:textAlignment w:val="baseline"/>
    </w:pPr>
    <w:rPr>
      <w:sz w:val="22"/>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5" Type="http://schemas.openxmlformats.org/officeDocument/2006/relationships/fontTable" Target="fontTable.xml"/><Relationship Id="rId74" Type="http://schemas.openxmlformats.org/officeDocument/2006/relationships/customXml" Target="../customXml/item2.xml"/><Relationship Id="rId73" Type="http://schemas.openxmlformats.org/officeDocument/2006/relationships/numbering" Target="numbering.xml"/><Relationship Id="rId72" Type="http://schemas.openxmlformats.org/officeDocument/2006/relationships/customXml" Target="../customXml/item1.xml"/><Relationship Id="rId71" Type="http://schemas.openxmlformats.org/officeDocument/2006/relationships/image" Target="media/image64.png"/><Relationship Id="rId70" Type="http://schemas.openxmlformats.org/officeDocument/2006/relationships/image" Target="media/image63.png"/><Relationship Id="rId7" Type="http://schemas.openxmlformats.org/officeDocument/2006/relationships/image" Target="media/image1.png"/><Relationship Id="rId69" Type="http://schemas.openxmlformats.org/officeDocument/2006/relationships/image" Target="media/image62.png"/><Relationship Id="rId68" Type="http://schemas.openxmlformats.org/officeDocument/2006/relationships/image" Target="media/image61.png"/><Relationship Id="rId67" Type="http://schemas.openxmlformats.org/officeDocument/2006/relationships/image" Target="media/image60.png"/><Relationship Id="rId66" Type="http://schemas.openxmlformats.org/officeDocument/2006/relationships/image" Target="media/image59.png"/><Relationship Id="rId65" Type="http://schemas.openxmlformats.org/officeDocument/2006/relationships/image" Target="media/image58.jpeg"/><Relationship Id="rId64" Type="http://schemas.openxmlformats.org/officeDocument/2006/relationships/image" Target="media/image57.jpeg"/><Relationship Id="rId63" Type="http://schemas.openxmlformats.org/officeDocument/2006/relationships/image" Target="media/image56.jpeg"/><Relationship Id="rId62" Type="http://schemas.openxmlformats.org/officeDocument/2006/relationships/image" Target="media/image55.jpe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theme" Target="theme/theme1.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jpe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3.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jpeg"/><Relationship Id="rId46" Type="http://schemas.openxmlformats.org/officeDocument/2006/relationships/image" Target="media/image39.jpeg"/><Relationship Id="rId45" Type="http://schemas.openxmlformats.org/officeDocument/2006/relationships/image" Target="media/image38.jpeg"/><Relationship Id="rId44" Type="http://schemas.openxmlformats.org/officeDocument/2006/relationships/image" Target="media/image37.jpeg"/><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png"/><Relationship Id="rId4" Type="http://schemas.openxmlformats.org/officeDocument/2006/relationships/footer" Target="foot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jpe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wmf"/><Relationship Id="rId27" Type="http://schemas.openxmlformats.org/officeDocument/2006/relationships/oleObject" Target="embeddings/oleObject1.bin"/><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jpe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d1d76302-0546-481d-8ebd-bfe8d646ffb9</errorID>
      <errorWord>，</errorWord>
      <group>L1_Format</group>
      <groupName>格式问题</groupName>
      <ability>L2_HalfPunc_CN</ability>
      <abilityName>全半角问题</abilityName>
      <candidateList>
        <item>, </item>
      </candidateList>
      <explain>文本全半角错误。</explain>
      <paraID>78FD1B23</paraID>
      <start>14</start>
      <end>15</end>
      <status>ignored</status>
      <modifiedWord/>
      <trackRevisions>false</trackRevisions>
    </reviewItem>
    <reviewItem>
      <errorID>b707257e-502c-4b87-b225-46067880b601</errorID>
      <errorWord>战略新兴产业</errorWord>
      <group>L1_Political</group>
      <groupName>政治性问题</groupName>
      <ability>L2_Keyword</ability>
      <abilityName>固定表述</abilityName>
      <candidateList>
        <item>战略性新兴产业</item>
      </candidateList>
      <explain>词汇“战略性新兴产业”在特定场景下为固定表述形式，请确认此处的“战略新兴产业”是否存在不当。</explain>
      <paraID>247E7254</paraID>
      <start>478</start>
      <end>484</end>
      <status>ignored</status>
      <modifiedWord/>
      <trackRevisions>false</trackRevisions>
    </reviewItem>
    <reviewItem>
      <errorID>17827003-38f0-4cc2-aa18-aaa1ea9707b4</errorID>
      <errorWord>属于为</errorWord>
      <group>L1_Word</group>
      <groupName>字词问题</groupName>
      <ability>L2_Typo</ability>
      <abilityName>字词错误</abilityName>
      <candidateList>
        <item>属于</item>
      </candidateList>
      <explain/>
      <paraID>1F80B5B1</paraID>
      <start>86</start>
      <end>88</end>
      <status>modified</status>
      <modifiedWord>属于</modifiedWord>
      <trackRevisions>false</trackRevisions>
    </reviewItem>
    <reviewItem>
      <errorID>d9bf0b27-e4ee-4622-92c7-d5f7a3ed592f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204C9177</paraID>
      <start>0</start>
      <end>2</end>
      <status>ignored</status>
      <modifiedWord/>
      <trackRevisions>false</trackRevisions>
    </reviewItem>
    <reviewItem>
      <errorID>c3a69ef1-b183-463d-be92-80174e45a49e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31BF637A</paraID>
      <start>0</start>
      <end>2</end>
      <status>ignored</status>
      <modifiedWord/>
      <trackRevisions>false</trackRevisions>
    </reviewItem>
    <reviewItem>
      <errorID>fda63324-40ba-4e68-ad90-9ebe6dbf02b3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11FC4F9E</paraID>
      <start>0</start>
      <end>2</end>
      <status>ignored</status>
      <modifiedWord/>
      <trackRevisions>false</trackRevisions>
    </reviewItem>
    <reviewItem>
      <errorID>9bd31179-8ca4-445d-8ded-7b177fcd2e39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4F27986C</paraID>
      <start>0</start>
      <end>2</end>
      <status>ignored</status>
      <modifiedWord/>
      <trackRevisions>false</trackRevisions>
    </reviewItem>
    <reviewItem>
      <errorID>75649188-e651-4f62-9725-196a4ceb6592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CE220C8</paraID>
      <start>0</start>
      <end>2</end>
      <status>ignored</status>
      <modifiedWord/>
      <trackRevisions>false</trackRevisions>
    </reviewItem>
    <reviewItem>
      <errorID>789416e0-bf12-47e8-89c1-4b0b5d1624d4</errorID>
      <errorWord>则</errorWord>
      <group>L1_Word</group>
      <groupName>字词问题</groupName>
      <ability>L2_Typo</ability>
      <abilityName>字词错误</abilityName>
      <candidateList>
        <item>则上</item>
      </candidateList>
      <explain/>
      <paraID> CE220C8</paraID>
      <start>52</start>
      <end>53</end>
      <status>ignored</status>
      <modifiedWord/>
      <trackRevisions>false</trackRevisions>
    </reviewItem>
    <reviewItem>
      <errorID>b9ece466-9c39-479d-9603-e9d2d064a4d5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11A809B6</paraID>
      <start>0</start>
      <end>2</end>
      <status>ignored</status>
      <modifiedWord/>
      <trackRevisions>false</trackRevisions>
    </reviewItem>
    <reviewItem>
      <errorID>269b0973-392b-4f76-8b04-8c36f5bc9240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5F98ADB1</paraID>
      <start>0</start>
      <end>2</end>
      <status>ignored</status>
      <modifiedWord/>
      <trackRevisions>false</trackRevisions>
    </reviewItem>
    <reviewItem>
      <errorID>bb70e984-43fe-493b-896e-0ade9e724c9e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70F11342</paraID>
      <start>0</start>
      <end>2</end>
      <status>ignored</status>
      <modifiedWord/>
      <trackRevisions>false</trackRevisions>
    </reviewItem>
    <reviewItem>
      <errorID>12bb25af-c47f-44af-9bc0-fd954f132055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178AE25C</paraID>
      <start>0</start>
      <end>2</end>
      <status>ignored</status>
      <modifiedWord/>
      <trackRevisions>false</trackRevisions>
    </reviewItem>
    <reviewItem>
      <errorID>fde585ef-a945-4e81-96bf-25a6f0344164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542E531</paraID>
      <start>0</start>
      <end>2</end>
      <status>ignored</status>
      <modifiedWord/>
      <trackRevisions>false</trackRevisions>
    </reviewItem>
    <reviewItem>
      <errorID>d43e5fa9-c880-4bea-a0e6-570cdeb1b00e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55C42C02</paraID>
      <start>0</start>
      <end>2</end>
      <status>ignored</status>
      <modifiedWord/>
      <trackRevisions>false</trackRevisions>
    </reviewItem>
    <reviewItem>
      <errorID>5e7598f8-3894-4d63-9632-e0c3430f21a9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DA08638</paraID>
      <start>0</start>
      <end>2</end>
      <status>ignored</status>
      <modifiedWord/>
      <trackRevisions>false</trackRevisions>
    </reviewItem>
    <reviewItem>
      <errorID>ed672142-d92f-43e3-9b8c-684aac4c6b8c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5792998B</paraID>
      <start>0</start>
      <end>2</end>
      <status>ignored</status>
      <modifiedWord/>
      <trackRevisions>false</trackRevisions>
    </reviewItem>
    <reviewItem>
      <errorID>5fe9f598-23f0-4c53-9da2-d9a80a4af512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29CC4F84</paraID>
      <start>0</start>
      <end>2</end>
      <status>ignored</status>
      <modifiedWord/>
      <trackRevisions>false</trackRevisions>
    </reviewItem>
    <reviewItem>
      <errorID>01d87360-d9d0-4123-a019-ccf4f905eb27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53A71F14</paraID>
      <start>0</start>
      <end>2</end>
      <status>ignored</status>
      <modifiedWord/>
      <trackRevisions>false</trackRevisions>
    </reviewItem>
    <reviewItem>
      <errorID>ed9b8a01-27bb-406d-9a9d-3535f5b46e0c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308DADEB</paraID>
      <start>0</start>
      <end>2</end>
      <status>ignored</status>
      <modifiedWord/>
      <trackRevisions>false</trackRevisions>
    </reviewItem>
    <reviewItem>
      <errorID>39036d98-9a71-4880-8dcd-83ac31f9f041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73E2FBA8</paraID>
      <start>0</start>
      <end>2</end>
      <status>ignored</status>
      <modifiedWord/>
      <trackRevisions>false</trackRevisions>
    </reviewItem>
    <reviewItem>
      <errorID>ee480125-7065-4088-8146-0e5c0ff0e609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65BF667C</paraID>
      <start>0</start>
      <end>2</end>
      <status>ignored</status>
      <modifiedWord/>
      <trackRevisions>false</trackRevisions>
    </reviewItem>
    <reviewItem>
      <errorID>38909edb-207a-4437-b502-0d53c6f4571e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31AEBD2D</paraID>
      <start>0</start>
      <end>2</end>
      <status>ignored</status>
      <modifiedWord/>
      <trackRevisions>false</trackRevisions>
    </reviewItem>
    <reviewItem>
      <errorID>41c07698-f2e3-489b-8207-c7aa70d97566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7280DC01</paraID>
      <start>0</start>
      <end>2</end>
      <status>ignored</status>
      <modifiedWord/>
      <trackRevisions>false</trackRevisions>
    </reviewItem>
    <reviewItem>
      <errorID>95f8fac4-f5ce-4b8e-8c18-2ada75b8d791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77CAA911</paraID>
      <start>0</start>
      <end>2</end>
      <status>ignored</status>
      <modifiedWord/>
      <trackRevisions>false</trackRevisions>
    </reviewItem>
    <reviewItem>
      <errorID>a79bcf7f-31ae-46af-a392-30183c29575c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16B5D4EA</paraID>
      <start>0</start>
      <end>2</end>
      <status>ignored</status>
      <modifiedWord/>
      <trackRevisions>false</trackRevisions>
    </reviewItem>
    <reviewItem>
      <errorID>e6c0659a-dea3-454f-a1ca-987ea8e902ee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9EAC5</paraID>
      <start>0</start>
      <end>2</end>
      <status>ignored</status>
      <modifiedWord/>
      <trackRevisions>false</trackRevisions>
    </reviewItem>
    <reviewItem>
      <errorID>5aa9ea06-f201-4a81-be0c-24824531360d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41374522</paraID>
      <start>0</start>
      <end>2</end>
      <status>ignored</status>
      <modifiedWord/>
      <trackRevisions>false</trackRevisions>
    </reviewItem>
    <reviewItem>
      <errorID>e91ef08b-a282-49d5-9624-8536d8c1e312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4533E66E</paraID>
      <start>0</start>
      <end>2</end>
      <status>ignored</status>
      <modifiedWord/>
      <trackRevisions>false</trackRevisions>
    </reviewItem>
    <reviewItem>
      <errorID>c96138a3-45be-4f47-bdf4-8af18682a1a3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29B44182</paraID>
      <start>0</start>
      <end>2</end>
      <status>ignored</status>
      <modifiedWord/>
      <trackRevisions>false</trackRevisions>
    </reviewItem>
    <reviewItem>
      <errorID>64c018ca-2687-47fb-8c1b-a0329d8565cc</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38</start>
      <end>39</end>
      <status>ignored</status>
      <modifiedWord/>
      <trackRevisions>false</trackRevisions>
    </reviewItem>
    <reviewItem>
      <errorID>03e87aff-5f03-4ddc-98cf-99d73fe0111b</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41</start>
      <end>42</end>
      <status>ignored</status>
      <modifiedWord/>
      <trackRevisions>false</trackRevisions>
    </reviewItem>
    <reviewItem>
      <errorID>bdcfbe63-6f08-4e31-837f-5eed7c983355</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69</start>
      <end>70</end>
      <status>ignored</status>
      <modifiedWord/>
      <trackRevisions>false</trackRevisions>
    </reviewItem>
    <reviewItem>
      <errorID>b385cb7d-16d5-4d2d-9180-9a72d6e27ad5</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73</start>
      <end>74</end>
      <status>ignored</status>
      <modifiedWord/>
      <trackRevisions>false</trackRevisions>
    </reviewItem>
    <reviewItem>
      <errorID>333e22d7-f76c-491a-b589-74b56cb43122</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83</start>
      <end>84</end>
      <status>ignored</status>
      <modifiedWord/>
      <trackRevisions>false</trackRevisions>
    </reviewItem>
    <reviewItem>
      <errorID>eba92230-91cc-42b5-a7a9-1f67371eb14f</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88</start>
      <end>89</end>
      <status>ignored</status>
      <modifiedWord/>
      <trackRevisions>false</trackRevisions>
    </reviewItem>
    <reviewItem>
      <errorID>a74fc0e7-7b23-4a76-803b-64d5a3bd71d2</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94</start>
      <end>95</end>
      <status>ignored</status>
      <modifiedWord/>
      <trackRevisions>false</trackRevisions>
    </reviewItem>
    <reviewItem>
      <errorID>4d0c618b-44cf-46d3-bde9-892467888b47</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99</start>
      <end>100</end>
      <status>ignored</status>
      <modifiedWord/>
      <trackRevisions>false</trackRevisions>
    </reviewItem>
    <reviewItem>
      <errorID>8a3f8858-22f7-4359-930c-a78276be7ef6</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130</start>
      <end>131</end>
      <status>ignored</status>
      <modifiedWord/>
      <trackRevisions>false</trackRevisions>
    </reviewItem>
    <reviewItem>
      <errorID>24876926-250d-4487-a74e-ff206bc5b1de</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231946E7</paraID>
      <start>136</start>
      <end>137</end>
      <status>ignored</status>
      <modifiedWord/>
      <trackRevisions>false</trackRevisions>
    </reviewItem>
    <reviewItem>
      <errorID>49376767-d6df-4d06-a516-4486fe914022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70F90B6C</paraID>
      <start>9</start>
      <end>10</end>
      <status>ignored</status>
      <modifiedWord/>
      <trackRevisions>false</trackRevisions>
    </reviewItem>
    <reviewItem>
      <errorID>9e3088cc-16c8-4cf6-ab67-ccfe83257222</errorID>
      <errorWord>、就</errorWord>
      <group>L1_Punc</group>
      <groupName>标点问题</groupName>
      <ability>L2_Punc_CN</ability>
      <abilityName>标点符号问题</abilityName>
      <candidateList>
        <item>，就</item>
      </candidateList>
      <explain>连接词前后不宜使用顿号，建议使用逗号。</explain>
      <paraID>45D235F9</paraID>
      <start>120</start>
      <end>122</end>
      <status>ignored</status>
      <modifiedWord/>
      <trackRevisions>false</trackRevisions>
    </reviewItem>
    <reviewItem>
      <errorID>59b7e611-1523-4228-9da0-961fb021a444</errorID>
      <errorWord>位</errorWord>
      <group>L1_Word</group>
      <groupName>字词问题</groupName>
      <ability>L2_Typo</ability>
      <abilityName>字词错误</abilityName>
      <candidateList>
        <item>位在</item>
      </candidateList>
      <explain/>
      <paraID>2F77769B</paraID>
      <start>3</start>
      <end>5</end>
      <status>modified</status>
      <modifiedWord>位在</modifiedWord>
      <trackRevisions>false</trackRevisions>
    </reviewItem>
    <reviewItem>
      <errorID>201779d9-c2d4-4444-9db5-70ddb347bdcb</errorID>
      <errorWord>&lt;</errorWord>
      <group>L1_Format</group>
      <groupName>格式问题</groupName>
      <ability>L2_HalfPunc_CN</ability>
      <abilityName>全半角问题</abilityName>
      <candidateList>
        <item>〈</item>
      </candidateList>
      <explain>文本全半角错误。</explain>
      <paraID>76AFEF6F</paraID>
      <start>8</start>
      <end>9</end>
      <status>ignored</status>
      <modifiedWord/>
      <trackRevisions>false</trackRevisions>
    </reviewItem>
    <reviewItem>
      <errorID>09e9ad33-9eb1-468a-b0a6-d0809c375432</errorID>
      <errorWord>&gt;</errorWord>
      <group>L1_Format</group>
      <groupName>格式问题</groupName>
      <ability>L2_HalfPunc_CN</ability>
      <abilityName>全半角问题</abilityName>
      <candidateList>
        <item>〉</item>
      </candidateList>
      <explain>文本全半角错误。</explain>
      <paraID>76AFEF6F</paraID>
      <start>28</start>
      <end>29</end>
      <status>ignored</status>
      <modifiedWord/>
      <trackRevisions>false</trackRevisions>
    </reviewItem>
    <reviewItem>
      <errorID>84980d63-21af-424a-9ea2-8a36048e18a9</errorID>
      <errorWord>"</errorWord>
      <group>L1_Format</group>
      <groupName>格式问题</groupName>
      <ability>L2_HalfPunc_CN</ability>
      <abilityName>全半角问题</abilityName>
      <candidateList/>
      <explain>文本全半角错误。</explain>
      <paraID> 7AC57DF</paraID>
      <start>65</start>
      <end>66</end>
      <status>ignored</status>
      <modifiedWord/>
      <trackRevisions>false</trackRevisions>
    </reviewItem>
    <reviewItem>
      <errorID>41bda6c3-159b-48b8-9fae-f7c3725df2fd</errorID>
      <errorWord>"</errorWord>
      <group>L1_Format</group>
      <groupName>格式问题</groupName>
      <ability>L2_HalfPunc_CN</ability>
      <abilityName>全半角问题</abilityName>
      <candidateList/>
      <explain>文本全半角错误。</explain>
      <paraID> 7AC57DF</paraID>
      <start>81</start>
      <end>82</end>
      <status>ignored</status>
      <modifiedWord/>
      <trackRevisions>false</trackRevisions>
    </reviewItem>
    <reviewItem>
      <errorID>1637edbc-475b-407a-8537-859a453b9843</errorID>
      <errorWord>)</errorWord>
      <group>L1_Format</group>
      <groupName>格式问题</groupName>
      <ability>L2_HalfPunc_CN</ability>
      <abilityName>全半角问题</abilityName>
      <candidateList>
        <item>）</item>
      </candidateList>
      <explain>文本全半角错误。</explain>
      <paraID>1B07BF4C</paraID>
      <start>51</start>
      <end>52</end>
      <status>ignored</status>
      <modifiedWord/>
      <trackRevisions>false</trackRevisions>
    </reviewItem>
    <reviewItem>
      <errorID>f2bd2368-41d0-4a97-ac18-ce7a6af8e3d1</errorID>
      <errorWord>~</errorWord>
      <group>L1_Format</group>
      <groupName>格式问题</groupName>
      <ability>L2_HalfPunc_CN</ability>
      <abilityName>全半角问题</abilityName>
      <candidateList>
        <item>～</item>
      </candidateList>
      <explain>文本全半角错误。</explain>
      <paraID>1FDDAD39</paraID>
      <start>91</start>
      <end>92</end>
      <status>ignored</status>
      <modifiedWord/>
      <trackRevisions>false</trackRevisions>
    </reviewItem>
    <reviewItem>
      <errorID>d5673ed0-2aad-4f86-93e2-23e404c9e98b</errorID>
      <errorWord>；</errorWord>
      <group>L1_Word</group>
      <groupName>字词问题</groupName>
      <ability>L2_Typo</ability>
      <abilityName>字词错误</abilityName>
      <candidateList>
        <item>；具</item>
      </candidateList>
      <explain/>
      <paraID>1FDDAD39</paraID>
      <start>208</start>
      <end>209</end>
      <status>ignored</status>
      <modifiedWord/>
      <trackRevisions>false</trackRevisions>
    </reviewItem>
    <reviewItem>
      <errorID>0ae8c7ca-901c-476a-8b45-ced4d6a589bb</errorID>
      <errorWord>作</errorWord>
      <group>L1_Word</group>
      <groupName>字词问题</groupName>
      <ability>L2_Typo</ability>
      <abilityName>字词错误</abilityName>
      <candidateList>
        <item>作为</item>
      </candidateList>
      <explain/>
      <paraID>589CEDCA</paraID>
      <start>75</start>
      <end>76</end>
      <status>ignored</status>
      <modifiedWord/>
      <trackRevisions>false</trackRevisions>
    </reviewItem>
    <reviewItem>
      <errorID>975b36c7-c2bf-4113-951d-03508a00b6fe</errorID>
      <errorWord>尘和</errorWord>
      <group>L1_Word</group>
      <groupName>字词问题</groupName>
      <ability>L2_Typo</ability>
      <abilityName>字词错误</abilityName>
      <candidateList>
        <item>尘</item>
      </candidateList>
      <explain/>
      <paraID>6AFF3834</paraID>
      <start>27</start>
      <end>29</end>
      <status>ignored</status>
      <modifiedWord/>
      <trackRevisions>false</trackRevisions>
    </reviewItem>
    <reviewItem>
      <errorID>48cecd4e-49a6-4df5-a9af-37dc3c604a79</errorID>
      <errorWord>声</errorWord>
      <group>L1_Word</group>
      <groupName>字词问题</groupName>
      <ability>L2_Typo</ability>
      <abilityName>字词错误</abilityName>
      <candidateList>
        <item>声和</item>
      </candidateList>
      <explain/>
      <paraID>6AFF3834</paraID>
      <start>71</start>
      <end>73</end>
      <status>modified</status>
      <modifiedWord>声和</modifiedWord>
      <trackRevisions>false</trackRevisions>
    </reviewItem>
    <reviewItem>
      <errorID>e53c64d1-3f02-471a-9432-0c8e2c1d96ba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1AB5E484</paraID>
      <start>0</start>
      <end>2</end>
      <status>ignored</status>
      <modifiedWord/>
      <trackRevisions>false</trackRevisions>
    </reviewItem>
    <reviewItem>
      <errorID>0b5be332-47df-4782-85bf-b6277eb1ff0f</errorID>
      <errorWord>~</errorWord>
      <group>L1_Format</group>
      <groupName>格式问题</groupName>
      <ability>L2_HalfPunc_CN</ability>
      <abilityName>全半角问题</abilityName>
      <candidateList>
        <item>～</item>
      </candidateList>
      <explain>文本全半角错误。</explain>
      <paraID>2C6C89D8</paraID>
      <start>73</start>
      <end>74</end>
      <status>ignored</status>
      <modifiedWord/>
      <trackRevisions>false</trackRevisions>
    </reviewItem>
    <reviewItem>
      <errorID>749a215c-c4be-459a-9832-25aa61340a38</errorID>
      <errorWord>不要有</errorWord>
      <group>L1_Word</group>
      <groupName>字词问题</groupName>
      <ability>L2_Typo</ability>
      <abilityName>字词错误</abilityName>
      <candidateList>
        <item>不要</item>
      </candidateList>
      <explain/>
      <paraID>2C6C89D8</paraID>
      <start>281</start>
      <end>284</end>
      <status>ignored</status>
      <modifiedWord/>
      <trackRevisions>false</trackRevisions>
    </reviewItem>
    <reviewItem>
      <errorID>a22815e9-7bd0-4f70-a5ae-794bd438d867</errorID>
      <errorWord>并且</errorWord>
      <group>L1_Word</group>
      <groupName>字词问题</groupName>
      <ability>L2_Typo</ability>
      <abilityName>字词错误</abilityName>
      <candidateList>
        <item>并</item>
      </candidateList>
      <explain/>
      <paraID>2C6C89D8</paraID>
      <start>326</start>
      <end>328</end>
      <status>ignored</status>
      <modifiedWord/>
      <trackRevisions>false</trackRevisions>
    </reviewItem>
    <reviewItem>
      <errorID>075e6c00-5989-4950-960c-15f51416b1d1</errorID>
      <errorWord>具备着</errorWord>
      <group>L1_Word</group>
      <groupName>字词问题</groupName>
      <ability>L2_Typo</ability>
      <abilityName>字词错误</abilityName>
      <candidateList>
        <item>具备</item>
      </candidateList>
      <explain/>
      <paraID>2C6C89D8</paraID>
      <start>418</start>
      <end>421</end>
      <status>ignored</status>
      <modifiedWord/>
      <trackRevisions>false</trackRevisions>
    </reviewItem>
    <reviewItem>
      <errorID>b641bb9b-7190-4557-a10b-1978d07be685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26A936</paraID>
      <start>0</start>
      <end>2</end>
      <status>ignored</status>
      <modifiedWord/>
      <trackRevisions>false</trackRevisions>
    </reviewItem>
    <reviewItem>
      <errorID>c05ca94c-f526-42c6-b363-42070e8bd423</errorID>
      <errorWord>多跟</errorWord>
      <group>L1_Word</group>
      <groupName>字词问题</groupName>
      <ability>L2_Typo</ability>
      <abilityName>字词错误</abilityName>
      <candidateList>
        <item>多根</item>
      </candidateList>
      <explain/>
      <paraID>25629DD0</paraID>
      <start>82</start>
      <end>84</end>
      <status>ignored</status>
      <modifiedWord/>
      <trackRevisions>false</trackRevisions>
    </reviewItem>
    <reviewItem>
      <errorID>c1230a41-591d-4a54-9ae9-8f37658c6ecc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25530A5E</paraID>
      <start>0</start>
      <end>2</end>
      <status>ignored</status>
      <modifiedWord/>
      <trackRevisions>false</trackRevisions>
    </reviewItem>
    <reviewItem>
      <errorID>49cae7a6-5f9f-4558-a1fe-397c292ca835</errorID>
      <errorWord>作</errorWord>
      <group>L1_Word</group>
      <groupName>字词问题</groupName>
      <ability>L2_Typo</ability>
      <abilityName>字词错误</abilityName>
      <candidateList>
        <item>做</item>
      </candidateList>
      <explain>存在发音相同字词的误用。</explain>
      <paraID>73EE875A</paraID>
      <start>122</start>
      <end>123</end>
      <status>ignored</status>
      <modifiedWord/>
      <trackRevisions>false</trackRevisions>
    </reviewItem>
    <reviewItem>
      <errorID>c7dcb5f8-2880-4b76-894c-1fc987654f23</errorID>
      <errorWord>为的</errorWord>
      <group>L1_Word</group>
      <groupName>字词问题</groupName>
      <ability>L2_Typo</ability>
      <abilityName>字词错误</abilityName>
      <candidateList>
        <item>为</item>
      </candidateList>
      <explain/>
      <paraID> E44D36F</paraID>
      <start>6</start>
      <end>7</end>
      <status>modified</status>
      <modifiedWord>为</modifiedWord>
      <trackRevisions>false</trackRevisions>
    </reviewItem>
    <reviewItem>
      <errorID>d4d9bfba-ead7-41b1-b8fb-e439db54274b</errorID>
      <errorWord>CODCr、</errorWord>
      <group>L1_English</group>
      <groupName>英文问题</groupName>
      <ability>L2_Case</ability>
      <abilityName>大小写问题</abilityName>
      <candidateList>
        <item>CODcr, </item>
      </candidateList>
      <explain>疑似单词大小写错误，建议将CODCr、修改为CODcr, </explain>
      <paraID>2E6C697F</paraID>
      <start>0</start>
      <end>6</end>
      <status>ignored</status>
      <modifiedWord/>
      <trackRevisions>false</trackRevisions>
    </reviewItem>
    <reviewItem>
      <errorID>fe2627dc-7a29-4979-9d46-bf0cc44e9956</errorID>
      <errorWord>CODCr</errorWord>
      <group>L1_English</group>
      <groupName>英文问题</groupName>
      <ability>L2_Case</ability>
      <abilityName>大小写问题</abilityName>
      <candidateList>
        <item> CODcr</item>
      </candidateList>
      <explain>疑似单词大小写错误，建议将CODCr修改为 CODcr</explain>
      <paraID>5A6BC737</paraID>
      <start>3</start>
      <end>8</end>
      <status>ignored</status>
      <modifiedWord/>
      <trackRevisions>false</trackRevisions>
    </reviewItem>
    <reviewItem>
      <errorID>08daea4f-01ff-4504-b766-2cf8a192613e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5D2A4BF</paraID>
      <start>204</start>
      <end>205</end>
      <status>ignored</status>
      <modifiedWord/>
      <trackRevisions>false</trackRevisions>
    </reviewItem>
    <reviewItem>
      <errorID>6d213559-157e-458e-82ad-3871c75f1af0</errorID>
      <errorWord>,，</errorWord>
      <group>L1_Punc</group>
      <groupName>标点问题</groupName>
      <ability>L2_Punc_CN</ability>
      <abilityName>标点符号问题</abilityName>
      <candidateList>
        <item>,</item>
      </candidateList>
      <explain/>
      <paraID>2AB635CF</paraID>
      <start>21</start>
      <end>23</end>
      <status>ignored</status>
      <modifiedWord/>
      <trackRevisions>false</trackRevisions>
    </reviewItem>
    <reviewItem>
      <errorID>afac9ba6-9e69-451f-af19-509aae52d110</errorID>
      <errorWord>产</errorWord>
      <group>L1_Word</group>
      <groupName>字词问题</groupName>
      <ability>L2_Typo</ability>
      <abilityName>字词错误</abilityName>
      <candidateList>
        <item>产生</item>
      </candidateList>
      <explain/>
      <paraID>62D4BF04</paraID>
      <start>38</start>
      <end>40</end>
      <status>modified</status>
      <modifiedWord>产生</modifiedWord>
      <trackRevisions>false</trackRevisions>
    </reviewItem>
    <reviewItem>
      <errorID>dedde30d-2a85-4c16-9514-2a9f5125eb4c</errorID>
      <errorWord>程</errorWord>
      <group>L1_Word</group>
      <groupName>字词问题</groupName>
      <ability>L2_Typo</ability>
      <abilityName>字词错误</abilityName>
      <candidateList>
        <item>程中</item>
      </candidateList>
      <explain/>
      <paraID> C28F65A</paraID>
      <start>66</start>
      <end>68</end>
      <status>modified</status>
      <modifiedWord>程中</modifiedWord>
      <trackRevisions>false</trackRevisions>
    </reviewItem>
    <reviewItem>
      <errorID>05948355-fb33-4e84-902e-38fc781df3f5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2F810EC6</paraID>
      <start>0</start>
      <end>2</end>
      <status>ignored</status>
      <modifiedWord/>
      <trackRevisions>false</trackRevisions>
    </reviewItem>
    <reviewItem>
      <errorID>f1ca8e24-9765-4829-b987-588471836ebe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28739E0</paraID>
      <start>0</start>
      <end>2</end>
      <status>ignored</status>
      <modifiedWord/>
      <trackRevisions>false</trackRevisions>
    </reviewItem>
    <reviewItem>
      <errorID>175b53d8-04c8-4af2-b79c-9f0d5fc48b12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547E0854</paraID>
      <start>0</start>
      <end>2</end>
      <status>ignored</status>
      <modifiedWord/>
      <trackRevisions>false</trackRevisions>
    </reviewItem>
    <reviewItem>
      <errorID>2fa8a3ee-7c3e-48f7-bf32-49705d33283a</errorID>
      <errorWord>变动</errorWord>
      <group>L1_Word</group>
      <groupName>字词问题</groupName>
      <ability>L2_Typo</ability>
      <abilityName>字词错误</abilityName>
      <candidateList>
        <item>变</item>
      </candidateList>
      <explain/>
      <paraID>3828DAC7</paraID>
      <start>9</start>
      <end>11</end>
      <status>ignored</status>
      <modifiedWord/>
      <trackRevisions>false</trackRevisions>
    </reviewItem>
    <reviewItem>
      <errorID>441e982c-1800-47d2-91b5-6a497bd556ac</errorID>
      <errorWord>~</errorWord>
      <group>L1_Format</group>
      <groupName>格式问题</groupName>
      <ability>L2_HalfPunc_CN</ability>
      <abilityName>全半角问题</abilityName>
      <candidateList>
        <item>～</item>
      </candidateList>
      <explain>文本全半角错误。</explain>
      <paraID>31CFC919</paraID>
      <start>64</start>
      <end>65</end>
      <status>ignored</status>
      <modifiedWord/>
      <trackRevisions>false</trackRevisions>
    </reviewItem>
    <reviewItem>
      <errorID>e8f3e43a-9374-406b-96c8-e1101ad49308</errorID>
      <errorWord>在声</errorWord>
      <group>L1_Word</group>
      <groupName>字词问题</groupName>
      <ability>L2_Typo</ability>
      <abilityName>字词错误</abilityName>
      <candidateList>
        <item>噪声</item>
      </candidateList>
      <explain/>
      <paraID>11A0F521</paraID>
      <start>91</start>
      <end>93</end>
      <status>ignored</status>
      <modifiedWord/>
      <trackRevisions>false</trackRevisions>
    </reviewItem>
    <reviewItem>
      <errorID>483a8cc9-ec8f-4b72-b004-93c82769818b</errorID>
      <errorWord>连扎</errorWord>
      <group>L1_Word</group>
      <groupName>字词问题</groupName>
      <ability>L2_Typo</ability>
      <abilityName>字词错误</abilityName>
      <candidateList>
        <item>连轧</item>
      </candidateList>
      <explain>存在发音相同字词的误用。</explain>
      <paraID>4C1721D1</paraID>
      <start>12</start>
      <end>14</end>
      <status>modified</status>
      <modifiedWord>连轧</modifiedWord>
      <trackRevisions>false</trackRevisions>
    </reviewItem>
    <reviewItem>
      <errorID>a6c342ee-fdda-4f94-bdfb-6006e7c2ad12</errorID>
      <errorWord>主要以碳氢化合物成分为主</errorWord>
      <group>L1_Grammar</group>
      <groupName>语法问题</groupName>
      <ability>L2_Grammar</ability>
      <abilityName>语法错误</abilityName>
      <candidateList>
        <item>以碳氢化合物成分为主</item>
      </candidateList>
      <explain>该表达中的“主要以碳氢化合物成分为主”存在语义重复。</explain>
      <paraID>2F96F6D5</paraID>
      <start>6</start>
      <end>18</end>
      <status>ignored</status>
      <modifiedWord/>
      <trackRevisions>false</trackRevisions>
    </reviewItem>
    <reviewItem>
      <errorID>dcc57eae-961d-4a04-9167-d62413b58b15</errorID>
      <errorWord>属</errorWord>
      <group>L1_Word</group>
      <groupName>字词问题</groupName>
      <ability>L2_Typo</ability>
      <abilityName>字词错误</abilityName>
      <candidateList>
        <item>属于</item>
      </candidateList>
      <explain/>
      <paraID>4851E832</paraID>
      <start>164</start>
      <end>166</end>
      <status>modified</status>
      <modifiedWord>属于</modifiedWord>
      <trackRevisions>false</trackRevisions>
    </reviewItem>
    <reviewItem>
      <errorID>5f9d3a62-2e87-46e9-bca8-1fc59f2039d6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724B62EA</paraID>
      <start>62</start>
      <end>65</end>
      <status>ignored</status>
      <modifiedWord/>
      <trackRevisions>false</trackRevisions>
    </reviewItem>
    <reviewItem>
      <errorID>74ec3a4d-b6ec-4924-a21d-8ffe860bf691</errorID>
      <errorWord>（&gt;</errorWord>
      <group>L1_Punc</group>
      <groupName>标点问题</groupName>
      <ability>L2_Punc_CN</ability>
      <abilityName>标点符号问题</abilityName>
      <candidateList>
        <item>（</item>
      </candidateList>
      <explain/>
      <paraID>724B62EA</paraID>
      <start>219</start>
      <end>221</end>
      <status>ignored</status>
      <modifiedWord/>
      <trackRevisions>false</trackRevisions>
    </reviewItem>
    <reviewItem>
      <errorID>4c497175-9eb5-432e-9581-23d48e909a9c</errorID>
      <errorWord>50%~60%</errorWord>
      <group>L1_Knowledge</group>
      <groupName>知识性问题</groupName>
      <ability>L2_Knowledge</ability>
      <abilityName>其他知识</abilityName>
      <candidateList>
        <item>50%～60%</item>
      </candidateList>
      <explain>1. “50%~60%”中的单位“%”仅出现在后一个数字上，容易引起歧义；根据《现代汉语标点符号数字用法规范手册》，数字表示范围两边需要使用统一的格式。2. 根据标点国标 4.13 中的规则，数字、时间或地域连接符应使用（视觉上更长的）“—”或“～”。</explain>
      <paraID>7B8DEADB</paraID>
      <start>42</start>
      <end>49</end>
      <status>ignored</status>
      <modifiedWord/>
      <trackRevisions>false</trackRevisions>
    </reviewItem>
    <reviewItem>
      <errorID>093265e9-9a20-4fcf-8954-f31105f13d51</errorID>
      <errorWord>炉炉</errorWord>
      <group>L1_Word</group>
      <groupName>字词问题</groupName>
      <ability>L2_Typo</ability>
      <abilityName>字词错误</abilityName>
      <candidateList>
        <item>炉</item>
      </candidateList>
      <explain/>
      <paraID>7827A8AF</paraID>
      <start>7</start>
      <end>8</end>
      <status>modified</status>
      <modifiedWord>炉</modifiedWord>
      <trackRevisions>false</trackRevisions>
    </reviewItem>
    <reviewItem>
      <errorID>c78faeae-48ac-4e5c-ab8c-e6de1c26ab89</errorID>
      <errorWord>连铸连铸</errorWord>
      <group>L1_Word</group>
      <groupName>字词问题</groupName>
      <ability>L2_Typo</ability>
      <abilityName>字词错误</abilityName>
      <candidateList>
        <item>连铸</item>
      </candidateList>
      <explain/>
      <paraID>3B8B966E</paraID>
      <start>3</start>
      <end>5</end>
      <status>modified</status>
      <modifiedWord>连铸</modifiedWord>
      <trackRevisions>false</trackRevisions>
    </reviewItem>
    <reviewItem>
      <errorID>af76af64-8c74-49e4-8424-005cf96b95b0</errorID>
      <errorWord>;</errorWord>
      <group>L1_Format</group>
      <groupName>格式问题</groupName>
      <ability>L2_HalfPunc_CN</ability>
      <abilityName>全半角问题</abilityName>
      <candidateList>
        <item>；</item>
      </candidateList>
      <explain>文本全半角错误。</explain>
      <paraID>3B8B966E</paraID>
      <start>144</start>
      <end>145</end>
      <status>modified</status>
      <modifiedWord>；</modifiedWord>
      <trackRevisions>false</trackRevisions>
    </reviewItem>
    <reviewItem>
      <errorID>c015eec3-b770-4559-99a4-97441fd9d556</errorID>
      <errorWord>(</errorWord>
      <group>L1_Format</group>
      <groupName>格式问题</groupName>
      <ability>L2_HalfPunc_CN</ability>
      <abilityName>全半角问题</abilityName>
      <candidateList>
        <item>（</item>
      </candidateList>
      <explain>文本全半角错误。</explain>
      <paraID>27B06C0F</paraID>
      <start>35</start>
      <end>36</end>
      <status>modified</status>
      <modifiedWord>（</modifiedWord>
      <trackRevisions>false</trackRevisions>
    </reviewItem>
    <reviewItem>
      <errorID>d7e02f43-e040-4af4-88f0-0ac2355345ce</errorID>
      <errorWord>海拔高度</errorWord>
      <group>L1_Word</group>
      <groupName>字词问题</groupName>
      <ability>L2_Typo</ability>
      <abilityName>字词错误</abilityName>
      <candidateList>
        <item>海拔</item>
      </candidateList>
      <explain/>
      <paraID>31290152</paraID>
      <start>5</start>
      <end>9</end>
      <status>ignored</status>
      <modifiedWord/>
      <trackRevisions>false</trackRevisions>
    </reviewItem>
    <reviewItem>
      <errorID>162c7997-8bd2-485f-a0ae-841901694354</errorID>
      <errorWord>(</errorWord>
      <group>L1_Format</group>
      <groupName>格式问题</groupName>
      <ability>L2_HalfPunc_CN</ability>
      <abilityName>全半角问题</abilityName>
      <candidateList>
        <item>（</item>
      </candidateList>
      <explain>文本全半角错误。</explain>
      <paraID>31290152</paraID>
      <start>9</start>
      <end>10</end>
      <status>ignored</status>
      <modifiedWord/>
      <trackRevisions>false</trackRevisions>
    </reviewItem>
    <reviewItem>
      <errorID>0371d056-96ea-4ca9-88b4-f75c8833eb83</errorID>
      <errorWord>)</errorWord>
      <group>L1_Format</group>
      <groupName>格式问题</groupName>
      <ability>L2_HalfPunc_CN</ability>
      <abilityName>全半角问题</abilityName>
      <candidateList>
        <item>）</item>
      </candidateList>
      <explain>文本全半角错误。</explain>
      <paraID>31290152</paraID>
      <start>11</start>
      <end>12</end>
      <status>ignored</status>
      <modifiedWord/>
      <trackRevisions>false</trackRevisions>
    </reviewItem>
    <reviewItem>
      <errorID>f5b3a2f8-0e4f-4e01-a1ba-c5ac74b73b36</errorID>
      <errorWord>(</errorWord>
      <group>L1_Format</group>
      <groupName>格式问题</groupName>
      <ability>L2_HalfPunc_CN</ability>
      <abilityName>全半角问题</abilityName>
      <candidateList>
        <item>（</item>
      </candidateList>
      <explain>文本全半角错误。</explain>
      <paraID>1DC6304B</paraID>
      <start>5</start>
      <end>6</end>
      <status>ignored</status>
      <modifiedWord/>
      <trackRevisions>false</trackRevisions>
    </reviewItem>
    <reviewItem>
      <errorID>9b28e58b-5404-4c30-bedb-49e6f2153c14</errorID>
      <errorWord>)</errorWord>
      <group>L1_Format</group>
      <groupName>格式问题</groupName>
      <ability>L2_HalfPunc_CN</ability>
      <abilityName>全半角问题</abilityName>
      <candidateList>
        <item>）</item>
      </candidateList>
      <explain>文本全半角错误。</explain>
      <paraID>1DC6304B</paraID>
      <start>7</start>
      <end>8</end>
      <status>ignored</status>
      <modifiedWord/>
      <trackRevisions>false</trackRevisions>
    </reviewItem>
    <reviewItem>
      <errorID>6ff69c46-60c1-4c4f-8e28-98afcdacef49</errorID>
      <errorWord>(</errorWord>
      <group>L1_Format</group>
      <groupName>格式问题</groupName>
      <ability>L2_HalfPunc_CN</ability>
      <abilityName>全半角问题</abilityName>
      <candidateList>
        <item>（</item>
      </candidateList>
      <explain>文本全半角错误。</explain>
      <paraID>6CDBB60E</paraID>
      <start>7</start>
      <end>8</end>
      <status>ignored</status>
      <modifiedWord/>
      <trackRevisions>false</trackRevisions>
    </reviewItem>
    <reviewItem>
      <errorID>fe135ba9-e460-4b95-ae75-96ea8b4e5876</errorID>
      <errorWord>)</errorWord>
      <group>L1_Format</group>
      <groupName>格式问题</groupName>
      <ability>L2_HalfPunc_CN</ability>
      <abilityName>全半角问题</abilityName>
      <candidateList>
        <item>）</item>
      </candidateList>
      <explain>文本全半角错误。</explain>
      <paraID>6CDBB60E</paraID>
      <start>9</start>
      <end>10</end>
      <status>ignored</status>
      <modifiedWord/>
      <trackRevisions>false</trackRevisions>
    </reviewItem>
    <reviewItem>
      <errorID>8da4cd09-5f27-4836-b2ba-cd38d6e89d6e</errorID>
      <errorWord>(</errorWord>
      <group>L1_Format</group>
      <groupName>格式问题</groupName>
      <ability>L2_HalfPunc_CN</ability>
      <abilityName>全半角问题</abilityName>
      <candidateList>
        <item>（</item>
      </candidateList>
      <explain>文本全半角错误。</explain>
      <paraID>5FC5E185</paraID>
      <start>4</start>
      <end>5</end>
      <status>ignored</status>
      <modifiedWord/>
      <trackRevisions>false</trackRevisions>
    </reviewItem>
    <reviewItem>
      <errorID>bab26ddb-0bda-4b43-adf4-9fc4ab454ba3</errorID>
      <errorWord>)</errorWord>
      <group>L1_Format</group>
      <groupName>格式问题</groupName>
      <ability>L2_HalfPunc_CN</ability>
      <abilityName>全半角问题</abilityName>
      <candidateList>
        <item>）</item>
      </candidateList>
      <explain>文本全半角错误。</explain>
      <paraID>5FC5E185</paraID>
      <start>8</start>
      <end>9</end>
      <status>ignored</status>
      <modifiedWord/>
      <trackRevisions>false</trackRevisions>
    </reviewItem>
    <reviewItem>
      <errorID>670acfc6-a339-49ac-b83d-1acda5fa08f0</errorID>
      <errorWord>(</errorWord>
      <group>L1_Format</group>
      <groupName>格式问题</groupName>
      <ability>L2_HalfPunc_CN</ability>
      <abilityName>全半角问题</abilityName>
      <candidateList>
        <item>（</item>
      </candidateList>
      <explain>文本全半角错误。</explain>
      <paraID>4A7B034A</paraID>
      <start>4</start>
      <end>5</end>
      <status>ignored</status>
      <modifiedWord/>
      <trackRevisions>false</trackRevisions>
    </reviewItem>
    <reviewItem>
      <errorID>63a24475-f637-4bf9-99f2-f24302bb17d6</errorID>
      <errorWord>)</errorWord>
      <group>L1_Format</group>
      <groupName>格式问题</groupName>
      <ability>L2_HalfPunc_CN</ability>
      <abilityName>全半角问题</abilityName>
      <candidateList>
        <item>）</item>
      </candidateList>
      <explain>文本全半角错误。</explain>
      <paraID>4A7B034A</paraID>
      <start>6</start>
      <end>7</end>
      <status>ignored</status>
      <modifiedWord/>
      <trackRevisions>false</trackRevisions>
    </reviewItem>
    <reviewItem>
      <errorID>acd00e41-63df-4457-bf66-3293bee3a04a</errorID>
      <errorWord>(</errorWord>
      <group>L1_Format</group>
      <groupName>格式问题</groupName>
      <ability>L2_HalfPunc_CN</ability>
      <abilityName>全半角问题</abilityName>
      <candidateList>
        <item>（</item>
      </candidateList>
      <explain>文本全半角错误。</explain>
      <paraID> 3C50A0C</paraID>
      <start>6</start>
      <end>7</end>
      <status>ignored</status>
      <modifiedWord/>
      <trackRevisions>false</trackRevisions>
    </reviewItem>
    <reviewItem>
      <errorID>7e5364af-44b6-4ff4-a434-608b399722b7</errorID>
      <errorWord>)</errorWord>
      <group>L1_Format</group>
      <groupName>格式问题</groupName>
      <ability>L2_HalfPunc_CN</ability>
      <abilityName>全半角问题</abilityName>
      <candidateList>
        <item>）</item>
      </candidateList>
      <explain>文本全半角错误。</explain>
      <paraID> 3C50A0C</paraID>
      <start>8</start>
      <end>9</end>
      <status>ignored</status>
      <modifiedWord/>
      <trackRevisions>false</trackRevisions>
    </reviewItem>
    <reviewItem>
      <errorID>d14ef311-fca3-4535-a389-37a9d05ba59a</errorID>
      <errorWord>(</errorWord>
      <group>L1_Format</group>
      <groupName>格式问题</groupName>
      <ability>L2_HalfPunc_CN</ability>
      <abilityName>全半角问题</abilityName>
      <candidateList>
        <item>（</item>
      </candidateList>
      <explain>文本全半角错误。</explain>
      <paraID>684DAAD4</paraID>
      <start>7</start>
      <end>8</end>
      <status>ignored</status>
      <modifiedWord/>
      <trackRevisions>false</trackRevisions>
    </reviewItem>
    <reviewItem>
      <errorID>39fc9aae-c612-4634-ba89-4117fd94f9ca</errorID>
      <errorWord>)</errorWord>
      <group>L1_Format</group>
      <groupName>格式问题</groupName>
      <ability>L2_HalfPunc_CN</ability>
      <abilityName>全半角问题</abilityName>
      <candidateList>
        <item>）</item>
      </candidateList>
      <explain>文本全半角错误。</explain>
      <paraID>684DAAD4</paraID>
      <start>12</start>
      <end>13</end>
      <status>ignored</status>
      <modifiedWord/>
      <trackRevisions>false</trackRevisions>
    </reviewItem>
    <reviewItem>
      <errorID>92fcd63a-86d7-43fb-bcc2-adef171f9776</errorID>
      <errorWord>）</errorWord>
      <group>L1_Format</group>
      <groupName>格式问题</groupName>
      <ability>L2_HalfPunc_CN</ability>
      <abilityName>全半角问题</abilityName>
      <candidateList>
        <item>)</item>
      </candidateList>
      <explain>文本全半角错误。</explain>
      <paraID>48BA65DF</paraID>
      <start>24</start>
      <end>25</end>
      <status>ignored</status>
      <modifiedWord/>
      <trackRevisions>false</trackRevisions>
    </reviewItem>
    <reviewItem>
      <errorID>efb3aa10-3aea-4291-a594-3d70d5b59d08</errorID>
      <errorWord>）</errorWord>
      <group>L1_Format</group>
      <groupName>格式问题</groupName>
      <ability>L2_HalfPunc_CN</ability>
      <abilityName>全半角问题</abilityName>
      <candidateList>
        <item>)</item>
      </candidateList>
      <explain>文本全半角错误。</explain>
      <paraID> 9AFB78E</paraID>
      <start>24</start>
      <end>25</end>
      <status>ignored</status>
      <modifiedWord/>
      <trackRevisions>false</trackRevisions>
    </reviewItem>
    <reviewItem>
      <errorID>36d80ee0-c6a1-4f54-b69e-4af13e295c78</errorID>
      <errorWord>）</errorWord>
      <group>L1_Format</group>
      <groupName>格式问题</groupName>
      <ability>L2_HalfPunc_CN</ability>
      <abilityName>全半角问题</abilityName>
      <candidateList>
        <item>)</item>
      </candidateList>
      <explain>文本全半角错误。</explain>
      <paraID>6C9DE268</paraID>
      <start>27</start>
      <end>28</end>
      <status>ignored</status>
      <modifiedWord/>
      <trackRevisions>false</trackRevisions>
    </reviewItem>
    <reviewItem>
      <errorID>c39d2e4e-ccdd-4840-a441-c737aad531db</errorID>
      <errorWord>）</errorWord>
      <group>L1_Format</group>
      <groupName>格式问题</groupName>
      <ability>L2_HalfPunc_CN</ability>
      <abilityName>全半角问题</abilityName>
      <candidateList>
        <item>)</item>
      </candidateList>
      <explain>文本全半角错误。</explain>
      <paraID>5A25C1DD</paraID>
      <start>17</start>
      <end>18</end>
      <status>ignored</status>
      <modifiedWord/>
      <trackRevisions>false</trackRevisions>
    </reviewItem>
    <reviewItem>
      <errorID>5aa77851-2c8c-44e1-929d-c5637c829a98</errorID>
      <errorWord>要</errorWord>
      <group>L1_Word</group>
      <groupName>字词问题</groupName>
      <ability>L2_Typo</ability>
      <abilityName>字词错误</abilityName>
      <candidateList>
        <item>要是</item>
      </candidateList>
      <explain/>
      <paraID>231B949F</paraID>
      <start>16</start>
      <end>18</end>
      <status>modified</status>
      <modifiedWord>要是</modifiedWord>
      <trackRevisions>false</trackRevisions>
    </reviewItem>
    <reviewItem>
      <errorID>71391eeb-7c06-459d-961f-767b4fe0962f</errorID>
      <errorWord>程</errorWord>
      <group>L1_Word</group>
      <groupName>字词问题</groupName>
      <ability>L2_Typo</ability>
      <abilityName>字词错误</abilityName>
      <candidateList>
        <item>程中</item>
      </candidateList>
      <explain/>
      <paraID>1627DD67</paraID>
      <start>5</start>
      <end>7</end>
      <status>modified</status>
      <modifiedWord>程中</modifiedWord>
      <trackRevisions>false</trackRevisions>
    </reviewItem>
    <reviewItem>
      <errorID>b10c2854-516b-4db6-b19d-96c5292daff7</errorID>
      <errorWord>废弃的废弃的</errorWord>
      <group>L1_Word</group>
      <groupName>字词问题</groupName>
      <ability>L2_Typo</ability>
      <abilityName>字词错误</abilityName>
      <candidateList>
        <item>废弃的</item>
      </candidateList>
      <explain/>
      <paraID>59F2B313</paraID>
      <start>10</start>
      <end>13</end>
      <status>modified</status>
      <modifiedWord>废弃的</modifiedWord>
      <trackRevisions>false</trackRevisions>
    </reviewItem>
    <reviewItem>
      <errorID>430b1571-b1ca-4dc6-a18b-a3d0faf1dc58</errorID>
      <errorWord>，...，</errorWord>
      <group>L1_Punc</group>
      <groupName>标点问题</groupName>
      <ability>L2_Punc_CN</ability>
      <abilityName>标点符号问题</abilityName>
      <candidateList>
        <item>，</item>
      </candidateList>
      <explain/>
      <paraID>60D3D72A</paraID>
      <start>8</start>
      <end>13</end>
      <status>ignored</status>
      <modifiedWord/>
      <trackRevisions>false</trackRevisions>
    </reviewItem>
    <reviewItem>
      <errorID>75f9dca6-3c49-4181-9298-a97976b728bd</errorID>
      <errorWord>，...，</errorWord>
      <group>L1_Punc</group>
      <groupName>标点问题</groupName>
      <ability>L2_Punc_CN</ability>
      <abilityName>标点符号问题</abilityName>
      <candidateList>
        <item>，</item>
      </candidateList>
      <explain/>
      <paraID>600609CD</paraID>
      <start>5</start>
      <end>10</end>
      <status>ignored</status>
      <modifiedWord/>
      <trackRevisions>false</trackRevisions>
    </reviewItem>
    <reviewItem>
      <errorID>35f06a76-9d40-4149-968d-e7c7ac9a58f4</errorID>
      <errorWord>存在着</errorWord>
      <group>L1_Word</group>
      <groupName>字词问题</groupName>
      <ability>L2_Typo</ability>
      <abilityName>字词错误</abilityName>
      <candidateList>
        <item>存在</item>
      </candidateList>
      <explain/>
      <paraID>53A9A0B9</paraID>
      <start>22</start>
      <end>25</end>
      <status>ignored</status>
      <modifiedWord/>
      <trackRevisions>false</trackRevisions>
    </reviewItem>
    <reviewItem>
      <errorID>c7b92342-268d-4711-94cf-1175c1881a5c</errorID>
      <errorWord>“三本帐”</errorWord>
      <group>L1_Word</group>
      <groupName>字词问题</groupName>
      <ability>L2_Alias</ability>
      <abilityName>也作/曾用词</abilityName>
      <candidateList>
        <item>“三本账”</item>
      </candidateList>
      <explain>词汇[“三本帐”]为不规范表述或旧称，其规范书面表述为[“三本账”]。</explain>
      <paraID>263B9DDF</paraID>
      <start>20</start>
      <end>25</end>
      <status>ignored</status>
      <modifiedWord/>
      <trackRevisions>false</trackRevisions>
    </reviewItem>
    <reviewItem>
      <errorID>bdd22037-ac18-436e-a585-ef30eb3e5f21</errorID>
      <errorWord>）</errorWord>
      <group>L1_Format</group>
      <groupName>格式问题</groupName>
      <ability>L2_HalfPunc_CN</ability>
      <abilityName>全半角问题</abilityName>
      <candidateList>
        <item>)</item>
      </candidateList>
      <explain>文本全半角错误。</explain>
      <paraID>47C839CB</paraID>
      <start>9</start>
      <end>10</end>
      <status>ignored</status>
      <modifiedWord/>
      <trackRevisions>false</trackRevisions>
    </reviewItem>
    <reviewItem>
      <errorID>bd7345f3-cca6-4198-8f9d-2c38ab5248c0</errorID>
      <errorWord>（</errorWord>
      <group>L1_Punc</group>
      <groupName>标点问题</groupName>
      <ability>L2_Punc_CN</ability>
      <abilityName>标点符号问题</abilityName>
      <candidateList/>
      <explain>同一形式括号套用。</explain>
      <paraID>650EDA59</paraID>
      <start>42</start>
      <end>43</end>
      <status>ignored</status>
      <modifiedWord/>
      <trackRevisions>false</trackRevisions>
    </reviewItem>
    <reviewItem>
      <errorID>a90159be-8957-4fe9-b364-4c6d9b4dd0b2</errorID>
      <errorWord>）</errorWord>
      <group>L1_Punc</group>
      <groupName>标点问题</groupName>
      <ability>L2_Punc_CN</ability>
      <abilityName>标点符号问题</abilityName>
      <candidateList/>
      <explain>同一形式括号套用。</explain>
      <paraID>650EDA59</paraID>
      <start>44</start>
      <end>45</end>
      <status>ignored</status>
      <modifiedWord/>
      <trackRevisions>false</trackRevisions>
    </reviewItem>
    <reviewItem>
      <errorID>cdf1d0e5-fa7b-4a88-875c-65136a6954f7</errorID>
      <errorWord>（</errorWord>
      <group>L1_Punc</group>
      <groupName>标点问题</groupName>
      <ability>L2_Punc_CN</ability>
      <abilityName>标点符号问题</abilityName>
      <candidateList/>
      <explain>同一形式括号套用。</explain>
      <paraID>650EDA59</paraID>
      <start>53</start>
      <end>54</end>
      <status>ignored</status>
      <modifiedWord/>
      <trackRevisions>false</trackRevisions>
    </reviewItem>
    <reviewItem>
      <errorID>2218191e-200e-4f82-ae33-3009271e518c</errorID>
      <errorWord>）</errorWord>
      <group>L1_Punc</group>
      <groupName>标点问题</groupName>
      <ability>L2_Punc_CN</ability>
      <abilityName>标点符号问题</abilityName>
      <candidateList/>
      <explain>同一形式括号套用。</explain>
      <paraID>650EDA59</paraID>
      <start>55</start>
      <end>56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3923cb-2c72-420e-b944-5e1b3f4c3829}">
  <ds:schemaRefs/>
</ds:datastoreItem>
</file>

<file path=docProps/app.xml><?xml version="1.0" encoding="utf-8"?>
<Properties xmlns="http://schemas.openxmlformats.org/officeDocument/2006/extended-properties" xmlns:vt="http://schemas.openxmlformats.org/officeDocument/2006/docPropsVTypes">
  <Template>Normal</Template>
  <Pages>129</Pages>
  <Words>51903</Words>
  <Characters>59363</Characters>
  <Lines>1</Lines>
  <Paragraphs>1</Paragraphs>
  <TotalTime>11</TotalTime>
  <ScaleCrop>false</ScaleCrop>
  <LinksUpToDate>false</LinksUpToDate>
  <CharactersWithSpaces>60058</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2020-11-16T09:40:00Z</dcterms:created>
  <dc:creator>Administrator</dc:creator>
  <cp:lastModifiedBy>嘿！我家里有矿</cp:lastModifiedBy>
  <cp:lastPrinted>2026-08-24T11:11:00Z</cp:lastPrinted>
  <dcterms:modified xsi:type="dcterms:W3CDTF">2026-09-17T08:38:11Z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2113333ECC9A4373B11B0584D65B0275</vt:lpwstr>
  </property>
  <property fmtid="{D5CDD505-2E9C-101B-9397-08002B2CF9AE}" pid="4" name="commondata">
    <vt:lpwstr>eyJoZGlkIjoiZjlmYzk2NWJkMWQ3ZjY5YzdlMjIzMzcyOTVmYTVjNGQifQ==</vt:lpwstr>
  </property>
  <property fmtid="{D5CDD505-2E9C-101B-9397-08002B2CF9AE}" pid="5" name="KSOTemplateDocerSaveRecord">
    <vt:lpwstr>eyJoZGlkIjoiY2MyMzdjM2M2YTZmOWUwYmVhNzU4ZDQxYzAwOTJjNDQiLCJ1c2VySWQiOiIyOTI2Mjc2NTgifQ==</vt:lpwstr>
  </property>
</Properties>
</file>