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keepNext w:val="0"/>
        <w:keepLines w:val="0"/>
        <w:pageBreakBefore w:val="0"/>
        <w:widowControl/>
        <w:kinsoku/>
        <w:wordWrap/>
        <w:overflowPunct/>
        <w:topLinePunct w:val="0"/>
        <w:autoSpaceDE/>
        <w:autoSpaceDN/>
        <w:bidi w:val="0"/>
        <w:adjustRightInd w:val="0"/>
        <w:snapToGrid w:val="0"/>
        <w:spacing w:before="0" w:beforeAutospacing="0" w:afterAutospacing="0" w:line="240" w:lineRule="auto"/>
        <w:jc w:val="center"/>
        <w:textAlignment w:val="auto"/>
        <w:outlineLvl w:val="0"/>
        <w:rPr>
          <w:rFonts w:hint="eastAsia" w:ascii="Times New Roman" w:hAnsi="Times New Roman" w:eastAsia="黑体"/>
          <w:snapToGrid w:val="0"/>
          <w:color w:val="000000" w:themeColor="text1"/>
          <w:sz w:val="30"/>
          <w:szCs w:val="30"/>
          <w14:textFill>
            <w14:solidFill>
              <w14:schemeClr w14:val="tx1"/>
            </w14:solidFill>
          </w14:textFill>
        </w:rPr>
      </w:pPr>
      <w:bookmarkStart w:id="0" w:name="_Toc18189"/>
      <w:bookmarkStart w:id="29" w:name="_GoBack"/>
      <w:bookmarkEnd w:id="29"/>
      <w:r>
        <w:rPr>
          <w:rFonts w:hint="eastAsia" w:ascii="Times New Roman" w:hAnsi="Times New Roman" w:eastAsia="黑体"/>
          <w:snapToGrid w:val="0"/>
          <w:color w:val="000000" w:themeColor="text1"/>
          <w:sz w:val="30"/>
          <w:szCs w:val="30"/>
          <w14:textFill>
            <w14:solidFill>
              <w14:schemeClr w14:val="tx1"/>
            </w14:solidFill>
          </w14:textFill>
        </w:rPr>
        <w:t>一、建设</w:t>
      </w:r>
      <w:r>
        <w:rPr>
          <w:rFonts w:hint="eastAsia" w:ascii="Times New Roman" w:hAnsi="Times New Roman" w:eastAsia="黑体"/>
          <w:b w:val="0"/>
          <w:bCs w:val="0"/>
          <w:snapToGrid w:val="0"/>
          <w:color w:val="000000" w:themeColor="text1"/>
          <w:sz w:val="30"/>
          <w:szCs w:val="30"/>
          <w14:textFill>
            <w14:solidFill>
              <w14:schemeClr w14:val="tx1"/>
            </w14:solidFill>
          </w14:textFill>
        </w:rPr>
        <w:t>项目基本</w:t>
      </w:r>
      <w:r>
        <w:rPr>
          <w:rFonts w:hint="eastAsia" w:ascii="Times New Roman" w:hAnsi="Times New Roman" w:eastAsia="黑体"/>
          <w:snapToGrid w:val="0"/>
          <w:color w:val="000000" w:themeColor="text1"/>
          <w:sz w:val="30"/>
          <w:szCs w:val="30"/>
          <w14:textFill>
            <w14:solidFill>
              <w14:schemeClr w14:val="tx1"/>
            </w14:solidFill>
          </w14:textFill>
        </w:rPr>
        <w:t>情况</w:t>
      </w:r>
      <w:bookmarkEnd w:id="0"/>
    </w:p>
    <w:tbl>
      <w:tblPr>
        <w:tblStyle w:val="23"/>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721"/>
        <w:gridCol w:w="2298"/>
        <w:gridCol w:w="2212"/>
        <w:gridCol w:w="26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建设项目名称</w:t>
            </w:r>
          </w:p>
        </w:tc>
        <w:tc>
          <w:tcPr>
            <w:tcW w:w="7149" w:type="dxa"/>
            <w:gridSpan w:val="3"/>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粉煤灰（工业固废环保密闭储存库+中转调配+综合利用配送中心）建设项目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项目代码</w:t>
            </w:r>
          </w:p>
        </w:tc>
        <w:tc>
          <w:tcPr>
            <w:tcW w:w="7149" w:type="dxa"/>
            <w:gridSpan w:val="3"/>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2605-652312-16-03-785368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建设单位联系人</w:t>
            </w:r>
          </w:p>
        </w:tc>
        <w:tc>
          <w:tcPr>
            <w:tcW w:w="229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贺正定</w:t>
            </w:r>
          </w:p>
        </w:tc>
        <w:tc>
          <w:tcPr>
            <w:tcW w:w="221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联系方式</w:t>
            </w:r>
          </w:p>
        </w:tc>
        <w:tc>
          <w:tcPr>
            <w:tcW w:w="263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13899878169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建设地点</w:t>
            </w:r>
          </w:p>
        </w:tc>
        <w:tc>
          <w:tcPr>
            <w:tcW w:w="7149" w:type="dxa"/>
            <w:gridSpan w:val="3"/>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新疆维吾尔自治区昌吉回族自治州昌吉市高新技术产业开发区锦绣路26号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地理坐标</w:t>
            </w:r>
          </w:p>
        </w:tc>
        <w:tc>
          <w:tcPr>
            <w:tcW w:w="7149" w:type="dxa"/>
            <w:gridSpan w:val="3"/>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东经87°</w:t>
            </w:r>
            <w:r>
              <w:rPr>
                <w:rFonts w:hint="eastAsia" w:cs="Times New Roman"/>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7.162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″，北纬44°</w:t>
            </w:r>
            <w:r>
              <w:rPr>
                <w:rFonts w:hint="eastAsia"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41.204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国民经济</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行业类别</w:t>
            </w:r>
          </w:p>
        </w:tc>
        <w:tc>
          <w:tcPr>
            <w:tcW w:w="229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7723固体废物治理</w:t>
            </w:r>
          </w:p>
        </w:tc>
        <w:tc>
          <w:tcPr>
            <w:tcW w:w="2212"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bookmarkStart w:id="1" w:name="_Hlk49843745"/>
            <w:r>
              <w:rPr>
                <w:rFonts w:hint="default" w:ascii="Times New Roman" w:hAnsi="Times New Roman" w:eastAsia="宋体" w:cs="Times New Roman"/>
                <w:color w:val="000000" w:themeColor="text1"/>
                <w:sz w:val="21"/>
                <w:szCs w:val="21"/>
                <w14:textFill>
                  <w14:solidFill>
                    <w14:schemeClr w14:val="tx1"/>
                  </w14:solidFill>
                </w14:textFill>
              </w:rPr>
              <w:t>建设项目</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行业类别</w:t>
            </w:r>
            <w:bookmarkEnd w:id="1"/>
          </w:p>
        </w:tc>
        <w:tc>
          <w:tcPr>
            <w:tcW w:w="2639" w:type="dxa"/>
            <w:noWrap w:val="0"/>
            <w:vAlign w:val="center"/>
          </w:tcPr>
          <w:p>
            <w:pPr>
              <w:keepNext w:val="0"/>
              <w:keepLines w:val="0"/>
              <w:pageBreakBefore w:val="0"/>
              <w:widowControl w:val="0"/>
              <w:numPr>
                <w:ilvl w:val="0"/>
                <w:numId w:val="0"/>
              </w:numPr>
              <w:suppressLineNumbers w:val="0"/>
              <w:kinsoku/>
              <w:wordWrap/>
              <w:overflowPunct/>
              <w:topLinePunct w:val="0"/>
              <w:bidi w:val="0"/>
              <w:adjustRightInd/>
              <w:snapToGrid/>
              <w:spacing w:before="0" w:beforeAutospacing="0" w:after="0" w:afterAutospacing="0" w:line="240" w:lineRule="auto"/>
              <w:ind w:left="0" w:right="0"/>
              <w:textAlignment w:val="auto"/>
              <w:rPr>
                <w:rFonts w:hint="default"/>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四十七、生态保护和环境治理业</w:t>
            </w:r>
            <w:r>
              <w:rPr>
                <w:rFonts w:hint="eastAsia"/>
                <w:color w:val="000000" w:themeColor="text1"/>
                <w:lang w:val="en-US" w:eastAsia="zh-CN"/>
                <w14:textFill>
                  <w14:solidFill>
                    <w14:schemeClr w14:val="tx1"/>
                  </w14:solidFill>
                </w14:textFill>
              </w:rPr>
              <w:t>-</w:t>
            </w:r>
            <w:r>
              <w:rPr>
                <w:rFonts w:hint="eastAsia"/>
                <w:color w:val="000000" w:themeColor="text1"/>
                <w:lang w:eastAsia="zh-CN"/>
                <w14:textFill>
                  <w14:solidFill>
                    <w14:schemeClr w14:val="tx1"/>
                  </w14:solidFill>
                </w14:textFill>
              </w:rPr>
              <w:t>103、一般工业固体废物（含污水处理污泥）、建筑施工废弃物处置及综合利用</w:t>
            </w:r>
            <w:r>
              <w:rPr>
                <w:rFonts w:hint="eastAsia"/>
                <w:color w:val="000000" w:themeColor="text1"/>
                <w:lang w:val="en-US" w:eastAsia="zh-CN"/>
                <w14:textFill>
                  <w14:solidFill>
                    <w14:schemeClr w14:val="tx1"/>
                  </w14:solidFill>
                </w14:textFill>
              </w:rPr>
              <w:t>-其他</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报告表</w:t>
            </w:r>
            <w:r>
              <w:rPr>
                <w:rFonts w:hint="eastAsia"/>
                <w:color w:val="000000" w:themeColor="text1"/>
                <w:lang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建设性质</w:t>
            </w:r>
          </w:p>
        </w:tc>
        <w:tc>
          <w:tcPr>
            <w:tcW w:w="2298"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新建（迁建）</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改建</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扩建</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技术改造</w:t>
            </w:r>
          </w:p>
        </w:tc>
        <w:tc>
          <w:tcPr>
            <w:tcW w:w="2212"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建设项目</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申报情形</w:t>
            </w:r>
          </w:p>
        </w:tc>
        <w:tc>
          <w:tcPr>
            <w:tcW w:w="2639"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 xml:space="preserve">首次申报项目             </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不予批准后再次申报项目</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 xml:space="preserve">超五年重新审核项目     </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项目审批（核准/</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备案）部门（选填）</w:t>
            </w:r>
          </w:p>
        </w:tc>
        <w:tc>
          <w:tcPr>
            <w:tcW w:w="2298"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昌吉高新区产业发展局</w:t>
            </w:r>
          </w:p>
        </w:tc>
        <w:tc>
          <w:tcPr>
            <w:tcW w:w="2212"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项目审批（核准/</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备案）文号（选填）</w:t>
            </w:r>
          </w:p>
        </w:tc>
        <w:tc>
          <w:tcPr>
            <w:tcW w:w="2639"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2605181878652312000062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总投资（万元）</w:t>
            </w:r>
          </w:p>
        </w:tc>
        <w:tc>
          <w:tcPr>
            <w:tcW w:w="229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2000</w:t>
            </w:r>
          </w:p>
        </w:tc>
        <w:tc>
          <w:tcPr>
            <w:tcW w:w="2212"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shd w:val="clear" w:color="auto" w:fill="auto"/>
                <w14:textFill>
                  <w14:solidFill>
                    <w14:schemeClr w14:val="tx1"/>
                  </w14:solidFill>
                </w14:textFill>
              </w:rPr>
            </w:pPr>
            <w:r>
              <w:rPr>
                <w:rFonts w:hint="default" w:ascii="Times New Roman" w:hAnsi="Times New Roman" w:eastAsia="宋体" w:cs="Times New Roman"/>
                <w:color w:val="000000" w:themeColor="text1"/>
                <w:sz w:val="21"/>
                <w:szCs w:val="21"/>
                <w:shd w:val="clear" w:color="auto" w:fill="auto"/>
                <w14:textFill>
                  <w14:solidFill>
                    <w14:schemeClr w14:val="tx1"/>
                  </w14:solidFill>
                </w14:textFill>
              </w:rPr>
              <w:t>环保投资（万元）</w:t>
            </w:r>
          </w:p>
        </w:tc>
        <w:tc>
          <w:tcPr>
            <w:tcW w:w="263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shd w:val="clear" w:color="auto" w:fill="auto"/>
                <w:lang w:val="en-US" w:eastAsia="zh-CN"/>
                <w14:textFill>
                  <w14:solidFill>
                    <w14:schemeClr w14:val="tx1"/>
                  </w14:solidFill>
                </w14:textFill>
              </w:rPr>
            </w:pPr>
            <w:r>
              <w:rPr>
                <w:rFonts w:hint="eastAsia" w:cs="Times New Roman"/>
                <w:color w:val="000000" w:themeColor="text1"/>
                <w:sz w:val="21"/>
                <w:szCs w:val="21"/>
                <w:shd w:val="clear" w:color="auto" w:fill="auto"/>
                <w:lang w:val="en-US" w:eastAsia="zh-CN"/>
                <w14:textFill>
                  <w14:solidFill>
                    <w14:schemeClr w14:val="tx1"/>
                  </w14:solidFill>
                </w14:textFill>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环保投资占比（%）</w:t>
            </w:r>
          </w:p>
        </w:tc>
        <w:tc>
          <w:tcPr>
            <w:tcW w:w="229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2.5</w:t>
            </w:r>
          </w:p>
        </w:tc>
        <w:tc>
          <w:tcPr>
            <w:tcW w:w="2212"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shd w:val="clear" w:color="auto" w:fill="auto"/>
                <w14:textFill>
                  <w14:solidFill>
                    <w14:schemeClr w14:val="tx1"/>
                  </w14:solidFill>
                </w14:textFill>
              </w:rPr>
            </w:pPr>
            <w:r>
              <w:rPr>
                <w:rFonts w:hint="default" w:ascii="Times New Roman" w:hAnsi="Times New Roman" w:eastAsia="宋体" w:cs="Times New Roman"/>
                <w:color w:val="000000" w:themeColor="text1"/>
                <w:sz w:val="21"/>
                <w:szCs w:val="21"/>
                <w:shd w:val="clear" w:color="auto" w:fill="auto"/>
                <w14:textFill>
                  <w14:solidFill>
                    <w14:schemeClr w14:val="tx1"/>
                  </w14:solidFill>
                </w14:textFill>
              </w:rPr>
              <w:t>施工工期</w:t>
            </w:r>
          </w:p>
        </w:tc>
        <w:tc>
          <w:tcPr>
            <w:tcW w:w="263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shd w:val="clear" w:color="auto" w:fill="auto"/>
                <w:lang w:val="en-US" w:eastAsia="zh-CN"/>
                <w14:textFill>
                  <w14:solidFill>
                    <w14:schemeClr w14:val="tx1"/>
                  </w14:solidFill>
                </w14:textFill>
              </w:rPr>
            </w:pPr>
            <w:r>
              <w:rPr>
                <w:rFonts w:hint="eastAsia" w:cs="Times New Roman"/>
                <w:color w:val="000000" w:themeColor="text1"/>
                <w:sz w:val="21"/>
                <w:szCs w:val="21"/>
                <w:shd w:val="clear" w:color="auto" w:fill="auto"/>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shd w:val="clear" w:color="auto" w:fill="auto"/>
                <w:lang w:val="en-US" w:eastAsia="zh-CN"/>
                <w14:textFill>
                  <w14:solidFill>
                    <w14:schemeClr w14:val="tx1"/>
                  </w14:solidFill>
                </w14:textFill>
              </w:rPr>
              <w:t>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21"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是否开工建设</w:t>
            </w:r>
          </w:p>
        </w:tc>
        <w:tc>
          <w:tcPr>
            <w:tcW w:w="2298"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否</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sz w:val="21"/>
                <w:szCs w:val="21"/>
                <w:u w:val="single"/>
                <w:lang w:val="en-US"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是</w:t>
            </w:r>
            <w:r>
              <w:rPr>
                <w:rFonts w:hint="eastAsia" w:cs="Times New Roman"/>
                <w:color w:val="000000" w:themeColor="text1"/>
                <w:sz w:val="21"/>
                <w:szCs w:val="21"/>
                <w:u w:val="single"/>
                <w:lang w:val="en-US" w:eastAsia="zh-CN"/>
                <w14:textFill>
                  <w14:solidFill>
                    <w14:schemeClr w14:val="tx1"/>
                  </w14:solidFill>
                </w14:textFill>
              </w:rPr>
              <w:t xml:space="preserve">                </w:t>
            </w:r>
          </w:p>
        </w:tc>
        <w:tc>
          <w:tcPr>
            <w:tcW w:w="2212" w:type="dxa"/>
            <w:noWrap w:val="0"/>
            <w:tcMar>
              <w:top w:w="16" w:type="dxa"/>
              <w:left w:w="16" w:type="dxa"/>
              <w:right w:w="16"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pacing w:val="-6"/>
                <w:sz w:val="21"/>
                <w:szCs w:val="21"/>
                <w14:textFill>
                  <w14:solidFill>
                    <w14:schemeClr w14:val="tx1"/>
                  </w14:solidFill>
                </w14:textFill>
              </w:rPr>
              <w:t>用地面积（m</w:t>
            </w:r>
            <w:r>
              <w:rPr>
                <w:rFonts w:hint="default" w:ascii="Times New Roman" w:hAnsi="Times New Roman" w:eastAsia="宋体" w:cs="Times New Roman"/>
                <w:color w:val="000000" w:themeColor="text1"/>
                <w:spacing w:val="-6"/>
                <w:sz w:val="21"/>
                <w:szCs w:val="21"/>
                <w:vertAlign w:val="superscript"/>
                <w14:textFill>
                  <w14:solidFill>
                    <w14:schemeClr w14:val="tx1"/>
                  </w14:solidFill>
                </w14:textFill>
              </w:rPr>
              <w:t>2</w:t>
            </w:r>
            <w:r>
              <w:rPr>
                <w:rFonts w:hint="default" w:ascii="Times New Roman" w:hAnsi="Times New Roman" w:eastAsia="宋体" w:cs="Times New Roman"/>
                <w:color w:val="000000" w:themeColor="text1"/>
                <w:spacing w:val="-6"/>
                <w:sz w:val="21"/>
                <w:szCs w:val="21"/>
                <w14:textFill>
                  <w14:solidFill>
                    <w14:schemeClr w14:val="tx1"/>
                  </w14:solidFill>
                </w14:textFill>
              </w:rPr>
              <w:t>）</w:t>
            </w:r>
          </w:p>
        </w:tc>
        <w:tc>
          <w:tcPr>
            <w:tcW w:w="2639"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21" w:type="dxa"/>
            <w:noWrap w:val="0"/>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专项评价设置情况</w:t>
            </w:r>
          </w:p>
        </w:tc>
        <w:tc>
          <w:tcPr>
            <w:tcW w:w="7149" w:type="dxa"/>
            <w:gridSpan w:val="3"/>
            <w:noWrap w:val="0"/>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2" w:hRule="atLeast"/>
          <w:jc w:val="center"/>
        </w:trPr>
        <w:tc>
          <w:tcPr>
            <w:tcW w:w="1721" w:type="dxa"/>
            <w:noWrap w:val="0"/>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规划情况</w:t>
            </w:r>
          </w:p>
        </w:tc>
        <w:tc>
          <w:tcPr>
            <w:tcW w:w="7149" w:type="dxa"/>
            <w:gridSpan w:val="3"/>
            <w:noWrap w:val="0"/>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0"/>
              <w:jc w:val="both"/>
              <w:textAlignment w:val="baseline"/>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pP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规划名称：《昌吉</w:t>
            </w:r>
            <w:r>
              <w:rPr>
                <w:rFonts w:hint="eastAsia" w:cs="Times New Roman"/>
                <w:snapToGrid/>
                <w:color w:val="000000" w:themeColor="text1"/>
                <w:spacing w:val="11"/>
                <w:kern w:val="0"/>
                <w:sz w:val="21"/>
                <w:szCs w:val="21"/>
                <w:lang w:val="en-US" w:eastAsia="zh-CN" w:bidi="ar"/>
                <w14:textFill>
                  <w14:solidFill>
                    <w14:schemeClr w14:val="tx1"/>
                  </w14:solidFill>
                </w14:textFill>
              </w:rPr>
              <w:t>市</w:t>
            </w: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国土空间</w:t>
            </w:r>
            <w:r>
              <w:rPr>
                <w:rFonts w:hint="eastAsia" w:cs="Times New Roman"/>
                <w:snapToGrid/>
                <w:color w:val="000000" w:themeColor="text1"/>
                <w:spacing w:val="11"/>
                <w:kern w:val="0"/>
                <w:sz w:val="21"/>
                <w:szCs w:val="21"/>
                <w:lang w:val="en-US" w:eastAsia="zh-CN" w:bidi="ar"/>
                <w14:textFill>
                  <w14:solidFill>
                    <w14:schemeClr w14:val="tx1"/>
                  </w14:solidFill>
                </w14:textFill>
              </w:rPr>
              <w:t>总体</w:t>
            </w: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规划（2021-2035年）》</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0"/>
              <w:jc w:val="both"/>
              <w:textAlignment w:val="baseline"/>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pP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规划审批情况及审批单位：新疆维吾尔自治区人民政府</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0"/>
              <w:jc w:val="both"/>
              <w:textAlignment w:val="baseline"/>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审查文件名称及文号：《关于昌吉市国土空间总体规划（2021-2035年）的</w:t>
            </w:r>
            <w:r>
              <w:rPr>
                <w:rFonts w:hint="eastAsia" w:cs="Times New Roman"/>
                <w:snapToGrid/>
                <w:color w:val="000000" w:themeColor="text1"/>
                <w:spacing w:val="11"/>
                <w:kern w:val="0"/>
                <w:sz w:val="21"/>
                <w:szCs w:val="21"/>
                <w:lang w:val="en-US" w:eastAsia="zh-CN" w:bidi="ar"/>
                <w14:textFill>
                  <w14:solidFill>
                    <w14:schemeClr w14:val="tx1"/>
                  </w14:solidFill>
                </w14:textFill>
              </w:rPr>
              <w:t>批复</w:t>
            </w: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》（新</w:t>
            </w:r>
            <w:r>
              <w:rPr>
                <w:rFonts w:hint="eastAsia" w:cs="Times New Roman"/>
                <w:snapToGrid/>
                <w:color w:val="000000" w:themeColor="text1"/>
                <w:spacing w:val="11"/>
                <w:kern w:val="0"/>
                <w:sz w:val="21"/>
                <w:szCs w:val="21"/>
                <w:lang w:val="en-US" w:eastAsia="zh-CN" w:bidi="ar"/>
                <w14:textFill>
                  <w14:solidFill>
                    <w14:schemeClr w14:val="tx1"/>
                  </w14:solidFill>
                </w14:textFill>
              </w:rPr>
              <w:t>政</w:t>
            </w: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函〔20</w:t>
            </w:r>
            <w:r>
              <w:rPr>
                <w:rFonts w:hint="eastAsia" w:cs="Times New Roman"/>
                <w:snapToGrid/>
                <w:color w:val="000000" w:themeColor="text1"/>
                <w:spacing w:val="11"/>
                <w:kern w:val="0"/>
                <w:sz w:val="21"/>
                <w:szCs w:val="21"/>
                <w:lang w:val="en-US" w:eastAsia="zh-CN" w:bidi="ar"/>
                <w14:textFill>
                  <w14:solidFill>
                    <w14:schemeClr w14:val="tx1"/>
                  </w14:solidFill>
                </w14:textFill>
              </w:rPr>
              <w:t>24</w:t>
            </w: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w:t>
            </w:r>
            <w:r>
              <w:rPr>
                <w:rFonts w:hint="eastAsia" w:cs="Times New Roman"/>
                <w:snapToGrid/>
                <w:color w:val="000000" w:themeColor="text1"/>
                <w:spacing w:val="11"/>
                <w:kern w:val="0"/>
                <w:sz w:val="21"/>
                <w:szCs w:val="21"/>
                <w:lang w:val="en-US" w:eastAsia="zh-CN" w:bidi="ar"/>
                <w14:textFill>
                  <w14:solidFill>
                    <w14:schemeClr w14:val="tx1"/>
                  </w14:solidFill>
                </w14:textFill>
              </w:rPr>
              <w:t>137</w:t>
            </w:r>
            <w:r>
              <w:rPr>
                <w:rFonts w:hint="default" w:ascii="Times New Roman" w:hAnsi="Times New Roman" w:eastAsia="宋体" w:cs="Times New Roman"/>
                <w:snapToGrid/>
                <w:color w:val="000000" w:themeColor="text1"/>
                <w:spacing w:val="11"/>
                <w:kern w:val="0"/>
                <w:sz w:val="21"/>
                <w:szCs w:val="21"/>
                <w:lang w:val="en-US" w:eastAsia="zh-CN" w:bidi="ar"/>
                <w14:textFill>
                  <w14:solidFill>
                    <w14:schemeClr w14:val="tx1"/>
                  </w14:solidFill>
                </w14:textFill>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21" w:type="dxa"/>
            <w:noWrap w:val="0"/>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规划环境影响</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评价情况</w:t>
            </w:r>
          </w:p>
        </w:tc>
        <w:tc>
          <w:tcPr>
            <w:tcW w:w="7149" w:type="dxa"/>
            <w:gridSpan w:val="3"/>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环评文件名称：《昌吉高新技术产业开发区总体规划（</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2014-2030</w:t>
            </w:r>
            <w:r>
              <w:rPr>
                <w:rFonts w:hint="eastAsia" w:ascii="宋体" w:hAnsi="宋体" w:eastAsia="宋体" w:cs="宋体"/>
                <w:color w:val="000000" w:themeColor="text1"/>
                <w:kern w:val="2"/>
                <w:sz w:val="21"/>
                <w:szCs w:val="21"/>
                <w:lang w:val="en-US" w:eastAsia="zh-CN" w:bidi="ar"/>
                <w14:textFill>
                  <w14:solidFill>
                    <w14:schemeClr w14:val="tx1"/>
                  </w14:solidFill>
                </w14:textFill>
              </w:rPr>
              <w:t>年）环境影响报告书》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审查机关：原新疆维吾尔自治区环境保护厅</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审查文件名称及文号：《关于昌吉高新技术产业开发区总体规划（</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2014-2030年</w:t>
            </w:r>
            <w:r>
              <w:rPr>
                <w:rFonts w:hint="eastAsia" w:ascii="宋体" w:hAnsi="宋体" w:eastAsia="宋体" w:cs="宋体"/>
                <w:color w:val="000000" w:themeColor="text1"/>
                <w:kern w:val="2"/>
                <w:sz w:val="21"/>
                <w:szCs w:val="21"/>
                <w:lang w:val="en-US" w:eastAsia="zh-CN" w:bidi="ar"/>
                <w14:textFill>
                  <w14:solidFill>
                    <w14:schemeClr w14:val="tx1"/>
                  </w14:solidFill>
                </w14:textFill>
              </w:rPr>
              <w:t>）环境影响报告书的审查意见》（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新环函</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2015</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306号</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47" w:hRule="atLeast"/>
          <w:jc w:val="center"/>
        </w:trPr>
        <w:tc>
          <w:tcPr>
            <w:tcW w:w="1721" w:type="dxa"/>
            <w:noWrap w:val="0"/>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规划及规划环境</w:t>
            </w:r>
          </w:p>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影响评价符合性分析</w:t>
            </w:r>
          </w:p>
        </w:tc>
        <w:tc>
          <w:tcPr>
            <w:tcW w:w="7149" w:type="dxa"/>
            <w:gridSpan w:val="3"/>
            <w:noWrap w:val="0"/>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cs="Times New Roman"/>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lang w:val="en-US" w:eastAsia="zh-CN"/>
                <w14:textFill>
                  <w14:solidFill>
                    <w14:schemeClr w14:val="tx1"/>
                  </w14:solidFill>
                </w14:textFill>
              </w:rPr>
              <w:t>1</w:t>
            </w:r>
            <w:r>
              <w:rPr>
                <w:rFonts w:hint="default" w:ascii="宋体" w:cs="Times New Roman"/>
                <w:b/>
                <w:color w:val="000000" w:themeColor="text1"/>
                <w:kern w:val="0"/>
                <w:sz w:val="21"/>
                <w:szCs w:val="21"/>
                <w14:textFill>
                  <w14:solidFill>
                    <w14:schemeClr w14:val="tx1"/>
                  </w14:solidFill>
                </w14:textFill>
              </w:rPr>
              <w:t>与《昌吉高新技术产业开发区国土空间专项规划（</w:t>
            </w:r>
            <w:r>
              <w:rPr>
                <w:rFonts w:hint="default" w:ascii="Times New Roman" w:hAnsi="Times New Roman" w:cs="Times New Roman"/>
                <w:b/>
                <w:color w:val="000000" w:themeColor="text1"/>
                <w:kern w:val="0"/>
                <w:sz w:val="21"/>
                <w:szCs w:val="21"/>
                <w14:textFill>
                  <w14:solidFill>
                    <w14:schemeClr w14:val="tx1"/>
                  </w14:solidFill>
                </w14:textFill>
              </w:rPr>
              <w:t>2021-2035</w:t>
            </w:r>
            <w:r>
              <w:rPr>
                <w:rFonts w:hint="default" w:ascii="宋体" w:cs="Times New Roman"/>
                <w:b/>
                <w:color w:val="000000" w:themeColor="text1"/>
                <w:kern w:val="0"/>
                <w:sz w:val="21"/>
                <w:szCs w:val="21"/>
                <w14:textFill>
                  <w14:solidFill>
                    <w14:schemeClr w14:val="tx1"/>
                  </w14:solidFill>
                </w14:textFill>
              </w:rPr>
              <w:t>年）》的符合性分析</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textAlignment w:val="auto"/>
              <w:rPr>
                <w:rFonts w:hint="default" w:cs="Times New Roman"/>
                <w:color w:val="000000" w:themeColor="text1"/>
                <w:kern w:val="0"/>
                <w:sz w:val="21"/>
                <w:szCs w:val="21"/>
                <w14:textFill>
                  <w14:solidFill>
                    <w14:schemeClr w14:val="tx1"/>
                  </w14:solidFill>
                </w14:textFill>
              </w:rPr>
            </w:pPr>
            <w:r>
              <w:rPr>
                <w:rFonts w:hint="default" w:ascii="宋体" w:cs="Times New Roman"/>
                <w:color w:val="000000" w:themeColor="text1"/>
                <w:kern w:val="0"/>
                <w:sz w:val="21"/>
                <w:szCs w:val="21"/>
                <w14:textFill>
                  <w14:solidFill>
                    <w14:schemeClr w14:val="tx1"/>
                  </w14:solidFill>
                </w14:textFill>
              </w:rPr>
              <w:t>根据《昌吉高新技术产业开发区国土空间专项规划（</w:t>
            </w:r>
            <w:r>
              <w:rPr>
                <w:rFonts w:hint="default" w:ascii="Times New Roman" w:hAnsi="Times New Roman" w:cs="Times New Roman"/>
                <w:color w:val="000000" w:themeColor="text1"/>
                <w:kern w:val="0"/>
                <w:sz w:val="21"/>
                <w:szCs w:val="21"/>
                <w14:textFill>
                  <w14:solidFill>
                    <w14:schemeClr w14:val="tx1"/>
                  </w14:solidFill>
                </w14:textFill>
              </w:rPr>
              <w:t>2021-2035年</w:t>
            </w:r>
            <w:r>
              <w:rPr>
                <w:rFonts w:hint="default" w:ascii="宋体" w:cs="Times New Roman"/>
                <w:color w:val="000000" w:themeColor="text1"/>
                <w:kern w:val="0"/>
                <w:sz w:val="21"/>
                <w:szCs w:val="21"/>
                <w14:textFill>
                  <w14:solidFill>
                    <w14:schemeClr w14:val="tx1"/>
                  </w14:solidFill>
                </w14:textFill>
              </w:rPr>
              <w:t>）》，昌吉国家高新技术产业开</w:t>
            </w:r>
            <w:r>
              <w:rPr>
                <w:rFonts w:hint="default" w:ascii="Times New Roman" w:hAnsi="Times New Roman" w:cs="Times New Roman"/>
                <w:color w:val="000000" w:themeColor="text1"/>
                <w:kern w:val="0"/>
                <w:sz w:val="21"/>
                <w:szCs w:val="21"/>
                <w14:textFill>
                  <w14:solidFill>
                    <w14:schemeClr w14:val="tx1"/>
                  </w14:solidFill>
                </w14:textFill>
              </w:rPr>
              <w:t>发区规划范围土地总面积5772.31公顷，其中农用地面积2308.22公顷，建设用地面积2560.11公顷，未利用地面积903.98公顷</w:t>
            </w:r>
            <w:r>
              <w:rPr>
                <w:rFonts w:hint="default" w:ascii="宋体" w:cs="Times New Roman"/>
                <w:color w:val="000000" w:themeColor="text1"/>
                <w:kern w:val="0"/>
                <w:sz w:val="21"/>
                <w:szCs w:val="21"/>
                <w14:textFill>
                  <w14:solidFill>
                    <w14:schemeClr w14:val="tx1"/>
                  </w14:solidFill>
                </w14:textFill>
              </w:rPr>
              <w:t>。本项目位于《昌吉高新技术产业开发区国土空间专项规划（</w:t>
            </w:r>
            <w:r>
              <w:rPr>
                <w:rFonts w:hint="default" w:ascii="Times New Roman" w:hAnsi="Times New Roman" w:cs="Times New Roman"/>
                <w:color w:val="000000" w:themeColor="text1"/>
                <w:kern w:val="0"/>
                <w:sz w:val="21"/>
                <w:szCs w:val="21"/>
                <w14:textFill>
                  <w14:solidFill>
                    <w14:schemeClr w14:val="tx1"/>
                  </w14:solidFill>
                </w14:textFill>
              </w:rPr>
              <w:t>2021-2035</w:t>
            </w:r>
            <w:r>
              <w:rPr>
                <w:rFonts w:hint="default" w:ascii="宋体" w:cs="Times New Roman"/>
                <w:color w:val="000000" w:themeColor="text1"/>
                <w:kern w:val="0"/>
                <w:sz w:val="21"/>
                <w:szCs w:val="21"/>
                <w14:textFill>
                  <w14:solidFill>
                    <w14:schemeClr w14:val="tx1"/>
                  </w14:solidFill>
                </w14:textFill>
              </w:rPr>
              <w:t>年）》所划定的范围内，用地属于昌吉高新技术产业开发区现规划的二类工业用地，本项目与昌吉高新技术产业开发区用地规划的位置关系图见</w:t>
            </w:r>
            <w:r>
              <w:rPr>
                <w:rFonts w:hint="default" w:ascii="Times New Roman" w:hAnsi="Times New Roman" w:cs="Times New Roman"/>
                <w:color w:val="000000" w:themeColor="text1"/>
                <w:kern w:val="0"/>
                <w:sz w:val="21"/>
                <w:szCs w:val="21"/>
                <w14:textFill>
                  <w14:solidFill>
                    <w14:schemeClr w14:val="tx1"/>
                  </w14:solidFill>
                </w14:textFill>
              </w:rPr>
              <w:t>附图1</w:t>
            </w:r>
            <w:r>
              <w:rPr>
                <w:rFonts w:hint="default" w:ascii="宋体" w:cs="Times New Roman"/>
                <w:color w:val="000000" w:themeColor="text1"/>
                <w:kern w:val="0"/>
                <w:sz w:val="21"/>
                <w:szCs w:val="21"/>
                <w14:textFill>
                  <w14:solidFill>
                    <w14:schemeClr w14:val="tx1"/>
                  </w14:solidFill>
                </w14:textFill>
              </w:rPr>
              <w:t>。</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textAlignment w:val="auto"/>
              <w:rPr>
                <w:rFonts w:hint="eastAsia" w:ascii="宋体" w:eastAsia="宋体" w:cs="Times New Roman"/>
                <w:color w:val="000000" w:themeColor="text1"/>
                <w:kern w:val="0"/>
                <w:sz w:val="21"/>
                <w:szCs w:val="21"/>
                <w:lang w:eastAsia="zh-CN"/>
                <w14:textFill>
                  <w14:solidFill>
                    <w14:schemeClr w14:val="tx1"/>
                  </w14:solidFill>
                </w14:textFill>
              </w:rPr>
            </w:pPr>
            <w:r>
              <w:rPr>
                <w:rFonts w:hint="default" w:ascii="宋体" w:cs="Times New Roman"/>
                <w:color w:val="000000" w:themeColor="text1"/>
                <w:kern w:val="0"/>
                <w:sz w:val="21"/>
                <w:szCs w:val="21"/>
                <w14:textFill>
                  <w14:solidFill>
                    <w14:schemeClr w14:val="tx1"/>
                  </w14:solidFill>
                </w14:textFill>
              </w:rPr>
              <w:t>强化榆树沟镇区综合服务能力，</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构建“双核十字轴，两极多园区”的</w:t>
            </w:r>
            <w:r>
              <w:rPr>
                <w:rFonts w:hint="default" w:ascii="宋体" w:cs="Times New Roman"/>
                <w:color w:val="000000" w:themeColor="text1"/>
                <w:kern w:val="0"/>
                <w:sz w:val="21"/>
                <w:szCs w:val="21"/>
                <w14:textFill>
                  <w14:solidFill>
                    <w14:schemeClr w14:val="tx1"/>
                  </w14:solidFill>
                </w14:textFill>
              </w:rPr>
              <w:t>城镇空间布局，力求实现以产促城、以产聚人、以城兴产、以人兴业的区镇融合发展路线</w:t>
            </w:r>
            <w:r>
              <w:rPr>
                <w:rFonts w:hint="eastAsia" w:ascii="宋体" w:cs="Times New Roman"/>
                <w:color w:val="000000" w:themeColor="text1"/>
                <w:kern w:val="0"/>
                <w:sz w:val="21"/>
                <w:szCs w:val="21"/>
                <w:lang w:eastAsia="zh-CN"/>
                <w14:textFill>
                  <w14:solidFill>
                    <w14:schemeClr w14:val="tx1"/>
                  </w14:solidFill>
                </w14:textFill>
              </w:rPr>
              <w:t>。</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textAlignment w:val="auto"/>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“双核”指高新文化中心和榆树沟服务中心，助力高新区完成产业转型和产城融合升级。</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textAlignment w:val="auto"/>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十字轴”指东西向“乌昌创新发展示范轴”与南北向“综合服务发展轴”。“乌昌创新发展示范轴”连接两大核心，外部东向连接昌吉市、乌鲁木齐市，西向连接石河子，直抵延边开放口岸；南北向“综合服务发展轴”，串联起步服务区、科创教育园两大引擎，北向连接昌吉农高区，南向连接军户农场，助力高新区实现产城融合转型升级。</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textAlignment w:val="auto"/>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“两极”指特变电工科技城和蓝山屯河科技城两处增长极，依托特变电工、蓝山屯河，发展瞄准生态环保和中高端产品方向，以发展成为国内领先企业为目标。</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textAlignment w:val="auto"/>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“多园区”包括新材料产业区、装备制造产业园、生物科技园、曙光园、综合活力区。</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textAlignment w:val="auto"/>
              <w:rPr>
                <w:rFonts w:hint="default" w:cs="Times New Roman"/>
                <w:color w:val="FF0000"/>
                <w:kern w:val="0"/>
                <w:sz w:val="21"/>
                <w:szCs w:val="21"/>
                <w:lang w:val="en-US" w:eastAsia="zh-CN"/>
              </w:rPr>
            </w:pPr>
            <w:r>
              <w:rPr>
                <w:rFonts w:hint="eastAsia" w:cs="Times New Roman"/>
                <w:color w:val="FF0000"/>
                <w:kern w:val="0"/>
                <w:sz w:val="21"/>
                <w:szCs w:val="21"/>
                <w:lang w:eastAsia="zh-CN"/>
              </w:rPr>
              <w:t>本项目位于昌吉市高新技术产业开发区锦绣路26号，</w:t>
            </w:r>
            <w:r>
              <w:rPr>
                <w:rFonts w:hint="eastAsia" w:cs="Times New Roman"/>
                <w:color w:val="FF0000"/>
                <w:kern w:val="0"/>
                <w:sz w:val="21"/>
                <w:szCs w:val="21"/>
                <w:lang w:val="en-US" w:eastAsia="zh-CN"/>
              </w:rPr>
              <w:t>该区域产业布局为新材料产业区，谋划布局硅基新材料、铝基新材料、碳基新材料等功能组团，配套电商组团、仓储组团。本项目为粉煤灰贮存项目，属于固废暂存综合利用项目，主要用于建材利用、工程填筑回填、高附加值提取、农业与生态修复，属于新型材料</w:t>
            </w:r>
            <w:r>
              <w:rPr>
                <w:rFonts w:hint="eastAsia" w:cs="Times New Roman"/>
                <w:color w:val="FF0000"/>
                <w:kern w:val="0"/>
                <w:sz w:val="21"/>
                <w:szCs w:val="21"/>
                <w:lang w:eastAsia="zh-CN"/>
              </w:rPr>
              <w:t>，与园区的产业发展规划相符，符合入园行业要求。本项目与昌吉高新技术产业开发区产业布局的位置关系</w:t>
            </w:r>
            <w:r>
              <w:rPr>
                <w:rFonts w:hint="eastAsia" w:cs="Times New Roman"/>
                <w:color w:val="FF0000"/>
                <w:kern w:val="0"/>
                <w:sz w:val="21"/>
                <w:szCs w:val="21"/>
                <w:lang w:val="en-US" w:eastAsia="zh-CN"/>
              </w:rPr>
              <w:t>详见附图2。</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cs="Times New Roman"/>
                <w:b/>
                <w:color w:val="000000" w:themeColor="text1"/>
                <w:kern w:val="0"/>
                <w:sz w:val="21"/>
                <w:szCs w:val="21"/>
                <w14:textFill>
                  <w14:solidFill>
                    <w14:schemeClr w14:val="tx1"/>
                  </w14:solidFill>
                </w14:textFill>
              </w:rPr>
            </w:pPr>
            <w:r>
              <w:rPr>
                <w:rFonts w:hint="default" w:ascii="Times New Roman" w:hAnsi="Times New Roman" w:cs="Times New Roman"/>
                <w:b/>
                <w:color w:val="000000" w:themeColor="text1"/>
                <w:kern w:val="0"/>
                <w:sz w:val="21"/>
                <w:szCs w:val="21"/>
                <w:lang w:val="en-US" w:eastAsia="zh-CN"/>
                <w14:textFill>
                  <w14:solidFill>
                    <w14:schemeClr w14:val="tx1"/>
                  </w14:solidFill>
                </w14:textFill>
              </w:rPr>
              <w:t>2</w:t>
            </w:r>
            <w:r>
              <w:rPr>
                <w:rFonts w:hint="default" w:ascii="宋体" w:cs="Times New Roman"/>
                <w:b/>
                <w:color w:val="000000" w:themeColor="text1"/>
                <w:kern w:val="0"/>
                <w:sz w:val="21"/>
                <w:szCs w:val="21"/>
                <w14:textFill>
                  <w14:solidFill>
                    <w14:schemeClr w14:val="tx1"/>
                  </w14:solidFill>
                </w14:textFill>
              </w:rPr>
              <w:t>与《昌吉高新技术产业开发区总体规划（</w:t>
            </w:r>
            <w:r>
              <w:rPr>
                <w:rFonts w:hint="default" w:ascii="Times New Roman" w:hAnsi="Times New Roman" w:cs="Times New Roman"/>
                <w:b/>
                <w:color w:val="000000" w:themeColor="text1"/>
                <w:kern w:val="0"/>
                <w:sz w:val="21"/>
                <w:szCs w:val="21"/>
                <w14:textFill>
                  <w14:solidFill>
                    <w14:schemeClr w14:val="tx1"/>
                  </w14:solidFill>
                </w14:textFill>
              </w:rPr>
              <w:t>2014-2030</w:t>
            </w:r>
            <w:r>
              <w:rPr>
                <w:rFonts w:hint="default" w:ascii="宋体" w:cs="Times New Roman"/>
                <w:b/>
                <w:color w:val="000000" w:themeColor="text1"/>
                <w:kern w:val="0"/>
                <w:sz w:val="21"/>
                <w:szCs w:val="21"/>
                <w14:textFill>
                  <w14:solidFill>
                    <w14:schemeClr w14:val="tx1"/>
                  </w14:solidFill>
                </w14:textFill>
              </w:rPr>
              <w:t>）环境影响报告书》及批复的符合性分析</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textAlignment w:val="auto"/>
              <w:rPr>
                <w:rFonts w:hint="default" w:cs="Times New Roman"/>
                <w:color w:val="000000" w:themeColor="text1"/>
                <w:kern w:val="0"/>
                <w:sz w:val="21"/>
                <w:szCs w:val="21"/>
                <w14:textFill>
                  <w14:solidFill>
                    <w14:schemeClr w14:val="tx1"/>
                  </w14:solidFill>
                </w14:textFill>
              </w:rPr>
            </w:pPr>
            <w:r>
              <w:rPr>
                <w:rFonts w:hint="default" w:ascii="宋体" w:cs="Times New Roman"/>
                <w:color w:val="000000" w:themeColor="text1"/>
                <w:kern w:val="0"/>
                <w:sz w:val="21"/>
                <w:szCs w:val="21"/>
                <w14:textFill>
                  <w14:solidFill>
                    <w14:schemeClr w14:val="tx1"/>
                  </w14:solidFill>
                </w14:textFill>
              </w:rPr>
              <w:t>根据《昌吉高新技术产业开发区总体规划（</w:t>
            </w:r>
            <w:r>
              <w:rPr>
                <w:rFonts w:hint="default" w:ascii="Times New Roman" w:hAnsi="Times New Roman" w:cs="Times New Roman"/>
                <w:color w:val="000000" w:themeColor="text1"/>
                <w:kern w:val="0"/>
                <w:sz w:val="21"/>
                <w:szCs w:val="21"/>
                <w14:textFill>
                  <w14:solidFill>
                    <w14:schemeClr w14:val="tx1"/>
                  </w14:solidFill>
                </w14:textFill>
              </w:rPr>
              <w:t>2014-2030</w:t>
            </w:r>
            <w:r>
              <w:rPr>
                <w:rFonts w:hint="default" w:ascii="宋体" w:cs="Times New Roman"/>
                <w:color w:val="000000" w:themeColor="text1"/>
                <w:kern w:val="0"/>
                <w:sz w:val="21"/>
                <w:szCs w:val="21"/>
                <w14:textFill>
                  <w14:solidFill>
                    <w14:schemeClr w14:val="tx1"/>
                  </w14:solidFill>
                </w14:textFill>
              </w:rPr>
              <w:t>）环境影响报告书》及批复的要求，禁止不符合国家经济政策、环保政策、技术政策及工业园区的产业定位的；废水含难降解的有机物、</w:t>
            </w:r>
            <w:r>
              <w:rPr>
                <w:rFonts w:hint="eastAsia" w:ascii="宋体" w:hAnsi="宋体" w:eastAsia="宋体" w:cs="宋体"/>
                <w:color w:val="000000" w:themeColor="text1"/>
                <w:kern w:val="0"/>
                <w:sz w:val="21"/>
                <w:szCs w:val="21"/>
                <w14:textFill>
                  <w14:solidFill>
                    <w14:schemeClr w14:val="tx1"/>
                  </w14:solidFill>
                </w14:textFill>
              </w:rPr>
              <w:t>“三致”污</w:t>
            </w:r>
            <w:r>
              <w:rPr>
                <w:rFonts w:hint="default" w:ascii="宋体" w:cs="Times New Roman"/>
                <w:color w:val="000000" w:themeColor="text1"/>
                <w:kern w:val="0"/>
                <w:sz w:val="21"/>
                <w:szCs w:val="21"/>
                <w14:textFill>
                  <w14:solidFill>
                    <w14:schemeClr w14:val="tx1"/>
                  </w14:solidFill>
                </w14:textFill>
              </w:rPr>
              <w:t>染物、重金属等物质含量高的项目；废水经预处理达不到昌吉高新技术产业开发区污水处理厂接纳标准的项目；污染严</w:t>
            </w:r>
            <w:r>
              <w:rPr>
                <w:rFonts w:hint="eastAsia" w:ascii="宋体" w:hAnsi="宋体" w:eastAsia="宋体" w:cs="宋体"/>
                <w:color w:val="000000" w:themeColor="text1"/>
                <w:kern w:val="0"/>
                <w:sz w:val="21"/>
                <w:szCs w:val="21"/>
                <w14:textFill>
                  <w14:solidFill>
                    <w14:schemeClr w14:val="tx1"/>
                  </w14:solidFill>
                </w14:textFill>
              </w:rPr>
              <w:t>重的“十五小”及“新五小”企业</w:t>
            </w:r>
            <w:r>
              <w:rPr>
                <w:rFonts w:hint="default" w:ascii="宋体" w:cs="Times New Roman"/>
                <w:color w:val="000000" w:themeColor="text1"/>
                <w:kern w:val="0"/>
                <w:sz w:val="21"/>
                <w:szCs w:val="21"/>
                <w14:textFill>
                  <w14:solidFill>
                    <w14:schemeClr w14:val="tx1"/>
                  </w14:solidFill>
                </w14:textFill>
              </w:rPr>
              <w:t>项目；污染难以治理或环保设施不稳定达标的项目入园。</w:t>
            </w:r>
          </w:p>
          <w:p>
            <w:pPr>
              <w:pStyle w:val="3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eastAsia="宋体" w:cs="Times New Roman"/>
                <w:color w:val="000000" w:themeColor="text1"/>
                <w:sz w:val="21"/>
                <w:szCs w:val="21"/>
                <w:lang w:val="en-US" w:eastAsia="zh-CN"/>
                <w14:textFill>
                  <w14:solidFill>
                    <w14:schemeClr w14:val="tx1"/>
                  </w14:solidFill>
                </w14:textFill>
              </w:rPr>
            </w:pPr>
            <w:r>
              <w:rPr>
                <w:rFonts w:hint="default" w:ascii="宋体" w:cs="Times New Roman"/>
                <w:color w:val="000000" w:themeColor="text1"/>
                <w:kern w:val="0"/>
                <w:sz w:val="21"/>
                <w:szCs w:val="21"/>
                <w14:textFill>
                  <w14:solidFill>
                    <w14:schemeClr w14:val="tx1"/>
                  </w14:solidFill>
                </w14:textFill>
              </w:rPr>
              <w:t>本项目产生的废气经处理后稳定达标排放，机械噪声采用隔声、减震等措施降噪达标排放，固体废物根据相关技术要求妥善处理。综上所述，项目投产后各污染物均能做到稳定达标排放，项目的建设符合《昌吉高新技术产业开发区总体规划（</w:t>
            </w:r>
            <w:r>
              <w:rPr>
                <w:rFonts w:hint="default" w:ascii="Times New Roman" w:hAnsi="Times New Roman" w:cs="Times New Roman"/>
                <w:color w:val="000000" w:themeColor="text1"/>
                <w:kern w:val="0"/>
                <w:sz w:val="21"/>
                <w:szCs w:val="21"/>
                <w14:textFill>
                  <w14:solidFill>
                    <w14:schemeClr w14:val="tx1"/>
                  </w14:solidFill>
                </w14:textFill>
              </w:rPr>
              <w:t>2014-2030</w:t>
            </w:r>
            <w:r>
              <w:rPr>
                <w:rFonts w:hint="default" w:ascii="宋体" w:cs="Times New Roman"/>
                <w:color w:val="000000" w:themeColor="text1"/>
                <w:kern w:val="0"/>
                <w:sz w:val="21"/>
                <w:szCs w:val="21"/>
                <w14:textFill>
                  <w14:solidFill>
                    <w14:schemeClr w14:val="tx1"/>
                  </w14:solidFill>
                </w14:textFill>
              </w:rPr>
              <w:t>）环境影响报告书》及批复的要求</w:t>
            </w:r>
            <w:r>
              <w:rPr>
                <w:rFonts w:hint="eastAsia" w:ascii="宋体" w:cs="Times New Roman"/>
                <w:color w:val="000000" w:themeColor="text1"/>
                <w:kern w:val="0"/>
                <w:sz w:val="21"/>
                <w:szCs w:val="21"/>
                <w:lang w:eastAsia="zh-CN"/>
                <w14:textFill>
                  <w14:solidFill>
                    <w14:schemeClr w14:val="tx1"/>
                  </w14:solidFill>
                </w14:textFill>
              </w:rPr>
              <w:t>，</w:t>
            </w:r>
            <w:r>
              <w:rPr>
                <w:rFonts w:hint="eastAsia" w:ascii="宋体" w:cs="Times New Roman"/>
                <w:color w:val="000000" w:themeColor="text1"/>
                <w:kern w:val="0"/>
                <w:sz w:val="21"/>
                <w:szCs w:val="21"/>
                <w:lang w:val="en-US" w:eastAsia="zh-CN"/>
                <w14:textFill>
                  <w14:solidFill>
                    <w14:schemeClr w14:val="tx1"/>
                  </w14:solidFill>
                </w14:textFill>
              </w:rPr>
              <w:t>本</w:t>
            </w:r>
            <w:r>
              <w:rPr>
                <w:rFonts w:hint="eastAsia" w:ascii="宋体" w:cs="Times New Roman"/>
                <w:color w:val="000000" w:themeColor="text1"/>
                <w:kern w:val="0"/>
                <w:sz w:val="21"/>
                <w:szCs w:val="21"/>
                <w:lang w:eastAsia="zh-CN"/>
                <w14:textFill>
                  <w14:solidFill>
                    <w14:schemeClr w14:val="tx1"/>
                  </w14:solidFill>
                </w14:textFill>
              </w:rPr>
              <w:t>项目属于园区鼓励引进项目类别</w:t>
            </w:r>
            <w:r>
              <w:rPr>
                <w:rFonts w:hint="default" w:ascii="宋体" w:cs="Times New Roman"/>
                <w:color w:val="000000" w:themeColor="text1"/>
                <w:kern w:val="0"/>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1721" w:type="dxa"/>
            <w:noWrap w:val="0"/>
            <w:vAlign w:val="center"/>
          </w:tcPr>
          <w:p>
            <w:pPr>
              <w:keepNext w:val="0"/>
              <w:keepLines w:val="0"/>
              <w:pageBreakBefore w:val="0"/>
              <w:suppressLineNumbers w:val="0"/>
              <w:kinsoku/>
              <w:wordWrap/>
              <w:autoSpaceDE w:val="0"/>
              <w:autoSpaceDN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p>
          <w:p>
            <w:pPr>
              <w:keepNext w:val="0"/>
              <w:keepLines w:val="0"/>
              <w:pageBreakBefore w:val="0"/>
              <w:suppressLineNumbers w:val="0"/>
              <w:kinsoku/>
              <w:wordWrap/>
              <w:autoSpaceDE w:val="0"/>
              <w:autoSpaceDN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p>
          <w:p>
            <w:pPr>
              <w:keepNext w:val="0"/>
              <w:keepLines w:val="0"/>
              <w:pageBreakBefore w:val="0"/>
              <w:suppressLineNumbers w:val="0"/>
              <w:kinsoku/>
              <w:wordWrap/>
              <w:autoSpaceDE w:val="0"/>
              <w:autoSpaceDN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p>
          <w:p>
            <w:pPr>
              <w:keepNext w:val="0"/>
              <w:keepLines w:val="0"/>
              <w:pageBreakBefore w:val="0"/>
              <w:suppressLineNumbers w:val="0"/>
              <w:kinsoku/>
              <w:wordWrap/>
              <w:autoSpaceDE w:val="0"/>
              <w:autoSpaceDN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p>
          <w:p>
            <w:pPr>
              <w:keepNext w:val="0"/>
              <w:keepLines w:val="0"/>
              <w:pageBreakBefore w:val="0"/>
              <w:suppressLineNumbers w:val="0"/>
              <w:kinsoku/>
              <w:wordWrap/>
              <w:autoSpaceDE w:val="0"/>
              <w:autoSpaceDN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p>
          <w:p>
            <w:pPr>
              <w:keepNext w:val="0"/>
              <w:keepLines w:val="0"/>
              <w:pageBreakBefore w:val="0"/>
              <w:suppressLineNumbers w:val="0"/>
              <w:kinsoku/>
              <w:wordWrap/>
              <w:autoSpaceDE w:val="0"/>
              <w:autoSpaceDN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p>
          <w:p>
            <w:pPr>
              <w:keepNext w:val="0"/>
              <w:keepLines w:val="0"/>
              <w:pageBreakBefore w:val="0"/>
              <w:suppressLineNumbers w:val="0"/>
              <w:kinsoku/>
              <w:wordWrap/>
              <w:autoSpaceDE w:val="0"/>
              <w:autoSpaceDN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p>
          <w:p>
            <w:pPr>
              <w:keepNext w:val="0"/>
              <w:keepLines w:val="0"/>
              <w:pageBreakBefore w:val="0"/>
              <w:suppressLineNumbers w:val="0"/>
              <w:kinsoku/>
              <w:wordWrap/>
              <w:autoSpaceDE w:val="0"/>
              <w:autoSpaceDN w:val="0"/>
              <w:bidi w:val="0"/>
              <w:adjustRightInd/>
              <w:snapToGrid/>
              <w:spacing w:before="0" w:beforeAutospacing="0" w:after="0" w:afterAutospacing="0" w:line="360" w:lineRule="auto"/>
              <w:ind w:left="0" w:leftChars="0" w:right="0" w:right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其他符合性分析</w:t>
            </w:r>
          </w:p>
        </w:tc>
        <w:tc>
          <w:tcPr>
            <w:tcW w:w="7149" w:type="dxa"/>
            <w:gridSpan w:val="3"/>
            <w:noWrap w:val="0"/>
            <w:vAlign w:val="center"/>
          </w:tcPr>
          <w:p>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outlineLvl w:val="9"/>
              <w:rPr>
                <w:rFonts w:hint="default"/>
                <w:b/>
                <w:bCs/>
                <w:color w:val="FF0000"/>
                <w:lang w:val="en-US" w:eastAsia="zh-CN"/>
              </w:rPr>
            </w:pPr>
            <w:r>
              <w:rPr>
                <w:rFonts w:hint="eastAsia"/>
                <w:b/>
                <w:bCs/>
                <w:color w:val="FF0000"/>
                <w:lang w:val="en-US" w:eastAsia="zh-CN"/>
              </w:rPr>
              <w:t>1</w:t>
            </w:r>
            <w:r>
              <w:rPr>
                <w:rFonts w:hint="default"/>
                <w:b/>
                <w:bCs/>
                <w:color w:val="FF0000"/>
                <w:lang w:val="en-US" w:eastAsia="zh-CN"/>
              </w:rPr>
              <w:t>产业政策符合性</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left"/>
              <w:textAlignment w:val="auto"/>
              <w:rPr>
                <w:rFonts w:hint="default"/>
                <w:color w:val="FF0000"/>
                <w:lang w:val="en-US" w:eastAsia="zh-CN"/>
              </w:rPr>
            </w:pPr>
            <w:r>
              <w:rPr>
                <w:rFonts w:hint="default"/>
                <w:color w:val="FF0000"/>
                <w:lang w:val="en-US" w:eastAsia="zh-CN"/>
              </w:rPr>
              <w:t>本项目</w:t>
            </w:r>
            <w:r>
              <w:rPr>
                <w:rFonts w:hint="eastAsia"/>
                <w:color w:val="FF0000"/>
                <w:lang w:val="en-US" w:eastAsia="zh-CN"/>
              </w:rPr>
              <w:t>为</w:t>
            </w:r>
            <w:r>
              <w:rPr>
                <w:rFonts w:hint="eastAsia" w:cs="Times New Roman"/>
                <w:color w:val="FF0000"/>
                <w:sz w:val="21"/>
                <w:szCs w:val="21"/>
                <w:lang w:val="en-US" w:eastAsia="zh-CN"/>
              </w:rPr>
              <w:t>粉煤灰贮存项目，</w:t>
            </w:r>
            <w:r>
              <w:rPr>
                <w:rFonts w:hint="default"/>
                <w:color w:val="FF0000"/>
                <w:lang w:val="en-US" w:eastAsia="zh-CN"/>
              </w:rPr>
              <w:t>根据国家发展和改革委员会发布的《产业结构调整指导目录（2024年本）》，本项目不属于鼓励类、淘汰类和限制类项目，根据国务院关于发布实施《促进产业结构调整暂行规定》的</w:t>
            </w:r>
            <w:r>
              <w:rPr>
                <w:rFonts w:hint="eastAsia" w:ascii="宋体" w:hAnsi="宋体" w:eastAsia="宋体" w:cs="宋体"/>
                <w:color w:val="FF0000"/>
                <w:lang w:val="en-US" w:eastAsia="zh-CN"/>
              </w:rPr>
              <w:t>决定第三章产业结构调整指导目录第十三条“不属于鼓励类、限制类和淘汰类，且符合国家有关法律法规和政策规定的，为允许类”，因此本项目符合国家的产业</w:t>
            </w:r>
            <w:r>
              <w:rPr>
                <w:rFonts w:hint="default"/>
                <w:color w:val="FF0000"/>
                <w:lang w:val="en-US" w:eastAsia="zh-CN"/>
              </w:rPr>
              <w:t>政策</w:t>
            </w:r>
            <w:r>
              <w:rPr>
                <w:rFonts w:hint="default"/>
                <w:color w:val="FF0000"/>
              </w:rPr>
              <w:t>。</w:t>
            </w:r>
          </w:p>
          <w:p>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outlineLvl w:val="9"/>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2与《关于印发&lt;新疆维吾尔自治区生态环境分区管控动态更新成果&gt;的通知》（新环环评发〔2024〕157号）</w:t>
            </w:r>
            <w:r>
              <w:rPr>
                <w:rFonts w:hint="eastAsia" w:ascii="宋体" w:hAnsi="宋体" w:eastAsia="宋体" w:cs="宋体"/>
                <w:b/>
                <w:bCs/>
                <w:color w:val="000000" w:themeColor="text1"/>
                <w:lang w:val="en-US" w:eastAsia="zh-CN"/>
                <w14:textFill>
                  <w14:solidFill>
                    <w14:schemeClr w14:val="tx1"/>
                  </w14:solidFill>
                </w14:textFill>
              </w:rPr>
              <w:t>符</w:t>
            </w:r>
            <w:r>
              <w:rPr>
                <w:rFonts w:hint="default"/>
                <w:b/>
                <w:bCs/>
                <w:color w:val="000000" w:themeColor="text1"/>
                <w:lang w:val="en-US" w:eastAsia="zh-CN"/>
                <w14:textFill>
                  <w14:solidFill>
                    <w14:schemeClr w14:val="tx1"/>
                  </w14:solidFill>
                </w14:textFill>
              </w:rPr>
              <w:t>合性</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default"/>
                <w:color w:val="000000" w:themeColor="text1"/>
                <w14:textFill>
                  <w14:solidFill>
                    <w14:schemeClr w14:val="tx1"/>
                  </w14:solidFill>
                </w14:textFill>
              </w:rPr>
              <w:t>为贯彻落实《中共中央国务院关于</w:t>
            </w:r>
            <w:r>
              <w:rPr>
                <w:rFonts w:hint="default" w:ascii="Times New Roman" w:hAnsi="Times New Roman" w:cs="Times New Roman"/>
                <w:color w:val="000000" w:themeColor="text1"/>
                <w14:textFill>
                  <w14:solidFill>
                    <w14:schemeClr w14:val="tx1"/>
                  </w14:solidFill>
                </w14:textFill>
              </w:rPr>
              <w:t>全面加强生态环境保护坚决打好污染防治攻坚战的意见》和《自治区党</w:t>
            </w:r>
            <w:r>
              <w:rPr>
                <w:rFonts w:hint="eastAsia" w:asciiTheme="minorEastAsia" w:hAnsiTheme="minorEastAsia" w:eastAsiaTheme="minorEastAsia" w:cstheme="minorEastAsia"/>
                <w:color w:val="000000" w:themeColor="text1"/>
                <w14:textFill>
                  <w14:solidFill>
                    <w14:schemeClr w14:val="tx1"/>
                  </w14:solidFill>
                </w14:textFill>
              </w:rPr>
              <w:t>委自治区人民政府关于全面加强生态环境保护坚决打好污染防治攻坚战实施方案》，按照生态环境部统一部署，自治区组织编制了“生态保护红线、环境质量底线、资源利用上线和生态环境准入清单”（以下简称“三线一单”），现就实施“三线一单”生态环境分区管控。</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default"/>
                <w:b/>
                <w:bCs/>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根据新疆维吾尔自治区生态环境厅《关于印发&lt;新疆</w:t>
            </w:r>
            <w:r>
              <w:rPr>
                <w:rFonts w:hint="default" w:ascii="Times New Roman" w:hAnsi="Times New Roman" w:cs="Times New Roman"/>
                <w:color w:val="000000" w:themeColor="text1"/>
                <w14:textFill>
                  <w14:solidFill>
                    <w14:schemeClr w14:val="tx1"/>
                  </w14:solidFill>
                </w14:textFill>
              </w:rPr>
              <w:t>维吾尔自治区生态环境分区管控动态更新成果&gt;的通知》（新环环评</w:t>
            </w:r>
            <w:r>
              <w:rPr>
                <w:rFonts w:hint="default"/>
                <w:color w:val="000000" w:themeColor="text1"/>
                <w14:textFill>
                  <w14:solidFill>
                    <w14:schemeClr w14:val="tx1"/>
                  </w14:solidFill>
                </w14:textFill>
              </w:rPr>
              <w:t>发〔2024〕157号）要求，项目与新环环评发〔2024〕157号文符合性分析详见表1-1。</w:t>
            </w:r>
          </w:p>
          <w:p>
            <w:pPr>
              <w:keepNext w:val="0"/>
              <w:keepLines w:val="0"/>
              <w:widowControl/>
              <w:suppressLineNumbers w:val="0"/>
              <w:autoSpaceDE w:val="0"/>
              <w:spacing w:before="0" w:beforeAutospacing="0" w:after="0" w:afterAutospacing="0"/>
              <w:ind w:left="0" w:right="0"/>
              <w:jc w:val="center"/>
              <w:rPr>
                <w:rFonts w:hint="default"/>
                <w:b/>
                <w:bCs/>
                <w:color w:val="000000" w:themeColor="text1"/>
                <w14:textFill>
                  <w14:solidFill>
                    <w14:schemeClr w14:val="tx1"/>
                  </w14:solidFill>
                </w14:textFill>
              </w:rPr>
            </w:pPr>
            <w:r>
              <w:rPr>
                <w:rFonts w:hint="default"/>
                <w:b/>
                <w:bCs/>
                <w:color w:val="000000" w:themeColor="text1"/>
                <w14:textFill>
                  <w14:solidFill>
                    <w14:schemeClr w14:val="tx1"/>
                  </w14:solidFill>
                </w14:textFill>
              </w:rPr>
              <w:t>表1</w:t>
            </w:r>
            <w:r>
              <w:rPr>
                <w:rFonts w:hint="eastAsia"/>
                <w:b/>
                <w:bCs/>
                <w:color w:val="000000" w:themeColor="text1"/>
                <w:lang w:val="en-US" w:eastAsia="zh-CN"/>
                <w14:textFill>
                  <w14:solidFill>
                    <w14:schemeClr w14:val="tx1"/>
                  </w14:solidFill>
                </w14:textFill>
              </w:rPr>
              <w:t>-1</w:t>
            </w:r>
            <w:r>
              <w:rPr>
                <w:rFonts w:hint="default"/>
                <w:b/>
                <w:bCs/>
                <w:color w:val="000000" w:themeColor="text1"/>
                <w14:textFill>
                  <w14:solidFill>
                    <w14:schemeClr w14:val="tx1"/>
                  </w14:solidFill>
                </w14:textFill>
              </w:rPr>
              <w:t xml:space="preserve">  项目与自治区生态环境分区管控要求符合性分析</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605"/>
              <w:gridCol w:w="3549"/>
              <w:gridCol w:w="1908"/>
              <w:gridCol w:w="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7" w:hRule="atLeast"/>
                <w:jc w:val="center"/>
              </w:trPr>
              <w:tc>
                <w:tcPr>
                  <w:tcW w:w="4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center"/>
                    <w:rPr>
                      <w:rFonts w:hint="eastAsia" w:ascii="Times New Roman" w:hAnsi="Times New Roman" w:eastAsia="宋体" w:cs="Times New Roman"/>
                      <w:b/>
                      <w:bCs/>
                      <w:color w:val="000000" w:themeColor="text1"/>
                      <w:kern w:val="2"/>
                      <w:sz w:val="21"/>
                      <w:szCs w:val="21"/>
                      <w:lang w:val="en-US" w:eastAsia="zh-CN"/>
                      <w14:textFill>
                        <w14:solidFill>
                          <w14:schemeClr w14:val="tx1"/>
                        </w14:solidFill>
                      </w14:textFill>
                    </w:rPr>
                  </w:pPr>
                  <w:r>
                    <w:rPr>
                      <w:rFonts w:hint="eastAsia" w:cs="Times New Roman"/>
                      <w:b/>
                      <w:bCs/>
                      <w:color w:val="000000" w:themeColor="text1"/>
                      <w:kern w:val="2"/>
                      <w:sz w:val="21"/>
                      <w:szCs w:val="21"/>
                      <w:lang w:val="en-US" w:eastAsia="zh-CN"/>
                      <w14:textFill>
                        <w14:solidFill>
                          <w14:schemeClr w14:val="tx1"/>
                        </w14:solidFill>
                      </w14:textFill>
                    </w:rPr>
                    <w:t>序号</w:t>
                  </w:r>
                </w:p>
              </w:tc>
              <w:tc>
                <w:tcPr>
                  <w:tcW w:w="25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center"/>
                    <w:rPr>
                      <w:rFonts w:hint="eastAsia" w:ascii="宋体" w:hAnsi="宋体" w:eastAsia="宋体" w:cs="宋体"/>
                      <w:b/>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分区管控要求</w:t>
                  </w:r>
                </w:p>
              </w:tc>
              <w:tc>
                <w:tcPr>
                  <w:tcW w:w="137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项目情况</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58" w:hRule="atLeast"/>
                <w:jc w:val="center"/>
              </w:trPr>
              <w:tc>
                <w:tcPr>
                  <w:tcW w:w="4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Lines="0" w:beforeAutospacing="0" w:after="0" w:afterLines="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1</w:t>
                  </w:r>
                </w:p>
              </w:tc>
              <w:tc>
                <w:tcPr>
                  <w:tcW w:w="25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Lines="0" w:beforeAutospacing="0" w:after="0" w:afterLines="0" w:afterAutospacing="0"/>
                    <w:ind w:left="0" w:leftChars="0" w:right="0" w:rightChars="0"/>
                    <w:jc w:val="both"/>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生态保护红线。按照“生态功能不降低、面积不减少、性质不改变”的基本要求，对划定的生态保护红线实施严格管控，保障和维护国家生态安全的底线和生命线。</w:t>
                  </w:r>
                </w:p>
              </w:tc>
              <w:tc>
                <w:tcPr>
                  <w:tcW w:w="137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项目区周边无生态保护目标，不会造成生态功能降低、面积减少、性质改变，不触及自治区生态保护红线，符合自治区生态保护红线要求。</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774" w:hRule="atLeast"/>
                <w:jc w:val="center"/>
              </w:trPr>
              <w:tc>
                <w:tcPr>
                  <w:tcW w:w="4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Lines="0" w:beforeAutospacing="0" w:after="0" w:afterLines="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2</w:t>
                  </w:r>
                </w:p>
              </w:tc>
              <w:tc>
                <w:tcPr>
                  <w:tcW w:w="25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Lines="0" w:beforeAutospacing="0" w:after="0" w:afterLines="0" w:afterAutospacing="0"/>
                    <w:ind w:left="0" w:leftChars="0" w:right="0" w:rightChars="0"/>
                    <w:jc w:val="both"/>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环境质量底线。全区水环境质量持续改善</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受污染地表水体得到有效治理</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饮用水安全保障水平持续提升</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地下水超采得到严格控制</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地下水水质保持稳定；全区环境空气质量有所提升，重污染天数持续减少</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已达标城市环境空气质量保持稳定</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未达标城市环境空气质量持续改善</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沙尘影响严重地区做好防风固沙、生态环境保护修复等工作；全区土壤环境质量保持稳定</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污染地块安全利用水平稳中有升</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土壤环境风险得到进一步管控。</w:t>
                  </w:r>
                </w:p>
              </w:tc>
              <w:tc>
                <w:tcPr>
                  <w:tcW w:w="137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本项目周边无地表水环境，不进行地下水开采，生产过程中产生的污染物在经过相应措施治理后，均能达标排放，符合自治区环境质量底线要求。</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43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Lines="0" w:beforeAutospacing="0" w:after="0" w:afterLines="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3</w:t>
                  </w:r>
                </w:p>
              </w:tc>
              <w:tc>
                <w:tcPr>
                  <w:tcW w:w="256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Lines="0" w:beforeAutospacing="0" w:after="0" w:afterLines="0" w:afterAutospacing="0"/>
                    <w:ind w:left="0" w:leftChars="0" w:right="0" w:rightChars="0"/>
                    <w:jc w:val="both"/>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资源利用上线。强化节约集约利用</w:t>
                  </w:r>
                  <w:r>
                    <w:rPr>
                      <w:rFonts w:hint="eastAsia" w:cs="Times New Roman"/>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持续提升资源能源利用效率</w:t>
                  </w:r>
                  <w:r>
                    <w:rPr>
                      <w:rFonts w:hint="eastAsia" w:cs="Times New Roman"/>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水资源、土地资源、能源消耗等达到国家、自治区下达的总量和强度控制目标。加快区域低碳发展，积极推动乌鲁木齐市、昌吉市﹑伊宁市、和田市等</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w:t>
                  </w:r>
                  <w:r>
                    <w:rPr>
                      <w:rFonts w:hint="eastAsia" w:ascii="宋体" w:hAnsi="宋体" w:eastAsia="宋体" w:cs="宋体"/>
                      <w:color w:val="000000" w:themeColor="text1"/>
                      <w:kern w:val="2"/>
                      <w:sz w:val="21"/>
                      <w:szCs w:val="21"/>
                      <w:lang w:val="en-US" w:eastAsia="zh-CN" w:bidi="ar"/>
                      <w14:textFill>
                        <w14:solidFill>
                          <w14:schemeClr w14:val="tx1"/>
                        </w14:solidFill>
                      </w14:textFill>
                    </w:rPr>
                    <w:t>个国家级低碳试点城市发挥低碳试点示范和引领作用。</w:t>
                  </w:r>
                </w:p>
              </w:tc>
              <w:tc>
                <w:tcPr>
                  <w:tcW w:w="137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项目本身水、电资源使用量较少，不会突破自治区的资源利用上限。</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overflowPunct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bl>
          <w:p>
            <w:pPr>
              <w:pStyle w:val="20"/>
              <w:keepNext w:val="0"/>
              <w:keepLines w:val="0"/>
              <w:pageBreakBefore/>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jc w:val="both"/>
              <w:textAlignment w:val="cente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3与《新疆维吾尔自治区七大</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片区“三线一单”生态环</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境分区管控要求》（新环环评发〔2021〕162号）符合性</w:t>
            </w:r>
          </w:p>
          <w:p>
            <w:pPr>
              <w:pStyle w:val="20"/>
              <w:keepNext w:val="0"/>
              <w:keepLines w:val="0"/>
              <w:pageBreakBefore/>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firstLine="420" w:firstLineChars="200"/>
              <w:jc w:val="both"/>
              <w:textAlignment w:val="center"/>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根据关于印发《新疆维吾尔自治区七大片区“三线一单”生态环境分区管控要求》（</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2021</w:t>
            </w:r>
            <w:r>
              <w:rPr>
                <w:rFonts w:hint="eastAsia" w:ascii="宋体" w:hAnsi="宋体" w:eastAsia="宋体" w:cs="宋体"/>
                <w:color w:val="000000" w:themeColor="text1"/>
                <w:kern w:val="2"/>
                <w:sz w:val="21"/>
                <w:szCs w:val="21"/>
                <w:lang w:val="en-US" w:eastAsia="zh-CN" w:bidi="ar"/>
                <w14:textFill>
                  <w14:solidFill>
                    <w14:schemeClr w14:val="tx1"/>
                  </w14:solidFill>
                </w14:textFill>
              </w:rPr>
              <w:t>年版）的通知（新环环评发〔</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2021</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162</w:t>
            </w:r>
            <w:r>
              <w:rPr>
                <w:rFonts w:hint="eastAsia" w:ascii="宋体" w:hAnsi="宋体" w:eastAsia="宋体" w:cs="宋体"/>
                <w:color w:val="000000" w:themeColor="text1"/>
                <w:kern w:val="2"/>
                <w:sz w:val="21"/>
                <w:szCs w:val="21"/>
                <w:lang w:val="en-US" w:eastAsia="zh-CN" w:bidi="ar"/>
                <w14:textFill>
                  <w14:solidFill>
                    <w14:schemeClr w14:val="tx1"/>
                  </w14:solidFill>
                </w14:textFill>
              </w:rPr>
              <w:t>号），本项目位于“乌一昌一石”区域，具体管控要求见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表1-2</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0"/>
              <w:keepNext w:val="0"/>
              <w:keepLines w:val="0"/>
              <w:pageBreakBefore/>
              <w:widowControl w:val="0"/>
              <w:suppressLineNumbers w:val="0"/>
              <w:kinsoku/>
              <w:wordWrap/>
              <w:overflowPunct/>
              <w:topLinePunct w:val="0"/>
              <w:autoSpaceDE w:val="0"/>
              <w:autoSpaceDN/>
              <w:bidi w:val="0"/>
              <w:adjustRightInd w:val="0"/>
              <w:snapToGrid w:val="0"/>
              <w:spacing w:before="0" w:beforeAutospacing="0" w:after="0" w:afterAutospacing="0" w:line="240" w:lineRule="atLeast"/>
              <w:ind w:left="0" w:leftChars="0" w:right="0" w:firstLine="0" w:firstLineChars="0"/>
              <w:jc w:val="center"/>
              <w:textAlignment w:val="center"/>
              <w:rPr>
                <w:rFonts w:hint="eastAsia"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1-2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七大片区“三线一单”生态环境分区管控要求符合性分析</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17"/>
              <w:gridCol w:w="3251"/>
              <w:gridCol w:w="1497"/>
              <w:gridCol w:w="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517" w:type="dxa"/>
                  <w:shd w:val="clear" w:color="auto" w:fill="auto"/>
                  <w:vAlign w:val="center"/>
                </w:tcPr>
                <w:p>
                  <w:pPr>
                    <w:pStyle w:val="20"/>
                    <w:keepNext w:val="0"/>
                    <w:keepLines w:val="0"/>
                    <w:widowControl/>
                    <w:suppressLineNumbers w:val="0"/>
                    <w:adjustRightInd w:val="0"/>
                    <w:snapToGrid w:val="0"/>
                    <w:spacing w:before="0" w:beforeLines="0" w:beforeAutospacing="0" w:after="0" w:afterLines="0" w:afterAutospacing="0" w:line="252" w:lineRule="auto"/>
                    <w:ind w:left="-105" w:leftChars="-50" w:right="-105" w:rightChars="-5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文件名称</w:t>
                  </w:r>
                </w:p>
              </w:tc>
              <w:tc>
                <w:tcPr>
                  <w:tcW w:w="3251" w:type="dxa"/>
                  <w:shd w:val="clear" w:color="auto" w:fill="auto"/>
                  <w:vAlign w:val="center"/>
                </w:tcPr>
                <w:p>
                  <w:pPr>
                    <w:pStyle w:val="20"/>
                    <w:keepNext w:val="0"/>
                    <w:keepLines w:val="0"/>
                    <w:widowControl/>
                    <w:suppressLineNumbers w:val="0"/>
                    <w:adjustRightInd w:val="0"/>
                    <w:snapToGrid w:val="0"/>
                    <w:spacing w:before="0" w:beforeLines="0" w:beforeAutospacing="0" w:after="0" w:afterLines="0" w:afterAutospacing="0" w:line="252" w:lineRule="auto"/>
                    <w:ind w:left="-105" w:leftChars="-50" w:right="-105" w:rightChars="-5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环境管理政策有关要求</w:t>
                  </w:r>
                </w:p>
              </w:tc>
              <w:tc>
                <w:tcPr>
                  <w:tcW w:w="1497" w:type="dxa"/>
                  <w:shd w:val="clear" w:color="auto" w:fill="auto"/>
                  <w:vAlign w:val="center"/>
                </w:tcPr>
                <w:p>
                  <w:pPr>
                    <w:pStyle w:val="20"/>
                    <w:keepNext w:val="0"/>
                    <w:keepLines w:val="0"/>
                    <w:widowControl/>
                    <w:suppressLineNumbers w:val="0"/>
                    <w:adjustRightInd w:val="0"/>
                    <w:snapToGrid w:val="0"/>
                    <w:spacing w:before="0" w:beforeLines="0" w:beforeAutospacing="0" w:after="0" w:afterLines="0" w:afterAutospacing="0" w:line="252" w:lineRule="auto"/>
                    <w:ind w:left="-105" w:leftChars="-50" w:right="-105" w:rightChars="-5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本项目情况</w:t>
                  </w:r>
                </w:p>
              </w:tc>
              <w:tc>
                <w:tcPr>
                  <w:tcW w:w="658" w:type="dxa"/>
                  <w:shd w:val="clear" w:color="auto" w:fill="auto"/>
                  <w:vAlign w:val="center"/>
                </w:tcPr>
                <w:p>
                  <w:pPr>
                    <w:pStyle w:val="20"/>
                    <w:keepNext w:val="0"/>
                    <w:keepLines w:val="0"/>
                    <w:widowControl/>
                    <w:suppressLineNumbers w:val="0"/>
                    <w:adjustRightInd w:val="0"/>
                    <w:snapToGrid w:val="0"/>
                    <w:spacing w:before="0" w:beforeLines="0" w:beforeAutospacing="0" w:after="0" w:afterLines="0" w:afterAutospacing="0" w:line="252" w:lineRule="auto"/>
                    <w:ind w:left="-105" w:leftChars="-50" w:right="-105" w:rightChars="-5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7" w:type="dxa"/>
                  <w:shd w:val="clear" w:color="auto" w:fill="auto"/>
                  <w:vAlign w:val="center"/>
                </w:tcPr>
                <w:p>
                  <w:pPr>
                    <w:pStyle w:val="20"/>
                    <w:keepNext w:val="0"/>
                    <w:keepLines w:val="0"/>
                    <w:pageBreakBefore/>
                    <w:widowControl w:val="0"/>
                    <w:suppressLineNumbers w:val="0"/>
                    <w:kinsoku/>
                    <w:wordWrap/>
                    <w:overflowPunct/>
                    <w:topLinePunct w:val="0"/>
                    <w:autoSpaceDE w:val="0"/>
                    <w:autoSpaceDN w:val="0"/>
                    <w:bidi w:val="0"/>
                    <w:adjustRightInd/>
                    <w:snapToGrid/>
                    <w:spacing w:before="0" w:beforeLines="0" w:beforeAutospacing="0" w:after="0" w:afterLines="0" w:afterAutospacing="0" w:line="240" w:lineRule="auto"/>
                    <w:ind w:left="0" w:leftChars="0" w:right="0" w:rightChars="0"/>
                    <w:jc w:val="center"/>
                    <w:textAlignment w:val="center"/>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《新疆维吾尔自治</w:t>
                  </w:r>
                  <w:r>
                    <w:rPr>
                      <w:rFonts w:hint="eastAsia" w:asciiTheme="minorEastAsia" w:hAnsiTheme="minorEastAsia" w:eastAsiaTheme="minorEastAsia" w:cstheme="minorEastAsia"/>
                      <w:color w:val="000000" w:themeColor="text1"/>
                      <w:kern w:val="2"/>
                      <w:sz w:val="21"/>
                      <w:szCs w:val="21"/>
                      <w:lang w:val="en-US" w:eastAsia="zh-CN" w:bidi="ar"/>
                      <w14:textFill>
                        <w14:solidFill>
                          <w14:schemeClr w14:val="tx1"/>
                        </w14:solidFill>
                      </w14:textFill>
                    </w:rPr>
                    <w:t>区七大片区“三线一单”生</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态环境分区管控要求》（2021年版）的通知（新环环评发〔2021〕162号</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3251" w:type="dxa"/>
                  <w:shd w:val="clear" w:color="auto" w:fill="auto"/>
                  <w:vAlign w:val="center"/>
                </w:tcPr>
                <w:p>
                  <w:pPr>
                    <w:pStyle w:val="20"/>
                    <w:keepNext w:val="0"/>
                    <w:keepLines w:val="0"/>
                    <w:widowControl w:val="0"/>
                    <w:suppressLineNumbers w:val="0"/>
                    <w:kinsoku/>
                    <w:wordWrap/>
                    <w:overflowPunct/>
                    <w:topLinePunct w:val="0"/>
                    <w:autoSpaceDE w:val="0"/>
                    <w:autoSpaceDN w:val="0"/>
                    <w:bidi w:val="0"/>
                    <w:adjustRightInd w:val="0"/>
                    <w:snapToGrid w:val="0"/>
                    <w:spacing w:before="0" w:beforeLines="0" w:beforeAutospacing="0" w:after="0" w:afterLines="0" w:afterAutospacing="0" w:line="240" w:lineRule="auto"/>
                    <w:ind w:left="0" w:leftChars="0" w:right="0" w:rightChars="0"/>
                    <w:jc w:val="both"/>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乌昌石片区包括乌鲁木齐市、昌吉回族自治州和沙湾市。除国家规划项目外，乌鲁木齐市七区一县、昌吉市、阜康市、玛纳斯县、呼图壁县、沙湾市建成区及周边敏感区域内不再布局建设煤化工、电解铝、燃煤纯发电机组、金属硅、碳化硅、聚氯乙烯（电石法）、焦炭（含半焦）等新增产能项目。具备风光电清洁供暖建设条件的区域原则上不新批热电联产项目。坚持属地负责与区域大气污染联防联控相结合，以明显降低细颗粒物浓度为重点，协同推进“乌-昌-石”同防同治区域大气环境治理。强化与生产建设兵团第六师、第八师、第十一师、第十二师的同防同治，所有新建、改建、扩建工业项目执行最严格的大气污染物排放标准，强化氮氧化物深度治理，确保区域环境空气质量持续改善。</w:t>
                  </w:r>
                </w:p>
                <w:p>
                  <w:pPr>
                    <w:keepNext w:val="0"/>
                    <w:keepLines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leftChars="0" w:right="0" w:rightChars="0"/>
                    <w:jc w:val="both"/>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强化挥发性有机物污染防治措施。推广使用低挥发性有机物原辅料，推动有条件的园区（工业集聚区）建设集中喷涂工程中心，配备高效治污设施，替代企业独立喷涂工序。</w:t>
                  </w:r>
                </w:p>
                <w:p>
                  <w:pPr>
                    <w:keepNext w:val="0"/>
                    <w:keepLines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leftChars="0" w:right="0" w:rightChars="0"/>
                    <w:jc w:val="both"/>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强化企业清洁生产改造，推进节水型企业、节水型工业园区建设，提高资源集约节约利用水平。积极推进地下水超采治理，逐步压减地下水超采量，实现地下水采补平衡。强化油（气）资源开发区土壤环境污染综合整治。加强涉重金属行业污染防控与工业废物处理处置。</w:t>
                  </w:r>
                </w:p>
                <w:p>
                  <w:pPr>
                    <w:keepNext w:val="0"/>
                    <w:keepLines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leftChars="0" w:right="0" w:rightChars="0"/>
                    <w:jc w:val="both"/>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煤炭、石油、天然气开发单位应当制定生态保护和恢复治理方案，并予以实施。生态保护和恢复治理方案内容应当向社会公布，接受社会监督。</w:t>
                  </w:r>
                </w:p>
              </w:tc>
              <w:tc>
                <w:tcPr>
                  <w:tcW w:w="1497" w:type="dxa"/>
                  <w:shd w:val="clear" w:color="auto" w:fill="auto"/>
                  <w:vAlign w:val="center"/>
                </w:tcPr>
                <w:p>
                  <w:pPr>
                    <w:pStyle w:val="20"/>
                    <w:keepNext w:val="0"/>
                    <w:keepLines w:val="0"/>
                    <w:pageBreakBefore/>
                    <w:widowControl w:val="0"/>
                    <w:suppressLineNumbers w:val="0"/>
                    <w:kinsoku/>
                    <w:wordWrap/>
                    <w:overflowPunct/>
                    <w:topLinePunct w:val="0"/>
                    <w:autoSpaceDE w:val="0"/>
                    <w:autoSpaceDN w:val="0"/>
                    <w:bidi w:val="0"/>
                    <w:adjustRightInd w:val="0"/>
                    <w:snapToGrid w:val="0"/>
                    <w:spacing w:before="0" w:beforeLines="0" w:beforeAutospacing="0" w:after="0" w:afterLines="0" w:afterAutospacing="0" w:line="240" w:lineRule="auto"/>
                    <w:ind w:left="0" w:leftChars="0" w:right="0" w:rightChars="0"/>
                    <w:jc w:val="both"/>
                    <w:textAlignment w:val="center"/>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本项目位于昌吉高新技术开发区锦绣路</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26号。不属于煤化工、电解铝、燃煤纯</w:t>
                  </w:r>
                  <w:r>
                    <w:rPr>
                      <w:rFonts w:hint="eastAsia" w:ascii="宋体" w:hAnsi="宋体" w:eastAsia="宋体" w:cs="宋体"/>
                      <w:color w:val="000000" w:themeColor="text1"/>
                      <w:kern w:val="2"/>
                      <w:sz w:val="21"/>
                      <w:szCs w:val="21"/>
                      <w:lang w:val="en-US" w:eastAsia="zh-CN" w:bidi="ar"/>
                      <w14:textFill>
                        <w14:solidFill>
                          <w14:schemeClr w14:val="tx1"/>
                        </w14:solidFill>
                      </w14:textFill>
                    </w:rPr>
                    <w:t>发电机组、金属硅、碳化硅、聚氯乙烯（电石法）、焦炭（含半焦）等新增产能项目；不涉及油气勘探开发。</w:t>
                  </w:r>
                </w:p>
              </w:tc>
              <w:tc>
                <w:tcPr>
                  <w:tcW w:w="658" w:type="dxa"/>
                  <w:shd w:val="clear" w:color="auto" w:fill="auto"/>
                  <w:vAlign w:val="center"/>
                </w:tcPr>
                <w:p>
                  <w:pPr>
                    <w:pStyle w:val="20"/>
                    <w:keepNext w:val="0"/>
                    <w:keepLines w:val="0"/>
                    <w:widowControl w:val="0"/>
                    <w:suppressLineNumbers w:val="0"/>
                    <w:autoSpaceDE w:val="0"/>
                    <w:autoSpaceDN w:val="0"/>
                    <w:spacing w:before="0" w:beforeLines="0" w:beforeAutospacing="0" w:after="0" w:afterLines="0" w:afterAutospacing="0" w:line="240" w:lineRule="exact"/>
                    <w:ind w:left="-105" w:leftChars="-50" w:right="-105" w:rightChars="-50"/>
                    <w:jc w:val="center"/>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bl>
          <w:p>
            <w:pPr>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Lines="0" w:afterAutospacing="0" w:line="360" w:lineRule="auto"/>
              <w:ind w:left="0" w:right="0"/>
              <w:textAlignment w:val="auto"/>
              <w:rPr>
                <w:rFonts w:hint="default" w:ascii="Times New Roman" w:hAnsi="Times New Roman" w:cs="Times New Roman"/>
                <w:b/>
                <w:bCs/>
                <w:color w:val="000000" w:themeColor="text1"/>
                <w:sz w:val="21"/>
                <w:szCs w:val="24"/>
                <w:lang w:val="en-US" w:eastAsia="zh-CN"/>
                <w14:textFill>
                  <w14:solidFill>
                    <w14:schemeClr w14:val="tx1"/>
                  </w14:solidFill>
                </w14:textFill>
              </w:rPr>
            </w:pPr>
            <w:r>
              <w:rPr>
                <w:rFonts w:hint="default" w:ascii="Times New Roman" w:hAnsi="Times New Roman" w:cs="Times New Roman"/>
                <w:b/>
                <w:bCs/>
                <w:color w:val="000000" w:themeColor="text1"/>
                <w:sz w:val="21"/>
                <w:szCs w:val="24"/>
                <w:lang w:val="en-US" w:eastAsia="zh-CN"/>
                <w14:textFill>
                  <w14:solidFill>
                    <w14:schemeClr w14:val="tx1"/>
                  </w14:solidFill>
                </w14:textFill>
              </w:rPr>
              <w:t>4与</w:t>
            </w:r>
            <w:r>
              <w:rPr>
                <w:rFonts w:hint="eastAsia" w:ascii="宋体" w:hAnsi="宋体" w:eastAsia="宋体" w:cs="宋体"/>
                <w:b/>
                <w:bCs/>
                <w:color w:val="000000" w:themeColor="text1"/>
                <w:sz w:val="21"/>
                <w:szCs w:val="24"/>
                <w:lang w:val="en-US" w:eastAsia="zh-CN"/>
                <w14:textFill>
                  <w14:solidFill>
                    <w14:schemeClr w14:val="tx1"/>
                  </w14:solidFill>
                </w14:textFill>
              </w:rPr>
              <w:t>《昌吉回族自治州“三线一单”生态环境分区管控</w:t>
            </w:r>
            <w:r>
              <w:rPr>
                <w:rFonts w:hint="default" w:ascii="Times New Roman" w:hAnsi="Times New Roman" w:cs="Times New Roman"/>
                <w:b/>
                <w:bCs/>
                <w:color w:val="000000" w:themeColor="text1"/>
                <w:sz w:val="21"/>
                <w:szCs w:val="24"/>
                <w:lang w:val="en-US" w:eastAsia="zh-CN"/>
                <w14:textFill>
                  <w14:solidFill>
                    <w14:schemeClr w14:val="tx1"/>
                  </w14:solidFill>
                </w14:textFill>
              </w:rPr>
              <w:t>成果动态更新情况说明》的符合性</w:t>
            </w:r>
          </w:p>
          <w:p>
            <w:pPr>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Lines="0" w:afterAutospacing="0" w:line="360" w:lineRule="auto"/>
              <w:ind w:left="0" w:right="0" w:firstLine="420" w:firstLineChars="200"/>
              <w:textAlignment w:val="auto"/>
              <w:rPr>
                <w:rFonts w:hint="default" w:ascii="Times New Roman" w:hAnsi="Times New Roman" w:cs="Times New Roman"/>
                <w:color w:val="000000" w:themeColor="text1"/>
                <w:sz w:val="21"/>
                <w:szCs w:val="24"/>
                <w:lang w:val="en-US" w:eastAsia="zh-CN"/>
                <w14:textFill>
                  <w14:solidFill>
                    <w14:schemeClr w14:val="tx1"/>
                  </w14:solidFill>
                </w14:textFill>
              </w:rPr>
            </w:pPr>
            <w:r>
              <w:rPr>
                <w:rFonts w:hint="default" w:ascii="Times New Roman" w:hAnsi="Times New Roman" w:cs="Times New Roman"/>
                <w:color w:val="000000" w:themeColor="text1"/>
                <w:sz w:val="21"/>
                <w:szCs w:val="24"/>
                <w:lang w:val="en-US" w:eastAsia="zh-CN"/>
                <w14:textFill>
                  <w14:solidFill>
                    <w14:schemeClr w14:val="tx1"/>
                  </w14:solidFill>
                </w14:textFill>
              </w:rPr>
              <w:t>按照《生态环境部2023年生态环境分区管控成果动态更新工作方案》以及《自治区生态环境厅</w:t>
            </w:r>
            <w:r>
              <w:rPr>
                <w:rFonts w:hint="default" w:ascii="Times New Roman" w:hAnsi="Times New Roman" w:eastAsia="宋体" w:cs="Times New Roman"/>
                <w:color w:val="000000" w:themeColor="text1"/>
                <w:sz w:val="21"/>
                <w:szCs w:val="24"/>
                <w:lang w:val="en-US" w:eastAsia="zh-CN"/>
                <w14:textFill>
                  <w14:solidFill>
                    <w14:schemeClr w14:val="tx1"/>
                  </w14:solidFill>
                </w14:textFill>
              </w:rPr>
              <w:t>2023年自</w:t>
            </w:r>
            <w:r>
              <w:rPr>
                <w:rFonts w:hint="eastAsia" w:ascii="宋体" w:hAnsi="宋体" w:eastAsia="宋体" w:cs="宋体"/>
                <w:color w:val="000000" w:themeColor="text1"/>
                <w:sz w:val="21"/>
                <w:szCs w:val="24"/>
                <w:lang w:val="en-US" w:eastAsia="zh-CN"/>
                <w14:textFill>
                  <w14:solidFill>
                    <w14:schemeClr w14:val="tx1"/>
                  </w14:solidFill>
                </w14:textFill>
              </w:rPr>
              <w:t>治区“三线一单”生态环境分区管</w:t>
            </w:r>
            <w:r>
              <w:rPr>
                <w:rFonts w:hint="default" w:ascii="Times New Roman" w:hAnsi="Times New Roman" w:cs="Times New Roman"/>
                <w:color w:val="000000" w:themeColor="text1"/>
                <w:sz w:val="21"/>
                <w:szCs w:val="24"/>
                <w:lang w:val="en-US" w:eastAsia="zh-CN"/>
                <w14:textFill>
                  <w14:solidFill>
                    <w14:schemeClr w14:val="tx1"/>
                  </w14:solidFill>
                </w14:textFill>
              </w:rPr>
              <w:t>控成果动态更新工作方案》等文件要求，昌吉州于2023年开展</w:t>
            </w:r>
            <w:r>
              <w:rPr>
                <w:rFonts w:hint="eastAsia" w:ascii="宋体" w:hAnsi="宋体" w:eastAsia="宋体" w:cs="宋体"/>
                <w:color w:val="000000" w:themeColor="text1"/>
                <w:sz w:val="21"/>
                <w:szCs w:val="24"/>
                <w:lang w:val="en-US" w:eastAsia="zh-CN"/>
                <w14:textFill>
                  <w14:solidFill>
                    <w14:schemeClr w14:val="tx1"/>
                  </w14:solidFill>
                </w14:textFill>
              </w:rPr>
              <w:t>州级“三线一单”生态</w:t>
            </w:r>
            <w:r>
              <w:rPr>
                <w:rFonts w:hint="default" w:ascii="Times New Roman" w:hAnsi="Times New Roman" w:cs="Times New Roman"/>
                <w:color w:val="000000" w:themeColor="text1"/>
                <w:sz w:val="21"/>
                <w:szCs w:val="24"/>
                <w:lang w:val="en-US" w:eastAsia="zh-CN"/>
                <w14:textFill>
                  <w14:solidFill>
                    <w14:schemeClr w14:val="tx1"/>
                  </w14:solidFill>
                </w14:textFill>
              </w:rPr>
              <w:t>环境分区管控成果动态更新工作。</w:t>
            </w:r>
          </w:p>
          <w:p>
            <w:pPr>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Lines="0" w:afterAutospacing="0" w:line="360" w:lineRule="auto"/>
              <w:ind w:left="0" w:right="0" w:firstLine="420" w:firstLineChars="200"/>
              <w:textAlignment w:val="auto"/>
              <w:rPr>
                <w:rFonts w:hint="eastAsia" w:ascii="宋体" w:cs="Times New Roman"/>
                <w:color w:val="000000" w:themeColor="text1"/>
                <w:sz w:val="21"/>
                <w:szCs w:val="24"/>
                <w:lang w:val="en-US" w:eastAsia="zh-CN"/>
                <w14:textFill>
                  <w14:solidFill>
                    <w14:schemeClr w14:val="tx1"/>
                  </w14:solidFill>
                </w14:textFill>
              </w:rPr>
            </w:pPr>
            <w:r>
              <w:rPr>
                <w:rFonts w:hint="default" w:ascii="Times New Roman" w:hAnsi="Times New Roman" w:cs="Times New Roman"/>
                <w:color w:val="000000" w:themeColor="text1"/>
                <w:sz w:val="21"/>
                <w:szCs w:val="24"/>
                <w:lang w:val="en-US" w:eastAsia="zh-CN"/>
                <w14:textFill>
                  <w14:solidFill>
                    <w14:schemeClr w14:val="tx1"/>
                  </w14:solidFill>
                </w14:textFill>
              </w:rPr>
              <w:t>对照《昌吉回族自治</w:t>
            </w:r>
            <w:r>
              <w:rPr>
                <w:rFonts w:hint="eastAsia" w:ascii="宋体" w:hAnsi="宋体" w:eastAsia="宋体" w:cs="宋体"/>
                <w:color w:val="000000" w:themeColor="text1"/>
                <w:sz w:val="21"/>
                <w:szCs w:val="24"/>
                <w:lang w:val="en-US" w:eastAsia="zh-CN"/>
                <w14:textFill>
                  <w14:solidFill>
                    <w14:schemeClr w14:val="tx1"/>
                  </w14:solidFill>
                </w14:textFill>
              </w:rPr>
              <w:t>州“三线一单”生态环境分区管控成果动态更新情况说明》</w:t>
            </w:r>
            <w:r>
              <w:rPr>
                <w:rFonts w:hint="eastAsia" w:ascii="宋体" w:hAnsi="宋体" w:cs="宋体"/>
                <w:color w:val="000000" w:themeColor="text1"/>
                <w:sz w:val="21"/>
                <w:szCs w:val="24"/>
                <w:lang w:val="en-US" w:eastAsia="zh-CN"/>
                <w14:textFill>
                  <w14:solidFill>
                    <w14:schemeClr w14:val="tx1"/>
                  </w14:solidFill>
                </w14:textFill>
              </w:rPr>
              <w:t>，</w:t>
            </w:r>
            <w:r>
              <w:rPr>
                <w:rFonts w:hint="eastAsia" w:ascii="宋体" w:hAnsi="宋体" w:eastAsia="宋体" w:cs="宋体"/>
                <w:color w:val="000000" w:themeColor="text1"/>
                <w:sz w:val="21"/>
                <w:szCs w:val="24"/>
                <w:lang w:val="en-US" w:eastAsia="zh-CN"/>
                <w14:textFill>
                  <w14:solidFill>
                    <w14:schemeClr w14:val="tx1"/>
                  </w14:solidFill>
                </w14:textFill>
              </w:rPr>
              <w:t>本项目与昌吉回族自治州“三线一单”符</w:t>
            </w:r>
            <w:r>
              <w:rPr>
                <w:rFonts w:hint="default" w:ascii="Times New Roman" w:hAnsi="Times New Roman" w:cs="Times New Roman"/>
                <w:color w:val="000000" w:themeColor="text1"/>
                <w:sz w:val="21"/>
                <w:szCs w:val="24"/>
                <w:lang w:val="en-US" w:eastAsia="zh-CN"/>
                <w14:textFill>
                  <w14:solidFill>
                    <w14:schemeClr w14:val="tx1"/>
                  </w14:solidFill>
                </w14:textFill>
              </w:rPr>
              <w:t>合性分析见</w:t>
            </w:r>
            <w:r>
              <w:rPr>
                <w:rFonts w:hint="eastAsia" w:ascii="Times New Roman" w:hAnsi="Times New Roman" w:cs="Times New Roman"/>
                <w:color w:val="000000" w:themeColor="text1"/>
                <w:sz w:val="21"/>
                <w:szCs w:val="24"/>
                <w:lang w:val="en-US" w:eastAsia="zh-CN"/>
                <w14:textFill>
                  <w14:solidFill>
                    <w14:schemeClr w14:val="tx1"/>
                  </w14:solidFill>
                </w14:textFill>
              </w:rPr>
              <w:t>表1-3</w:t>
            </w:r>
            <w:r>
              <w:rPr>
                <w:rFonts w:hint="eastAsia" w:ascii="宋体" w:cs="Times New Roman"/>
                <w:color w:val="000000" w:themeColor="text1"/>
                <w:sz w:val="21"/>
                <w:szCs w:val="24"/>
                <w:lang w:val="en-US" w:eastAsia="zh-CN"/>
                <w14:textFill>
                  <w14:solidFill>
                    <w14:schemeClr w14:val="tx1"/>
                  </w14:solidFill>
                </w14:textFill>
              </w:rPr>
              <w:t>。</w:t>
            </w:r>
          </w:p>
          <w:p>
            <w:pPr>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Lines="0" w:afterAutospacing="0"/>
              <w:ind w:left="0" w:right="0"/>
              <w:jc w:val="center"/>
              <w:textAlignment w:val="auto"/>
              <w:rPr>
                <w:rFonts w:hint="eastAsia"/>
                <w:color w:val="000000" w:themeColor="text1"/>
                <w:sz w:val="21"/>
                <w:szCs w:val="24"/>
                <w14:textFill>
                  <w14:solidFill>
                    <w14:schemeClr w14:val="tx1"/>
                  </w14:solidFill>
                </w14:textFill>
              </w:rPr>
            </w:pPr>
            <w:r>
              <w:rPr>
                <w:rFonts w:hint="eastAsia" w:eastAsia="宋体"/>
                <w:b/>
                <w:color w:val="000000" w:themeColor="text1"/>
                <w:sz w:val="21"/>
                <w:szCs w:val="24"/>
                <w14:textFill>
                  <w14:solidFill>
                    <w14:schemeClr w14:val="tx1"/>
                  </w14:solidFill>
                </w14:textFill>
              </w:rPr>
              <w:t>表1-</w:t>
            </w:r>
            <w:r>
              <w:rPr>
                <w:rFonts w:hint="eastAsia"/>
                <w:b/>
                <w:color w:val="000000" w:themeColor="text1"/>
                <w:sz w:val="21"/>
                <w:szCs w:val="24"/>
                <w:lang w:val="en-US" w:eastAsia="zh-CN"/>
                <w14:textFill>
                  <w14:solidFill>
                    <w14:schemeClr w14:val="tx1"/>
                  </w14:solidFill>
                </w14:textFill>
              </w:rPr>
              <w:t>3</w:t>
            </w:r>
            <w:r>
              <w:rPr>
                <w:rFonts w:hint="eastAsia"/>
                <w:b/>
                <w:color w:val="000000" w:themeColor="text1"/>
                <w:sz w:val="21"/>
                <w:szCs w:val="24"/>
                <w14:textFill>
                  <w14:solidFill>
                    <w14:schemeClr w14:val="tx1"/>
                  </w14:solidFill>
                </w14:textFill>
              </w:rPr>
              <w:t xml:space="preserve">  </w:t>
            </w:r>
            <w:r>
              <w:rPr>
                <w:rFonts w:hint="eastAsia"/>
                <w:b/>
                <w:color w:val="000000" w:themeColor="text1"/>
                <w:sz w:val="21"/>
                <w:szCs w:val="24"/>
                <w:lang w:val="en-US" w:eastAsia="zh-CN"/>
                <w14:textFill>
                  <w14:solidFill>
                    <w14:schemeClr w14:val="tx1"/>
                  </w14:solidFill>
                </w14:textFill>
              </w:rPr>
              <w:t>与昌吉州</w:t>
            </w:r>
            <w:r>
              <w:rPr>
                <w:rFonts w:hint="eastAsia"/>
                <w:b/>
                <w:color w:val="000000" w:themeColor="text1"/>
                <w:sz w:val="21"/>
                <w:szCs w:val="24"/>
                <w14:textFill>
                  <w14:solidFill>
                    <w14:schemeClr w14:val="tx1"/>
                  </w14:solidFill>
                </w14:textFill>
              </w:rPr>
              <w:t>生态环境分区管控</w:t>
            </w:r>
            <w:r>
              <w:rPr>
                <w:rFonts w:hint="eastAsia" w:eastAsia="宋体"/>
                <w:b/>
                <w:color w:val="000000" w:themeColor="text1"/>
                <w:sz w:val="21"/>
                <w:szCs w:val="24"/>
                <w14:textFill>
                  <w14:solidFill>
                    <w14:schemeClr w14:val="tx1"/>
                  </w14:solidFill>
                </w14:textFill>
              </w:rPr>
              <w:t>符合性分析</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19"/>
              <w:gridCol w:w="3065"/>
              <w:gridCol w:w="2378"/>
              <w:gridCol w:w="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447"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eastAsia="宋体"/>
                      <w:b/>
                      <w:color w:val="000000" w:themeColor="text1"/>
                      <w:sz w:val="21"/>
                      <w:szCs w:val="24"/>
                      <w:lang w:val="en-US" w:eastAsia="zh-CN"/>
                      <w14:textFill>
                        <w14:solidFill>
                          <w14:schemeClr w14:val="tx1"/>
                        </w14:solidFill>
                      </w14:textFill>
                    </w:rPr>
                  </w:pPr>
                  <w:r>
                    <w:rPr>
                      <w:rFonts w:hint="eastAsia"/>
                      <w:b/>
                      <w:color w:val="000000" w:themeColor="text1"/>
                      <w:sz w:val="21"/>
                      <w:szCs w:val="24"/>
                      <w:lang w:val="en-US" w:eastAsia="zh-CN"/>
                      <w14:textFill>
                        <w14:solidFill>
                          <w14:schemeClr w14:val="tx1"/>
                        </w14:solidFill>
                      </w14:textFill>
                    </w:rPr>
                    <w:t>序号</w:t>
                  </w:r>
                </w:p>
              </w:tc>
              <w:tc>
                <w:tcPr>
                  <w:tcW w:w="221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b/>
                      <w:color w:val="000000" w:themeColor="text1"/>
                      <w:sz w:val="21"/>
                      <w:szCs w:val="24"/>
                      <w:lang w:val="en-US" w:eastAsia="zh-CN"/>
                      <w14:textFill>
                        <w14:solidFill>
                          <w14:schemeClr w14:val="tx1"/>
                        </w14:solidFill>
                      </w14:textFill>
                    </w:rPr>
                  </w:pPr>
                  <w:r>
                    <w:rPr>
                      <w:rFonts w:hint="eastAsia"/>
                      <w:b/>
                      <w:color w:val="000000" w:themeColor="text1"/>
                      <w:sz w:val="21"/>
                      <w:szCs w:val="24"/>
                      <w:lang w:val="en-US" w:eastAsia="zh-CN"/>
                      <w14:textFill>
                        <w14:solidFill>
                          <w14:schemeClr w14:val="tx1"/>
                        </w14:solidFill>
                      </w14:textFill>
                    </w:rPr>
                    <w:t>相关</w:t>
                  </w:r>
                  <w:r>
                    <w:rPr>
                      <w:rFonts w:hint="eastAsia" w:eastAsia="宋体"/>
                      <w:b/>
                      <w:color w:val="000000" w:themeColor="text1"/>
                      <w:sz w:val="21"/>
                      <w:szCs w:val="24"/>
                      <w14:textFill>
                        <w14:solidFill>
                          <w14:schemeClr w14:val="tx1"/>
                        </w14:solidFill>
                      </w14:textFill>
                    </w:rPr>
                    <w:t>要求</w:t>
                  </w:r>
                </w:p>
              </w:tc>
              <w:tc>
                <w:tcPr>
                  <w:tcW w:w="171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b/>
                      <w:color w:val="000000" w:themeColor="text1"/>
                      <w:sz w:val="21"/>
                      <w:szCs w:val="24"/>
                      <w14:textFill>
                        <w14:solidFill>
                          <w14:schemeClr w14:val="tx1"/>
                        </w14:solidFill>
                      </w14:textFill>
                    </w:rPr>
                  </w:pPr>
                  <w:r>
                    <w:rPr>
                      <w:rFonts w:hint="eastAsia" w:eastAsia="宋体"/>
                      <w:b/>
                      <w:color w:val="000000" w:themeColor="text1"/>
                      <w:sz w:val="21"/>
                      <w:szCs w:val="24"/>
                      <w14:textFill>
                        <w14:solidFill>
                          <w14:schemeClr w14:val="tx1"/>
                        </w14:solidFill>
                      </w14:textFill>
                    </w:rPr>
                    <w:t>项目情况</w:t>
                  </w:r>
                </w:p>
              </w:tc>
              <w:tc>
                <w:tcPr>
                  <w:tcW w:w="619"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b/>
                      <w:color w:val="000000" w:themeColor="text1"/>
                      <w:sz w:val="21"/>
                      <w:szCs w:val="24"/>
                      <w14:textFill>
                        <w14:solidFill>
                          <w14:schemeClr w14:val="tx1"/>
                        </w14:solidFill>
                      </w14:textFill>
                    </w:rPr>
                  </w:pPr>
                  <w:r>
                    <w:rPr>
                      <w:rFonts w:hint="eastAsia" w:eastAsia="宋体"/>
                      <w:b/>
                      <w:color w:val="000000" w:themeColor="text1"/>
                      <w:sz w:val="21"/>
                      <w:szCs w:val="24"/>
                      <w14:textFill>
                        <w14:solidFill>
                          <w14:schemeClr w14:val="tx1"/>
                        </w14:solidFill>
                      </w14:textFill>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jc w:val="center"/>
              </w:trPr>
              <w:tc>
                <w:tcPr>
                  <w:tcW w:w="447"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eastAsia="宋体"/>
                      <w:color w:val="000000" w:themeColor="text1"/>
                      <w:sz w:val="21"/>
                      <w:szCs w:val="24"/>
                      <w:lang w:val="en-US" w:eastAsia="zh-CN"/>
                      <w14:textFill>
                        <w14:solidFill>
                          <w14:schemeClr w14:val="tx1"/>
                        </w14:solidFill>
                      </w14:textFill>
                    </w:rPr>
                  </w:pPr>
                  <w:r>
                    <w:rPr>
                      <w:rFonts w:hint="eastAsia"/>
                      <w:color w:val="000000" w:themeColor="text1"/>
                      <w:sz w:val="21"/>
                      <w:szCs w:val="24"/>
                      <w:lang w:val="en-US" w:eastAsia="zh-CN"/>
                      <w14:textFill>
                        <w14:solidFill>
                          <w14:schemeClr w14:val="tx1"/>
                        </w14:solidFill>
                      </w14:textFill>
                    </w:rPr>
                    <w:t>1</w:t>
                  </w:r>
                </w:p>
              </w:tc>
              <w:tc>
                <w:tcPr>
                  <w:tcW w:w="221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rPr>
                      <w:rFonts w:hint="eastAsia" w:eastAsia="宋体"/>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生态保护红线。按照“生态功能不降低、面积不减少、性质不改变”的基本要求，生态空间得到优化和保护</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生态保护红线得到严格管控。生态功能保持稳定，生物多样性水平稳步提升，生态空间保护体系基本建立。</w:t>
                  </w:r>
                </w:p>
              </w:tc>
              <w:tc>
                <w:tcPr>
                  <w:tcW w:w="171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rPr>
                      <w:rFonts w:hint="eastAsia"/>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本项目位于昌吉高新技术开发区锦绣路26号</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项目不涉及国家公园、自然保护区、风景名胜区、世界文化和自然遗产地、海洋特别保护区、饮用水水源保护区等环境敏感区，本项目不涉及生态保护红线。</w:t>
                  </w:r>
                </w:p>
              </w:tc>
              <w:tc>
                <w:tcPr>
                  <w:tcW w:w="619"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4" w:hRule="atLeast"/>
                <w:jc w:val="center"/>
              </w:trPr>
              <w:tc>
                <w:tcPr>
                  <w:tcW w:w="447"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eastAsia="宋体"/>
                      <w:color w:val="000000" w:themeColor="text1"/>
                      <w:sz w:val="21"/>
                      <w:szCs w:val="24"/>
                      <w:lang w:val="en-US" w:eastAsia="zh-CN"/>
                      <w14:textFill>
                        <w14:solidFill>
                          <w14:schemeClr w14:val="tx1"/>
                        </w14:solidFill>
                      </w14:textFill>
                    </w:rPr>
                  </w:pPr>
                  <w:r>
                    <w:rPr>
                      <w:rFonts w:hint="eastAsia"/>
                      <w:color w:val="000000" w:themeColor="text1"/>
                      <w:sz w:val="21"/>
                      <w:szCs w:val="24"/>
                      <w:lang w:val="en-US" w:eastAsia="zh-CN"/>
                      <w14:textFill>
                        <w14:solidFill>
                          <w14:schemeClr w14:val="tx1"/>
                        </w14:solidFill>
                      </w14:textFill>
                    </w:rPr>
                    <w:t>2</w:t>
                  </w:r>
                </w:p>
              </w:tc>
              <w:tc>
                <w:tcPr>
                  <w:tcW w:w="221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rPr>
                      <w:rFonts w:hint="eastAsia" w:eastAsia="宋体"/>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环境质量底线。全州环境空气质量有所提升，重污染天数持续减少</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已达标城市环境空气质量保持稳定</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未达标城市环境空气质量持续改善</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全州河流、湖库及城镇集中式饮用水水源地水质稳中向好。地下水质量考核点位水质级别保持稳定</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地下水污染风险得到有效控制</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地下水超采得到严格控制</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全州土壤环境质量保持稳定</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污染地块安全利用水平稳中有升，土壤环境风险得到进一步管控。</w:t>
                  </w:r>
                </w:p>
              </w:tc>
              <w:tc>
                <w:tcPr>
                  <w:tcW w:w="171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rPr>
                      <w:rFonts w:hint="eastAsia"/>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本项目生产过程中产生的污染物在经过相应措施治理后，不会对当地空气及土壤环境质量造成影响。本项目采取的环保措施能确保污染物对环境质量影响降到最小，不突破所在区域环境质量底线。</w:t>
                  </w:r>
                </w:p>
              </w:tc>
              <w:tc>
                <w:tcPr>
                  <w:tcW w:w="619"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447"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eastAsia="宋体"/>
                      <w:color w:val="000000" w:themeColor="text1"/>
                      <w:sz w:val="21"/>
                      <w:szCs w:val="24"/>
                      <w:lang w:val="en-US" w:eastAsia="zh-CN"/>
                      <w14:textFill>
                        <w14:solidFill>
                          <w14:schemeClr w14:val="tx1"/>
                        </w14:solidFill>
                      </w14:textFill>
                    </w:rPr>
                  </w:pPr>
                  <w:r>
                    <w:rPr>
                      <w:rFonts w:hint="eastAsia"/>
                      <w:color w:val="000000" w:themeColor="text1"/>
                      <w:sz w:val="21"/>
                      <w:szCs w:val="24"/>
                      <w:lang w:val="en-US" w:eastAsia="zh-CN"/>
                      <w14:textFill>
                        <w14:solidFill>
                          <w14:schemeClr w14:val="tx1"/>
                        </w14:solidFill>
                      </w14:textFill>
                    </w:rPr>
                    <w:t>3</w:t>
                  </w:r>
                </w:p>
              </w:tc>
              <w:tc>
                <w:tcPr>
                  <w:tcW w:w="2214"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rPr>
                      <w:rFonts w:hint="eastAsia" w:eastAsia="宋体"/>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资源利用上线。强化节约集约利用，持续提升资源能源利用效率</w:t>
                  </w:r>
                  <w:r>
                    <w:rPr>
                      <w:rFonts w:hint="eastAsia"/>
                      <w:color w:val="000000" w:themeColor="text1"/>
                      <w:sz w:val="21"/>
                      <w:szCs w:val="24"/>
                      <w:lang w:eastAsia="zh-CN"/>
                      <w14:textFill>
                        <w14:solidFill>
                          <w14:schemeClr w14:val="tx1"/>
                        </w14:solidFill>
                      </w14:textFill>
                    </w:rPr>
                    <w:t>，</w:t>
                  </w:r>
                  <w:r>
                    <w:rPr>
                      <w:rFonts w:hint="eastAsia" w:eastAsia="宋体"/>
                      <w:color w:val="000000" w:themeColor="text1"/>
                      <w:sz w:val="21"/>
                      <w:szCs w:val="24"/>
                      <w14:textFill>
                        <w14:solidFill>
                          <w14:schemeClr w14:val="tx1"/>
                        </w14:solidFill>
                      </w14:textFill>
                    </w:rPr>
                    <w:t>水资源、土地资源、能源消耗等达到自治区、自治州下达的总量和强度控制目标。加快区域低碳发展，积极推动昌吉市国家级低碳试点城市发挥低碳试点示范和引领作用。</w:t>
                  </w:r>
                </w:p>
              </w:tc>
              <w:tc>
                <w:tcPr>
                  <w:tcW w:w="171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rPr>
                      <w:rFonts w:hint="eastAsia"/>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项目</w:t>
                  </w:r>
                  <w:r>
                    <w:rPr>
                      <w:rFonts w:hint="eastAsia"/>
                      <w:color w:val="000000" w:themeColor="text1"/>
                      <w:sz w:val="21"/>
                      <w:szCs w:val="24"/>
                      <w:lang w:val="en-US" w:eastAsia="zh-CN"/>
                      <w14:textFill>
                        <w14:solidFill>
                          <w14:schemeClr w14:val="tx1"/>
                        </w14:solidFill>
                      </w14:textFill>
                    </w:rPr>
                    <w:t>土地利用类型为工业用地</w:t>
                  </w:r>
                  <w:r>
                    <w:rPr>
                      <w:rFonts w:hint="eastAsia" w:eastAsia="宋体"/>
                      <w:color w:val="000000" w:themeColor="text1"/>
                      <w:sz w:val="21"/>
                      <w:szCs w:val="24"/>
                      <w14:textFill>
                        <w14:solidFill>
                          <w14:schemeClr w14:val="tx1"/>
                        </w14:solidFill>
                      </w14:textFill>
                    </w:rPr>
                    <w:t>，项目区域无珍稀濒危物种，工程占地面积较小，造成的自然资源损失量较小。项目所在地不属于资源、能源紧缺区域，项目运营期资源利用量较少，不会超过划定的资源利用</w:t>
                  </w:r>
                  <w:r>
                    <w:rPr>
                      <w:rFonts w:hint="eastAsia"/>
                      <w:color w:val="000000" w:themeColor="text1"/>
                      <w:sz w:val="21"/>
                      <w:szCs w:val="24"/>
                      <w:lang w:eastAsia="zh-CN"/>
                      <w14:textFill>
                        <w14:solidFill>
                          <w14:schemeClr w14:val="tx1"/>
                        </w14:solidFill>
                      </w14:textFill>
                    </w:rPr>
                    <w:t>上限</w:t>
                  </w:r>
                  <w:r>
                    <w:rPr>
                      <w:rFonts w:hint="eastAsia" w:eastAsia="宋体"/>
                      <w:color w:val="000000" w:themeColor="text1"/>
                      <w:sz w:val="21"/>
                      <w:szCs w:val="24"/>
                      <w14:textFill>
                        <w14:solidFill>
                          <w14:schemeClr w14:val="tx1"/>
                        </w14:solidFill>
                      </w14:textFill>
                    </w:rPr>
                    <w:t>，可以满足资源利用要求。</w:t>
                  </w:r>
                </w:p>
              </w:tc>
              <w:tc>
                <w:tcPr>
                  <w:tcW w:w="619"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overflowPunct w:val="0"/>
                    <w:autoSpaceDE w:val="0"/>
                    <w:spacing w:before="0" w:beforeLines="0" w:beforeAutospacing="0" w:after="0" w:afterLines="0" w:afterAutospacing="0"/>
                    <w:ind w:left="0" w:right="0"/>
                    <w:jc w:val="center"/>
                    <w:rPr>
                      <w:rFonts w:hint="eastAsia"/>
                      <w:color w:val="000000" w:themeColor="text1"/>
                      <w:sz w:val="21"/>
                      <w:szCs w:val="24"/>
                      <w14:textFill>
                        <w14:solidFill>
                          <w14:schemeClr w14:val="tx1"/>
                        </w14:solidFill>
                      </w14:textFill>
                    </w:rPr>
                  </w:pPr>
                  <w:r>
                    <w:rPr>
                      <w:rFonts w:hint="eastAsia" w:eastAsia="宋体"/>
                      <w:color w:val="000000" w:themeColor="text1"/>
                      <w:sz w:val="21"/>
                      <w:szCs w:val="24"/>
                      <w14:textFill>
                        <w14:solidFill>
                          <w14:schemeClr w14:val="tx1"/>
                        </w14:solidFill>
                      </w14:textFill>
                    </w:rPr>
                    <w:t>符合</w:t>
                  </w:r>
                </w:p>
              </w:tc>
            </w:tr>
          </w:tbl>
          <w:p>
            <w:pPr>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Lines="0" w:afterAutospacing="0" w:line="360" w:lineRule="auto"/>
              <w:ind w:left="0" w:right="0" w:firstLine="420" w:firstLineChars="200"/>
              <w:textAlignment w:val="auto"/>
              <w:rPr>
                <w:rFonts w:hint="eastAsia" w:ascii="Times New Roman" w:hAnsi="Times New Roman" w:eastAsia="Times New Roman" w:cs="Times New Roman"/>
                <w:color w:val="000000" w:themeColor="text1"/>
                <w:sz w:val="21"/>
                <w:szCs w:val="24"/>
                <w14:textFill>
                  <w14:solidFill>
                    <w14:schemeClr w14:val="tx1"/>
                  </w14:solidFill>
                </w14:textFill>
              </w:rPr>
            </w:pPr>
            <w:r>
              <w:rPr>
                <w:rFonts w:hint="default" w:ascii="宋体" w:hAnsi="Times New Roman" w:eastAsia="宋体" w:cs="Times New Roman"/>
                <w:color w:val="000000" w:themeColor="text1"/>
                <w:sz w:val="21"/>
                <w:szCs w:val="24"/>
                <w14:textFill>
                  <w14:solidFill>
                    <w14:schemeClr w14:val="tx1"/>
                  </w14:solidFill>
                </w14:textFill>
              </w:rPr>
              <w:t>本项目环境管控单元编码</w:t>
            </w:r>
            <w:r>
              <w:rPr>
                <w:rFonts w:hint="eastAsia" w:ascii="宋体" w:hAnsi="宋体" w:eastAsia="宋体" w:cs="宋体"/>
                <w:color w:val="000000" w:themeColor="text1"/>
                <w:sz w:val="21"/>
                <w:szCs w:val="24"/>
                <w14:textFill>
                  <w14:solidFill>
                    <w14:schemeClr w14:val="tx1"/>
                  </w14:solidFill>
                </w14:textFill>
              </w:rPr>
              <w:t>为“</w:t>
            </w:r>
            <w:r>
              <w:rPr>
                <w:rFonts w:hint="default" w:ascii="Times New Roman" w:hAnsi="Times New Roman" w:eastAsia="宋体" w:cs="Times New Roman"/>
                <w:color w:val="000000" w:themeColor="text1"/>
                <w:sz w:val="21"/>
                <w:szCs w:val="24"/>
                <w14:textFill>
                  <w14:solidFill>
                    <w14:schemeClr w14:val="tx1"/>
                  </w14:solidFill>
                </w14:textFill>
              </w:rPr>
              <w:t>ZH65230120002</w:t>
            </w:r>
            <w:r>
              <w:rPr>
                <w:rFonts w:hint="eastAsia" w:ascii="宋体" w:hAnsi="宋体" w:eastAsia="宋体" w:cs="宋体"/>
                <w:color w:val="000000" w:themeColor="text1"/>
                <w:sz w:val="21"/>
                <w:szCs w:val="24"/>
                <w14:textFill>
                  <w14:solidFill>
                    <w14:schemeClr w14:val="tx1"/>
                  </w14:solidFill>
                </w14:textFill>
              </w:rPr>
              <w:t>”，属于“昌吉高新技术产业开发区重点管控单元”，重点管控单元要着力优化空间布局，不断提升资源利用效率，有针对性地加强污染物排放管控和环境风险防控，解决生态环境质量不达标、生态环境风险高等问题。本项目与《昌吉回族自治州“三线一单”环境管控单元分类图》相关位置关系</w:t>
            </w:r>
            <w:r>
              <w:rPr>
                <w:rFonts w:hint="default" w:ascii="Times New Roman" w:hAnsi="Times New Roman" w:eastAsia="宋体" w:cs="Times New Roman"/>
                <w:color w:val="000000" w:themeColor="text1"/>
                <w:sz w:val="21"/>
                <w:szCs w:val="24"/>
                <w14:textFill>
                  <w14:solidFill>
                    <w14:schemeClr w14:val="tx1"/>
                  </w14:solidFill>
                </w14:textFill>
              </w:rPr>
              <w:t>见附图</w:t>
            </w:r>
            <w:r>
              <w:rPr>
                <w:rFonts w:hint="eastAsia" w:cs="Times New Roman"/>
                <w:color w:val="000000" w:themeColor="text1"/>
                <w:sz w:val="21"/>
                <w:szCs w:val="24"/>
                <w:lang w:val="en-US" w:eastAsia="zh-CN"/>
                <w14:textFill>
                  <w14:solidFill>
                    <w14:schemeClr w14:val="tx1"/>
                  </w14:solidFill>
                </w14:textFill>
              </w:rPr>
              <w:t>3</w:t>
            </w:r>
            <w:r>
              <w:rPr>
                <w:rFonts w:hint="default" w:ascii="宋体" w:hAnsi="Times New Roman" w:eastAsia="宋体" w:cs="Times New Roman"/>
                <w:color w:val="000000" w:themeColor="text1"/>
                <w:sz w:val="21"/>
                <w:szCs w:val="24"/>
                <w14:textFill>
                  <w14:solidFill>
                    <w14:schemeClr w14:val="tx1"/>
                  </w14:solidFill>
                </w14:textFill>
              </w:rPr>
              <w:t>。</w:t>
            </w:r>
          </w:p>
          <w:p>
            <w:pPr>
              <w:keepNext w:val="0"/>
              <w:keepLines w:val="0"/>
              <w:pageBreakBefore w:val="0"/>
              <w:widowControl/>
              <w:suppressLineNumbers w:val="0"/>
              <w:kinsoku/>
              <w:wordWrap/>
              <w:overflowPunct/>
              <w:topLinePunct w:val="0"/>
              <w:autoSpaceDE w:val="0"/>
              <w:autoSpaceDN/>
              <w:bidi w:val="0"/>
              <w:adjustRightInd w:val="0"/>
              <w:snapToGrid w:val="0"/>
              <w:spacing w:before="0" w:beforeLines="0" w:beforeAutospacing="0" w:after="0" w:afterLines="0" w:afterAutospacing="0" w:line="360" w:lineRule="auto"/>
              <w:ind w:left="0" w:right="0" w:firstLine="420" w:firstLineChars="200"/>
              <w:textAlignment w:val="auto"/>
              <w:rPr>
                <w:rFonts w:hint="eastAsia" w:ascii="Times New Roman" w:hAnsi="Times New Roman" w:eastAsia="Times New Roman" w:cs="Times New Roman"/>
                <w:b/>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4"/>
                <w14:textFill>
                  <w14:solidFill>
                    <w14:schemeClr w14:val="tx1"/>
                  </w14:solidFill>
                </w14:textFill>
              </w:rPr>
              <w:t>本项目与《昌吉回族自治州区域空间</w:t>
            </w:r>
            <w:r>
              <w:rPr>
                <w:rFonts w:hint="eastAsia" w:ascii="宋体" w:hAnsi="宋体" w:eastAsia="宋体" w:cs="宋体"/>
                <w:color w:val="000000" w:themeColor="text1"/>
                <w:sz w:val="21"/>
                <w:szCs w:val="24"/>
                <w14:textFill>
                  <w14:solidFill>
                    <w14:schemeClr w14:val="tx1"/>
                  </w14:solidFill>
                </w14:textFill>
              </w:rPr>
              <w:t>生态环境评价暨“三线一单”生</w:t>
            </w:r>
            <w:r>
              <w:rPr>
                <w:rFonts w:hint="default" w:ascii="宋体" w:hAnsi="Times New Roman" w:eastAsia="宋体" w:cs="Times New Roman"/>
                <w:color w:val="000000" w:themeColor="text1"/>
                <w:sz w:val="21"/>
                <w:szCs w:val="24"/>
                <w14:textFill>
                  <w14:solidFill>
                    <w14:schemeClr w14:val="tx1"/>
                  </w14:solidFill>
                </w14:textFill>
              </w:rPr>
              <w:t>态环境准入清单》符合性分</w:t>
            </w:r>
            <w:r>
              <w:rPr>
                <w:rFonts w:hint="default" w:ascii="Times New Roman" w:hAnsi="Times New Roman" w:eastAsia="宋体" w:cs="Times New Roman"/>
                <w:color w:val="000000" w:themeColor="text1"/>
                <w:sz w:val="21"/>
                <w:szCs w:val="24"/>
                <w14:textFill>
                  <w14:solidFill>
                    <w14:schemeClr w14:val="tx1"/>
                  </w14:solidFill>
                </w14:textFill>
              </w:rPr>
              <w:t>析见</w:t>
            </w:r>
            <w:r>
              <w:rPr>
                <w:rFonts w:hint="eastAsia" w:cs="Times New Roman"/>
                <w:color w:val="000000" w:themeColor="text1"/>
                <w:sz w:val="21"/>
                <w:szCs w:val="24"/>
                <w:lang w:val="en-US" w:eastAsia="zh-CN"/>
                <w14:textFill>
                  <w14:solidFill>
                    <w14:schemeClr w14:val="tx1"/>
                  </w14:solidFill>
                </w14:textFill>
              </w:rPr>
              <w:t>表1-4</w:t>
            </w:r>
            <w:r>
              <w:rPr>
                <w:rFonts w:hint="default" w:ascii="宋体" w:hAnsi="Times New Roman" w:eastAsia="宋体" w:cs="Times New Roman"/>
                <w:color w:val="000000" w:themeColor="text1"/>
                <w:sz w:val="21"/>
                <w:szCs w:val="24"/>
                <w14:textFill>
                  <w14:solidFill>
                    <w14:schemeClr w14:val="tx1"/>
                  </w14:solidFill>
                </w14:textFill>
              </w:rPr>
              <w:t>。</w:t>
            </w:r>
          </w:p>
          <w:p>
            <w:pPr>
              <w:pStyle w:val="5"/>
              <w:suppressLineNumbers w:val="0"/>
              <w:spacing w:before="0" w:beforeLines="0" w:beforeAutospacing="0" w:after="0" w:afterLines="0" w:afterAutospacing="0" w:line="240" w:lineRule="auto"/>
              <w:ind w:left="0" w:right="0"/>
              <w:jc w:val="center"/>
              <w:rPr>
                <w:rFonts w:hint="eastAsia" w:ascii="宋体" w:hAnsi="宋体" w:eastAsia="宋体" w:cs="宋体"/>
                <w:b/>
                <w:bCs w:val="0"/>
                <w:color w:val="000000" w:themeColor="text1"/>
                <w:sz w:val="21"/>
                <w:szCs w:val="21"/>
                <w14:textFill>
                  <w14:solidFill>
                    <w14:schemeClr w14:val="tx1"/>
                  </w14:solidFill>
                </w14:textFill>
              </w:rPr>
            </w:pPr>
            <w:r>
              <w:rPr>
                <w:rFonts w:hint="default" w:hAnsi="Times New Roman" w:eastAsia="宋体" w:cs="Times New Roman"/>
                <w:b/>
                <w:bCs w:val="0"/>
                <w:color w:val="000000" w:themeColor="text1"/>
                <w:sz w:val="21"/>
                <w:szCs w:val="21"/>
                <w14:textFill>
                  <w14:solidFill>
                    <w14:schemeClr w14:val="tx1"/>
                  </w14:solidFill>
                </w14:textFill>
              </w:rPr>
              <w:t>表</w:t>
            </w:r>
            <w:r>
              <w:rPr>
                <w:rFonts w:hint="eastAsia" w:ascii="Times New Roman" w:hAnsi="Times New Roman" w:eastAsia="Times New Roman" w:cs="Times New Roman"/>
                <w:b/>
                <w:bCs w:val="0"/>
                <w:color w:val="000000" w:themeColor="text1"/>
                <w:sz w:val="21"/>
                <w:szCs w:val="21"/>
                <w14:textFill>
                  <w14:solidFill>
                    <w14:schemeClr w14:val="tx1"/>
                  </w14:solidFill>
                </w14:textFill>
              </w:rPr>
              <w:t>1-</w:t>
            </w:r>
            <w:r>
              <w:rPr>
                <w:rFonts w:hint="eastAsia" w:cs="Times New Roman"/>
                <w:b/>
                <w:bCs w:val="0"/>
                <w:color w:val="000000" w:themeColor="text1"/>
                <w:sz w:val="21"/>
                <w:szCs w:val="21"/>
                <w:lang w:val="en-US" w:eastAsia="zh-CN"/>
                <w14:textFill>
                  <w14:solidFill>
                    <w14:schemeClr w14:val="tx1"/>
                  </w14:solidFill>
                </w14:textFill>
              </w:rPr>
              <w:t>4</w:t>
            </w:r>
            <w:r>
              <w:rPr>
                <w:rFonts w:hint="eastAsia" w:ascii="Times New Roman" w:hAnsi="Times New Roman" w:eastAsia="Times New Roman" w:cs="Times New Roman"/>
                <w:b/>
                <w:bCs w:val="0"/>
                <w:color w:val="000000" w:themeColor="text1"/>
                <w:sz w:val="21"/>
                <w:szCs w:val="21"/>
                <w14:textFill>
                  <w14:solidFill>
                    <w14:schemeClr w14:val="tx1"/>
                  </w14:solidFill>
                </w14:textFill>
              </w:rPr>
              <w:t xml:space="preserve">  </w:t>
            </w:r>
            <w:r>
              <w:rPr>
                <w:rFonts w:hint="default" w:hAnsi="Times New Roman" w:eastAsia="宋体" w:cs="Times New Roman"/>
                <w:b/>
                <w:bCs w:val="0"/>
                <w:color w:val="000000" w:themeColor="text1"/>
                <w:sz w:val="21"/>
                <w:szCs w:val="21"/>
                <w14:textFill>
                  <w14:solidFill>
                    <w14:schemeClr w14:val="tx1"/>
                  </w14:solidFill>
                </w14:textFill>
              </w:rPr>
              <w:t>项目与昌吉回族自治州区域空间生态环境评价</w:t>
            </w:r>
            <w:r>
              <w:rPr>
                <w:rFonts w:hint="eastAsia" w:ascii="宋体" w:hAnsi="宋体" w:eastAsia="宋体" w:cs="宋体"/>
                <w:b/>
                <w:bCs w:val="0"/>
                <w:color w:val="000000" w:themeColor="text1"/>
                <w:sz w:val="21"/>
                <w:szCs w:val="21"/>
                <w14:textFill>
                  <w14:solidFill>
                    <w14:schemeClr w14:val="tx1"/>
                  </w14:solidFill>
                </w14:textFill>
              </w:rPr>
              <w:t>暨“三线一单”</w:t>
            </w:r>
          </w:p>
          <w:p>
            <w:pPr>
              <w:pStyle w:val="5"/>
              <w:suppressLineNumbers w:val="0"/>
              <w:spacing w:before="0" w:beforeLines="0" w:beforeAutospacing="0" w:after="0" w:afterLines="0" w:afterAutospacing="0" w:line="240" w:lineRule="auto"/>
              <w:ind w:left="0" w:right="0"/>
              <w:jc w:val="center"/>
              <w:rPr>
                <w:rFonts w:hint="eastAsia" w:ascii="Times New Roman" w:hAnsi="Times New Roman" w:eastAsia="Times New Roman" w:cs="Times New Roman"/>
                <w:b/>
                <w:bCs w:val="0"/>
                <w:color w:val="000000" w:themeColor="text1"/>
                <w:sz w:val="21"/>
                <w:szCs w:val="21"/>
                <w14:textFill>
                  <w14:solidFill>
                    <w14:schemeClr w14:val="tx1"/>
                  </w14:solidFill>
                </w14:textFill>
              </w:rPr>
            </w:pPr>
            <w:r>
              <w:rPr>
                <w:rFonts w:hint="default" w:hAnsi="Times New Roman" w:eastAsia="宋体" w:cs="Times New Roman"/>
                <w:b/>
                <w:bCs w:val="0"/>
                <w:color w:val="000000" w:themeColor="text1"/>
                <w:sz w:val="21"/>
                <w:szCs w:val="21"/>
                <w14:textFill>
                  <w14:solidFill>
                    <w14:schemeClr w14:val="tx1"/>
                  </w14:solidFill>
                </w14:textFill>
              </w:rPr>
              <w:t>生态环境准入清单符合性分析一览表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54"/>
              <w:gridCol w:w="3207"/>
              <w:gridCol w:w="2490"/>
              <w:gridCol w:w="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0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b/>
                      <w:color w:val="000000" w:themeColor="text1"/>
                      <w:sz w:val="21"/>
                      <w:szCs w:val="21"/>
                      <w14:textFill>
                        <w14:solidFill>
                          <w14:schemeClr w14:val="tx1"/>
                        </w14:solidFill>
                      </w14:textFill>
                    </w:rPr>
                  </w:pPr>
                  <w:r>
                    <w:rPr>
                      <w:rFonts w:hint="default" w:ascii="宋体" w:hAnsi="Times New Roman" w:eastAsia="宋体" w:cs="Times New Roman"/>
                      <w:b/>
                      <w:color w:val="000000" w:themeColor="text1"/>
                      <w:sz w:val="21"/>
                      <w:szCs w:val="21"/>
                      <w14:textFill>
                        <w14:solidFill>
                          <w14:schemeClr w14:val="tx1"/>
                        </w14:solidFill>
                      </w14:textFill>
                    </w:rPr>
                    <w:t>管控维度</w:t>
                  </w:r>
                </w:p>
              </w:tc>
              <w:tc>
                <w:tcPr>
                  <w:tcW w:w="2316"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b/>
                      <w:color w:val="000000" w:themeColor="text1"/>
                      <w:sz w:val="21"/>
                      <w:szCs w:val="21"/>
                      <w14:textFill>
                        <w14:solidFill>
                          <w14:schemeClr w14:val="tx1"/>
                        </w14:solidFill>
                      </w14:textFill>
                    </w:rPr>
                  </w:pPr>
                  <w:r>
                    <w:rPr>
                      <w:rFonts w:hint="default" w:ascii="宋体" w:hAnsi="Times New Roman" w:eastAsia="宋体" w:cs="Times New Roman"/>
                      <w:b/>
                      <w:color w:val="000000" w:themeColor="text1"/>
                      <w:sz w:val="21"/>
                      <w:szCs w:val="21"/>
                      <w14:textFill>
                        <w14:solidFill>
                          <w14:schemeClr w14:val="tx1"/>
                        </w14:solidFill>
                      </w14:textFill>
                    </w:rPr>
                    <w:t>管控要求</w:t>
                  </w:r>
                </w:p>
              </w:tc>
              <w:tc>
                <w:tcPr>
                  <w:tcW w:w="179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b/>
                      <w:color w:val="000000" w:themeColor="text1"/>
                      <w:sz w:val="21"/>
                      <w:szCs w:val="21"/>
                      <w14:textFill>
                        <w14:solidFill>
                          <w14:schemeClr w14:val="tx1"/>
                        </w14:solidFill>
                      </w14:textFill>
                    </w:rPr>
                  </w:pPr>
                  <w:r>
                    <w:rPr>
                      <w:rFonts w:hint="default" w:ascii="宋体" w:hAnsi="Times New Roman" w:eastAsia="宋体" w:cs="Times New Roman"/>
                      <w:b/>
                      <w:color w:val="000000" w:themeColor="text1"/>
                      <w:sz w:val="21"/>
                      <w:szCs w:val="21"/>
                      <w14:textFill>
                        <w14:solidFill>
                          <w14:schemeClr w14:val="tx1"/>
                        </w14:solidFill>
                      </w14:textFill>
                    </w:rPr>
                    <w:t>项目情况</w:t>
                  </w:r>
                </w:p>
              </w:tc>
              <w:tc>
                <w:tcPr>
                  <w:tcW w:w="485"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b/>
                      <w:color w:val="000000" w:themeColor="text1"/>
                      <w:sz w:val="21"/>
                      <w:szCs w:val="21"/>
                      <w14:textFill>
                        <w14:solidFill>
                          <w14:schemeClr w14:val="tx1"/>
                        </w14:solidFill>
                      </w14:textFill>
                    </w:rPr>
                  </w:pPr>
                  <w:r>
                    <w:rPr>
                      <w:rFonts w:hint="default" w:ascii="宋体" w:hAnsi="Times New Roman" w:eastAsia="宋体" w:cs="Times New Roman"/>
                      <w:b/>
                      <w:color w:val="000000" w:themeColor="text1"/>
                      <w:sz w:val="21"/>
                      <w:szCs w:val="21"/>
                      <w14:textFill>
                        <w14:solidFill>
                          <w14:schemeClr w14:val="tx1"/>
                        </w14:solidFill>
                      </w14:textFill>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 w:hRule="atLeast"/>
              </w:trPr>
              <w:tc>
                <w:tcPr>
                  <w:tcW w:w="40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1"/>
                      <w14:textFill>
                        <w14:solidFill>
                          <w14:schemeClr w14:val="tx1"/>
                        </w14:solidFill>
                      </w14:textFill>
                    </w:rPr>
                    <w:t>空间布局约束</w:t>
                  </w:r>
                </w:p>
              </w:tc>
              <w:tc>
                <w:tcPr>
                  <w:tcW w:w="2316"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1</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执行自治区、乌昌石片区总体准入要求中关于重点管控单元空间布局约束的准入要求（表</w:t>
                  </w:r>
                  <w:r>
                    <w:rPr>
                      <w:rFonts w:hint="default" w:ascii="Times New Roman" w:hAnsi="Times New Roman" w:eastAsia="宋体" w:cs="Times New Roman"/>
                      <w:color w:val="000000" w:themeColor="text1"/>
                      <w:sz w:val="21"/>
                      <w:szCs w:val="21"/>
                      <w14:textFill>
                        <w14:solidFill>
                          <w14:schemeClr w14:val="tx1"/>
                        </w14:solidFill>
                      </w14:textFill>
                    </w:rPr>
                    <w:t>2-3A6.1、表3.4-2B1</w:t>
                  </w:r>
                  <w:r>
                    <w:rPr>
                      <w:rFonts w:hint="default" w:ascii="宋体" w:hAnsi="Times New Roman" w:eastAsia="宋体" w:cs="Times New Roman"/>
                      <w:color w:val="000000" w:themeColor="text1"/>
                      <w:sz w:val="21"/>
                      <w:szCs w:val="21"/>
                      <w14:textFill>
                        <w14:solidFill>
                          <w14:schemeClr w14:val="tx1"/>
                        </w14:solidFill>
                      </w14:textFill>
                    </w:rPr>
                    <w:t>）。</w:t>
                  </w:r>
                </w:p>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2</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入园企业需符合园区产业发展定位，产业发展以装备制造、新材料产业、生物科技、食品产业、现代服务业为主导。</w:t>
                  </w:r>
                </w:p>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3</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以水定产，严格限制发展高耗水、环境影响较大的行业。</w:t>
                  </w:r>
                </w:p>
              </w:tc>
              <w:tc>
                <w:tcPr>
                  <w:tcW w:w="179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widowControl/>
                    <w:suppressLineNumbers w:val="0"/>
                    <w:spacing w:before="0" w:beforeLines="0" w:beforeAutospacing="0" w:after="0" w:afterLines="0" w:afterAutospacing="0"/>
                    <w:ind w:left="0" w:right="0"/>
                    <w:jc w:val="left"/>
                    <w:rPr>
                      <w:rFonts w:hint="default"/>
                      <w:color w:val="000000" w:themeColor="text1"/>
                      <w:sz w:val="21"/>
                      <w:szCs w:val="24"/>
                      <w14:textFill>
                        <w14:solidFill>
                          <w14:schemeClr w14:val="tx1"/>
                        </w14:solidFill>
                      </w14:textFill>
                    </w:rPr>
                  </w:pP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1</w:t>
                  </w:r>
                  <w:r>
                    <w:rPr>
                      <w:rFonts w:hint="eastAsia" w:eastAsia="宋体" w:cs="Times New Roman"/>
                      <w:color w:val="000000" w:themeColor="text1"/>
                      <w:kern w:val="0"/>
                      <w:sz w:val="21"/>
                      <w:szCs w:val="21"/>
                      <w:lang w:val="en-US" w:eastAsia="zh-CN" w:bidi="ar"/>
                      <w14:textFill>
                        <w14:solidFill>
                          <w14:schemeClr w14:val="tx1"/>
                        </w14:solidFill>
                      </w14:textFill>
                    </w:rPr>
                    <w:t>.</w:t>
                  </w:r>
                  <w:r>
                    <w:rPr>
                      <w:rFonts w:hint="default" w:ascii="宋体" w:hAnsi="宋体" w:eastAsia="宋体" w:cs="宋体"/>
                      <w:color w:val="000000" w:themeColor="text1"/>
                      <w:kern w:val="0"/>
                      <w:sz w:val="21"/>
                      <w:szCs w:val="21"/>
                      <w:lang w:bidi="ar"/>
                      <w14:textFill>
                        <w14:solidFill>
                          <w14:schemeClr w14:val="tx1"/>
                        </w14:solidFill>
                      </w14:textFill>
                    </w:rPr>
                    <w:t>本项目不属于表</w:t>
                  </w: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2-3A6.1</w:t>
                  </w:r>
                  <w:r>
                    <w:rPr>
                      <w:rFonts w:hint="default" w:ascii="宋体" w:hAnsi="宋体" w:eastAsia="宋体" w:cs="宋体"/>
                      <w:color w:val="000000" w:themeColor="text1"/>
                      <w:kern w:val="0"/>
                      <w:sz w:val="21"/>
                      <w:szCs w:val="21"/>
                      <w:lang w:bidi="ar"/>
                      <w14:textFill>
                        <w14:solidFill>
                          <w14:schemeClr w14:val="tx1"/>
                        </w14:solidFill>
                      </w14:textFill>
                    </w:rPr>
                    <w:t>中重点管控单元空间布局约束的内容之列。</w:t>
                  </w:r>
                </w:p>
                <w:p>
                  <w:pPr>
                    <w:keepNext w:val="0"/>
                    <w:keepLines w:val="0"/>
                    <w:widowControl/>
                    <w:suppressLineNumbers w:val="0"/>
                    <w:spacing w:before="0" w:beforeLines="0" w:beforeAutospacing="0" w:after="0" w:afterLines="0" w:afterAutospacing="0"/>
                    <w:ind w:left="0" w:right="0"/>
                    <w:jc w:val="left"/>
                    <w:rPr>
                      <w:rFonts w:hint="default"/>
                      <w:color w:val="000000" w:themeColor="text1"/>
                      <w:sz w:val="21"/>
                      <w:szCs w:val="24"/>
                      <w14:textFill>
                        <w14:solidFill>
                          <w14:schemeClr w14:val="tx1"/>
                        </w14:solidFill>
                      </w14:textFill>
                    </w:rPr>
                  </w:pP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2</w:t>
                  </w:r>
                  <w:r>
                    <w:rPr>
                      <w:rFonts w:hint="eastAsia" w:eastAsia="宋体" w:cs="Times New Roman"/>
                      <w:color w:val="000000" w:themeColor="text1"/>
                      <w:kern w:val="0"/>
                      <w:sz w:val="21"/>
                      <w:szCs w:val="21"/>
                      <w:lang w:val="en-US" w:eastAsia="zh-CN" w:bidi="ar"/>
                      <w14:textFill>
                        <w14:solidFill>
                          <w14:schemeClr w14:val="tx1"/>
                        </w14:solidFill>
                      </w14:textFill>
                    </w:rPr>
                    <w:t>.</w:t>
                  </w:r>
                  <w:r>
                    <w:rPr>
                      <w:rFonts w:hint="default" w:ascii="宋体" w:hAnsi="宋体" w:eastAsia="宋体" w:cs="宋体"/>
                      <w:color w:val="000000" w:themeColor="text1"/>
                      <w:kern w:val="0"/>
                      <w:sz w:val="21"/>
                      <w:szCs w:val="21"/>
                      <w:lang w:bidi="ar"/>
                      <w14:textFill>
                        <w14:solidFill>
                          <w14:schemeClr w14:val="tx1"/>
                        </w14:solidFill>
                      </w14:textFill>
                    </w:rPr>
                    <w:t>本项目属于</w:t>
                  </w:r>
                  <w:r>
                    <w:rPr>
                      <w:rFonts w:hint="eastAsia" w:ascii="宋体" w:hAnsi="宋体" w:cs="宋体"/>
                      <w:color w:val="000000" w:themeColor="text1"/>
                      <w:kern w:val="0"/>
                      <w:sz w:val="21"/>
                      <w:szCs w:val="21"/>
                      <w:lang w:eastAsia="zh-CN" w:bidi="ar"/>
                      <w14:textFill>
                        <w14:solidFill>
                          <w14:schemeClr w14:val="tx1"/>
                        </w14:solidFill>
                      </w14:textFill>
                    </w:rPr>
                    <w:t>粉煤灰贮存项目，</w:t>
                  </w:r>
                  <w:r>
                    <w:rPr>
                      <w:rFonts w:hint="default" w:ascii="宋体" w:hAnsi="宋体" w:eastAsia="宋体" w:cs="宋体"/>
                      <w:color w:val="000000" w:themeColor="text1"/>
                      <w:kern w:val="0"/>
                      <w:sz w:val="21"/>
                      <w:szCs w:val="21"/>
                      <w:lang w:bidi="ar"/>
                      <w14:textFill>
                        <w14:solidFill>
                          <w14:schemeClr w14:val="tx1"/>
                        </w14:solidFill>
                      </w14:textFill>
                    </w:rPr>
                    <w:t>符合园区产业发展定位。</w:t>
                  </w:r>
                </w:p>
                <w:p>
                  <w:pPr>
                    <w:keepNext w:val="0"/>
                    <w:keepLines w:val="0"/>
                    <w:widowControl/>
                    <w:suppressLineNumbers w:val="0"/>
                    <w:spacing w:before="0" w:beforeLines="0" w:beforeAutospacing="0" w:after="0" w:afterLines="0" w:afterAutospacing="0"/>
                    <w:ind w:left="0" w:right="0"/>
                    <w:jc w:val="left"/>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3</w:t>
                  </w:r>
                  <w:r>
                    <w:rPr>
                      <w:rFonts w:hint="eastAsia" w:eastAsia="宋体" w:cs="Times New Roman"/>
                      <w:color w:val="000000" w:themeColor="text1"/>
                      <w:kern w:val="0"/>
                      <w:sz w:val="21"/>
                      <w:szCs w:val="21"/>
                      <w:lang w:val="en-US" w:eastAsia="zh-CN" w:bidi="ar"/>
                      <w14:textFill>
                        <w14:solidFill>
                          <w14:schemeClr w14:val="tx1"/>
                        </w14:solidFill>
                      </w14:textFill>
                    </w:rPr>
                    <w:t>.</w:t>
                  </w:r>
                  <w:r>
                    <w:rPr>
                      <w:rFonts w:hint="default" w:ascii="宋体" w:hAnsi="宋体" w:eastAsia="宋体" w:cs="宋体"/>
                      <w:color w:val="000000" w:themeColor="text1"/>
                      <w:kern w:val="0"/>
                      <w:sz w:val="21"/>
                      <w:szCs w:val="21"/>
                      <w:lang w:bidi="ar"/>
                      <w14:textFill>
                        <w14:solidFill>
                          <w14:schemeClr w14:val="tx1"/>
                        </w14:solidFill>
                      </w14:textFill>
                    </w:rPr>
                    <w:t>本项目不属于高耗水、环境影响较大的行业。</w:t>
                  </w:r>
                </w:p>
              </w:tc>
              <w:tc>
                <w:tcPr>
                  <w:tcW w:w="485"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0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1"/>
                      <w14:textFill>
                        <w14:solidFill>
                          <w14:schemeClr w14:val="tx1"/>
                        </w14:solidFill>
                      </w14:textFill>
                    </w:rPr>
                    <w:t>污染物排放管控</w:t>
                  </w:r>
                </w:p>
              </w:tc>
              <w:tc>
                <w:tcPr>
                  <w:tcW w:w="2316"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1</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执行自治区、乌昌石片区总体准入要求中关于重点管控单元污染物排放管控的准入要求（表</w:t>
                  </w:r>
                  <w:r>
                    <w:rPr>
                      <w:rFonts w:hint="default" w:ascii="Times New Roman" w:hAnsi="Times New Roman" w:eastAsia="宋体" w:cs="Times New Roman"/>
                      <w:color w:val="000000" w:themeColor="text1"/>
                      <w:sz w:val="21"/>
                      <w:szCs w:val="21"/>
                      <w14:textFill>
                        <w14:solidFill>
                          <w14:schemeClr w14:val="tx1"/>
                        </w14:solidFill>
                      </w14:textFill>
                    </w:rPr>
                    <w:t>2-3A6.2、表3.4-2B2</w:t>
                  </w:r>
                  <w:r>
                    <w:rPr>
                      <w:rFonts w:hint="default" w:ascii="宋体" w:hAnsi="Times New Roman" w:eastAsia="宋体" w:cs="Times New Roman"/>
                      <w:color w:val="000000" w:themeColor="text1"/>
                      <w:sz w:val="21"/>
                      <w:szCs w:val="21"/>
                      <w14:textFill>
                        <w14:solidFill>
                          <w14:schemeClr w14:val="tx1"/>
                        </w14:solidFill>
                      </w14:textFill>
                    </w:rPr>
                    <w:t>）。</w:t>
                  </w:r>
                </w:p>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2</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新（改、扩）建项目应执行最严格的大气污染物排放标准。</w:t>
                  </w:r>
                </w:p>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3</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PM</w:t>
                  </w:r>
                  <w:r>
                    <w:rPr>
                      <w:rFonts w:hint="default" w:ascii="Times New Roman" w:hAnsi="Times New Roman" w:eastAsia="Times New Roman" w:cs="Times New Roman"/>
                      <w:color w:val="000000" w:themeColor="text1"/>
                      <w:sz w:val="21"/>
                      <w:szCs w:val="21"/>
                      <w:vertAlign w:val="subscript"/>
                      <w14:textFill>
                        <w14:solidFill>
                          <w14:schemeClr w14:val="tx1"/>
                        </w14:solidFill>
                      </w14:textFill>
                    </w:rPr>
                    <w:t>2.5</w:t>
                  </w:r>
                  <w:r>
                    <w:rPr>
                      <w:rFonts w:hint="default" w:ascii="Times New Roman" w:hAnsi="Times New Roman" w:eastAsia="宋体" w:cs="Times New Roman"/>
                      <w:color w:val="000000" w:themeColor="text1"/>
                      <w:sz w:val="21"/>
                      <w:szCs w:val="21"/>
                      <w14:textFill>
                        <w14:solidFill>
                          <w14:schemeClr w14:val="tx1"/>
                        </w14:solidFill>
                      </w14:textFill>
                    </w:rPr>
                    <w:t>年均浓度不达标城市，禁止新（改、扩）建未落实SO</w:t>
                  </w:r>
                  <w:r>
                    <w:rPr>
                      <w:rFonts w:hint="default" w:ascii="Times New Roman" w:hAnsi="Times New Roman" w:eastAsia="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、NO</w:t>
                  </w:r>
                  <w:r>
                    <w:rPr>
                      <w:rFonts w:hint="default" w:ascii="Times New Roman" w:hAnsi="Times New Roman" w:eastAsia="宋体" w:cs="Times New Roman"/>
                      <w:color w:val="000000" w:themeColor="text1"/>
                      <w:sz w:val="21"/>
                      <w:szCs w:val="21"/>
                      <w:vertAlign w:val="subscript"/>
                      <w14:textFill>
                        <w14:solidFill>
                          <w14:schemeClr w14:val="tx1"/>
                        </w14:solidFill>
                      </w14:textFill>
                    </w:rPr>
                    <w:t>x</w:t>
                  </w:r>
                  <w:r>
                    <w:rPr>
                      <w:rFonts w:hint="default" w:ascii="宋体" w:hAnsi="Times New Roman" w:eastAsia="宋体" w:cs="Times New Roman"/>
                      <w:color w:val="000000" w:themeColor="text1"/>
                      <w:sz w:val="21"/>
                      <w:szCs w:val="21"/>
                      <w14:textFill>
                        <w14:solidFill>
                          <w14:schemeClr w14:val="tx1"/>
                        </w14:solidFill>
                      </w14:textFill>
                    </w:rPr>
                    <w:t>、烟粉尘、挥发性有机物（</w:t>
                  </w:r>
                  <w:r>
                    <w:rPr>
                      <w:rFonts w:hint="default" w:ascii="Times New Roman" w:hAnsi="Times New Roman" w:eastAsia="宋体" w:cs="Times New Roman"/>
                      <w:color w:val="000000" w:themeColor="text1"/>
                      <w:sz w:val="21"/>
                      <w:szCs w:val="21"/>
                      <w14:textFill>
                        <w14:solidFill>
                          <w14:schemeClr w14:val="tx1"/>
                        </w14:solidFill>
                      </w14:textFill>
                    </w:rPr>
                    <w:t>VOC</w:t>
                  </w:r>
                  <w:r>
                    <w:rPr>
                      <w:rFonts w:hint="eastAsia" w:cs="Times New Roman"/>
                      <w:color w:val="000000" w:themeColor="text1"/>
                      <w:sz w:val="21"/>
                      <w:szCs w:val="21"/>
                      <w:lang w:val="en-US" w:eastAsia="zh-CN"/>
                      <w14:textFill>
                        <w14:solidFill>
                          <w14:schemeClr w14:val="tx1"/>
                        </w14:solidFill>
                      </w14:textFill>
                    </w:rPr>
                    <w:t>s</w:t>
                  </w:r>
                  <w:r>
                    <w:rPr>
                      <w:rFonts w:hint="default" w:ascii="宋体" w:hAnsi="Times New Roman" w:eastAsia="宋体" w:cs="Times New Roman"/>
                      <w:color w:val="000000" w:themeColor="text1"/>
                      <w:sz w:val="21"/>
                      <w:szCs w:val="21"/>
                      <w14:textFill>
                        <w14:solidFill>
                          <w14:schemeClr w14:val="tx1"/>
                        </w14:solidFill>
                      </w14:textFill>
                    </w:rPr>
                    <w:t>）等四项大气污染物总量指标昌吉州区域内倍量替代的项目。</w:t>
                  </w:r>
                </w:p>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4</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严格限制石化、化工、包装印刷、工业涂装等</w:t>
                  </w:r>
                  <w:r>
                    <w:rPr>
                      <w:rFonts w:hint="default" w:ascii="Times New Roman" w:hAnsi="Times New Roman" w:eastAsia="宋体" w:cs="Times New Roman"/>
                      <w:color w:val="000000" w:themeColor="text1"/>
                      <w:sz w:val="21"/>
                      <w:szCs w:val="21"/>
                      <w14:textFill>
                        <w14:solidFill>
                          <w14:schemeClr w14:val="tx1"/>
                        </w14:solidFill>
                      </w14:textFill>
                    </w:rPr>
                    <w:t>高VOC</w:t>
                  </w:r>
                  <w:r>
                    <w:rPr>
                      <w:rFonts w:hint="eastAsia" w:cs="Times New Roman"/>
                      <w:color w:val="000000" w:themeColor="text1"/>
                      <w:sz w:val="21"/>
                      <w:szCs w:val="21"/>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14:textFill>
                        <w14:solidFill>
                          <w14:schemeClr w14:val="tx1"/>
                        </w14:solidFill>
                      </w14:textFill>
                    </w:rPr>
                    <w:t>排放建设项目，严格涉VOC</w:t>
                  </w:r>
                  <w:r>
                    <w:rPr>
                      <w:rFonts w:hint="eastAsia" w:cs="Times New Roman"/>
                      <w:color w:val="000000" w:themeColor="text1"/>
                      <w:sz w:val="21"/>
                      <w:szCs w:val="21"/>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14:textFill>
                        <w14:solidFill>
                          <w14:schemeClr w14:val="tx1"/>
                        </w14:solidFill>
                      </w14:textFill>
                    </w:rPr>
                    <w:t>建设项目环境影响评价，实行区域内VOC</w:t>
                  </w:r>
                  <w:r>
                    <w:rPr>
                      <w:rFonts w:hint="eastAsia" w:cs="Times New Roman"/>
                      <w:color w:val="000000" w:themeColor="text1"/>
                      <w:sz w:val="21"/>
                      <w:szCs w:val="21"/>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14:textFill>
                        <w14:solidFill>
                          <w14:schemeClr w14:val="tx1"/>
                        </w14:solidFill>
                      </w14:textFill>
                    </w:rPr>
                    <w:t>排放倍量削减替代，并将替代方案落实到企业排污许可证中，纳入环境执法管理。新、改、扩建涉VOC</w:t>
                  </w:r>
                  <w:r>
                    <w:rPr>
                      <w:rFonts w:hint="eastAsia" w:cs="Times New Roman"/>
                      <w:color w:val="000000" w:themeColor="text1"/>
                      <w:sz w:val="21"/>
                      <w:szCs w:val="21"/>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14:textFill>
                        <w14:solidFill>
                          <w14:schemeClr w14:val="tx1"/>
                        </w14:solidFill>
                      </w14:textFill>
                    </w:rPr>
                    <w:t>排放项目，应从源头加强</w:t>
                  </w:r>
                  <w:r>
                    <w:rPr>
                      <w:rFonts w:hint="default" w:ascii="宋体" w:hAnsi="Times New Roman" w:eastAsia="宋体" w:cs="Times New Roman"/>
                      <w:color w:val="000000" w:themeColor="text1"/>
                      <w:sz w:val="21"/>
                      <w:szCs w:val="21"/>
                      <w14:textFill>
                        <w14:solidFill>
                          <w14:schemeClr w14:val="tx1"/>
                        </w14:solidFill>
                      </w14:textFill>
                    </w:rPr>
                    <w:t>控制，使用低（无）</w:t>
                  </w:r>
                  <w:r>
                    <w:rPr>
                      <w:rFonts w:hint="default" w:ascii="Times New Roman" w:hAnsi="Times New Roman" w:eastAsia="宋体" w:cs="Times New Roman"/>
                      <w:color w:val="000000" w:themeColor="text1"/>
                      <w:sz w:val="21"/>
                      <w:szCs w:val="21"/>
                      <w14:textFill>
                        <w14:solidFill>
                          <w14:schemeClr w14:val="tx1"/>
                        </w14:solidFill>
                      </w14:textFill>
                    </w:rPr>
                    <w:t>VOC</w:t>
                  </w:r>
                  <w:r>
                    <w:rPr>
                      <w:rFonts w:hint="eastAsia" w:cs="Times New Roman"/>
                      <w:color w:val="000000" w:themeColor="text1"/>
                      <w:sz w:val="21"/>
                      <w:szCs w:val="21"/>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14:textFill>
                        <w14:solidFill>
                          <w14:schemeClr w14:val="tx1"/>
                        </w14:solidFill>
                      </w14:textFill>
                    </w:rPr>
                    <w:t>含</w:t>
                  </w:r>
                  <w:r>
                    <w:rPr>
                      <w:rFonts w:hint="default" w:ascii="宋体" w:hAnsi="Times New Roman" w:eastAsia="宋体" w:cs="Times New Roman"/>
                      <w:color w:val="000000" w:themeColor="text1"/>
                      <w:sz w:val="21"/>
                      <w:szCs w:val="21"/>
                      <w14:textFill>
                        <w14:solidFill>
                          <w14:schemeClr w14:val="tx1"/>
                        </w14:solidFill>
                      </w14:textFill>
                    </w:rPr>
                    <w:t>量的原辅材料，加强废气收集，安装高效治理设施。</w:t>
                  </w:r>
                </w:p>
              </w:tc>
              <w:tc>
                <w:tcPr>
                  <w:tcW w:w="179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Times New Roman" w:hAnsi="Times New Roman" w:eastAsia="宋体" w:cs="Times New Roman"/>
                      <w:b w:val="0"/>
                      <w:bCs w:val="0"/>
                      <w:color w:val="000000" w:themeColor="text1"/>
                      <w:kern w:val="2"/>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1</w:t>
                  </w:r>
                  <w:r>
                    <w:rPr>
                      <w:rFonts w:hint="eastAsia" w:eastAsia="宋体" w:cs="Times New Roman"/>
                      <w:color w:val="000000" w:themeColor="text1"/>
                      <w:sz w:val="21"/>
                      <w:szCs w:val="21"/>
                      <w:lang w:val="en-US" w:eastAsia="zh-CN"/>
                      <w14:textFill>
                        <w14:solidFill>
                          <w14:schemeClr w14:val="tx1"/>
                        </w14:solidFill>
                      </w14:textFill>
                    </w:rPr>
                    <w:t>.</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本项目严格执行表</w:t>
                  </w: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2-3 A6.2</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中重点管控单元污染物排放管控要求。</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Times New Roman" w:hAnsi="Times New Roman" w:eastAsia="宋体" w:cs="Times New Roman"/>
                      <w:b w:val="0"/>
                      <w:bCs w:val="0"/>
                      <w:color w:val="000000" w:themeColor="text1"/>
                      <w:kern w:val="2"/>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2</w:t>
                  </w:r>
                  <w:r>
                    <w:rPr>
                      <w:rFonts w:hint="eastAsia" w:cs="Times New Roman"/>
                      <w:b w:val="0"/>
                      <w:bCs w:val="0"/>
                      <w:color w:val="000000" w:themeColor="text1"/>
                      <w:kern w:val="2"/>
                      <w:sz w:val="21"/>
                      <w:szCs w:val="21"/>
                      <w:lang w:val="en-US" w:eastAsia="zh-CN" w:bidi="ar"/>
                      <w14:textFill>
                        <w14:solidFill>
                          <w14:schemeClr w14:val="tx1"/>
                        </w14:solidFill>
                      </w14:textFill>
                    </w:rPr>
                    <w:t>.</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本项目为</w:t>
                  </w:r>
                  <w:r>
                    <w:rPr>
                      <w:rFonts w:hint="eastAsia" w:ascii="宋体" w:hAnsi="宋体" w:cs="宋体"/>
                      <w:b w:val="0"/>
                      <w:bCs w:val="0"/>
                      <w:color w:val="000000" w:themeColor="text1"/>
                      <w:kern w:val="2"/>
                      <w:sz w:val="21"/>
                      <w:szCs w:val="21"/>
                      <w:lang w:val="en-US" w:eastAsia="zh-CN" w:bidi="ar"/>
                      <w14:textFill>
                        <w14:solidFill>
                          <w14:schemeClr w14:val="tx1"/>
                        </w14:solidFill>
                      </w14:textFill>
                    </w:rPr>
                    <w:t>粉煤灰贮存项目</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，执行大气污染物特别排放限值要求。</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3</w:t>
                  </w:r>
                  <w:r>
                    <w:rPr>
                      <w:rFonts w:hint="eastAsia" w:cs="Times New Roman"/>
                      <w:b w:val="0"/>
                      <w:bCs w:val="0"/>
                      <w:color w:val="000000" w:themeColor="text1"/>
                      <w:kern w:val="2"/>
                      <w:sz w:val="21"/>
                      <w:szCs w:val="21"/>
                      <w:lang w:val="en-US" w:eastAsia="zh-CN" w:bidi="ar"/>
                      <w14:textFill>
                        <w14:solidFill>
                          <w14:schemeClr w14:val="tx1"/>
                        </w14:solidFill>
                      </w14:textFill>
                    </w:rPr>
                    <w:t>.</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本项目实行区域内</w:t>
                  </w:r>
                  <w:r>
                    <w:rPr>
                      <w:rFonts w:hint="eastAsia" w:cs="Times New Roman"/>
                      <w:b w:val="0"/>
                      <w:bCs w:val="0"/>
                      <w:color w:val="000000" w:themeColor="text1"/>
                      <w:kern w:val="2"/>
                      <w:sz w:val="21"/>
                      <w:szCs w:val="21"/>
                      <w:lang w:val="en-US" w:eastAsia="zh-CN" w:bidi="ar"/>
                      <w14:textFill>
                        <w14:solidFill>
                          <w14:schemeClr w14:val="tx1"/>
                        </w14:solidFill>
                      </w14:textFill>
                    </w:rPr>
                    <w:t>颗粒物</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排放倍量削减替代，并将替代方案落实到排污许可证中。</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cs="宋体"/>
                      <w:b w:val="0"/>
                      <w:bCs w:val="0"/>
                      <w:color w:val="000000" w:themeColor="text1"/>
                      <w:kern w:val="2"/>
                      <w:sz w:val="21"/>
                      <w:szCs w:val="21"/>
                      <w:lang w:val="en-US" w:eastAsia="zh-CN" w:bidi="ar"/>
                      <w14:textFill>
                        <w14:solidFill>
                          <w14:schemeClr w14:val="tx1"/>
                        </w14:solidFill>
                      </w14:textFill>
                    </w:rPr>
                    <w:t>4.本</w:t>
                  </w:r>
                  <w:r>
                    <w:rPr>
                      <w:rFonts w:hint="default" w:ascii="Times New Roman" w:hAnsi="Times New Roman" w:cs="Times New Roman"/>
                      <w:b w:val="0"/>
                      <w:bCs w:val="0"/>
                      <w:color w:val="000000" w:themeColor="text1"/>
                      <w:kern w:val="2"/>
                      <w:sz w:val="21"/>
                      <w:szCs w:val="21"/>
                      <w:lang w:val="en-US" w:eastAsia="zh-CN" w:bidi="ar"/>
                      <w14:textFill>
                        <w14:solidFill>
                          <w14:schemeClr w14:val="tx1"/>
                        </w14:solidFill>
                      </w14:textFill>
                    </w:rPr>
                    <w:t>项目运营期不涉及VOCs。</w:t>
                  </w:r>
                </w:p>
                <w:p>
                  <w:pPr>
                    <w:keepNext w:val="0"/>
                    <w:keepLines w:val="0"/>
                    <w:suppressLineNumbers w:val="0"/>
                    <w:spacing w:before="0" w:beforeLines="0" w:beforeAutospacing="0" w:after="0" w:afterLines="0" w:afterAutospacing="0"/>
                    <w:ind w:left="0" w:right="0"/>
                    <w:jc w:val="left"/>
                    <w:rPr>
                      <w:rFonts w:hint="eastAsia" w:ascii="Times New Roman" w:hAnsi="Times New Roman" w:eastAsia="Times New Roman" w:cs="Times New Roman"/>
                      <w:color w:val="000000" w:themeColor="text1"/>
                      <w:sz w:val="21"/>
                      <w:szCs w:val="21"/>
                      <w14:textFill>
                        <w14:solidFill>
                          <w14:schemeClr w14:val="tx1"/>
                        </w14:solidFill>
                      </w14:textFill>
                    </w:rPr>
                  </w:pPr>
                </w:p>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p>
              </w:tc>
              <w:tc>
                <w:tcPr>
                  <w:tcW w:w="485"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0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1"/>
                      <w14:textFill>
                        <w14:solidFill>
                          <w14:schemeClr w14:val="tx1"/>
                        </w14:solidFill>
                      </w14:textFill>
                    </w:rPr>
                    <w:t>环境风险防控</w:t>
                  </w:r>
                </w:p>
              </w:tc>
              <w:tc>
                <w:tcPr>
                  <w:tcW w:w="2316"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1</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执行自治区、乌昌石片区总体准入要求中关于重点管控单元环境风险防控的准入要求（表</w:t>
                  </w:r>
                  <w:r>
                    <w:rPr>
                      <w:rFonts w:hint="default" w:ascii="Times New Roman" w:hAnsi="Times New Roman" w:eastAsia="宋体" w:cs="Times New Roman"/>
                      <w:color w:val="000000" w:themeColor="text1"/>
                      <w:sz w:val="21"/>
                      <w:szCs w:val="21"/>
                      <w14:textFill>
                        <w14:solidFill>
                          <w14:schemeClr w14:val="tx1"/>
                        </w14:solidFill>
                      </w14:textFill>
                    </w:rPr>
                    <w:t>2-3A6.3、表3.4-2B3</w:t>
                  </w:r>
                  <w:r>
                    <w:rPr>
                      <w:rFonts w:hint="default" w:ascii="宋体" w:hAnsi="Times New Roman" w:eastAsia="宋体" w:cs="Times New Roman"/>
                      <w:color w:val="000000" w:themeColor="text1"/>
                      <w:sz w:val="21"/>
                      <w:szCs w:val="21"/>
                      <w14:textFill>
                        <w14:solidFill>
                          <w14:schemeClr w14:val="tx1"/>
                        </w14:solidFill>
                      </w14:textFill>
                    </w:rPr>
                    <w:t>）。</w:t>
                  </w:r>
                </w:p>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2</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严格落实错峰生产方案和重污染天气应急响应措施。</w:t>
                  </w:r>
                </w:p>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3</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生产、使用、贮存、运输、回收、处置、排放有毒有害物质的单位和个人，应当采取措施，防止有毒有害物质渗漏、流失、扬散，避免土壤受到污染。</w:t>
                  </w:r>
                </w:p>
              </w:tc>
              <w:tc>
                <w:tcPr>
                  <w:tcW w:w="179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widowControl/>
                    <w:suppressLineNumbers w:val="0"/>
                    <w:spacing w:before="0" w:beforeLines="0" w:beforeAutospacing="0" w:after="0" w:afterLines="0" w:afterAutospacing="0"/>
                    <w:ind w:left="0" w:right="0"/>
                    <w:jc w:val="left"/>
                    <w:rPr>
                      <w:rFonts w:hint="default" w:ascii="宋体" w:hAnsi="宋体" w:eastAsia="宋体" w:cs="宋体"/>
                      <w:color w:val="000000" w:themeColor="text1"/>
                      <w:kern w:val="0"/>
                      <w:sz w:val="21"/>
                      <w:szCs w:val="21"/>
                      <w:lang w:bidi="ar"/>
                      <w14:textFill>
                        <w14:solidFill>
                          <w14:schemeClr w14:val="tx1"/>
                        </w14:solidFill>
                      </w14:textFill>
                    </w:rPr>
                  </w:pP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1</w:t>
                  </w:r>
                  <w:r>
                    <w:rPr>
                      <w:rFonts w:hint="eastAsia" w:eastAsia="宋体" w:cs="Times New Roman"/>
                      <w:color w:val="000000" w:themeColor="text1"/>
                      <w:kern w:val="0"/>
                      <w:sz w:val="21"/>
                      <w:szCs w:val="21"/>
                      <w:lang w:val="en-US" w:eastAsia="zh-CN" w:bidi="ar"/>
                      <w14:textFill>
                        <w14:solidFill>
                          <w14:schemeClr w14:val="tx1"/>
                        </w14:solidFill>
                      </w14:textFill>
                    </w:rPr>
                    <w:t>.</w:t>
                  </w:r>
                  <w:r>
                    <w:rPr>
                      <w:rFonts w:hint="default" w:ascii="宋体" w:hAnsi="宋体" w:eastAsia="宋体" w:cs="宋体"/>
                      <w:color w:val="000000" w:themeColor="text1"/>
                      <w:kern w:val="0"/>
                      <w:sz w:val="21"/>
                      <w:szCs w:val="21"/>
                      <w:lang w:bidi="ar"/>
                      <w14:textFill>
                        <w14:solidFill>
                          <w14:schemeClr w14:val="tx1"/>
                        </w14:solidFill>
                      </w14:textFill>
                    </w:rPr>
                    <w:t>本项目不属于表</w:t>
                  </w: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2-3A6.3</w:t>
                  </w:r>
                  <w:r>
                    <w:rPr>
                      <w:rFonts w:hint="default" w:ascii="宋体" w:hAnsi="宋体" w:eastAsia="宋体" w:cs="宋体"/>
                      <w:color w:val="000000" w:themeColor="text1"/>
                      <w:kern w:val="0"/>
                      <w:sz w:val="21"/>
                      <w:szCs w:val="21"/>
                      <w:lang w:bidi="ar"/>
                      <w14:textFill>
                        <w14:solidFill>
                          <w14:schemeClr w14:val="tx1"/>
                        </w14:solidFill>
                      </w14:textFill>
                    </w:rPr>
                    <w:t>中关于重点管控单元环境风险防控限制内容。</w:t>
                  </w:r>
                </w:p>
                <w:p>
                  <w:pPr>
                    <w:keepNext w:val="0"/>
                    <w:keepLines w:val="0"/>
                    <w:widowControl/>
                    <w:suppressLineNumbers w:val="0"/>
                    <w:spacing w:before="0" w:beforeLines="0" w:beforeAutospacing="0" w:after="0" w:afterLines="0" w:afterAutospacing="0"/>
                    <w:ind w:left="0" w:right="0"/>
                    <w:jc w:val="both"/>
                    <w:rPr>
                      <w:rFonts w:hint="default"/>
                      <w:color w:val="FF0000"/>
                      <w:sz w:val="21"/>
                      <w:szCs w:val="24"/>
                    </w:rPr>
                  </w:pPr>
                  <w:r>
                    <w:rPr>
                      <w:rFonts w:hint="eastAsia" w:ascii="Times New Roman" w:hAnsi="Times New Roman" w:eastAsia="Times New Roman" w:cs="Times New Roman"/>
                      <w:color w:val="FF0000"/>
                      <w:kern w:val="0"/>
                      <w:sz w:val="21"/>
                      <w:szCs w:val="21"/>
                      <w:lang w:bidi="ar"/>
                    </w:rPr>
                    <w:t>2</w:t>
                  </w:r>
                  <w:r>
                    <w:rPr>
                      <w:rFonts w:hint="eastAsia" w:eastAsia="宋体" w:cs="Times New Roman"/>
                      <w:color w:val="FF0000"/>
                      <w:kern w:val="0"/>
                      <w:sz w:val="21"/>
                      <w:szCs w:val="21"/>
                      <w:lang w:val="en-US" w:eastAsia="zh-CN" w:bidi="ar"/>
                    </w:rPr>
                    <w:t>.</w:t>
                  </w:r>
                  <w:r>
                    <w:rPr>
                      <w:rFonts w:hint="default" w:ascii="宋体" w:hAnsi="宋体" w:eastAsia="宋体" w:cs="宋体"/>
                      <w:color w:val="FF0000"/>
                      <w:kern w:val="0"/>
                      <w:sz w:val="21"/>
                      <w:szCs w:val="21"/>
                      <w:lang w:bidi="ar"/>
                    </w:rPr>
                    <w:t>本项目仅为粉煤灰贮存项目，无生产加工工序，不属于采暖季错峰生产实施行业，不涉及错峰生产管控；项目不涉及工业生产线的停产限产类重污染天气应急减排措施，但重污染天气预警期间，需严格落实堆场密闭、装卸抑尘等无组织扬尘管控，如大宗物料运输达到管控阈值，应按预案执行错峰运输管控。</w:t>
                  </w:r>
                </w:p>
                <w:p>
                  <w:pPr>
                    <w:keepNext w:val="0"/>
                    <w:keepLines w:val="0"/>
                    <w:widowControl/>
                    <w:suppressLineNumbers w:val="0"/>
                    <w:spacing w:before="0" w:beforeLines="0" w:beforeAutospacing="0" w:after="0" w:afterLines="0" w:afterAutospacing="0"/>
                    <w:ind w:left="0" w:right="0"/>
                    <w:jc w:val="left"/>
                    <w:rPr>
                      <w:rFonts w:hint="eastAsia"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3</w:t>
                  </w:r>
                  <w:r>
                    <w:rPr>
                      <w:rFonts w:hint="eastAsia" w:eastAsia="宋体" w:cs="Times New Roman"/>
                      <w:color w:val="000000" w:themeColor="text1"/>
                      <w:kern w:val="0"/>
                      <w:sz w:val="21"/>
                      <w:szCs w:val="21"/>
                      <w:lang w:val="en-US" w:eastAsia="zh-CN" w:bidi="ar"/>
                      <w14:textFill>
                        <w14:solidFill>
                          <w14:schemeClr w14:val="tx1"/>
                        </w14:solidFill>
                      </w14:textFill>
                    </w:rPr>
                    <w:t>.</w:t>
                  </w:r>
                  <w:r>
                    <w:rPr>
                      <w:rFonts w:hint="default" w:ascii="宋体" w:hAnsi="Times New Roman" w:eastAsia="宋体" w:cs="Times New Roman"/>
                      <w:color w:val="000000" w:themeColor="text1"/>
                      <w:sz w:val="21"/>
                      <w:szCs w:val="21"/>
                      <w14:textFill>
                        <w14:solidFill>
                          <w14:schemeClr w14:val="tx1"/>
                        </w14:solidFill>
                      </w14:textFill>
                    </w:rPr>
                    <w:t>本项目严格落实本环评要求的措施，对项目区土壤影响较小</w:t>
                  </w:r>
                  <w:r>
                    <w:rPr>
                      <w:rFonts w:hint="default" w:ascii="宋体" w:hAnsi="宋体" w:eastAsia="宋体" w:cs="宋体"/>
                      <w:color w:val="000000" w:themeColor="text1"/>
                      <w:kern w:val="0"/>
                      <w:sz w:val="21"/>
                      <w:szCs w:val="21"/>
                      <w:lang w:bidi="ar"/>
                      <w14:textFill>
                        <w14:solidFill>
                          <w14:schemeClr w14:val="tx1"/>
                        </w14:solidFill>
                      </w14:textFill>
                    </w:rPr>
                    <w:t>。</w:t>
                  </w:r>
                </w:p>
              </w:tc>
              <w:tc>
                <w:tcPr>
                  <w:tcW w:w="485"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00"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1"/>
                      <w14:textFill>
                        <w14:solidFill>
                          <w14:schemeClr w14:val="tx1"/>
                        </w14:solidFill>
                      </w14:textFill>
                    </w:rPr>
                    <w:t>资源利用效率</w:t>
                  </w:r>
                </w:p>
              </w:tc>
              <w:tc>
                <w:tcPr>
                  <w:tcW w:w="2316"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both"/>
                    <w:rPr>
                      <w:rFonts w:hint="default" w:ascii="Times New Roman" w:hAnsi="Times New Roman" w:eastAsia="Times New Roman" w:cs="Times New Roman"/>
                      <w:color w:val="000000" w:themeColor="text1"/>
                      <w:sz w:val="21"/>
                      <w:szCs w:val="21"/>
                      <w14:textFill>
                        <w14:solidFill>
                          <w14:schemeClr w14:val="tx1"/>
                        </w14:solidFill>
                      </w14:textFill>
                    </w:rPr>
                  </w:pPr>
                  <w:r>
                    <w:rPr>
                      <w:rFonts w:hint="eastAsia" w:ascii="Times New Roman" w:hAnsi="Times New Roman" w:eastAsia="Times New Roman" w:cs="Times New Roman"/>
                      <w:color w:val="000000" w:themeColor="text1"/>
                      <w:sz w:val="21"/>
                      <w:szCs w:val="21"/>
                      <w14:textFill>
                        <w14:solidFill>
                          <w14:schemeClr w14:val="tx1"/>
                        </w14:solidFill>
                      </w14:textFill>
                    </w:rPr>
                    <w:t>1</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执行自治区、乌昌石片区总体准入要求中关于重点管控单元资源利用效率的准入要求（表2-3A6.4、表3.4-2B4）。</w:t>
                  </w:r>
                </w:p>
                <w:p>
                  <w:pPr>
                    <w:keepNext w:val="0"/>
                    <w:keepLines w:val="0"/>
                    <w:suppressLineNumbers w:val="0"/>
                    <w:spacing w:before="0" w:beforeLines="0" w:beforeAutospacing="0" w:after="0" w:afterLines="0" w:afterAutospacing="0"/>
                    <w:ind w:left="0" w:right="0"/>
                    <w:jc w:val="both"/>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2</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污水处理率达到90%以上，中水回用率达到95%以上。</w:t>
                  </w:r>
                </w:p>
                <w:p>
                  <w:pPr>
                    <w:keepNext w:val="0"/>
                    <w:keepLines w:val="0"/>
                    <w:suppressLineNumbers w:val="0"/>
                    <w:spacing w:before="0" w:beforeLines="0" w:beforeAutospacing="0" w:after="0" w:afterLines="0" w:afterAutospacing="0"/>
                    <w:ind w:left="0" w:right="0"/>
                    <w:jc w:val="both"/>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3</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逐步停止开采地下水，优先使用地表水，地下水水源逐步转为备用水源。</w:t>
                  </w:r>
                </w:p>
                <w:p>
                  <w:pPr>
                    <w:keepNext w:val="0"/>
                    <w:keepLines w:val="0"/>
                    <w:suppressLineNumbers w:val="0"/>
                    <w:spacing w:before="0" w:beforeLines="0" w:beforeAutospacing="0" w:after="0" w:afterLines="0" w:afterAutospacing="0"/>
                    <w:ind w:left="0" w:right="0"/>
                    <w:jc w:val="both"/>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4</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工业固体废物综合利用率达到90%以上。</w:t>
                  </w:r>
                </w:p>
                <w:p>
                  <w:pPr>
                    <w:keepNext w:val="0"/>
                    <w:keepLines w:val="0"/>
                    <w:suppressLineNumbers w:val="0"/>
                    <w:spacing w:before="0" w:beforeLines="0" w:beforeAutospacing="0" w:after="0" w:afterLines="0" w:afterAutospacing="0"/>
                    <w:ind w:left="0" w:right="0"/>
                    <w:jc w:val="both"/>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5</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提高清洁能源使用占比，减少化石燃料使用量。</w:t>
                  </w:r>
                </w:p>
                <w:p>
                  <w:pPr>
                    <w:keepNext w:val="0"/>
                    <w:keepLines w:val="0"/>
                    <w:suppressLineNumbers w:val="0"/>
                    <w:spacing w:before="0" w:beforeLines="0" w:beforeAutospacing="0" w:after="0" w:afterLines="0" w:afterAutospacing="0"/>
                    <w:ind w:left="0" w:right="0"/>
                    <w:jc w:val="both"/>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6</w:t>
                  </w:r>
                  <w:r>
                    <w:rPr>
                      <w:rFonts w:hint="eastAsia"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园区水资源开发总量、土地投资强度、能耗消费增量等指标应达到水利、国土、能源等部门相应要求。</w:t>
                  </w:r>
                </w:p>
              </w:tc>
              <w:tc>
                <w:tcPr>
                  <w:tcW w:w="1798"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widowControl/>
                    <w:suppressLineNumbers w:val="0"/>
                    <w:spacing w:before="0" w:beforeLines="0" w:beforeAutospacing="0" w:after="0" w:afterLines="0" w:afterAutospacing="0"/>
                    <w:ind w:left="0" w:right="0"/>
                    <w:jc w:val="both"/>
                    <w:rPr>
                      <w:rFonts w:hint="default"/>
                      <w:color w:val="000000" w:themeColor="text1"/>
                      <w:sz w:val="21"/>
                      <w:szCs w:val="24"/>
                      <w14:textFill>
                        <w14:solidFill>
                          <w14:schemeClr w14:val="tx1"/>
                        </w14:solidFill>
                      </w14:textFill>
                    </w:rPr>
                  </w:pP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1</w:t>
                  </w:r>
                  <w:r>
                    <w:rPr>
                      <w:rFonts w:hint="eastAsia" w:eastAsia="宋体" w:cs="Times New Roman"/>
                      <w:color w:val="000000" w:themeColor="text1"/>
                      <w:kern w:val="0"/>
                      <w:sz w:val="21"/>
                      <w:szCs w:val="21"/>
                      <w:lang w:val="en-US" w:eastAsia="zh-CN" w:bidi="ar"/>
                      <w14:textFill>
                        <w14:solidFill>
                          <w14:schemeClr w14:val="tx1"/>
                        </w14:solidFill>
                      </w14:textFill>
                    </w:rPr>
                    <w:t>.</w:t>
                  </w:r>
                  <w:r>
                    <w:rPr>
                      <w:rFonts w:hint="default" w:ascii="宋体" w:hAnsi="宋体" w:eastAsia="宋体" w:cs="宋体"/>
                      <w:color w:val="000000" w:themeColor="text1"/>
                      <w:kern w:val="0"/>
                      <w:sz w:val="21"/>
                      <w:szCs w:val="21"/>
                      <w:lang w:bidi="ar"/>
                      <w14:textFill>
                        <w14:solidFill>
                          <w14:schemeClr w14:val="tx1"/>
                        </w14:solidFill>
                      </w14:textFill>
                    </w:rPr>
                    <w:t>本项目不属于表</w:t>
                  </w: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2-3A6.</w:t>
                  </w:r>
                  <w:r>
                    <w:rPr>
                      <w:rFonts w:hint="default" w:ascii="宋体" w:hAnsi="Times New Roman" w:eastAsia="宋体" w:cs="Times New Roman"/>
                      <w:color w:val="000000" w:themeColor="text1"/>
                      <w:kern w:val="0"/>
                      <w:sz w:val="21"/>
                      <w:szCs w:val="21"/>
                      <w:lang w:bidi="ar"/>
                      <w14:textFill>
                        <w14:solidFill>
                          <w14:schemeClr w14:val="tx1"/>
                        </w14:solidFill>
                      </w14:textFill>
                    </w:rPr>
                    <w:t>4</w:t>
                  </w:r>
                  <w:r>
                    <w:rPr>
                      <w:rFonts w:hint="default" w:ascii="宋体" w:hAnsi="宋体" w:eastAsia="宋体" w:cs="宋体"/>
                      <w:color w:val="000000" w:themeColor="text1"/>
                      <w:kern w:val="0"/>
                      <w:sz w:val="21"/>
                      <w:szCs w:val="21"/>
                      <w:lang w:bidi="ar"/>
                      <w14:textFill>
                        <w14:solidFill>
                          <w14:schemeClr w14:val="tx1"/>
                        </w14:solidFill>
                      </w14:textFill>
                    </w:rPr>
                    <w:t>、表</w:t>
                  </w: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3.4-2B4</w:t>
                  </w:r>
                  <w:r>
                    <w:rPr>
                      <w:rFonts w:hint="default" w:ascii="宋体" w:hAnsi="宋体" w:eastAsia="宋体" w:cs="宋体"/>
                      <w:color w:val="000000" w:themeColor="text1"/>
                      <w:kern w:val="0"/>
                      <w:sz w:val="21"/>
                      <w:szCs w:val="21"/>
                      <w:lang w:bidi="ar"/>
                      <w14:textFill>
                        <w14:solidFill>
                          <w14:schemeClr w14:val="tx1"/>
                        </w14:solidFill>
                      </w14:textFill>
                    </w:rPr>
                    <w:t>中关于重点管控单元资源利用效率限制内容。</w:t>
                  </w:r>
                </w:p>
                <w:p>
                  <w:pPr>
                    <w:keepNext w:val="0"/>
                    <w:keepLines w:val="0"/>
                    <w:widowControl/>
                    <w:suppressLineNumbers w:val="0"/>
                    <w:spacing w:before="0" w:beforeLines="0" w:beforeAutospacing="0" w:after="0" w:afterLines="0" w:afterAutospacing="0"/>
                    <w:ind w:left="0" w:right="0"/>
                    <w:jc w:val="both"/>
                    <w:rPr>
                      <w:rFonts w:hint="default"/>
                      <w:color w:val="000000" w:themeColor="text1"/>
                      <w:sz w:val="21"/>
                      <w:szCs w:val="24"/>
                      <w14:textFill>
                        <w14:solidFill>
                          <w14:schemeClr w14:val="tx1"/>
                        </w14:solidFill>
                      </w14:textFill>
                    </w:rPr>
                  </w:pPr>
                  <w:r>
                    <w:rPr>
                      <w:rFonts w:hint="eastAsia" w:ascii="Times New Roman" w:hAnsi="Times New Roman" w:eastAsia="Times New Roman" w:cs="Times New Roman"/>
                      <w:color w:val="000000" w:themeColor="text1"/>
                      <w:kern w:val="0"/>
                      <w:sz w:val="21"/>
                      <w:szCs w:val="21"/>
                      <w:lang w:bidi="ar"/>
                      <w14:textFill>
                        <w14:solidFill>
                          <w14:schemeClr w14:val="tx1"/>
                        </w14:solidFill>
                      </w14:textFill>
                    </w:rPr>
                    <w:t>2</w:t>
                  </w:r>
                  <w:r>
                    <w:rPr>
                      <w:rFonts w:hint="eastAsia" w:eastAsia="宋体" w:cs="Times New Roman"/>
                      <w:color w:val="000000" w:themeColor="text1"/>
                      <w:kern w:val="0"/>
                      <w:sz w:val="21"/>
                      <w:szCs w:val="21"/>
                      <w:lang w:val="en-US" w:eastAsia="zh-CN" w:bidi="ar"/>
                      <w14:textFill>
                        <w14:solidFill>
                          <w14:schemeClr w14:val="tx1"/>
                        </w14:solidFill>
                      </w14:textFill>
                    </w:rPr>
                    <w:t>.</w:t>
                  </w:r>
                  <w:r>
                    <w:rPr>
                      <w:rFonts w:hint="default" w:ascii="宋体" w:hAnsi="宋体" w:eastAsia="宋体" w:cs="宋体"/>
                      <w:color w:val="000000" w:themeColor="text1"/>
                      <w:kern w:val="0"/>
                      <w:sz w:val="21"/>
                      <w:szCs w:val="21"/>
                      <w:lang w:bidi="ar"/>
                      <w14:textFill>
                        <w14:solidFill>
                          <w14:schemeClr w14:val="tx1"/>
                        </w14:solidFill>
                      </w14:textFill>
                    </w:rPr>
                    <w:t>本项目生产</w:t>
                  </w:r>
                  <w:r>
                    <w:rPr>
                      <w:rFonts w:hint="eastAsia" w:ascii="宋体" w:hAnsi="宋体" w:cs="宋体"/>
                      <w:color w:val="000000" w:themeColor="text1"/>
                      <w:kern w:val="0"/>
                      <w:sz w:val="21"/>
                      <w:szCs w:val="21"/>
                      <w:lang w:val="en-US" w:eastAsia="zh-CN" w:bidi="ar"/>
                      <w14:textFill>
                        <w14:solidFill>
                          <w14:schemeClr w14:val="tx1"/>
                        </w14:solidFill>
                      </w14:textFill>
                    </w:rPr>
                    <w:t>不产生废水</w:t>
                  </w:r>
                  <w:r>
                    <w:rPr>
                      <w:rFonts w:hint="default" w:ascii="宋体" w:hAnsi="宋体" w:eastAsia="宋体" w:cs="宋体"/>
                      <w:color w:val="000000" w:themeColor="text1"/>
                      <w:kern w:val="0"/>
                      <w:sz w:val="21"/>
                      <w:szCs w:val="21"/>
                      <w:lang w:bidi="ar"/>
                      <w14:textFill>
                        <w14:solidFill>
                          <w14:schemeClr w14:val="tx1"/>
                        </w14:solidFill>
                      </w14:textFill>
                    </w:rPr>
                    <w:t>，生活污水排入园区管网。</w:t>
                  </w:r>
                </w:p>
                <w:p>
                  <w:pPr>
                    <w:keepNext w:val="0"/>
                    <w:keepLines w:val="0"/>
                    <w:widowControl/>
                    <w:suppressLineNumbers w:val="0"/>
                    <w:spacing w:before="0" w:beforeLines="0" w:beforeAutospacing="0" w:after="0" w:afterLines="0" w:afterAutospacing="0"/>
                    <w:ind w:left="0" w:right="0"/>
                    <w:jc w:val="both"/>
                    <w:rPr>
                      <w:rFonts w:hint="default"/>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3</w:t>
                  </w:r>
                  <w:r>
                    <w:rPr>
                      <w:rFonts w:hint="eastAsia"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本项目用水由园区供水点通过自来水管</w:t>
                  </w:r>
                  <w:r>
                    <w:rPr>
                      <w:rFonts w:hint="eastAsia" w:cs="Times New Roman"/>
                      <w:color w:val="000000" w:themeColor="text1"/>
                      <w:sz w:val="21"/>
                      <w:szCs w:val="21"/>
                      <w:lang w:val="en-US" w:eastAsia="zh-CN"/>
                      <w14:textFill>
                        <w14:solidFill>
                          <w14:schemeClr w14:val="tx1"/>
                        </w14:solidFill>
                      </w14:textFill>
                    </w:rPr>
                    <w:t>网</w:t>
                  </w:r>
                  <w:r>
                    <w:rPr>
                      <w:rFonts w:hint="default" w:ascii="Times New Roman" w:hAnsi="Times New Roman" w:eastAsia="宋体" w:cs="Times New Roman"/>
                      <w:color w:val="000000" w:themeColor="text1"/>
                      <w:sz w:val="21"/>
                      <w:szCs w:val="21"/>
                      <w14:textFill>
                        <w14:solidFill>
                          <w14:schemeClr w14:val="tx1"/>
                        </w14:solidFill>
                      </w14:textFill>
                    </w:rPr>
                    <w:t>供给，不开采地下水</w:t>
                  </w:r>
                  <w:r>
                    <w:rPr>
                      <w:rFonts w:hint="default" w:ascii="宋体" w:hAnsi="宋体" w:eastAsia="宋体" w:cs="宋体"/>
                      <w:color w:val="000000" w:themeColor="text1"/>
                      <w:kern w:val="0"/>
                      <w:sz w:val="21"/>
                      <w:szCs w:val="21"/>
                      <w:lang w:bidi="ar"/>
                      <w14:textFill>
                        <w14:solidFill>
                          <w14:schemeClr w14:val="tx1"/>
                        </w14:solidFill>
                      </w14:textFill>
                    </w:rPr>
                    <w:t>。</w:t>
                  </w:r>
                </w:p>
                <w:p>
                  <w:pPr>
                    <w:keepNext w:val="0"/>
                    <w:keepLines w:val="0"/>
                    <w:widowControl/>
                    <w:suppressLineNumbers w:val="0"/>
                    <w:spacing w:before="0" w:beforeLines="0" w:beforeAutospacing="0" w:after="0" w:afterLines="0" w:afterAutospacing="0"/>
                    <w:ind w:left="0" w:right="0"/>
                    <w:jc w:val="both"/>
                    <w:rPr>
                      <w:rFonts w:hint="default" w:ascii="宋体" w:hAnsi="宋体" w:eastAsia="宋体" w:cs="宋体"/>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4.</w:t>
                  </w:r>
                  <w:r>
                    <w:rPr>
                      <w:rFonts w:hint="default" w:ascii="宋体" w:hAnsi="宋体" w:eastAsia="宋体" w:cs="宋体"/>
                      <w:color w:val="000000" w:themeColor="text1"/>
                      <w:kern w:val="0"/>
                      <w:sz w:val="21"/>
                      <w:szCs w:val="21"/>
                      <w:lang w:bidi="ar"/>
                      <w14:textFill>
                        <w14:solidFill>
                          <w14:schemeClr w14:val="tx1"/>
                        </w14:solidFill>
                      </w14:textFill>
                    </w:rPr>
                    <w:t>本项目涉及的能耗主要为电力，属于清洁能源。</w:t>
                  </w:r>
                </w:p>
                <w:p>
                  <w:pPr>
                    <w:keepNext w:val="0"/>
                    <w:keepLines w:val="0"/>
                    <w:widowControl/>
                    <w:suppressLineNumbers w:val="0"/>
                    <w:spacing w:before="0" w:beforeLines="0" w:beforeAutospacing="0" w:after="0" w:afterLines="0" w:afterAutospacing="0"/>
                    <w:ind w:left="0" w:right="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5.</w:t>
                  </w:r>
                  <w:r>
                    <w:rPr>
                      <w:rFonts w:hint="eastAsia" w:ascii="宋体" w:hAnsi="宋体" w:eastAsia="宋体" w:cs="宋体"/>
                      <w:color w:val="000000" w:themeColor="text1"/>
                      <w:kern w:val="0"/>
                      <w:sz w:val="21"/>
                      <w:szCs w:val="21"/>
                      <w:lang w:val="en-US" w:eastAsia="zh-CN" w:bidi="ar"/>
                      <w14:textFill>
                        <w14:solidFill>
                          <w14:schemeClr w14:val="tx1"/>
                        </w14:solidFill>
                      </w14:textFill>
                    </w:rPr>
                    <w:t>本项目不涉及水资源开发。</w:t>
                  </w:r>
                </w:p>
              </w:tc>
              <w:tc>
                <w:tcPr>
                  <w:tcW w:w="485" w:type="pct"/>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s="Times New Roman"/>
                      <w:color w:val="000000" w:themeColor="text1"/>
                      <w:sz w:val="21"/>
                      <w:szCs w:val="21"/>
                      <w14:textFill>
                        <w14:solidFill>
                          <w14:schemeClr w14:val="tx1"/>
                        </w14:solidFill>
                      </w14:textFill>
                    </w:rPr>
                  </w:pPr>
                  <w:r>
                    <w:rPr>
                      <w:rFonts w:hint="default" w:ascii="宋体" w:hAnsi="Times New Roman" w:eastAsia="宋体" w:cs="Times New Roman"/>
                      <w:color w:val="000000" w:themeColor="text1"/>
                      <w:sz w:val="21"/>
                      <w:szCs w:val="21"/>
                      <w14:textFill>
                        <w14:solidFill>
                          <w14:schemeClr w14:val="tx1"/>
                        </w14:solidFill>
                      </w14:textFill>
                    </w:rPr>
                    <w:t>符合</w:t>
                  </w:r>
                </w:p>
              </w:tc>
            </w:tr>
          </w:tbl>
          <w:p>
            <w:pPr>
              <w:keepNext w:val="0"/>
              <w:keepLines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left="0" w:right="0" w:rightChars="0"/>
              <w:jc w:val="both"/>
              <w:outlineLvl w:val="1"/>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cs="Times New Roman"/>
                <w:b/>
                <w:bCs w:val="0"/>
                <w:color w:val="000000" w:themeColor="text1"/>
                <w:kern w:val="2"/>
                <w:sz w:val="21"/>
                <w:szCs w:val="21"/>
                <w:lang w:val="en-US" w:eastAsia="zh-CN" w:bidi="ar"/>
                <w14:textFill>
                  <w14:solidFill>
                    <w14:schemeClr w14:val="tx1"/>
                  </w14:solidFill>
                </w14:textFill>
              </w:rPr>
              <w:t>5</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与《关于加强乌鲁木齐、昌吉、石河子、五家渠区域环境同防同治的意见》的符合性分析</w:t>
            </w:r>
          </w:p>
          <w:p>
            <w:pPr>
              <w:keepNext w:val="0"/>
              <w:keepLines w:val="0"/>
              <w:widowControl w:val="0"/>
              <w:suppressLineNumbers w:val="0"/>
              <w:kinsoku/>
              <w:wordWrap/>
              <w:overflowPunct/>
              <w:topLinePunct w:val="0"/>
              <w:bidi w:val="0"/>
              <w:adjustRightInd w:val="0"/>
              <w:snapToGrid w:val="0"/>
              <w:spacing w:before="0" w:beforeAutospacing="0" w:after="0" w:afterAutospacing="0" w:line="360" w:lineRule="auto"/>
              <w:ind w:left="0" w:right="0" w:firstLine="396" w:firstLineChars="200"/>
              <w:jc w:val="both"/>
              <w:rPr>
                <w:rFonts w:hint="eastAsia" w:ascii="Times New Roman" w:hAnsi="Times New Roman" w:eastAsia="宋体" w:cs="Times New Roman"/>
                <w:color w:val="000000" w:themeColor="text1"/>
                <w:spacing w:val="-6"/>
                <w:kern w:val="2"/>
                <w:sz w:val="21"/>
                <w:szCs w:val="21"/>
                <w14:textFill>
                  <w14:solidFill>
                    <w14:schemeClr w14:val="tx1"/>
                  </w14:solidFill>
                </w14:textFill>
              </w:rPr>
            </w:pPr>
            <w:r>
              <w:rPr>
                <w:rFonts w:hint="eastAsia" w:ascii="宋体" w:hAnsi="宋体" w:eastAsia="宋体" w:cs="宋体"/>
                <w:color w:val="000000" w:themeColor="text1"/>
                <w:spacing w:val="-6"/>
                <w:kern w:val="2"/>
                <w:sz w:val="21"/>
                <w:szCs w:val="21"/>
                <w:lang w:val="en-US" w:eastAsia="zh-CN" w:bidi="ar"/>
                <w14:textFill>
                  <w14:solidFill>
                    <w14:schemeClr w14:val="tx1"/>
                  </w14:solidFill>
                </w14:textFill>
              </w:rPr>
              <w:t>《关于加强乌鲁木齐、昌吉、石河子、五家渠区域环境同防同治的意见》中同防同治区域包括乌鲁木齐市七区一县、昌吉市、阜康市、石河子市、五家渠市、玛纳斯县、呼图壁县、沙湾</w:t>
            </w:r>
            <w:r>
              <w:rPr>
                <w:rFonts w:hint="eastAsia" w:ascii="宋体" w:hAnsi="宋体" w:cs="宋体"/>
                <w:color w:val="000000" w:themeColor="text1"/>
                <w:spacing w:val="-6"/>
                <w:kern w:val="2"/>
                <w:sz w:val="21"/>
                <w:szCs w:val="21"/>
                <w:lang w:val="en-US" w:eastAsia="zh-CN" w:bidi="ar"/>
                <w14:textFill>
                  <w14:solidFill>
                    <w14:schemeClr w14:val="tx1"/>
                  </w14:solidFill>
                </w14:textFill>
              </w:rPr>
              <w:t>市</w:t>
            </w:r>
            <w:r>
              <w:rPr>
                <w:rFonts w:hint="eastAsia" w:ascii="宋体" w:hAnsi="宋体" w:eastAsia="宋体" w:cs="宋体"/>
                <w:color w:val="000000" w:themeColor="text1"/>
                <w:spacing w:val="-6"/>
                <w:kern w:val="2"/>
                <w:sz w:val="21"/>
                <w:szCs w:val="21"/>
                <w:lang w:val="en-US" w:eastAsia="zh-CN" w:bidi="ar"/>
                <w14:textFill>
                  <w14:solidFill>
                    <w14:schemeClr w14:val="tx1"/>
                  </w14:solidFill>
                </w14:textFill>
              </w:rPr>
              <w:t>、第十二师。</w:t>
            </w:r>
          </w:p>
          <w:p>
            <w:pPr>
              <w:keepNext w:val="0"/>
              <w:keepLines w:val="0"/>
              <w:widowControl w:val="0"/>
              <w:suppressLineNumbers w:val="0"/>
              <w:kinsoku/>
              <w:wordWrap/>
              <w:overflowPunct/>
              <w:topLinePunct w:val="0"/>
              <w:bidi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本项目位于昌吉市高新技术产业开发区，为同防同治区。</w:t>
            </w:r>
            <w:r>
              <w:rPr>
                <w:rFonts w:hint="eastAsia" w:ascii="宋体" w:hAnsi="宋体" w:cs="宋体"/>
                <w:color w:val="000000" w:themeColor="text1"/>
                <w:kern w:val="2"/>
                <w:sz w:val="21"/>
                <w:szCs w:val="21"/>
                <w:lang w:val="en-US" w:eastAsia="zh-CN" w:bidi="ar"/>
                <w14:textFill>
                  <w14:solidFill>
                    <w14:schemeClr w14:val="tx1"/>
                  </w14:solidFill>
                </w14:textFill>
              </w:rPr>
              <w:t>本</w:t>
            </w:r>
            <w:r>
              <w:rPr>
                <w:rFonts w:hint="eastAsia" w:ascii="宋体" w:hAnsi="宋体" w:eastAsia="宋体" w:cs="宋体"/>
                <w:color w:val="000000" w:themeColor="text1"/>
                <w:kern w:val="2"/>
                <w:sz w:val="21"/>
                <w:szCs w:val="21"/>
                <w:lang w:val="en-US" w:eastAsia="zh-CN" w:bidi="ar"/>
                <w14:textFill>
                  <w14:solidFill>
                    <w14:schemeClr w14:val="tx1"/>
                  </w14:solidFill>
                </w14:textFill>
              </w:rPr>
              <w:t>项目与乌昌石大气联防联控区相对位置关系</w:t>
            </w:r>
            <w:r>
              <w:rPr>
                <w:rFonts w:hint="eastAsia" w:ascii="宋体" w:hAnsi="宋体" w:cs="宋体"/>
                <w:color w:val="000000" w:themeColor="text1"/>
                <w:kern w:val="2"/>
                <w:sz w:val="21"/>
                <w:szCs w:val="21"/>
                <w:lang w:val="en-US" w:eastAsia="zh-CN" w:bidi="ar"/>
                <w14:textFill>
                  <w14:solidFill>
                    <w14:schemeClr w14:val="tx1"/>
                  </w14:solidFill>
                </w14:textFill>
              </w:rPr>
              <w:t>详</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见附图4</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应满足以下要求：</w:t>
            </w:r>
          </w:p>
          <w:p>
            <w:pPr>
              <w:keepNext w:val="0"/>
              <w:keepLines w:val="0"/>
              <w:widowControl w:val="0"/>
              <w:suppressLineNumbers w:val="0"/>
              <w:kinsoku/>
              <w:wordWrap/>
              <w:overflowPunct/>
              <w:topLinePunct w:val="0"/>
              <w:bidi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1</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提高环境准入标准。严格执行国家产业、环境准入政策，防范过剩和落后产能跨地区转移。全面开展战略环评和行业、园区规划环评，将其作为项目环评审批的重要依据。重点区域不再布局建设煤化工、电解铝、</w:t>
            </w:r>
            <w:r>
              <w:rPr>
                <w:rFonts w:hint="eastAsia" w:ascii="宋体" w:hAnsi="宋体" w:cs="宋体"/>
                <w:color w:val="000000" w:themeColor="text1"/>
                <w:kern w:val="2"/>
                <w:sz w:val="21"/>
                <w:szCs w:val="21"/>
                <w:lang w:val="en-US" w:eastAsia="zh-CN" w:bidi="ar"/>
                <w14:textFill>
                  <w14:solidFill>
                    <w14:schemeClr w14:val="tx1"/>
                  </w14:solidFill>
                </w14:textFill>
              </w:rPr>
              <w:t>燃煤</w:t>
            </w:r>
            <w:r>
              <w:rPr>
                <w:rFonts w:hint="eastAsia" w:ascii="宋体" w:hAnsi="宋体" w:eastAsia="宋体" w:cs="宋体"/>
                <w:color w:val="000000" w:themeColor="text1"/>
                <w:kern w:val="2"/>
                <w:sz w:val="21"/>
                <w:szCs w:val="21"/>
                <w:lang w:val="en-US" w:eastAsia="zh-CN" w:bidi="ar"/>
                <w14:textFill>
                  <w14:solidFill>
                    <w14:schemeClr w14:val="tx1"/>
                  </w14:solidFill>
                </w14:textFill>
              </w:rPr>
              <w:t>发电机组、金属硅、碳化硅、聚氯乙烯（电石法）、焦炭（含半焦）等行业的新增产能项目。</w:t>
            </w:r>
          </w:p>
          <w:p>
            <w:pPr>
              <w:keepNext w:val="0"/>
              <w:keepLines w:val="0"/>
              <w:widowControl w:val="0"/>
              <w:suppressLineNumbers w:val="0"/>
              <w:kinsoku/>
              <w:wordWrap/>
              <w:overflowPunct/>
              <w:topLinePunct w:val="0"/>
              <w:bidi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本项目符合《关于加强乌鲁木齐、昌吉、石河子、五家渠区域环境同防同治的意见》中的相关要求，不属于上述不再布局建设行业。</w:t>
            </w:r>
          </w:p>
          <w:p>
            <w:pPr>
              <w:keepNext w:val="0"/>
              <w:keepLines w:val="0"/>
              <w:widowControl w:val="0"/>
              <w:suppressLineNumbers w:val="0"/>
              <w:kinsoku/>
              <w:wordWrap/>
              <w:overflowPunct/>
              <w:topLinePunct w:val="0"/>
              <w:bidi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2</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严格污染物排放标准。认真落实《重点区域大气污染物排放特别限值的公告》（环保厅</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2016</w:t>
            </w:r>
            <w:r>
              <w:rPr>
                <w:rFonts w:hint="eastAsia" w:ascii="宋体" w:hAnsi="宋体" w:eastAsia="宋体" w:cs="宋体"/>
                <w:color w:val="000000" w:themeColor="text1"/>
                <w:kern w:val="2"/>
                <w:sz w:val="21"/>
                <w:szCs w:val="21"/>
                <w:lang w:val="en-US" w:eastAsia="zh-CN" w:bidi="ar"/>
                <w14:textFill>
                  <w14:solidFill>
                    <w14:schemeClr w14:val="tx1"/>
                  </w14:solidFill>
                </w14:textFill>
              </w:rPr>
              <w:t>第</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45</w:t>
            </w:r>
            <w:r>
              <w:rPr>
                <w:rFonts w:hint="eastAsia" w:ascii="宋体" w:hAnsi="宋体" w:eastAsia="宋体" w:cs="宋体"/>
                <w:color w:val="000000" w:themeColor="text1"/>
                <w:kern w:val="2"/>
                <w:sz w:val="21"/>
                <w:szCs w:val="21"/>
                <w:lang w:val="en-US" w:eastAsia="zh-CN" w:bidi="ar"/>
                <w14:textFill>
                  <w14:solidFill>
                    <w14:schemeClr w14:val="tx1"/>
                  </w14:solidFill>
                </w14:textFill>
              </w:rPr>
              <w:t>号）的要求，钢铁、石化、火电、水泥等行业和燃煤锅炉严格执行重点行业污染物特别排放限值要求。其他工业企业一律执行国家最新污染物排放标准，减少污染物排放总量。严格执行无组织排放监测浓度限值和恶臭污染物厂界标准。</w:t>
            </w:r>
          </w:p>
          <w:p>
            <w:pPr>
              <w:keepNext w:val="0"/>
              <w:keepLines w:val="0"/>
              <w:widowControl w:val="0"/>
              <w:suppressLineNumbers w:val="0"/>
              <w:kinsoku/>
              <w:wordWrap/>
              <w:overflowPunct/>
              <w:topLinePunct w:val="0"/>
              <w:bidi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本项目为</w:t>
            </w:r>
            <w:r>
              <w:rPr>
                <w:rFonts w:hint="eastAsia" w:ascii="宋体" w:hAnsi="宋体" w:cs="宋体"/>
                <w:color w:val="000000" w:themeColor="text1"/>
                <w:kern w:val="2"/>
                <w:sz w:val="21"/>
                <w:szCs w:val="21"/>
                <w:lang w:val="en-US" w:eastAsia="zh-CN" w:bidi="ar"/>
                <w14:textFill>
                  <w14:solidFill>
                    <w14:schemeClr w14:val="tx1"/>
                  </w14:solidFill>
                </w14:textFill>
              </w:rPr>
              <w:t>粉煤灰贮存项目</w:t>
            </w:r>
            <w:r>
              <w:rPr>
                <w:rFonts w:hint="eastAsia" w:ascii="宋体" w:hAnsi="宋体" w:eastAsia="宋体" w:cs="宋体"/>
                <w:color w:val="000000" w:themeColor="text1"/>
                <w:kern w:val="2"/>
                <w:sz w:val="21"/>
                <w:szCs w:val="21"/>
                <w:lang w:val="en-US" w:eastAsia="zh-CN" w:bidi="ar"/>
                <w14:textFill>
                  <w14:solidFill>
                    <w14:schemeClr w14:val="tx1"/>
                  </w14:solidFill>
                </w14:textFill>
              </w:rPr>
              <w:t>，不属于钢铁、石化、火电、水泥等重点行业，产生的</w:t>
            </w:r>
            <w:r>
              <w:rPr>
                <w:rFonts w:hint="eastAsia" w:ascii="宋体" w:hAnsi="宋体" w:cs="宋体"/>
                <w:color w:val="000000" w:themeColor="text1"/>
                <w:kern w:val="2"/>
                <w:sz w:val="21"/>
                <w:szCs w:val="21"/>
                <w:lang w:val="en-US" w:eastAsia="zh-CN" w:bidi="ar"/>
                <w14:textFill>
                  <w14:solidFill>
                    <w14:schemeClr w14:val="tx1"/>
                  </w14:solidFill>
                </w14:textFill>
              </w:rPr>
              <w:t>污染物</w:t>
            </w:r>
            <w:r>
              <w:rPr>
                <w:rFonts w:hint="eastAsia" w:ascii="宋体" w:hAnsi="宋体" w:eastAsia="宋体" w:cs="宋体"/>
                <w:color w:val="000000" w:themeColor="text1"/>
                <w:kern w:val="2"/>
                <w:sz w:val="21"/>
                <w:szCs w:val="21"/>
                <w:lang w:val="en-US" w:eastAsia="zh-CN" w:bidi="ar"/>
                <w14:textFill>
                  <w14:solidFill>
                    <w14:schemeClr w14:val="tx1"/>
                  </w14:solidFill>
                </w14:textFill>
              </w:rPr>
              <w:t>经</w:t>
            </w:r>
            <w:r>
              <w:rPr>
                <w:rFonts w:hint="eastAsia" w:ascii="宋体" w:hAnsi="宋体" w:cs="宋体"/>
                <w:color w:val="000000" w:themeColor="text1"/>
                <w:kern w:val="2"/>
                <w:sz w:val="21"/>
                <w:szCs w:val="21"/>
                <w:lang w:val="en-US" w:eastAsia="zh-CN" w:bidi="ar"/>
                <w14:textFill>
                  <w14:solidFill>
                    <w14:schemeClr w14:val="tx1"/>
                  </w14:solidFill>
                </w14:textFill>
              </w:rPr>
              <w:t>环保设施</w:t>
            </w:r>
            <w:r>
              <w:rPr>
                <w:rFonts w:hint="eastAsia" w:ascii="宋体" w:hAnsi="宋体" w:eastAsia="宋体" w:cs="宋体"/>
                <w:color w:val="000000" w:themeColor="text1"/>
                <w:kern w:val="2"/>
                <w:sz w:val="21"/>
                <w:szCs w:val="21"/>
                <w:lang w:val="en-US" w:eastAsia="zh-CN" w:bidi="ar"/>
                <w14:textFill>
                  <w14:solidFill>
                    <w14:schemeClr w14:val="tx1"/>
                  </w14:solidFill>
                </w14:textFill>
              </w:rPr>
              <w:t>处理后</w:t>
            </w:r>
            <w:r>
              <w:rPr>
                <w:rFonts w:hint="eastAsia" w:ascii="宋体" w:hAnsi="宋体" w:cs="宋体"/>
                <w:color w:val="000000" w:themeColor="text1"/>
                <w:kern w:val="2"/>
                <w:sz w:val="21"/>
                <w:szCs w:val="21"/>
                <w:lang w:val="en-US" w:eastAsia="zh-CN" w:bidi="ar"/>
                <w14:textFill>
                  <w14:solidFill>
                    <w14:schemeClr w14:val="tx1"/>
                  </w14:solidFill>
                </w14:textFill>
              </w:rPr>
              <w:t>均能</w:t>
            </w:r>
            <w:r>
              <w:rPr>
                <w:rFonts w:hint="eastAsia" w:ascii="宋体" w:hAnsi="宋体" w:eastAsia="宋体" w:cs="宋体"/>
                <w:color w:val="000000" w:themeColor="text1"/>
                <w:kern w:val="2"/>
                <w:sz w:val="21"/>
                <w:szCs w:val="21"/>
                <w:lang w:val="en-US" w:eastAsia="zh-CN" w:bidi="ar"/>
                <w14:textFill>
                  <w14:solidFill>
                    <w14:schemeClr w14:val="tx1"/>
                  </w14:solidFill>
                </w14:textFill>
              </w:rPr>
              <w:t>达标排放，污染物排放量较少，符合《关于加强乌鲁木齐、昌吉、石河子、五家渠区域环境同防同治的意见》相关要求。</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jc w:val="both"/>
              <w:textAlignment w:val="auto"/>
              <w:outlineLvl w:val="1"/>
              <w:rPr>
                <w:rFonts w:hint="eastAsia" w:ascii="Times New Roman" w:hAnsi="Times New Roman" w:eastAsia="宋体" w:cs="Times New Roman"/>
                <w:b/>
                <w:bCs w:val="0"/>
                <w:color w:val="000000" w:themeColor="text1"/>
                <w:kern w:val="2"/>
                <w:sz w:val="21"/>
                <w:szCs w:val="21"/>
                <w14:textFill>
                  <w14:solidFill>
                    <w14:schemeClr w14:val="tx1"/>
                  </w14:solidFill>
                </w14:textFill>
              </w:rPr>
            </w:pPr>
            <w:r>
              <w:rPr>
                <w:rFonts w:hint="eastAsia" w:cs="Times New Roman"/>
                <w:b/>
                <w:bCs w:val="0"/>
                <w:color w:val="000000" w:themeColor="text1"/>
                <w:kern w:val="2"/>
                <w:sz w:val="21"/>
                <w:szCs w:val="21"/>
                <w:lang w:val="en-US" w:eastAsia="zh-CN" w:bidi="ar"/>
                <w14:textFill>
                  <w14:solidFill>
                    <w14:schemeClr w14:val="tx1"/>
                  </w14:solidFill>
                </w14:textFill>
              </w:rPr>
              <w:t>6</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与《关于加强高耗能、高排放建设项目生态环境源头防控的指导意见》符合性分析</w:t>
            </w:r>
          </w:p>
          <w:p>
            <w:pPr>
              <w:pStyle w:val="49"/>
              <w:keepNext w:val="0"/>
              <w:keepLines w:val="0"/>
              <w:pageBreakBefore w:val="0"/>
              <w:widowControl w:val="0"/>
              <w:suppressLineNumbers w:val="0"/>
              <w:kinsoku/>
              <w:wordWrap/>
              <w:overflowPunct/>
              <w:topLinePunct w:val="0"/>
              <w:autoSpaceDE w:val="0"/>
              <w:autoSpaceDN w:val="0"/>
              <w:bidi w:val="0"/>
              <w:adjustRightInd w:val="0"/>
              <w:snapToGrid w:val="0"/>
              <w:spacing w:before="0" w:beforeLines="0" w:beforeAutospacing="0" w:after="0" w:afterLines="0" w:afterAutospacing="0" w:line="360" w:lineRule="auto"/>
              <w:ind w:left="0" w:right="0" w:firstLine="420" w:firstLineChars="200"/>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项目与《关于加强高耗能、高排放建设项目生态环境源头防控的指导意见》符合性分析见</w:t>
            </w:r>
            <w:r>
              <w:rPr>
                <w:rFonts w:hint="default" w:ascii="Times New Roman" w:hAnsi="Times New Roman" w:eastAsia="宋体" w:cs="Times New Roman"/>
                <w:color w:val="000000" w:themeColor="text1"/>
                <w:kern w:val="2"/>
                <w:sz w:val="21"/>
                <w:szCs w:val="21"/>
                <w14:textFill>
                  <w14:solidFill>
                    <w14:schemeClr w14:val="tx1"/>
                  </w14:solidFill>
                </w14:textFill>
              </w:rPr>
              <w:t>表1-</w:t>
            </w:r>
            <w:r>
              <w:rPr>
                <w:rFonts w:hint="eastAsia" w:cs="Times New Roman"/>
                <w:color w:val="000000" w:themeColor="text1"/>
                <w:kern w:val="2"/>
                <w:sz w:val="21"/>
                <w:szCs w:val="21"/>
                <w:lang w:val="en-US" w:eastAsia="zh-CN"/>
                <w14:textFill>
                  <w14:solidFill>
                    <w14:schemeClr w14:val="tx1"/>
                  </w14:solidFill>
                </w14:textFill>
              </w:rPr>
              <w:t>5</w:t>
            </w:r>
            <w:r>
              <w:rPr>
                <w:rFonts w:hint="eastAsia" w:ascii="宋体" w:hAnsi="宋体" w:eastAsia="宋体" w:cs="宋体"/>
                <w:color w:val="000000" w:themeColor="text1"/>
                <w:kern w:val="2"/>
                <w:sz w:val="21"/>
                <w:szCs w:val="21"/>
                <w14:textFill>
                  <w14:solidFill>
                    <w14:schemeClr w14:val="tx1"/>
                  </w14:solidFill>
                </w14:textFill>
              </w:rPr>
              <w:t>。</w:t>
            </w:r>
          </w:p>
          <w:p>
            <w:pPr>
              <w:pStyle w:val="49"/>
              <w:keepNext w:val="0"/>
              <w:keepLines w:val="0"/>
              <w:widowControl w:val="0"/>
              <w:suppressLineNumbers w:val="0"/>
              <w:autoSpaceDE w:val="0"/>
              <w:autoSpaceDN w:val="0"/>
              <w:spacing w:before="0" w:beforeLines="0" w:beforeAutospacing="0" w:after="0" w:afterLines="0" w:afterAutospacing="0" w:line="240" w:lineRule="atLeast"/>
              <w:ind w:left="0" w:right="0" w:firstLine="422" w:firstLineChars="20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14:textFill>
                  <w14:solidFill>
                    <w14:schemeClr w14:val="tx1"/>
                  </w14:solidFill>
                </w14:textFill>
              </w:rPr>
              <w:t>表</w:t>
            </w:r>
            <w:r>
              <w:rPr>
                <w:rFonts w:hint="default" w:ascii="Times New Roman" w:hAnsi="Times New Roman" w:eastAsia="宋体" w:cs="Times New Roman"/>
                <w:b/>
                <w:bCs/>
                <w:color w:val="000000" w:themeColor="text1"/>
                <w:kern w:val="2"/>
                <w:sz w:val="21"/>
                <w:szCs w:val="21"/>
                <w14:textFill>
                  <w14:solidFill>
                    <w14:schemeClr w14:val="tx1"/>
                  </w14:solidFill>
                </w14:textFill>
              </w:rPr>
              <w:t>1-</w:t>
            </w:r>
            <w:r>
              <w:rPr>
                <w:rFonts w:hint="eastAsia" w:cs="Times New Roman"/>
                <w:b/>
                <w:bCs/>
                <w:color w:val="000000" w:themeColor="text1"/>
                <w:kern w:val="2"/>
                <w:sz w:val="21"/>
                <w:szCs w:val="21"/>
                <w:lang w:val="en-US" w:eastAsia="zh-CN"/>
                <w14:textFill>
                  <w14:solidFill>
                    <w14:schemeClr w14:val="tx1"/>
                  </w14:solidFill>
                </w14:textFill>
              </w:rPr>
              <w:t>5</w:t>
            </w:r>
            <w:r>
              <w:rPr>
                <w:rFonts w:hint="default" w:ascii="Times New Roman" w:hAnsi="Times New Roman" w:eastAsia="宋体" w:cs="Times New Roman"/>
                <w:b/>
                <w:bCs/>
                <w:color w:val="000000" w:themeColor="text1"/>
                <w:kern w:val="2"/>
                <w:sz w:val="21"/>
                <w:szCs w:val="21"/>
                <w14:textFill>
                  <w14:solidFill>
                    <w14:schemeClr w14:val="tx1"/>
                  </w14:solidFill>
                </w14:textFill>
              </w:rPr>
              <w:t xml:space="preserve">  </w:t>
            </w:r>
            <w:r>
              <w:rPr>
                <w:rFonts w:hint="eastAsia" w:ascii="宋体" w:hAnsi="宋体" w:eastAsia="宋体" w:cs="宋体"/>
                <w:b/>
                <w:bCs/>
                <w:color w:val="000000" w:themeColor="text1"/>
                <w:kern w:val="2"/>
                <w:sz w:val="21"/>
                <w:szCs w:val="21"/>
                <w14:textFill>
                  <w14:solidFill>
                    <w14:schemeClr w14:val="tx1"/>
                  </w14:solidFill>
                </w14:textFill>
              </w:rPr>
              <w:t>与《关于加强高耗能、高排放建设项目生态环境源头防控的指导意见》符合性分析</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60"/>
              <w:gridCol w:w="2787"/>
              <w:gridCol w:w="2559"/>
              <w:gridCol w:w="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1"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指导意见</w:t>
                  </w:r>
                </w:p>
              </w:tc>
              <w:tc>
                <w:tcPr>
                  <w:tcW w:w="201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具体条款</w:t>
                  </w:r>
                </w:p>
              </w:tc>
              <w:tc>
                <w:tcPr>
                  <w:tcW w:w="18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本项目情况</w:t>
                  </w:r>
                </w:p>
              </w:tc>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91" w:hRule="atLeast"/>
                <w:jc w:val="center"/>
              </w:trPr>
              <w:tc>
                <w:tcPr>
                  <w:tcW w:w="477"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加强生态环境分区管控和规划约束</w:t>
                  </w:r>
                </w:p>
              </w:tc>
              <w:tc>
                <w:tcPr>
                  <w:tcW w:w="201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深入实施“三线一单”。各级生态环境部门应加快推进“三线一单”成果在“两高”行业产业布局和结构调整、重大项目选址中的应用。</w:t>
                  </w:r>
                </w:p>
              </w:tc>
              <w:tc>
                <w:tcPr>
                  <w:tcW w:w="18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经分析，本项目符合“三线一单”要求，符合《昌吉回族自治州“三线一单”生态环境分区管控方案》附件生态环境准入清单中的具体管控要求。</w:t>
                  </w:r>
                </w:p>
              </w:tc>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91" w:hRule="atLeast"/>
                <w:jc w:val="center"/>
              </w:trPr>
              <w:tc>
                <w:tcPr>
                  <w:tcW w:w="477"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201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强化规划环评效力。推动煤电能源基地、现代煤化工示范区、石化产业基地等开展规划环境影响跟踪评价，完善生态环境保护措施并适时优化调整规划。</w:t>
                  </w:r>
                </w:p>
              </w:tc>
              <w:tc>
                <w:tcPr>
                  <w:tcW w:w="18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经分析，本项目符合《昌吉高新技术产业开发区总体规划（</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2014-2030</w:t>
                  </w:r>
                  <w:r>
                    <w:rPr>
                      <w:rFonts w:hint="eastAsia" w:ascii="宋体" w:hAnsi="宋体" w:eastAsia="宋体" w:cs="宋体"/>
                      <w:color w:val="000000" w:themeColor="text1"/>
                      <w:kern w:val="2"/>
                      <w:sz w:val="21"/>
                      <w:szCs w:val="21"/>
                      <w:lang w:val="en-US" w:eastAsia="zh-CN" w:bidi="ar"/>
                      <w14:textFill>
                        <w14:solidFill>
                          <w14:schemeClr w14:val="tx1"/>
                        </w14:solidFill>
                      </w14:textFill>
                    </w:rPr>
                    <w:t>）环境影响报告书》及批复中的相关要求。</w:t>
                  </w:r>
                </w:p>
              </w:tc>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0" w:hRule="atLeast"/>
                <w:jc w:val="center"/>
              </w:trPr>
              <w:tc>
                <w:tcPr>
                  <w:tcW w:w="477"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严格“两高”项目环评审批</w:t>
                  </w:r>
                </w:p>
              </w:tc>
              <w:tc>
                <w:tcPr>
                  <w:tcW w:w="201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严把建设项目环境准入关。新建、改建、扩建“两高”项目须符合生态环境保护法律法规和相关法定规划，满足重点污染物排放总量控制、碳排放达峰目标、生态环境准入清单、相关规划环评和相应行业建设项目环境准入条件、环评文件审批原则要求。石化、现代煤化工项目应纳入国家产业规划。新建、扩建石化、化工、焦化、有色金属冶炼、平板玻璃项目应布设在依法合规设立并经规划环评的产业园区。</w:t>
                  </w:r>
                </w:p>
              </w:tc>
              <w:tc>
                <w:tcPr>
                  <w:tcW w:w="18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经分析，本项目选址于昌吉市高新技术产业开发区，园区依法设立并经规划环评，本项目符合园区规划及规划环评要求。</w:t>
                  </w:r>
                </w:p>
              </w:tc>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9" w:hRule="atLeast"/>
                <w:jc w:val="center"/>
              </w:trPr>
              <w:tc>
                <w:tcPr>
                  <w:tcW w:w="477" w:type="pct"/>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201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落实区域削减要求。新建“两高”项目应按照《关于加强重点行业建设项目区域削减措施监督管理的通知》要求，依据区域环境质量改善目标，制定配套区域污染物削减方案，采取有效的污染物区域削减措施，腾出足够的环境容量。</w:t>
                  </w:r>
                </w:p>
              </w:tc>
              <w:tc>
                <w:tcPr>
                  <w:tcW w:w="18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w:t>
                  </w:r>
                  <w:r>
                    <w:rPr>
                      <w:rFonts w:hint="eastAsia" w:ascii="宋体" w:hAnsi="宋体" w:cs="宋体"/>
                      <w:color w:val="000000" w:themeColor="text1"/>
                      <w:kern w:val="2"/>
                      <w:sz w:val="21"/>
                      <w:szCs w:val="21"/>
                      <w:lang w:val="en-US" w:eastAsia="zh-CN" w:bidi="ar"/>
                      <w14:textFill>
                        <w14:solidFill>
                          <w14:schemeClr w14:val="tx1"/>
                        </w14:solidFill>
                      </w14:textFill>
                    </w:rPr>
                    <w:t>不属于“两高”项目</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依排污许可证强化监管执法</w:t>
                  </w:r>
                </w:p>
              </w:tc>
              <w:tc>
                <w:tcPr>
                  <w:tcW w:w="201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加强排污许可证管理；强化以排污许可证为主要依据的执法监管。</w:t>
                  </w:r>
                </w:p>
              </w:tc>
              <w:tc>
                <w:tcPr>
                  <w:tcW w:w="18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本项目建成投产前将按照《排污许可管理办法（试行）》及《固定污染源排污许可证分类管理名录（</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2019</w:t>
                  </w:r>
                  <w:r>
                    <w:rPr>
                      <w:rFonts w:hint="eastAsia" w:ascii="宋体" w:hAnsi="宋体" w:eastAsia="宋体" w:cs="宋体"/>
                      <w:color w:val="000000" w:themeColor="text1"/>
                      <w:kern w:val="2"/>
                      <w:sz w:val="21"/>
                      <w:szCs w:val="21"/>
                      <w:lang w:val="en-US" w:eastAsia="zh-CN" w:bidi="ar"/>
                      <w14:textFill>
                        <w14:solidFill>
                          <w14:schemeClr w14:val="tx1"/>
                        </w14:solidFill>
                      </w14:textFill>
                    </w:rPr>
                    <w:t>年版）》要求进行管理</w:t>
                  </w:r>
                  <w:r>
                    <w:rPr>
                      <w:rFonts w:hint="eastAsia" w:ascii="宋体" w:hAnsi="宋体" w:cs="宋体"/>
                      <w:color w:val="000000" w:themeColor="text1"/>
                      <w:kern w:val="2"/>
                      <w:sz w:val="21"/>
                      <w:szCs w:val="21"/>
                      <w:lang w:val="en-US" w:eastAsia="zh-CN" w:bidi="ar"/>
                      <w14:textFill>
                        <w14:solidFill>
                          <w14:schemeClr w14:val="tx1"/>
                        </w14:solidFill>
                      </w14:textFill>
                    </w:rPr>
                    <w:t>。</w:t>
                  </w:r>
                </w:p>
              </w:tc>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bl>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outlineLvl w:val="1"/>
              <w:rPr>
                <w:rFonts w:hint="eastAsia" w:ascii="Times New Roman" w:hAnsi="Times New Roman" w:eastAsia="宋体" w:cs="Times New Roman"/>
                <w:b/>
                <w:bCs w:val="0"/>
                <w:color w:val="000000" w:themeColor="text1"/>
                <w:kern w:val="2"/>
                <w:sz w:val="21"/>
                <w:szCs w:val="21"/>
                <w14:textFill>
                  <w14:solidFill>
                    <w14:schemeClr w14:val="tx1"/>
                  </w14:solidFill>
                </w14:textFill>
              </w:rPr>
            </w:pPr>
            <w:r>
              <w:rPr>
                <w:rFonts w:hint="eastAsia" w:cs="Times New Roman"/>
                <w:b/>
                <w:bCs w:val="0"/>
                <w:color w:val="000000" w:themeColor="text1"/>
                <w:kern w:val="2"/>
                <w:sz w:val="21"/>
                <w:szCs w:val="21"/>
                <w:lang w:val="en-US" w:eastAsia="zh-CN" w:bidi="ar"/>
                <w14:textFill>
                  <w14:solidFill>
                    <w14:schemeClr w14:val="tx1"/>
                  </w14:solidFill>
                </w14:textFill>
              </w:rPr>
              <w:t>7</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与《新疆维吾尔自治区</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2025</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年空气质量持续改善行动实施方案的通知》（新政办发〔</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2024</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58</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号）符合性分析</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项目与《新疆维吾尔自治区</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2025</w:t>
            </w:r>
            <w:r>
              <w:rPr>
                <w:rFonts w:hint="eastAsia" w:ascii="宋体" w:hAnsi="宋体" w:eastAsia="宋体" w:cs="宋体"/>
                <w:color w:val="000000" w:themeColor="text1"/>
                <w:kern w:val="2"/>
                <w:sz w:val="21"/>
                <w:szCs w:val="21"/>
                <w:lang w:val="en-US" w:eastAsia="zh-CN" w:bidi="ar"/>
                <w14:textFill>
                  <w14:solidFill>
                    <w14:schemeClr w14:val="tx1"/>
                  </w14:solidFill>
                </w14:textFill>
              </w:rPr>
              <w:t>年空气质量持续改善行动实施方案的通知》（新政办发〔</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2024</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58</w:t>
            </w:r>
            <w:r>
              <w:rPr>
                <w:rFonts w:hint="eastAsia" w:ascii="宋体" w:hAnsi="宋体" w:eastAsia="宋体" w:cs="宋体"/>
                <w:color w:val="000000" w:themeColor="text1"/>
                <w:kern w:val="2"/>
                <w:sz w:val="21"/>
                <w:szCs w:val="21"/>
                <w:lang w:val="en-US" w:eastAsia="zh-CN" w:bidi="ar"/>
                <w14:textFill>
                  <w14:solidFill>
                    <w14:schemeClr w14:val="tx1"/>
                  </w14:solidFill>
                </w14:textFill>
              </w:rPr>
              <w:t>号）符合性分析见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表1-</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6</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0"/>
              <w:keepNext w:val="0"/>
              <w:keepLines w:val="0"/>
              <w:widowControl w:val="0"/>
              <w:suppressLineNumbers w:val="0"/>
              <w:autoSpaceDE w:val="0"/>
              <w:autoSpaceDN w:val="0"/>
              <w:snapToGrid w:val="0"/>
              <w:spacing w:before="0" w:beforeLines="0" w:beforeAutospacing="0" w:after="0" w:afterLines="0" w:afterAutospacing="0" w:line="240" w:lineRule="atLeast"/>
              <w:ind w:left="0" w:right="0" w:firstLine="422" w:firstLineChars="20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1-</w:t>
            </w: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6</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与《新疆维吾尔</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自治区2025年空气</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质量持续改善行动实施方案的通知》符合性分析</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77"/>
              <w:gridCol w:w="3223"/>
              <w:gridCol w:w="2055"/>
              <w:gridCol w:w="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序号</w:t>
                  </w:r>
                </w:p>
              </w:tc>
              <w:tc>
                <w:tcPr>
                  <w:tcW w:w="34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具体条款</w:t>
                  </w:r>
                </w:p>
              </w:tc>
              <w:tc>
                <w:tcPr>
                  <w:tcW w:w="215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本项目情况</w:t>
                  </w:r>
                </w:p>
              </w:tc>
              <w:tc>
                <w:tcPr>
                  <w:tcW w:w="10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1"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p>
              </w:tc>
              <w:tc>
                <w:tcPr>
                  <w:tcW w:w="3406" w:type="dxa"/>
                  <w:tcBorders>
                    <w:top w:val="single" w:color="auto" w:sz="4" w:space="0"/>
                    <w:left w:val="nil"/>
                    <w:bottom w:val="single" w:color="auto" w:sz="4" w:space="0"/>
                    <w:right w:val="single" w:color="auto" w:sz="4" w:space="0"/>
                  </w:tcBorders>
                  <w:shd w:val="clear" w:color="auto" w:fill="auto"/>
                  <w:vAlign w:val="center"/>
                </w:tcPr>
                <w:p>
                  <w:pPr>
                    <w:pStyle w:val="20"/>
                    <w:keepNext w:val="0"/>
                    <w:keepLines w:val="0"/>
                    <w:widowControl w:val="0"/>
                    <w:suppressLineNumbers w:val="0"/>
                    <w:overflowPunct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级水平。涉及产能置换的项目，被置换产能及设备关停后，新建项目方可投产。</w:t>
                  </w:r>
                </w:p>
              </w:tc>
              <w:tc>
                <w:tcPr>
                  <w:tcW w:w="2155" w:type="dxa"/>
                  <w:tcBorders>
                    <w:top w:val="single" w:color="auto" w:sz="4" w:space="0"/>
                    <w:left w:val="nil"/>
                    <w:bottom w:val="single" w:color="auto" w:sz="4" w:space="0"/>
                    <w:right w:val="single" w:color="auto" w:sz="4" w:space="0"/>
                  </w:tcBorders>
                  <w:shd w:val="clear" w:color="auto" w:fill="auto"/>
                  <w:vAlign w:val="center"/>
                </w:tcPr>
                <w:p>
                  <w:pPr>
                    <w:pStyle w:val="20"/>
                    <w:keepNext w:val="0"/>
                    <w:keepLines w:val="0"/>
                    <w:widowControl w:val="0"/>
                    <w:suppressLineNumbers w:val="0"/>
                    <w:overflowPunct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本项目为</w:t>
                  </w:r>
                  <w:r>
                    <w:rPr>
                      <w:rFonts w:hint="eastAsia" w:eastAsia="宋体" w:cs="宋体"/>
                      <w:color w:val="000000" w:themeColor="text1"/>
                      <w:kern w:val="0"/>
                      <w:sz w:val="21"/>
                      <w:szCs w:val="21"/>
                      <w:lang w:val="en-US" w:eastAsia="zh-CN" w:bidi="ar"/>
                      <w14:textFill>
                        <w14:solidFill>
                          <w14:schemeClr w14:val="tx1"/>
                        </w14:solidFill>
                      </w14:textFill>
                    </w:rPr>
                    <w:t>粉煤灰贮存项目</w:t>
                  </w:r>
                  <w:r>
                    <w:rPr>
                      <w:rFonts w:hint="eastAsia" w:ascii="宋体" w:hAnsi="宋体" w:eastAsia="宋体" w:cs="宋体"/>
                      <w:color w:val="000000" w:themeColor="text1"/>
                      <w:kern w:val="0"/>
                      <w:sz w:val="21"/>
                      <w:szCs w:val="21"/>
                      <w:lang w:val="en-US" w:eastAsia="zh-CN" w:bidi="ar"/>
                      <w14:textFill>
                        <w14:solidFill>
                          <w14:schemeClr w14:val="tx1"/>
                        </w14:solidFill>
                      </w14:textFill>
                    </w:rPr>
                    <w:t>，不属于高耗能、高排放、低水平项目，不属于产能严重过剩行业。</w:t>
                  </w:r>
                </w:p>
              </w:tc>
              <w:tc>
                <w:tcPr>
                  <w:tcW w:w="10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p>
              </w:tc>
              <w:tc>
                <w:tcPr>
                  <w:tcW w:w="3406" w:type="dxa"/>
                  <w:tcBorders>
                    <w:top w:val="single" w:color="auto" w:sz="4" w:space="0"/>
                    <w:left w:val="nil"/>
                    <w:bottom w:val="single" w:color="auto" w:sz="4" w:space="0"/>
                    <w:right w:val="single" w:color="auto" w:sz="4" w:space="0"/>
                  </w:tcBorders>
                  <w:shd w:val="clear" w:color="auto" w:fill="auto"/>
                  <w:vAlign w:val="center"/>
                </w:tcPr>
                <w:p>
                  <w:pPr>
                    <w:pStyle w:val="20"/>
                    <w:keepNext w:val="0"/>
                    <w:keepLines w:val="0"/>
                    <w:widowControl w:val="0"/>
                    <w:suppressLineNumbers w:val="0"/>
                    <w:overflowPunct w:val="0"/>
                    <w:snapToGrid w:val="0"/>
                    <w:spacing w:before="0" w:beforeAutospacing="0" w:after="0" w:afterAutospacing="0"/>
                    <w:ind w:left="0" w:right="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大力发展新能源和清洁能源。推进风电光伏等清洁能源基地建设，构建新型电力系统。推进新能源与优势产业联动发展，加大高载能行业和自备电厂清洁能源替代力度。非化石能源消费比重和电能占终端能源消费比重达到相关规划要求。</w:t>
                  </w:r>
                </w:p>
              </w:tc>
              <w:tc>
                <w:tcPr>
                  <w:tcW w:w="2155" w:type="dxa"/>
                  <w:tcBorders>
                    <w:top w:val="single" w:color="auto" w:sz="4" w:space="0"/>
                    <w:left w:val="nil"/>
                    <w:bottom w:val="single" w:color="auto" w:sz="4" w:space="0"/>
                    <w:right w:val="single" w:color="auto" w:sz="4" w:space="0"/>
                  </w:tcBorders>
                  <w:shd w:val="clear" w:color="auto" w:fill="auto"/>
                  <w:vAlign w:val="center"/>
                </w:tcPr>
                <w:p>
                  <w:pPr>
                    <w:pStyle w:val="20"/>
                    <w:keepNext w:val="0"/>
                    <w:keepLines w:val="0"/>
                    <w:widowControl w:val="0"/>
                    <w:suppressLineNumbers w:val="0"/>
                    <w:overflowPunct w:val="0"/>
                    <w:snapToGrid w:val="0"/>
                    <w:spacing w:before="0" w:beforeAutospacing="0" w:after="0" w:afterAutospacing="0"/>
                    <w:ind w:left="0" w:right="0"/>
                    <w:jc w:val="both"/>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本项目为</w:t>
                  </w:r>
                  <w:r>
                    <w:rPr>
                      <w:rFonts w:hint="eastAsia" w:eastAsia="宋体" w:cs="宋体"/>
                      <w:color w:val="000000" w:themeColor="text1"/>
                      <w:kern w:val="0"/>
                      <w:sz w:val="21"/>
                      <w:szCs w:val="21"/>
                      <w:lang w:val="en-US" w:eastAsia="zh-CN" w:bidi="ar"/>
                      <w14:textFill>
                        <w14:solidFill>
                          <w14:schemeClr w14:val="tx1"/>
                        </w14:solidFill>
                      </w14:textFill>
                    </w:rPr>
                    <w:t>粉煤灰暂存项目</w:t>
                  </w:r>
                  <w:r>
                    <w:rPr>
                      <w:rFonts w:hint="eastAsia" w:ascii="宋体" w:hAnsi="宋体" w:eastAsia="宋体" w:cs="宋体"/>
                      <w:color w:val="000000" w:themeColor="text1"/>
                      <w:kern w:val="0"/>
                      <w:sz w:val="21"/>
                      <w:szCs w:val="21"/>
                      <w:lang w:val="en-US" w:eastAsia="zh-CN" w:bidi="ar"/>
                      <w14:textFill>
                        <w14:solidFill>
                          <w14:schemeClr w14:val="tx1"/>
                        </w14:solidFill>
                      </w14:textFill>
                    </w:rPr>
                    <w:t>，生产</w:t>
                  </w:r>
                  <w:r>
                    <w:rPr>
                      <w:rFonts w:hint="eastAsia" w:eastAsia="宋体" w:cs="宋体"/>
                      <w:color w:val="000000" w:themeColor="text1"/>
                      <w:kern w:val="0"/>
                      <w:sz w:val="21"/>
                      <w:szCs w:val="21"/>
                      <w:lang w:val="en-US" w:eastAsia="zh-CN" w:bidi="ar"/>
                      <w14:textFill>
                        <w14:solidFill>
                          <w14:schemeClr w14:val="tx1"/>
                        </w14:solidFill>
                      </w14:textFill>
                    </w:rPr>
                    <w:t>不用热，冬季采用电采暖</w:t>
                  </w:r>
                  <w:r>
                    <w:rPr>
                      <w:rFonts w:hint="eastAsia" w:ascii="宋体" w:hAnsi="宋体" w:eastAsia="宋体" w:cs="宋体"/>
                      <w:color w:val="000000" w:themeColor="text1"/>
                      <w:kern w:val="0"/>
                      <w:sz w:val="21"/>
                      <w:szCs w:val="21"/>
                      <w:lang w:val="en-US" w:eastAsia="zh-CN" w:bidi="ar"/>
                      <w14:textFill>
                        <w14:solidFill>
                          <w14:schemeClr w14:val="tx1"/>
                        </w14:solidFill>
                      </w14:textFill>
                    </w:rPr>
                    <w:t>，不使用煤炭。</w:t>
                  </w:r>
                </w:p>
              </w:tc>
              <w:tc>
                <w:tcPr>
                  <w:tcW w:w="10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符合</w:t>
                  </w:r>
                </w:p>
              </w:tc>
            </w:tr>
          </w:tbl>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outlineLvl w:val="1"/>
              <w:rPr>
                <w:rFonts w:hint="eastAsia" w:ascii="Times New Roman" w:hAnsi="Times New Roman" w:eastAsia="宋体" w:cs="Times New Roman"/>
                <w:b/>
                <w:bCs w:val="0"/>
                <w:color w:val="FF0000"/>
                <w:kern w:val="2"/>
                <w:sz w:val="21"/>
                <w:szCs w:val="21"/>
              </w:rPr>
            </w:pPr>
            <w:r>
              <w:rPr>
                <w:rFonts w:hint="eastAsia" w:ascii="Times New Roman" w:hAnsi="Times New Roman" w:eastAsia="宋体" w:cs="Times New Roman"/>
                <w:b/>
                <w:bCs w:val="0"/>
                <w:color w:val="FF0000"/>
                <w:kern w:val="2"/>
                <w:sz w:val="21"/>
                <w:szCs w:val="21"/>
                <w:lang w:val="en-US" w:eastAsia="zh-CN" w:bidi="ar"/>
              </w:rPr>
              <w:t>8</w:t>
            </w:r>
            <w:r>
              <w:rPr>
                <w:rFonts w:hint="eastAsia" w:ascii="宋体" w:hAnsi="宋体" w:eastAsia="宋体" w:cs="宋体"/>
                <w:b/>
                <w:bCs w:val="0"/>
                <w:color w:val="FF0000"/>
                <w:kern w:val="2"/>
                <w:sz w:val="21"/>
                <w:szCs w:val="21"/>
                <w:lang w:val="en-US" w:eastAsia="zh-CN" w:bidi="ar"/>
              </w:rPr>
              <w:t>与《固体废物综合治理行动计划》符合性分析</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项目与《固体废物综合治理行动计划》符合性分析见表</w:t>
            </w:r>
            <w:r>
              <w:rPr>
                <w:rFonts w:hint="default" w:ascii="Times New Roman" w:hAnsi="Times New Roman" w:eastAsia="宋体" w:cs="Times New Roman"/>
                <w:color w:val="FF0000"/>
                <w:kern w:val="2"/>
                <w:sz w:val="21"/>
                <w:szCs w:val="21"/>
                <w:lang w:val="en-US" w:eastAsia="zh-CN" w:bidi="ar"/>
              </w:rPr>
              <w:t>1-</w:t>
            </w:r>
            <w:r>
              <w:rPr>
                <w:rFonts w:hint="eastAsia" w:ascii="Times New Roman" w:hAnsi="Times New Roman" w:eastAsia="宋体" w:cs="Times New Roman"/>
                <w:color w:val="FF0000"/>
                <w:kern w:val="2"/>
                <w:sz w:val="21"/>
                <w:szCs w:val="21"/>
                <w:lang w:val="en-US" w:eastAsia="zh-CN" w:bidi="ar"/>
              </w:rPr>
              <w:t>7</w:t>
            </w:r>
            <w:r>
              <w:rPr>
                <w:rFonts w:hint="eastAsia" w:ascii="宋体" w:hAnsi="宋体" w:eastAsia="宋体" w:cs="宋体"/>
                <w:color w:val="FF0000"/>
                <w:kern w:val="2"/>
                <w:sz w:val="21"/>
                <w:szCs w:val="21"/>
                <w:lang w:val="en-US" w:eastAsia="zh-CN" w:bidi="ar"/>
              </w:rPr>
              <w:t>。</w:t>
            </w:r>
          </w:p>
          <w:p>
            <w:pPr>
              <w:pStyle w:val="20"/>
              <w:keepNext w:val="0"/>
              <w:keepLines w:val="0"/>
              <w:widowControl w:val="0"/>
              <w:suppressLineNumbers w:val="0"/>
              <w:autoSpaceDE w:val="0"/>
              <w:autoSpaceDN w:val="0"/>
              <w:snapToGrid w:val="0"/>
              <w:spacing w:before="0" w:beforeLines="0" w:beforeAutospacing="0" w:after="0" w:afterLines="0" w:afterAutospacing="0" w:line="240" w:lineRule="atLeast"/>
              <w:ind w:left="0" w:right="0" w:firstLine="422" w:firstLineChars="20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表</w:t>
            </w:r>
            <w:r>
              <w:rPr>
                <w:rFonts w:hint="default" w:ascii="Times New Roman" w:hAnsi="Times New Roman" w:eastAsia="宋体" w:cs="Times New Roman"/>
                <w:b/>
                <w:bCs/>
                <w:color w:val="FF0000"/>
                <w:kern w:val="2"/>
                <w:sz w:val="21"/>
                <w:szCs w:val="21"/>
                <w:lang w:val="en-US" w:eastAsia="zh-CN" w:bidi="ar"/>
              </w:rPr>
              <w:t>1-</w:t>
            </w:r>
            <w:r>
              <w:rPr>
                <w:rFonts w:hint="eastAsia" w:ascii="Times New Roman" w:hAnsi="Times New Roman" w:eastAsia="宋体" w:cs="Times New Roman"/>
                <w:b/>
                <w:bCs/>
                <w:color w:val="FF0000"/>
                <w:kern w:val="2"/>
                <w:sz w:val="21"/>
                <w:szCs w:val="21"/>
                <w:lang w:val="en-US" w:eastAsia="zh-CN" w:bidi="ar"/>
              </w:rPr>
              <w:t>7</w:t>
            </w:r>
            <w:r>
              <w:rPr>
                <w:rFonts w:hint="default" w:ascii="Times New Roman" w:hAnsi="Times New Roman" w:eastAsia="宋体" w:cs="Times New Roman"/>
                <w:b/>
                <w:bCs/>
                <w:color w:val="FF0000"/>
                <w:kern w:val="2"/>
                <w:sz w:val="21"/>
                <w:szCs w:val="21"/>
                <w:lang w:val="en-US" w:eastAsia="zh-CN" w:bidi="ar"/>
              </w:rPr>
              <w:t xml:space="preserve">  </w:t>
            </w:r>
            <w:r>
              <w:rPr>
                <w:rFonts w:hint="eastAsia" w:ascii="宋体" w:hAnsi="宋体" w:eastAsia="宋体" w:cs="宋体"/>
                <w:b/>
                <w:bCs/>
                <w:color w:val="FF0000"/>
                <w:kern w:val="2"/>
                <w:sz w:val="21"/>
                <w:szCs w:val="21"/>
                <w:lang w:val="en-US" w:eastAsia="zh-CN" w:bidi="ar"/>
              </w:rPr>
              <w:t>与《固体废物综合治理行动计划》符合性分析</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77"/>
              <w:gridCol w:w="3223"/>
              <w:gridCol w:w="2055"/>
              <w:gridCol w:w="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序号</w:t>
                  </w:r>
                </w:p>
              </w:tc>
              <w:tc>
                <w:tcPr>
                  <w:tcW w:w="34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具体条款</w:t>
                  </w:r>
                </w:p>
              </w:tc>
              <w:tc>
                <w:tcPr>
                  <w:tcW w:w="215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本项目情况</w:t>
                  </w:r>
                </w:p>
              </w:tc>
              <w:tc>
                <w:tcPr>
                  <w:tcW w:w="10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FF0000"/>
                      <w:kern w:val="2"/>
                      <w:sz w:val="21"/>
                      <w:szCs w:val="21"/>
                    </w:rPr>
                  </w:pPr>
                  <w:r>
                    <w:rPr>
                      <w:rFonts w:hint="default" w:ascii="Times New Roman" w:hAnsi="Times New Roman" w:eastAsia="宋体" w:cs="Times New Roman"/>
                      <w:color w:val="FF0000"/>
                      <w:kern w:val="2"/>
                      <w:sz w:val="21"/>
                      <w:szCs w:val="21"/>
                      <w:lang w:val="en-US" w:eastAsia="zh-CN" w:bidi="ar"/>
                    </w:rPr>
                    <w:t>1</w:t>
                  </w:r>
                </w:p>
              </w:tc>
              <w:tc>
                <w:tcPr>
                  <w:tcW w:w="3406" w:type="dxa"/>
                  <w:tcBorders>
                    <w:top w:val="single" w:color="auto" w:sz="4" w:space="0"/>
                    <w:left w:val="nil"/>
                    <w:bottom w:val="single" w:color="auto" w:sz="4" w:space="0"/>
                    <w:right w:val="single" w:color="auto" w:sz="4" w:space="0"/>
                  </w:tcBorders>
                  <w:shd w:val="clear" w:color="auto" w:fill="auto"/>
                  <w:vAlign w:val="center"/>
                </w:tcPr>
                <w:p>
                  <w:pPr>
                    <w:pStyle w:val="20"/>
                    <w:keepNext w:val="0"/>
                    <w:keepLines w:val="0"/>
                    <w:widowControl w:val="0"/>
                    <w:suppressLineNumbers w:val="0"/>
                    <w:overflowPunct w:val="0"/>
                    <w:snapToGrid w:val="0"/>
                    <w:spacing w:before="0" w:beforeAutospacing="0" w:after="0" w:afterAutospacing="0"/>
                    <w:ind w:left="0" w:right="0"/>
                    <w:jc w:val="both"/>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完善工业固体废物管理台账制度，强化全链条跟踪管控。推行工业固体废物分类收集贮存，防范混堆混排。禁止向生活垃圾收集设施中投放工业固体废物。严格执行工业固体废物、危险废物跨省转移审批制度。</w:t>
                  </w:r>
                </w:p>
              </w:tc>
              <w:tc>
                <w:tcPr>
                  <w:tcW w:w="2155" w:type="dxa"/>
                  <w:tcBorders>
                    <w:top w:val="single" w:color="auto" w:sz="4" w:space="0"/>
                    <w:left w:val="nil"/>
                    <w:bottom w:val="single" w:color="auto" w:sz="4" w:space="0"/>
                    <w:right w:val="single" w:color="auto" w:sz="4" w:space="0"/>
                  </w:tcBorders>
                  <w:shd w:val="clear" w:color="auto" w:fill="auto"/>
                  <w:vAlign w:val="center"/>
                </w:tcPr>
                <w:p>
                  <w:pPr>
                    <w:pStyle w:val="20"/>
                    <w:keepNext w:val="0"/>
                    <w:keepLines w:val="0"/>
                    <w:widowControl w:val="0"/>
                    <w:suppressLineNumbers w:val="0"/>
                    <w:overflowPunct w:val="0"/>
                    <w:snapToGrid w:val="0"/>
                    <w:spacing w:before="0" w:beforeAutospacing="0" w:after="0" w:afterAutospacing="0"/>
                    <w:ind w:left="0" w:right="0"/>
                    <w:jc w:val="both"/>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0"/>
                      <w:sz w:val="21"/>
                      <w:szCs w:val="21"/>
                      <w:lang w:val="en-US" w:eastAsia="zh-CN" w:bidi="ar"/>
                    </w:rPr>
                    <w:t>本项目为粉煤灰贮存项目，采用环保密闭储存库暂存，进出库做好管理台账。</w:t>
                  </w:r>
                </w:p>
              </w:tc>
              <w:tc>
                <w:tcPr>
                  <w:tcW w:w="10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FF0000"/>
                      <w:kern w:val="2"/>
                      <w:sz w:val="21"/>
                      <w:szCs w:val="21"/>
                    </w:rPr>
                  </w:pPr>
                  <w:r>
                    <w:rPr>
                      <w:rFonts w:hint="default" w:ascii="Times New Roman" w:hAnsi="Times New Roman" w:eastAsia="宋体" w:cs="Times New Roman"/>
                      <w:color w:val="FF0000"/>
                      <w:kern w:val="2"/>
                      <w:sz w:val="21"/>
                      <w:szCs w:val="21"/>
                      <w:lang w:val="en-US" w:eastAsia="zh-CN" w:bidi="ar"/>
                    </w:rPr>
                    <w:t>2</w:t>
                  </w:r>
                </w:p>
              </w:tc>
              <w:tc>
                <w:tcPr>
                  <w:tcW w:w="3406" w:type="dxa"/>
                  <w:tcBorders>
                    <w:top w:val="single" w:color="auto" w:sz="4" w:space="0"/>
                    <w:left w:val="nil"/>
                    <w:bottom w:val="single" w:color="auto" w:sz="4" w:space="0"/>
                    <w:right w:val="single" w:color="auto" w:sz="4" w:space="0"/>
                  </w:tcBorders>
                  <w:shd w:val="clear" w:color="auto" w:fill="auto"/>
                  <w:vAlign w:val="center"/>
                </w:tcPr>
                <w:p>
                  <w:pPr>
                    <w:pStyle w:val="20"/>
                    <w:keepNext w:val="0"/>
                    <w:keepLines w:val="0"/>
                    <w:widowControl w:val="0"/>
                    <w:suppressLineNumbers w:val="0"/>
                    <w:overflowPunct w:val="0"/>
                    <w:snapToGrid w:val="0"/>
                    <w:spacing w:before="0" w:beforeAutospacing="0" w:after="0" w:afterAutospacing="0"/>
                    <w:ind w:left="0" w:right="0"/>
                    <w:jc w:val="both"/>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提升冶炼渣、尾矿、共伴生矿、赤泥、建筑垃圾综合利用能力，加强有价组分高效提取及整体利用，因地制宜推动煤矸石多元化利用。拓宽秸秆综合利用途径，提高秸秆还田科学化、规范化水平。推进畜禽养殖废弃物资源化利用。</w:t>
                  </w:r>
                </w:p>
              </w:tc>
              <w:tc>
                <w:tcPr>
                  <w:tcW w:w="2155" w:type="dxa"/>
                  <w:tcBorders>
                    <w:top w:val="single" w:color="auto" w:sz="4" w:space="0"/>
                    <w:left w:val="nil"/>
                    <w:bottom w:val="single" w:color="auto" w:sz="4" w:space="0"/>
                    <w:right w:val="single" w:color="auto" w:sz="4" w:space="0"/>
                  </w:tcBorders>
                  <w:shd w:val="clear" w:color="auto" w:fill="auto"/>
                  <w:vAlign w:val="center"/>
                </w:tcPr>
                <w:p>
                  <w:pPr>
                    <w:pStyle w:val="20"/>
                    <w:keepNext w:val="0"/>
                    <w:keepLines w:val="0"/>
                    <w:widowControl w:val="0"/>
                    <w:suppressLineNumbers w:val="0"/>
                    <w:overflowPunct w:val="0"/>
                    <w:snapToGrid w:val="0"/>
                    <w:spacing w:before="0" w:beforeAutospacing="0" w:after="0" w:afterAutospacing="0"/>
                    <w:ind w:left="0" w:right="0"/>
                    <w:jc w:val="both"/>
                    <w:rPr>
                      <w:rFonts w:hint="eastAsia" w:ascii="宋体" w:hAnsi="宋体" w:eastAsia="宋体" w:cs="宋体"/>
                      <w:color w:val="FF0000"/>
                      <w:kern w:val="2"/>
                      <w:sz w:val="21"/>
                      <w:szCs w:val="21"/>
                    </w:rPr>
                  </w:pPr>
                  <w:r>
                    <w:rPr>
                      <w:rFonts w:hint="eastAsia" w:ascii="宋体" w:hAnsi="宋体" w:eastAsia="宋体" w:cs="宋体"/>
                      <w:color w:val="FF0000"/>
                      <w:kern w:val="0"/>
                      <w:sz w:val="21"/>
                      <w:szCs w:val="21"/>
                      <w:lang w:val="en-US" w:eastAsia="zh-CN" w:bidi="ar"/>
                    </w:rPr>
                    <w:t>本项目为粉煤灰暂存项目，外购粉煤灰暂存，外售综合利用，符合资源化利用要求。</w:t>
                  </w:r>
                </w:p>
              </w:tc>
              <w:tc>
                <w:tcPr>
                  <w:tcW w:w="10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符合</w:t>
                  </w:r>
                </w:p>
              </w:tc>
            </w:tr>
          </w:tbl>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outlineLvl w:val="1"/>
              <w:rPr>
                <w:rFonts w:hint="eastAsia" w:ascii="Times New Roman" w:hAnsi="Times New Roman" w:eastAsia="宋体" w:cs="Times New Roman"/>
                <w:b/>
                <w:bCs w:val="0"/>
                <w:color w:val="FF0000"/>
                <w:kern w:val="2"/>
                <w:sz w:val="21"/>
                <w:szCs w:val="21"/>
              </w:rPr>
            </w:pPr>
            <w:r>
              <w:rPr>
                <w:rFonts w:hint="eastAsia" w:ascii="Times New Roman" w:hAnsi="Times New Roman" w:eastAsia="宋体" w:cs="Times New Roman"/>
                <w:b/>
                <w:bCs w:val="0"/>
                <w:color w:val="FF0000"/>
                <w:kern w:val="2"/>
                <w:sz w:val="21"/>
                <w:szCs w:val="21"/>
                <w:lang w:val="en-US" w:eastAsia="zh-CN" w:bidi="ar"/>
              </w:rPr>
              <w:t>9</w:t>
            </w:r>
            <w:r>
              <w:rPr>
                <w:rFonts w:hint="eastAsia" w:ascii="宋体" w:hAnsi="宋体" w:eastAsia="宋体" w:cs="宋体"/>
                <w:b/>
                <w:bCs w:val="0"/>
                <w:color w:val="FF0000"/>
                <w:kern w:val="2"/>
                <w:sz w:val="21"/>
                <w:szCs w:val="21"/>
                <w:lang w:val="en-US" w:eastAsia="zh-CN" w:bidi="ar"/>
              </w:rPr>
              <w:t>与《自治区固体废物综合治理实施方案》符合性分析</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eastAsia="宋体" w:cs="宋体"/>
                <w:color w:val="FF0000"/>
                <w:kern w:val="2"/>
                <w:sz w:val="21"/>
                <w:szCs w:val="21"/>
                <w:lang w:val="en-US" w:eastAsia="zh-CN" w:bidi="ar"/>
              </w:rPr>
            </w:pPr>
            <w:r>
              <w:rPr>
                <w:rFonts w:hint="eastAsia" w:ascii="宋体" w:hAnsi="宋体" w:eastAsia="宋体" w:cs="宋体"/>
                <w:color w:val="FF0000"/>
                <w:kern w:val="2"/>
                <w:sz w:val="21"/>
                <w:szCs w:val="21"/>
                <w:lang w:val="en-US" w:eastAsia="zh-CN" w:bidi="ar"/>
              </w:rPr>
              <w:t>《自治区固体废物综合治理实施方案》</w:t>
            </w:r>
            <w:r>
              <w:rPr>
                <w:rFonts w:hint="eastAsia" w:eastAsia="宋体" w:cs="宋体"/>
                <w:color w:val="FF0000"/>
                <w:kern w:val="2"/>
                <w:sz w:val="21"/>
                <w:szCs w:val="21"/>
                <w:lang w:val="en-US" w:eastAsia="zh-CN" w:bidi="ar"/>
              </w:rPr>
              <w:t>：要按照减量化、资源化、无害化原则，构建源头减量、过程管控、末端利用和全链条无害化管理的固体废物综合治理体系，优先对与群众生活、安全生产密切相关的固废进行专项治理。要加快完善综合治理长效机制，坚持“谁污染、谁治理”，加强无害化贮存、转运、处置等基础设施建设，提升固废资源化利用水平。</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ascii="宋体" w:hAnsi="宋体" w:eastAsia="宋体" w:cs="宋体"/>
                <w:color w:val="FF0000"/>
                <w:kern w:val="2"/>
                <w:sz w:val="21"/>
                <w:szCs w:val="21"/>
                <w:lang w:val="en-US" w:eastAsia="zh-CN" w:bidi="ar"/>
              </w:rPr>
            </w:pPr>
            <w:r>
              <w:rPr>
                <w:rFonts w:hint="eastAsia" w:eastAsia="宋体" w:cs="宋体"/>
                <w:color w:val="FF0000"/>
                <w:kern w:val="2"/>
                <w:sz w:val="21"/>
                <w:szCs w:val="21"/>
                <w:lang w:val="en-US" w:eastAsia="zh-CN" w:bidi="ar"/>
              </w:rPr>
              <w:t>本项目为粉煤灰贮存项目，外购粉煤灰暂存，外售综合利用，符合资源化利用要求，符合《自治区固体废物综合治理实施方案》中相关要求</w:t>
            </w:r>
            <w:r>
              <w:rPr>
                <w:rFonts w:hint="eastAsia" w:ascii="宋体" w:hAnsi="宋体" w:eastAsia="宋体" w:cs="宋体"/>
                <w:color w:val="FF0000"/>
                <w:kern w:val="2"/>
                <w:sz w:val="21"/>
                <w:szCs w:val="21"/>
                <w:lang w:val="en-US" w:eastAsia="zh-CN" w:bidi="ar"/>
              </w:rPr>
              <w:t>。</w:t>
            </w:r>
          </w:p>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outlineLvl w:val="1"/>
              <w:rPr>
                <w:rFonts w:hint="eastAsia" w:ascii="Times New Roman" w:hAnsi="Times New Roman" w:eastAsia="宋体" w:cs="Times New Roman"/>
                <w:b/>
                <w:bCs w:val="0"/>
                <w:color w:val="FF0000"/>
                <w:kern w:val="2"/>
                <w:sz w:val="21"/>
                <w:szCs w:val="21"/>
              </w:rPr>
            </w:pPr>
            <w:r>
              <w:rPr>
                <w:rFonts w:hint="eastAsia" w:ascii="Times New Roman" w:hAnsi="Times New Roman" w:eastAsia="宋体" w:cs="Times New Roman"/>
                <w:b/>
                <w:bCs w:val="0"/>
                <w:color w:val="FF0000"/>
                <w:kern w:val="2"/>
                <w:sz w:val="21"/>
                <w:szCs w:val="21"/>
                <w:lang w:val="en-US" w:eastAsia="zh-CN" w:bidi="ar"/>
              </w:rPr>
              <w:t>10</w:t>
            </w:r>
            <w:r>
              <w:rPr>
                <w:rFonts w:hint="eastAsia" w:ascii="宋体" w:hAnsi="宋体" w:eastAsia="宋体" w:cs="宋体"/>
                <w:b/>
                <w:bCs w:val="0"/>
                <w:color w:val="FF0000"/>
                <w:kern w:val="2"/>
                <w:sz w:val="21"/>
                <w:szCs w:val="21"/>
                <w:lang w:val="en-US" w:eastAsia="zh-CN" w:bidi="ar"/>
              </w:rPr>
              <w:t>与《中华人民共和国生态环境法典》符合性分析</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ascii="宋体" w:hAnsi="宋体" w:eastAsia="宋体" w:cs="宋体"/>
                <w:color w:val="FF0000"/>
                <w:kern w:val="2"/>
                <w:sz w:val="21"/>
                <w:szCs w:val="21"/>
                <w:lang w:val="en-US" w:eastAsia="zh-CN" w:bidi="ar"/>
              </w:rPr>
            </w:pPr>
            <w:r>
              <w:rPr>
                <w:rFonts w:hint="eastAsia" w:ascii="宋体" w:hAnsi="宋体" w:eastAsia="宋体" w:cs="宋体"/>
                <w:color w:val="FF0000"/>
                <w:kern w:val="2"/>
                <w:sz w:val="21"/>
                <w:szCs w:val="21"/>
                <w:lang w:val="en-US" w:eastAsia="zh-CN" w:bidi="ar"/>
              </w:rPr>
              <w:t>《中华人民共和国生态环境法典》：第四百六十六条 固体废物污染防治坚持减量化、资源化和无害化的原则，加强产生、收集、贮存、运输、利用、处置等全过程管控。</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ascii="宋体" w:hAnsi="宋体" w:eastAsia="宋体" w:cs="宋体"/>
                <w:color w:val="FF0000"/>
                <w:kern w:val="2"/>
                <w:sz w:val="21"/>
                <w:szCs w:val="21"/>
                <w:lang w:val="en-US" w:eastAsia="zh-CN" w:bidi="ar"/>
              </w:rPr>
            </w:pPr>
            <w:r>
              <w:rPr>
                <w:rFonts w:hint="eastAsia" w:ascii="宋体" w:hAnsi="宋体" w:eastAsia="宋体" w:cs="宋体"/>
                <w:color w:val="FF0000"/>
                <w:kern w:val="2"/>
                <w:sz w:val="21"/>
                <w:szCs w:val="21"/>
                <w:lang w:val="en-US" w:eastAsia="zh-CN" w:bidi="ar"/>
              </w:rPr>
              <w:t>第四百六十七条 国家采取有效措施加强固体废物综合治理，推进城乡固体废物源头减量和资源化充分利用，最大限度降低固体废物填埋量。</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ascii="宋体" w:hAnsi="宋体" w:eastAsia="宋体" w:cs="宋体"/>
                <w:color w:val="FF0000"/>
                <w:kern w:val="2"/>
                <w:sz w:val="21"/>
                <w:szCs w:val="21"/>
                <w:lang w:val="en-US" w:eastAsia="zh-CN" w:bidi="ar"/>
              </w:rPr>
            </w:pPr>
            <w:r>
              <w:rPr>
                <w:rFonts w:hint="eastAsia" w:ascii="宋体" w:hAnsi="宋体" w:eastAsia="宋体" w:cs="宋体"/>
                <w:color w:val="FF0000"/>
                <w:kern w:val="2"/>
                <w:sz w:val="21"/>
                <w:szCs w:val="21"/>
                <w:lang w:val="en-US" w:eastAsia="zh-CN" w:bidi="ar"/>
              </w:rPr>
              <w:t>任何单位和个人都应当采取有效措施，减少固体废物的产生量，促进固体废物的综合利用，降低固体废物的危害性。</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ascii="宋体" w:hAnsi="宋体" w:eastAsia="宋体" w:cs="宋体"/>
                <w:color w:val="FF0000"/>
                <w:kern w:val="2"/>
                <w:sz w:val="21"/>
                <w:szCs w:val="21"/>
                <w:lang w:val="en-US" w:eastAsia="zh-CN" w:bidi="ar"/>
              </w:rPr>
            </w:pPr>
            <w:r>
              <w:rPr>
                <w:rFonts w:hint="eastAsia" w:ascii="宋体" w:hAnsi="宋体" w:eastAsia="宋体" w:cs="宋体"/>
                <w:color w:val="FF0000"/>
                <w:kern w:val="2"/>
                <w:sz w:val="21"/>
                <w:szCs w:val="21"/>
                <w:lang w:val="en-US" w:eastAsia="zh-CN" w:bidi="ar"/>
              </w:rPr>
              <w:t>第四百六十八条 产生、收集、贮存、运输、利用、处置固体废物的单位和个人，应当采取有效措施，防止或者减少固体废物污染，对所造成的污染依法承担责任。</w:t>
            </w:r>
          </w:p>
          <w:p>
            <w:pPr>
              <w:pStyle w:val="20"/>
              <w:keepNext w:val="0"/>
              <w:keepLines w:val="0"/>
              <w:widowControl w:val="0"/>
              <w:suppressLineNumbers w:val="0"/>
              <w:autoSpaceDE w:val="0"/>
              <w:autoSpaceDN w:val="0"/>
              <w:snapToGrid w:val="0"/>
              <w:spacing w:before="0" w:beforeLines="0" w:beforeAutospacing="0" w:after="0" w:afterLines="0" w:afterAutospacing="0" w:line="360" w:lineRule="auto"/>
              <w:ind w:left="0" w:right="0" w:firstLine="420" w:firstLineChars="200"/>
              <w:jc w:val="both"/>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本项目为粉煤灰贮存项目，依据《中华人民共和国生态环境法典》，国家允许符合标准条件下开展一般工业固体废物规范化贮存与市场化流转销售；项目落实防扬散、防流失、防渗漏、台账管理、去向追溯等法定要求，满足法律规定。</w:t>
            </w:r>
          </w:p>
          <w:p>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360" w:lineRule="auto"/>
              <w:ind w:left="0" w:right="0" w:rightChars="0"/>
              <w:jc w:val="both"/>
              <w:textAlignment w:val="auto"/>
              <w:outlineLvl w:val="1"/>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cs="Times New Roman"/>
                <w:b/>
                <w:bCs w:val="0"/>
                <w:color w:val="000000" w:themeColor="text1"/>
                <w:kern w:val="2"/>
                <w:sz w:val="21"/>
                <w:szCs w:val="21"/>
                <w:lang w:val="en-US" w:eastAsia="zh-CN" w:bidi="ar"/>
                <w14:textFill>
                  <w14:solidFill>
                    <w14:schemeClr w14:val="tx1"/>
                  </w14:solidFill>
                </w14:textFill>
              </w:rPr>
              <w:t>11</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选址合理性</w:t>
            </w:r>
          </w:p>
          <w:p>
            <w:pPr>
              <w:pStyle w:val="49"/>
              <w:keepNext w:val="0"/>
              <w:keepLines w:val="0"/>
              <w:pageBreakBefore w:val="0"/>
              <w:widowControl w:val="0"/>
              <w:suppressLineNumbers w:val="0"/>
              <w:kinsoku/>
              <w:wordWrap/>
              <w:overflowPunct/>
              <w:topLinePunct w:val="0"/>
              <w:autoSpaceDE w:val="0"/>
              <w:autoSpaceDN w:val="0"/>
              <w:bidi w:val="0"/>
              <w:adjustRightInd w:val="0"/>
              <w:snapToGrid w:val="0"/>
              <w:spacing w:before="0" w:beforeLines="0" w:beforeAutospacing="0" w:after="0" w:afterLines="0" w:afterAutospacing="0" w:line="360" w:lineRule="auto"/>
              <w:ind w:left="0" w:right="0" w:firstLine="420" w:firstLineChars="200"/>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本项目位于昌吉高新技术产业开发区内，根据《昌吉高新技术产业开发区总体规划（</w:t>
            </w:r>
            <w:r>
              <w:rPr>
                <w:rFonts w:hint="default" w:ascii="Times New Roman" w:hAnsi="Times New Roman" w:eastAsia="宋体" w:cs="Times New Roman"/>
                <w:color w:val="000000" w:themeColor="text1"/>
                <w:kern w:val="2"/>
                <w:sz w:val="21"/>
                <w:szCs w:val="21"/>
                <w14:textFill>
                  <w14:solidFill>
                    <w14:schemeClr w14:val="tx1"/>
                  </w14:solidFill>
                </w14:textFill>
              </w:rPr>
              <w:t>2014-2030</w:t>
            </w:r>
            <w:r>
              <w:rPr>
                <w:rFonts w:hint="eastAsia" w:ascii="宋体" w:hAnsi="宋体" w:eastAsia="宋体" w:cs="宋体"/>
                <w:color w:val="000000" w:themeColor="text1"/>
                <w:kern w:val="2"/>
                <w:sz w:val="21"/>
                <w:szCs w:val="21"/>
                <w14:textFill>
                  <w14:solidFill>
                    <w14:schemeClr w14:val="tx1"/>
                  </w14:solidFill>
                </w14:textFill>
              </w:rPr>
              <w:t>）》，园区发展定位以装备制造业、新材料产业、生物科技和食品产业为主，配套现代服务业，将园区打造成为全区重要先进制造业基地，昌吉州生产性服务业创新中心。近年来，昌吉国家高新区按照自治州主体功能区规划和产业转型升级意见，突出“主导产业快速增长、科技金融不断创新、区镇一体化加快推进、投资服务环境持续优化”四大任务，先后创建为国家级新型工业化产业示范基地、国家输变电装备高新技术产业化基地、国家现代节水材料高新技术产业化基地、国家农副产品加工示范基地、国家级科技孵化器</w:t>
            </w:r>
            <w:r>
              <w:rPr>
                <w:rFonts w:hint="eastAsia" w:ascii="宋体" w:hAnsi="宋体" w:cs="宋体"/>
                <w:color w:val="000000" w:themeColor="text1"/>
                <w:kern w:val="2"/>
                <w:sz w:val="21"/>
                <w:szCs w:val="21"/>
                <w:lang w:eastAsia="zh-CN"/>
                <w14:textFill>
                  <w14:solidFill>
                    <w14:schemeClr w14:val="tx1"/>
                  </w14:solidFill>
                </w14:textFill>
              </w:rPr>
              <w:t>，是</w:t>
            </w:r>
            <w:r>
              <w:rPr>
                <w:rFonts w:hint="eastAsia" w:ascii="宋体" w:hAnsi="宋体" w:eastAsia="宋体" w:cs="宋体"/>
                <w:color w:val="000000" w:themeColor="text1"/>
                <w:kern w:val="2"/>
                <w:sz w:val="21"/>
                <w:szCs w:val="21"/>
                <w14:textFill>
                  <w14:solidFill>
                    <w14:schemeClr w14:val="tx1"/>
                  </w14:solidFill>
                </w14:textFill>
              </w:rPr>
              <w:t>自治区循环经济试点园区。</w:t>
            </w:r>
          </w:p>
          <w:p>
            <w:pPr>
              <w:pStyle w:val="49"/>
              <w:keepNext w:val="0"/>
              <w:keepLines w:val="0"/>
              <w:pageBreakBefore w:val="0"/>
              <w:widowControl w:val="0"/>
              <w:suppressLineNumbers w:val="0"/>
              <w:kinsoku/>
              <w:wordWrap/>
              <w:overflowPunct/>
              <w:topLinePunct w:val="0"/>
              <w:autoSpaceDE w:val="0"/>
              <w:autoSpaceDN w:val="0"/>
              <w:bidi w:val="0"/>
              <w:adjustRightInd w:val="0"/>
              <w:snapToGrid w:val="0"/>
              <w:spacing w:before="0" w:beforeLines="0" w:beforeAutospacing="0" w:after="0" w:afterLines="0" w:afterAutospacing="0" w:line="360" w:lineRule="auto"/>
              <w:ind w:left="0" w:right="0" w:firstLine="420" w:firstLineChars="200"/>
              <w:textAlignment w:val="auto"/>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rPr>
              <w:t>本项目为</w:t>
            </w:r>
            <w:r>
              <w:rPr>
                <w:rFonts w:hint="eastAsia" w:ascii="宋体" w:hAnsi="宋体" w:cs="宋体"/>
                <w:color w:val="FF0000"/>
                <w:kern w:val="2"/>
                <w:sz w:val="21"/>
                <w:szCs w:val="21"/>
                <w:lang w:eastAsia="zh-CN"/>
              </w:rPr>
              <w:t>粉煤灰贮存项目</w:t>
            </w:r>
            <w:r>
              <w:rPr>
                <w:rFonts w:hint="eastAsia" w:ascii="宋体" w:hAnsi="宋体" w:eastAsia="宋体" w:cs="宋体"/>
                <w:color w:val="FF0000"/>
                <w:kern w:val="2"/>
                <w:sz w:val="21"/>
                <w:szCs w:val="21"/>
              </w:rPr>
              <w:t>，粉煤灰</w:t>
            </w:r>
            <w:r>
              <w:rPr>
                <w:rFonts w:hint="eastAsia" w:ascii="宋体" w:hAnsi="宋体" w:cs="宋体"/>
                <w:color w:val="FF0000"/>
                <w:kern w:val="2"/>
                <w:sz w:val="21"/>
                <w:szCs w:val="21"/>
                <w:lang w:val="en-US" w:eastAsia="zh-CN"/>
              </w:rPr>
              <w:t>主要来源于周边火电厂，厂区暂存后外售用作建材原料，实现一般固废综合利用</w:t>
            </w:r>
            <w:r>
              <w:rPr>
                <w:rFonts w:hint="eastAsia" w:ascii="宋体" w:hAnsi="宋体" w:cs="宋体"/>
                <w:color w:val="FF0000"/>
                <w:kern w:val="2"/>
                <w:sz w:val="21"/>
                <w:szCs w:val="21"/>
                <w:lang w:eastAsia="zh-CN"/>
              </w:rPr>
              <w:t>，</w:t>
            </w:r>
            <w:r>
              <w:rPr>
                <w:rFonts w:hint="eastAsia" w:ascii="宋体" w:hAnsi="宋体" w:eastAsia="宋体" w:cs="宋体"/>
                <w:color w:val="FF0000"/>
                <w:kern w:val="2"/>
                <w:sz w:val="21"/>
                <w:szCs w:val="21"/>
              </w:rPr>
              <w:t>属于园区允许发展的产业，“三废”及噪声均得到合理处置，属于低污染类企业，</w:t>
            </w:r>
            <w:r>
              <w:rPr>
                <w:rFonts w:hint="eastAsia" w:ascii="宋体" w:hAnsi="宋体" w:cs="宋体"/>
                <w:color w:val="FF0000"/>
                <w:kern w:val="2"/>
                <w:sz w:val="21"/>
                <w:szCs w:val="21"/>
                <w:lang w:val="en-US" w:eastAsia="zh-CN"/>
              </w:rPr>
              <w:t>项目区周边均为建材企业，周边配套园区道路网络完善，可以满足本项目运营期运输路线规划要求，</w:t>
            </w:r>
            <w:r>
              <w:rPr>
                <w:rFonts w:hint="eastAsia" w:ascii="宋体" w:hAnsi="宋体" w:eastAsia="宋体" w:cs="宋体"/>
                <w:color w:val="FF0000"/>
                <w:kern w:val="2"/>
                <w:sz w:val="21"/>
                <w:szCs w:val="21"/>
              </w:rPr>
              <w:t>符合园区的环境准入标准，符合园区产业发展思路。</w:t>
            </w:r>
          </w:p>
          <w:p>
            <w:pPr>
              <w:pStyle w:val="49"/>
              <w:keepNext w:val="0"/>
              <w:keepLines w:val="0"/>
              <w:pageBreakBefore w:val="0"/>
              <w:widowControl w:val="0"/>
              <w:suppressLineNumbers w:val="0"/>
              <w:kinsoku/>
              <w:wordWrap/>
              <w:overflowPunct/>
              <w:topLinePunct w:val="0"/>
              <w:autoSpaceDE w:val="0"/>
              <w:autoSpaceDN w:val="0"/>
              <w:bidi w:val="0"/>
              <w:adjustRightInd w:val="0"/>
              <w:snapToGrid w:val="0"/>
              <w:spacing w:before="0" w:beforeLines="0" w:beforeAutospacing="0" w:after="0" w:afterLines="0" w:afterAutospacing="0" w:line="360" w:lineRule="auto"/>
              <w:ind w:left="0" w:right="0" w:firstLine="420" w:firstLineChars="200"/>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根据《昌吉高新技术产业开发区总体规划（</w:t>
            </w:r>
            <w:r>
              <w:rPr>
                <w:rFonts w:hint="default" w:ascii="Times New Roman" w:hAnsi="Times New Roman" w:eastAsia="宋体" w:cs="Times New Roman"/>
                <w:color w:val="000000" w:themeColor="text1"/>
                <w:kern w:val="2"/>
                <w:sz w:val="21"/>
                <w:szCs w:val="21"/>
                <w14:textFill>
                  <w14:solidFill>
                    <w14:schemeClr w14:val="tx1"/>
                  </w14:solidFill>
                </w14:textFill>
              </w:rPr>
              <w:t>2014-2030</w:t>
            </w:r>
            <w:r>
              <w:rPr>
                <w:rFonts w:hint="eastAsia" w:ascii="宋体" w:hAnsi="宋体" w:eastAsia="宋体" w:cs="宋体"/>
                <w:color w:val="000000" w:themeColor="text1"/>
                <w:kern w:val="2"/>
                <w:sz w:val="21"/>
                <w:szCs w:val="21"/>
                <w14:textFill>
                  <w14:solidFill>
                    <w14:schemeClr w14:val="tx1"/>
                  </w14:solidFill>
                </w14:textFill>
              </w:rPr>
              <w:t>）环境影响报告书的审查意见》（新环审</w:t>
            </w:r>
            <w:r>
              <w:rPr>
                <w:rFonts w:hint="default" w:ascii="Times New Roman" w:hAnsi="Times New Roman" w:eastAsia="宋体" w:cs="Times New Roman"/>
                <w:color w:val="000000" w:themeColor="text1"/>
                <w:kern w:val="2"/>
                <w:sz w:val="21"/>
                <w:szCs w:val="21"/>
                <w14:textFill>
                  <w14:solidFill>
                    <w14:schemeClr w14:val="tx1"/>
                  </w14:solidFill>
                </w14:textFill>
              </w:rPr>
              <w:t>〔2015〕306</w:t>
            </w:r>
            <w:r>
              <w:rPr>
                <w:rFonts w:hint="eastAsia" w:ascii="宋体" w:hAnsi="宋体" w:eastAsia="宋体" w:cs="宋体"/>
                <w:color w:val="000000" w:themeColor="text1"/>
                <w:kern w:val="2"/>
                <w:sz w:val="21"/>
                <w:szCs w:val="21"/>
                <w14:textFill>
                  <w14:solidFill>
                    <w14:schemeClr w14:val="tx1"/>
                  </w14:solidFill>
                </w14:textFill>
              </w:rPr>
              <w:t>号）中：坚持实行入园企业环保准入审核制度，与产业定位方向不符的项目一律不得入园，对于入园的建设项目必须开展建设项目环境影响评价，并严格执行建设项目“三同时”环境管理制度。加快基础设施建设，优先建设集中供热设施；企业生活、生产废水须经处理达到相应标准后，方可排入园区污水处理厂；严格按照国家有关规定进行危险废物贮存，处理和处置，产生的固废优先综合利用，不能利用的按照规范安全处置。</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20" w:firstLineChars="200"/>
              <w:jc w:val="both"/>
              <w:textAlignment w:val="auto"/>
              <w:rPr>
                <w:rFonts w:hint="default"/>
                <w:color w:val="000000" w:themeColor="text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本项目属于园区允许发展的产业，项目投产后各类污染物排放能够满足国家和自治区最新污染物排放标准要求。本项目符合国家产业政策，符合</w:t>
            </w:r>
            <w:r>
              <w:rPr>
                <w:rFonts w:hint="eastAsia" w:ascii="宋体" w:hAnsi="宋体" w:cs="宋体"/>
                <w:color w:val="000000" w:themeColor="text1"/>
                <w:kern w:val="2"/>
                <w:sz w:val="21"/>
                <w:szCs w:val="21"/>
                <w:lang w:val="en-US" w:eastAsia="zh-CN" w:bidi="ar"/>
                <w14:textFill>
                  <w14:solidFill>
                    <w14:schemeClr w14:val="tx1"/>
                  </w14:solidFill>
                </w14:textFill>
              </w:rPr>
              <w:t>园区</w:t>
            </w:r>
            <w:r>
              <w:rPr>
                <w:rFonts w:hint="eastAsia" w:ascii="宋体" w:hAnsi="宋体" w:eastAsia="宋体" w:cs="宋体"/>
                <w:color w:val="000000" w:themeColor="text1"/>
                <w:kern w:val="2"/>
                <w:sz w:val="21"/>
                <w:szCs w:val="21"/>
                <w:lang w:val="en-US" w:eastAsia="zh-CN" w:bidi="ar"/>
                <w14:textFill>
                  <w14:solidFill>
                    <w14:schemeClr w14:val="tx1"/>
                  </w14:solidFill>
                </w14:textFill>
              </w:rPr>
              <w:t>企业环保准入审核制度，不属于规划及规划环评中禁止建设类型，符合园区产业规划定位及规划环评审查意见相关要求。</w:t>
            </w:r>
          </w:p>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本项目位于</w:t>
            </w:r>
            <w:r>
              <w:rPr>
                <w:rFonts w:hint="eastAsia" w:ascii="宋体" w:hAnsi="宋体" w:cs="宋体"/>
                <w:color w:val="000000" w:themeColor="text1"/>
                <w:kern w:val="2"/>
                <w:sz w:val="21"/>
                <w:szCs w:val="21"/>
                <w:lang w:val="en-US" w:eastAsia="zh-CN" w:bidi="ar"/>
                <w14:textFill>
                  <w14:solidFill>
                    <w14:schemeClr w14:val="tx1"/>
                  </w14:solidFill>
                </w14:textFill>
              </w:rPr>
              <w:t>昌吉市高新技术产业开发区锦</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绣路26号</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，用地</w:t>
            </w:r>
            <w:r>
              <w:rPr>
                <w:rFonts w:hint="eastAsia" w:ascii="宋体" w:hAnsi="宋体" w:eastAsia="宋体" w:cs="宋体"/>
                <w:color w:val="000000" w:themeColor="text1"/>
                <w:kern w:val="2"/>
                <w:sz w:val="21"/>
                <w:szCs w:val="21"/>
                <w:lang w:val="en-US" w:eastAsia="zh-CN" w:bidi="ar"/>
                <w14:textFill>
                  <w14:solidFill>
                    <w14:schemeClr w14:val="tx1"/>
                  </w14:solidFill>
                </w14:textFill>
              </w:rPr>
              <w:t>为规划工业用地，项目建设符合园区规划。项目建成后，未改变项目建设区域环境功能，对污染物的排放也采用各项污染防治措施，项目选址满足用地规划、产业定位、环境保护等要求；项目所在地没有处在自然保护区、风景名胜区、饮用水水源地和其他需要特殊保护的地区等环境功能区划级别高的地区，从环境功能区划的角度看对本项目建设制约较小。</w:t>
            </w:r>
          </w:p>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项目区周围交通便利，供水、供电均依托园区配套设施，能够满足项目需要；本项目投入运营后污染物在采取本环评要求的环保措施后，均能实现达标排放，不会对周围环境造成大的不利影响。</w:t>
            </w:r>
          </w:p>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textAlignment w:val="auto"/>
              <w:rPr>
                <w:rFonts w:hint="eastAsia"/>
                <w:color w:val="000000" w:themeColor="text1"/>
                <w:lang w:val="en-US" w:eastAsia="zh-CN"/>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综上，本项目选址合理。</w:t>
            </w:r>
          </w:p>
        </w:tc>
      </w:tr>
    </w:tbl>
    <w:p>
      <w:pPr>
        <w:pStyle w:val="20"/>
        <w:keepNext w:val="0"/>
        <w:keepLines w:val="0"/>
        <w:pageBreakBefore/>
        <w:widowControl/>
        <w:kinsoku/>
        <w:wordWrap/>
        <w:overflowPunct/>
        <w:topLinePunct w:val="0"/>
        <w:autoSpaceDE/>
        <w:autoSpaceDN/>
        <w:bidi w:val="0"/>
        <w:adjustRightInd w:val="0"/>
        <w:snapToGrid w:val="0"/>
        <w:spacing w:line="240" w:lineRule="auto"/>
        <w:textAlignment w:val="center"/>
        <w:outlineLvl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二、建设项目工程分析</w:t>
      </w:r>
    </w:p>
    <w:tbl>
      <w:tblPr>
        <w:tblStyle w:val="23"/>
        <w:tblW w:w="886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
        <w:gridCol w:w="84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426" w:type="dxa"/>
            <w:tcBorders>
              <w:top w:val="single" w:color="auto" w:sz="8" w:space="0"/>
              <w:left w:val="single" w:color="auto" w:sz="8" w:space="0"/>
              <w:bottom w:val="single" w:color="auto" w:sz="8" w:space="0"/>
              <w:right w:val="single" w:color="auto" w:sz="4" w:space="0"/>
            </w:tcBorders>
            <w:shd w:val="clear" w:color="auto" w:fill="auto"/>
            <w:vAlign w:val="center"/>
          </w:tcPr>
          <w:p>
            <w:pPr>
              <w:keepNext w:val="0"/>
              <w:keepLines w:val="0"/>
              <w:suppressLineNumbers w:val="0"/>
              <w:tabs>
                <w:tab w:val="left" w:pos="1358"/>
              </w:tabs>
              <w:kinsoku/>
              <w:wordWrap/>
              <w:bidi w:val="0"/>
              <w:adjustRightInd/>
              <w:snapToGrid/>
              <w:spacing w:before="0" w:beforeAutospacing="0" w:after="0" w:afterAutospacing="0"/>
              <w:ind w:left="0" w:right="0"/>
              <w:jc w:val="left"/>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ab/>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建设内容</w:t>
            </w:r>
          </w:p>
        </w:tc>
        <w:tc>
          <w:tcPr>
            <w:tcW w:w="8440" w:type="dxa"/>
            <w:tcBorders>
              <w:top w:val="single" w:color="auto" w:sz="8" w:space="0"/>
              <w:left w:val="single" w:color="auto" w:sz="4" w:space="0"/>
              <w:bottom w:val="single" w:color="auto" w:sz="8" w:space="0"/>
              <w:right w:val="single" w:color="auto" w:sz="8" w:space="0"/>
            </w:tcBorders>
            <w:shd w:val="clear" w:color="auto" w:fill="auto"/>
            <w:vAlign w:val="top"/>
          </w:tcPr>
          <w:p>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outlineLvl w:val="9"/>
              <w:rPr>
                <w:rFonts w:hint="default" w:ascii="宋体" w:hAnsi="宋体" w:eastAsia="宋体" w:cs="宋体"/>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1</w:t>
            </w:r>
            <w:r>
              <w:rPr>
                <w:rFonts w:hint="eastAsia" w:cs="Times New Roman"/>
                <w:b/>
                <w:bCs/>
                <w:color w:val="000000" w:themeColor="text1"/>
                <w:kern w:val="0"/>
                <w:sz w:val="21"/>
                <w:szCs w:val="21"/>
                <w:lang w:val="en-US" w:eastAsia="zh-CN" w:bidi="ar"/>
                <w14:textFill>
                  <w14:solidFill>
                    <w14:schemeClr w14:val="tx1"/>
                  </w14:solidFill>
                </w14:textFill>
              </w:rPr>
              <w:t>项目由来</w:t>
            </w:r>
          </w:p>
          <w:p>
            <w:pPr>
              <w:pStyle w:val="20"/>
              <w:keepNext w:val="0"/>
              <w:keepLines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本项目</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位于昌吉市高新技术产业开发区</w:t>
            </w: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锦绣路26号</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。项目区东侧为</w:t>
            </w: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建设路</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，南侧为</w:t>
            </w: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河源路</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，西侧为</w:t>
            </w: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锦绣路</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，北侧为</w:t>
            </w: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和顺路。项目区地理位置见附图5，项目周边关系见附图6。</w:t>
            </w:r>
          </w:p>
          <w:p>
            <w:pPr>
              <w:pStyle w:val="20"/>
              <w:keepNext w:val="0"/>
              <w:keepLines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本项目为粉煤灰暂存项目，根据《中华人民共和国生态环境法典》及《建设项目环境保护管理条例》（国务院第682号令）的有关规定，建设项目必须依法进行环境影响评价。对照《建设项目环境影响评价分类管理名录》（2021年版）：“四十七、生态保护和环境治理业-103、一般工业固体废物（含污水处理污泥）、建筑施工废弃物处置及综合利用-其他”，本项目需编制生态环境影响报告表。</w:t>
            </w:r>
          </w:p>
          <w:p>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outlineLvl w:val="9"/>
              <w:rPr>
                <w:rFonts w:hint="default"/>
                <w:b/>
                <w:bCs/>
                <w:color w:val="000000" w:themeColor="text1"/>
                <w14:textFill>
                  <w14:solidFill>
                    <w14:schemeClr w14:val="tx1"/>
                  </w14:solidFill>
                </w14:textFill>
              </w:rPr>
            </w:pPr>
            <w:bookmarkStart w:id="2" w:name="_Toc32205"/>
            <w:r>
              <w:rPr>
                <w:rFonts w:hint="eastAsia"/>
                <w:b/>
                <w:bCs/>
                <w:color w:val="000000" w:themeColor="text1"/>
                <w:lang w:val="en-US" w:eastAsia="zh-CN"/>
                <w14:textFill>
                  <w14:solidFill>
                    <w14:schemeClr w14:val="tx1"/>
                  </w14:solidFill>
                </w14:textFill>
              </w:rPr>
              <w:t>2建设内容</w:t>
            </w:r>
            <w:bookmarkEnd w:id="2"/>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本项目新建粉煤灰密闭球形网架储备库2座，单库100米×60米，总面积约12000平方米。项目建成后年周转粉煤灰约12万吨，静态储存能力约8万吨，配套建设公用辅助工程（供水、排水、供电和消防工程），环保工程（废气、废水、噪声、固废治理工程）</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本项目</w:t>
            </w:r>
            <w:r>
              <w:rPr>
                <w:rFonts w:hint="eastAsia" w:cs="Times New Roman"/>
                <w:color w:val="000000" w:themeColor="text1"/>
                <w:kern w:val="2"/>
                <w:sz w:val="21"/>
                <w:szCs w:val="21"/>
                <w:lang w:val="en-US" w:eastAsia="zh-CN" w:bidi="ar"/>
                <w14:textFill>
                  <w14:solidFill>
                    <w14:schemeClr w14:val="tx1"/>
                  </w14:solidFill>
                </w14:textFill>
              </w:rPr>
              <w:t>主要建设内容</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见表2-1。</w:t>
            </w:r>
          </w:p>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000000" w:themeColor="text1"/>
                <w:kern w:val="0"/>
                <w:sz w:val="21"/>
                <w:szCs w:val="21"/>
                <w14:textFill>
                  <w14:solidFill>
                    <w14:schemeClr w14:val="tx1"/>
                  </w14:solidFill>
                </w14:textFill>
              </w:rPr>
            </w:pPr>
            <w:r>
              <w:rPr>
                <w:rFonts w:hint="default" w:ascii="Times New Roman" w:hAnsi="Times New Roman" w:eastAsia="宋体" w:cs="Times New Roman"/>
                <w:b/>
                <w:bCs w:val="0"/>
                <w:color w:val="000000" w:themeColor="text1"/>
                <w:kern w:val="0"/>
                <w:sz w:val="21"/>
                <w:szCs w:val="21"/>
                <w:lang w:val="en-US" w:eastAsia="zh-CN" w:bidi="ar"/>
                <w14:textFill>
                  <w14:solidFill>
                    <w14:schemeClr w14:val="tx1"/>
                  </w14:solidFill>
                </w14:textFill>
              </w:rPr>
              <w:t>表</w:t>
            </w:r>
            <w:r>
              <w:rPr>
                <w:rFonts w:hint="eastAsia" w:cs="Times New Roman"/>
                <w:b/>
                <w:bCs w:val="0"/>
                <w:color w:val="000000" w:themeColor="text1"/>
                <w:kern w:val="0"/>
                <w:sz w:val="21"/>
                <w:szCs w:val="21"/>
                <w:lang w:val="en-US" w:eastAsia="zh-CN" w:bidi="ar"/>
                <w14:textFill>
                  <w14:solidFill>
                    <w14:schemeClr w14:val="tx1"/>
                  </w14:solidFill>
                </w14:textFill>
              </w:rPr>
              <w:t>2-1</w:t>
            </w:r>
            <w:r>
              <w:rPr>
                <w:rFonts w:hint="default" w:ascii="Times New Roman" w:hAnsi="Times New Roman" w:eastAsia="宋体" w:cs="Times New Roman"/>
                <w:b/>
                <w:bCs w:val="0"/>
                <w:color w:val="000000" w:themeColor="text1"/>
                <w:kern w:val="0"/>
                <w:sz w:val="21"/>
                <w:szCs w:val="21"/>
                <w:lang w:val="en-US" w:eastAsia="zh-CN" w:bidi="ar"/>
                <w14:textFill>
                  <w14:solidFill>
                    <w14:schemeClr w14:val="tx1"/>
                  </w14:solidFill>
                </w14:textFill>
              </w:rPr>
              <w:t xml:space="preserve">  工程建设内容一览表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4"/>
              <w:gridCol w:w="1127"/>
              <w:gridCol w:w="5407"/>
              <w:gridCol w:w="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83"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工程名称</w:t>
                  </w: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工程</w:t>
                  </w:r>
                  <w:r>
                    <w:rPr>
                      <w:rFonts w:hint="eastAsia" w:cs="Times New Roman"/>
                      <w:b/>
                      <w:bCs/>
                      <w:color w:val="000000" w:themeColor="text1"/>
                      <w:kern w:val="0"/>
                      <w:sz w:val="21"/>
                      <w:szCs w:val="21"/>
                      <w:lang w:val="en-US" w:eastAsia="zh-CN" w:bidi="ar"/>
                      <w14:textFill>
                        <w14:solidFill>
                          <w14:schemeClr w14:val="tx1"/>
                        </w14:solidFill>
                      </w14:textFill>
                    </w:rPr>
                    <w:t>内容</w:t>
                  </w:r>
                </w:p>
              </w:tc>
              <w:tc>
                <w:tcPr>
                  <w:tcW w:w="3292"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lang w:val="en-US"/>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建设内容</w:t>
                  </w:r>
                </w:p>
              </w:tc>
              <w:tc>
                <w:tcPr>
                  <w:tcW w:w="537"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8" w:hRule="atLeast"/>
                <w:jc w:val="center"/>
              </w:trPr>
              <w:tc>
                <w:tcPr>
                  <w:tcW w:w="483"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主体工程</w:t>
                  </w: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lang w:val="en-US"/>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贮存区</w:t>
                  </w:r>
                </w:p>
              </w:tc>
              <w:tc>
                <w:tcPr>
                  <w:tcW w:w="3292"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lang w:val="en-US"/>
                      <w14:textFill>
                        <w14:solidFill>
                          <w14:schemeClr w14:val="tx1"/>
                        </w14:solidFill>
                      </w14:textFill>
                    </w:rPr>
                  </w:pPr>
                  <w:r>
                    <w:rPr>
                      <w:rFonts w:hint="eastAsia" w:cs="Times New Roman"/>
                      <w:color w:val="FF0000"/>
                      <w:kern w:val="0"/>
                      <w:sz w:val="21"/>
                      <w:szCs w:val="21"/>
                      <w:lang w:val="en-US" w:eastAsia="zh-CN" w:bidi="ar"/>
                    </w:rPr>
                    <w:t>新建粉煤灰密闭球形网架储备库2座，单库100米×60米，总面积约12000平方米，储备库高度10m。</w:t>
                  </w:r>
                </w:p>
              </w:tc>
              <w:tc>
                <w:tcPr>
                  <w:tcW w:w="537"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2" w:hRule="atLeast"/>
                <w:jc w:val="center"/>
              </w:trPr>
              <w:tc>
                <w:tcPr>
                  <w:tcW w:w="483" w:type="pct"/>
                  <w:vMerge w:val="restar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公用工程</w:t>
                  </w: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供电</w:t>
                  </w:r>
                </w:p>
              </w:tc>
              <w:tc>
                <w:tcPr>
                  <w:tcW w:w="3292"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由</w:t>
                  </w:r>
                  <w:r>
                    <w:rPr>
                      <w:rFonts w:hint="eastAsia" w:cs="Times New Roman"/>
                      <w:color w:val="000000" w:themeColor="text1"/>
                      <w:kern w:val="2"/>
                      <w:sz w:val="21"/>
                      <w:szCs w:val="21"/>
                      <w:lang w:val="en-US" w:eastAsia="zh-CN" w:bidi="ar"/>
                      <w14:textFill>
                        <w14:solidFill>
                          <w14:schemeClr w14:val="tx1"/>
                        </w14:solidFill>
                      </w14:textFill>
                    </w:rPr>
                    <w:t>园区</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电网</w:t>
                  </w:r>
                  <w:r>
                    <w:rPr>
                      <w:rFonts w:hint="eastAsia" w:cs="Times New Roman"/>
                      <w:color w:val="000000" w:themeColor="text1"/>
                      <w:kern w:val="2"/>
                      <w:sz w:val="21"/>
                      <w:szCs w:val="21"/>
                      <w:lang w:val="en-US" w:eastAsia="zh-CN" w:bidi="ar"/>
                      <w14:textFill>
                        <w14:solidFill>
                          <w14:schemeClr w14:val="tx1"/>
                        </w14:solidFill>
                      </w14:textFill>
                    </w:rPr>
                    <w:t>供给。</w:t>
                  </w:r>
                </w:p>
              </w:tc>
              <w:tc>
                <w:tcPr>
                  <w:tcW w:w="537"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供水</w:t>
                  </w:r>
                </w:p>
              </w:tc>
              <w:tc>
                <w:tcPr>
                  <w:tcW w:w="3292"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由园区</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自来水管网</w:t>
                  </w:r>
                  <w:r>
                    <w:rPr>
                      <w:rFonts w:hint="eastAsia" w:cs="Times New Roman"/>
                      <w:color w:val="000000" w:themeColor="text1"/>
                      <w:kern w:val="0"/>
                      <w:sz w:val="21"/>
                      <w:szCs w:val="21"/>
                      <w:lang w:val="en-US" w:eastAsia="zh-CN" w:bidi="ar"/>
                      <w14:textFill>
                        <w14:solidFill>
                          <w14:schemeClr w14:val="tx1"/>
                        </w14:solidFill>
                      </w14:textFill>
                    </w:rPr>
                    <w:t>供给。</w:t>
                  </w:r>
                </w:p>
              </w:tc>
              <w:tc>
                <w:tcPr>
                  <w:tcW w:w="537"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eastAsia"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供</w:t>
                  </w:r>
                  <w:r>
                    <w:rPr>
                      <w:rFonts w:hint="eastAsia" w:cs="Times New Roman"/>
                      <w:color w:val="000000" w:themeColor="text1"/>
                      <w:kern w:val="0"/>
                      <w:sz w:val="21"/>
                      <w:szCs w:val="21"/>
                      <w:lang w:val="en-US" w:eastAsia="zh-CN" w:bidi="ar"/>
                      <w14:textFill>
                        <w14:solidFill>
                          <w14:schemeClr w14:val="tx1"/>
                        </w14:solidFill>
                      </w14:textFill>
                    </w:rPr>
                    <w:t>暖</w:t>
                  </w:r>
                </w:p>
              </w:tc>
              <w:tc>
                <w:tcPr>
                  <w:tcW w:w="3292"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2"/>
                      <w:sz w:val="21"/>
                      <w:szCs w:val="21"/>
                      <w:vertAlign w:val="baseline"/>
                      <w:lang w:val="en-US" w:eastAsia="zh-CN" w:bidi="ar"/>
                      <w14:textFill>
                        <w14:solidFill>
                          <w14:schemeClr w14:val="tx1"/>
                        </w14:solidFill>
                      </w14:textFill>
                    </w:rPr>
                    <w:t>生产不用热，冬季采用电采暖。</w:t>
                  </w:r>
                </w:p>
              </w:tc>
              <w:tc>
                <w:tcPr>
                  <w:tcW w:w="537"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pPr>
                  <w:r>
                    <w:rPr>
                      <w:rFonts w:hint="eastAsia" w:cs="Times New Roman"/>
                      <w:color w:val="000000" w:themeColor="text1"/>
                      <w:kern w:val="2"/>
                      <w:sz w:val="21"/>
                      <w:szCs w:val="21"/>
                      <w:vertAlign w:val="baseline"/>
                      <w:lang w:val="en-US" w:eastAsia="zh-CN" w:bidi="ar"/>
                      <w14:textFill>
                        <w14:solidFill>
                          <w14:schemeClr w14:val="tx1"/>
                        </w14:solidFill>
                      </w14:textFil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83" w:type="pct"/>
                  <w:vMerge w:val="restar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环保工程</w:t>
                  </w: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废水处理</w:t>
                  </w:r>
                </w:p>
              </w:tc>
              <w:tc>
                <w:tcPr>
                  <w:tcW w:w="3830" w:type="pct"/>
                  <w:gridSpan w:val="2"/>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both"/>
                    <w:textAlignment w:val="auto"/>
                    <w:rPr>
                      <w:rFonts w:hint="default"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本项目运营期生活污水排入园区下水管网，最终进入园区污水处理厂处理。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3" w:type="pct"/>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废气处理</w:t>
                  </w:r>
                </w:p>
              </w:tc>
              <w:tc>
                <w:tcPr>
                  <w:tcW w:w="3830" w:type="pct"/>
                  <w:gridSpan w:val="2"/>
                  <w:tcBorders>
                    <w:tl2br w:val="nil"/>
                    <w:tr2bl w:val="nil"/>
                  </w:tcBorders>
                  <w:shd w:val="clear" w:color="auto" w:fill="auto"/>
                  <w:vAlign w:val="center"/>
                </w:tcPr>
                <w:p>
                  <w:pPr>
                    <w:keepNext w:val="0"/>
                    <w:keepLines w:val="0"/>
                    <w:pageBreakBefore w:val="0"/>
                    <w:widowControl w:val="0"/>
                    <w:suppressLineNumbers w:val="0"/>
                    <w:kinsoku/>
                    <w:wordWrap/>
                    <w:overflowPunct/>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运营期粉煤灰储备库贮存粉尘分别经脉冲布袋除尘器处理后通过15m高排气筒排放。运输车辆扬尘采取洒水抑尘、控制车速、地面硬化等措施。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83" w:type="pct"/>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噪声处理</w:t>
                  </w:r>
                </w:p>
              </w:tc>
              <w:tc>
                <w:tcPr>
                  <w:tcW w:w="3830" w:type="pct"/>
                  <w:gridSpan w:val="2"/>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加强管理、建筑隔声、减振、合理布局</w:t>
                  </w:r>
                  <w:r>
                    <w:rPr>
                      <w:rFonts w:hint="eastAsia" w:cs="Times New Roman"/>
                      <w:color w:val="000000" w:themeColor="text1"/>
                      <w:kern w:val="2"/>
                      <w:sz w:val="21"/>
                      <w:szCs w:val="21"/>
                      <w:lang w:val="en-US"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483" w:type="pct"/>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86"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固废处理</w:t>
                  </w:r>
                </w:p>
              </w:tc>
              <w:tc>
                <w:tcPr>
                  <w:tcW w:w="3830" w:type="pct"/>
                  <w:gridSpan w:val="2"/>
                  <w:tcBorders>
                    <w:tl2br w:val="nil"/>
                    <w:tr2bl w:val="nil"/>
                  </w:tcBorders>
                  <w:shd w:val="clear" w:color="auto" w:fill="auto"/>
                  <w:vAlign w:val="center"/>
                </w:tcPr>
                <w:p>
                  <w:pPr>
                    <w:keepNext w:val="0"/>
                    <w:keepLines w:val="0"/>
                    <w:pageBreakBefore w:val="0"/>
                    <w:widowControl w:val="0"/>
                    <w:suppressLineNumbers w:val="0"/>
                    <w:kinsoku/>
                    <w:wordWrap/>
                    <w:overflowPunct/>
                    <w:topLinePunct/>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收集粉尘全部作为产品外售；生活垃圾收集后交由园区环卫部门处理。</w:t>
                  </w:r>
                </w:p>
              </w:tc>
            </w:tr>
          </w:tbl>
          <w:p>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outlineLvl w:val="9"/>
              <w:rPr>
                <w:rFonts w:hint="default"/>
                <w:b/>
                <w:bCs/>
                <w:color w:val="000000" w:themeColor="text1"/>
                <w14:textFill>
                  <w14:solidFill>
                    <w14:schemeClr w14:val="tx1"/>
                  </w14:solidFill>
                </w14:textFill>
              </w:rPr>
            </w:pPr>
            <w:bookmarkStart w:id="3" w:name="_Toc19784"/>
            <w:r>
              <w:rPr>
                <w:rFonts w:hint="eastAsia"/>
                <w:b/>
                <w:bCs/>
                <w:color w:val="000000" w:themeColor="text1"/>
                <w:lang w:val="en-US" w:eastAsia="zh-CN"/>
                <w14:textFill>
                  <w14:solidFill>
                    <w14:schemeClr w14:val="tx1"/>
                  </w14:solidFill>
                </w14:textFill>
              </w:rPr>
              <w:t>3</w:t>
            </w:r>
            <w:r>
              <w:rPr>
                <w:rFonts w:hint="default"/>
                <w:b/>
                <w:bCs/>
                <w:color w:val="000000" w:themeColor="text1"/>
                <w:lang w:val="en-US" w:eastAsia="zh-CN"/>
                <w14:textFill>
                  <w14:solidFill>
                    <w14:schemeClr w14:val="tx1"/>
                  </w14:solidFill>
                </w14:textFill>
              </w:rPr>
              <w:t>主要</w:t>
            </w:r>
            <w:r>
              <w:rPr>
                <w:rFonts w:hint="eastAsia"/>
                <w:b/>
                <w:bCs/>
                <w:color w:val="000000" w:themeColor="text1"/>
                <w:lang w:val="en-US" w:eastAsia="zh-CN"/>
                <w14:textFill>
                  <w14:solidFill>
                    <w14:schemeClr w14:val="tx1"/>
                  </w14:solidFill>
                </w14:textFill>
              </w:rPr>
              <w:t>生产</w:t>
            </w:r>
            <w:r>
              <w:rPr>
                <w:rFonts w:hint="default"/>
                <w:b/>
                <w:bCs/>
                <w:color w:val="000000" w:themeColor="text1"/>
                <w:lang w:val="en-US" w:eastAsia="zh-CN"/>
                <w14:textFill>
                  <w14:solidFill>
                    <w14:schemeClr w14:val="tx1"/>
                  </w14:solidFill>
                </w14:textFill>
              </w:rPr>
              <w:t>设备</w:t>
            </w:r>
            <w:bookmarkEnd w:id="3"/>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本项目主要</w:t>
            </w:r>
            <w:r>
              <w:rPr>
                <w:rFonts w:hint="eastAsia" w:cs="Times New Roman"/>
                <w:color w:val="000000" w:themeColor="text1"/>
                <w:kern w:val="2"/>
                <w:sz w:val="21"/>
                <w:szCs w:val="21"/>
                <w:lang w:val="en-US" w:eastAsia="zh-CN" w:bidi="ar"/>
                <w14:textFill>
                  <w14:solidFill>
                    <w14:schemeClr w14:val="tx1"/>
                  </w14:solidFill>
                </w14:textFill>
              </w:rPr>
              <w:t>生产</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设备见</w:t>
            </w:r>
            <w:r>
              <w:rPr>
                <w:rFonts w:hint="eastAsia" w:cs="Times New Roman"/>
                <w:color w:val="000000" w:themeColor="text1"/>
                <w:kern w:val="2"/>
                <w:sz w:val="21"/>
                <w:szCs w:val="21"/>
                <w:lang w:val="en-US" w:eastAsia="zh-CN" w:bidi="ar"/>
                <w14:textFill>
                  <w14:solidFill>
                    <w14:schemeClr w14:val="tx1"/>
                  </w14:solidFill>
                </w14:textFill>
              </w:rPr>
              <w:t>表2-2</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w:t>
            </w:r>
          </w:p>
          <w:p>
            <w:pPr>
              <w:pStyle w:val="34"/>
              <w:keepNext w:val="0"/>
              <w:keepLines w:val="0"/>
              <w:pageBreakBefore w:val="0"/>
              <w:widowControl/>
              <w:kinsoku/>
              <w:wordWrap/>
              <w:overflowPunct w:val="0"/>
              <w:topLinePunct w:val="0"/>
              <w:autoSpaceDE/>
              <w:autoSpaceDN/>
              <w:bidi w:val="0"/>
              <w:adjustRightInd/>
              <w:snapToGrid/>
              <w:spacing w:line="240" w:lineRule="auto"/>
              <w:ind w:left="0" w:firstLine="0"/>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14:textFill>
                  <w14:solidFill>
                    <w14:schemeClr w14:val="tx1"/>
                  </w14:solidFill>
                </w14:textFill>
              </w:rPr>
              <w:t>表</w:t>
            </w:r>
            <w:r>
              <w:rPr>
                <w:rFonts w:hint="eastAsia" w:cs="Times New Roman"/>
                <w:b/>
                <w:bCs/>
                <w:color w:val="000000" w:themeColor="text1"/>
                <w:kern w:val="2"/>
                <w:sz w:val="21"/>
                <w:szCs w:val="21"/>
                <w:lang w:val="en-US" w:eastAsia="zh-CN"/>
                <w14:textFill>
                  <w14:solidFill>
                    <w14:schemeClr w14:val="tx1"/>
                  </w14:solidFill>
                </w14:textFill>
              </w:rPr>
              <w:t>2-2</w:t>
            </w:r>
            <w:r>
              <w:rPr>
                <w:rFonts w:hint="default" w:ascii="Times New Roman" w:hAnsi="Times New Roman" w:eastAsia="宋体" w:cs="Times New Roman"/>
                <w:b/>
                <w:bCs/>
                <w:color w:val="000000" w:themeColor="text1"/>
                <w:kern w:val="2"/>
                <w:sz w:val="21"/>
                <w:szCs w:val="21"/>
                <w14:textFill>
                  <w14:solidFill>
                    <w14:schemeClr w14:val="tx1"/>
                  </w14:solidFill>
                </w14:textFill>
              </w:rPr>
              <w:t xml:space="preserve">  主要生产设备一览表</w:t>
            </w:r>
          </w:p>
          <w:tbl>
            <w:tblPr>
              <w:tblStyle w:val="23"/>
              <w:tblW w:w="8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461"/>
              <w:gridCol w:w="1770"/>
              <w:gridCol w:w="1723"/>
              <w:gridCol w:w="1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39" w:type="pct"/>
                  <w:noWrap w:val="0"/>
                  <w:vAlign w:val="center"/>
                </w:tcPr>
                <w:p>
                  <w:pPr>
                    <w:keepNext w:val="0"/>
                    <w:keepLines w:val="0"/>
                    <w:suppressLineNumbers w:val="0"/>
                    <w:kinsoku/>
                    <w:wordWrap/>
                    <w:bidi w:val="0"/>
                    <w:adjustRightInd/>
                    <w:snapToGrid/>
                    <w:spacing w:before="0" w:beforeAutospacing="0" w:after="0" w:afterAutospacing="0"/>
                    <w:ind w:left="0" w:right="0"/>
                    <w:jc w:val="center"/>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序号</w:t>
                  </w:r>
                </w:p>
              </w:tc>
              <w:tc>
                <w:tcPr>
                  <w:tcW w:w="1475" w:type="pct"/>
                  <w:noWrap w:val="0"/>
                  <w:vAlign w:val="center"/>
                </w:tcPr>
                <w:p>
                  <w:pPr>
                    <w:keepNext w:val="0"/>
                    <w:keepLines w:val="0"/>
                    <w:suppressLineNumbers w:val="0"/>
                    <w:kinsoku/>
                    <w:wordWrap/>
                    <w:bidi w:val="0"/>
                    <w:adjustRightInd/>
                    <w:snapToGrid/>
                    <w:spacing w:before="0" w:beforeAutospacing="0" w:after="0" w:afterAutospacing="0"/>
                    <w:ind w:left="0" w:right="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设备名称</w:t>
                  </w:r>
                </w:p>
              </w:tc>
              <w:tc>
                <w:tcPr>
                  <w:tcW w:w="1061" w:type="pct"/>
                  <w:noWrap w:val="0"/>
                  <w:vAlign w:val="center"/>
                </w:tcPr>
                <w:p>
                  <w:pPr>
                    <w:keepNext w:val="0"/>
                    <w:keepLines w:val="0"/>
                    <w:suppressLineNumbers w:val="0"/>
                    <w:kinsoku/>
                    <w:wordWrap/>
                    <w:bidi w:val="0"/>
                    <w:adjustRightInd/>
                    <w:snapToGrid/>
                    <w:spacing w:before="0" w:beforeAutospacing="0" w:after="0" w:afterAutospacing="0"/>
                    <w:ind w:left="0" w:right="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数量</w:t>
                  </w:r>
                </w:p>
              </w:tc>
              <w:tc>
                <w:tcPr>
                  <w:tcW w:w="1033" w:type="pct"/>
                  <w:noWrap w:val="0"/>
                  <w:vAlign w:val="center"/>
                </w:tcPr>
                <w:p>
                  <w:pPr>
                    <w:keepNext w:val="0"/>
                    <w:keepLines w:val="0"/>
                    <w:suppressLineNumbers w:val="0"/>
                    <w:kinsoku/>
                    <w:wordWrap/>
                    <w:bidi w:val="0"/>
                    <w:adjustRightInd/>
                    <w:snapToGrid/>
                    <w:spacing w:before="0" w:beforeAutospacing="0" w:after="0" w:afterAutospacing="0"/>
                    <w:ind w:left="0" w:leftChars="0" w:right="0" w:rightChars="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单位</w:t>
                  </w:r>
                </w:p>
              </w:tc>
              <w:tc>
                <w:tcPr>
                  <w:tcW w:w="889" w:type="pct"/>
                  <w:noWrap w:val="0"/>
                  <w:vAlign w:val="center"/>
                </w:tcPr>
                <w:p>
                  <w:pPr>
                    <w:keepNext w:val="0"/>
                    <w:keepLines w:val="0"/>
                    <w:suppressLineNumbers w:val="0"/>
                    <w:kinsoku/>
                    <w:wordWrap/>
                    <w:bidi w:val="0"/>
                    <w:adjustRightInd/>
                    <w:snapToGrid/>
                    <w:spacing w:before="0" w:beforeAutospacing="0" w:after="0" w:afterAutospacing="0"/>
                    <w:ind w:left="0" w:leftChars="0" w:right="0" w:rightChars="0"/>
                    <w:jc w:val="center"/>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9" w:type="pct"/>
                  <w:noWrap w:val="0"/>
                  <w:vAlign w:val="center"/>
                </w:tcPr>
                <w:p>
                  <w:pPr>
                    <w:keepNext w:val="0"/>
                    <w:keepLines w:val="0"/>
                    <w:suppressLineNumbers w:val="0"/>
                    <w:kinsoku/>
                    <w:wordWrap/>
                    <w:overflowPunct/>
                    <w:topLinePunct w:val="0"/>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1475" w:type="pct"/>
                  <w:noWrap w:val="0"/>
                  <w:vAlign w:val="center"/>
                </w:tcPr>
                <w:p>
                  <w:pPr>
                    <w:pStyle w:val="20"/>
                    <w:keepNext w:val="0"/>
                    <w:keepLines w:val="0"/>
                    <w:widowControl/>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s="宋体"/>
                      <w:color w:val="000000" w:themeColor="text1"/>
                      <w:kern w:val="2"/>
                      <w:sz w:val="21"/>
                      <w:szCs w:val="21"/>
                      <w:lang w:val="en-US" w:eastAsia="zh-CN" w:bidi="ar"/>
                      <w14:textFill>
                        <w14:solidFill>
                          <w14:schemeClr w14:val="tx1"/>
                        </w14:solidFill>
                      </w14:textFill>
                    </w:rPr>
                    <w:t>提升</w:t>
                  </w:r>
                  <w:r>
                    <w:rPr>
                      <w:rFonts w:hint="eastAsia" w:ascii="宋体" w:hAnsi="宋体" w:eastAsia="宋体" w:cs="宋体"/>
                      <w:color w:val="000000" w:themeColor="text1"/>
                      <w:kern w:val="2"/>
                      <w:sz w:val="21"/>
                      <w:szCs w:val="21"/>
                      <w:lang w:val="en-US" w:eastAsia="zh-CN" w:bidi="ar"/>
                      <w14:textFill>
                        <w14:solidFill>
                          <w14:schemeClr w14:val="tx1"/>
                        </w14:solidFill>
                      </w14:textFill>
                    </w:rPr>
                    <w:t>机</w:t>
                  </w:r>
                </w:p>
              </w:tc>
              <w:tc>
                <w:tcPr>
                  <w:tcW w:w="1061"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1033"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台</w:t>
                  </w:r>
                </w:p>
              </w:tc>
              <w:tc>
                <w:tcPr>
                  <w:tcW w:w="889"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9"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1475" w:type="pct"/>
                  <w:noWrap w:val="0"/>
                  <w:vAlign w:val="center"/>
                </w:tcPr>
                <w:p>
                  <w:pPr>
                    <w:pStyle w:val="20"/>
                    <w:keepNext w:val="0"/>
                    <w:keepLines w:val="0"/>
                    <w:widowControl/>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脉冲布袋除尘器</w:t>
                  </w:r>
                </w:p>
              </w:tc>
              <w:tc>
                <w:tcPr>
                  <w:tcW w:w="1061"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1033"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套</w:t>
                  </w:r>
                </w:p>
              </w:tc>
              <w:tc>
                <w:tcPr>
                  <w:tcW w:w="889"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9"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1475" w:type="pct"/>
                  <w:noWrap w:val="0"/>
                  <w:vAlign w:val="center"/>
                </w:tcPr>
                <w:p>
                  <w:pPr>
                    <w:pStyle w:val="20"/>
                    <w:keepNext w:val="0"/>
                    <w:keepLines w:val="0"/>
                    <w:widowControl/>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color w:val="000000" w:themeColor="text1"/>
                      <w:kern w:val="2"/>
                      <w:sz w:val="21"/>
                      <w:szCs w:val="21"/>
                      <w:lang w:val="en-US" w:eastAsia="zh-CN" w:bidi="ar"/>
                      <w14:textFill>
                        <w14:solidFill>
                          <w14:schemeClr w14:val="tx1"/>
                        </w14:solidFill>
                      </w14:textFill>
                    </w:rPr>
                  </w:pPr>
                  <w:r>
                    <w:rPr>
                      <w:rFonts w:hint="eastAsia" w:eastAsia="宋体" w:cs="宋体"/>
                      <w:color w:val="000000" w:themeColor="text1"/>
                      <w:kern w:val="2"/>
                      <w:sz w:val="21"/>
                      <w:szCs w:val="21"/>
                      <w:lang w:val="en-US" w:eastAsia="zh-CN" w:bidi="ar"/>
                      <w14:textFill>
                        <w14:solidFill>
                          <w14:schemeClr w14:val="tx1"/>
                        </w14:solidFill>
                      </w14:textFill>
                    </w:rPr>
                    <w:t>装载机</w:t>
                  </w:r>
                </w:p>
              </w:tc>
              <w:tc>
                <w:tcPr>
                  <w:tcW w:w="1061"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033"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台</w:t>
                  </w:r>
                </w:p>
              </w:tc>
              <w:tc>
                <w:tcPr>
                  <w:tcW w:w="889"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539" w:type="pct"/>
                  <w:noWrap w:val="0"/>
                  <w:vAlign w:val="center"/>
                </w:tcPr>
                <w:p>
                  <w:pPr>
                    <w:keepNext w:val="0"/>
                    <w:keepLines w:val="0"/>
                    <w:suppressLineNumbers w:val="0"/>
                    <w:kinsoku/>
                    <w:wordWrap/>
                    <w:overflowPunct/>
                    <w:topLinePunct w:val="0"/>
                    <w:autoSpaceDN/>
                    <w:bidi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1475" w:type="pct"/>
                  <w:noWrap w:val="0"/>
                  <w:vAlign w:val="center"/>
                </w:tcPr>
                <w:p>
                  <w:pPr>
                    <w:pStyle w:val="20"/>
                    <w:keepNext w:val="0"/>
                    <w:keepLines w:val="0"/>
                    <w:widowControl/>
                    <w:suppressLineNumbers w:val="0"/>
                    <w:kinsoku/>
                    <w:wordWrap/>
                    <w:overflowPunct/>
                    <w:topLinePunct w:val="0"/>
                    <w:autoSpaceDE w:val="0"/>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粉煤灰储备库</w:t>
                  </w:r>
                </w:p>
              </w:tc>
              <w:tc>
                <w:tcPr>
                  <w:tcW w:w="1061"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w:t>
                  </w:r>
                </w:p>
              </w:tc>
              <w:tc>
                <w:tcPr>
                  <w:tcW w:w="1033"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座</w:t>
                  </w:r>
                </w:p>
              </w:tc>
              <w:tc>
                <w:tcPr>
                  <w:tcW w:w="889" w:type="pct"/>
                  <w:noWrap w:val="0"/>
                  <w:vAlign w:val="center"/>
                </w:tcPr>
                <w:p>
                  <w:pPr>
                    <w:pStyle w:val="56"/>
                    <w:keepNext w:val="0"/>
                    <w:keepLines w:val="0"/>
                    <w:widowControl/>
                    <w:suppressLineNumbers w:val="0"/>
                    <w:kinsoku/>
                    <w:wordWrap/>
                    <w:overflowPunct/>
                    <w:topLinePunct w:val="0"/>
                    <w:autoSpaceDN/>
                    <w:bidi w:val="0"/>
                    <w:adjustRightInd w:val="0"/>
                    <w:snapToGrid w:val="0"/>
                    <w:spacing w:line="240" w:lineRule="auto"/>
                    <w:ind w:left="0" w:leftChars="0" w:right="0" w:rightChars="0"/>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r>
          </w:tbl>
          <w:p>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outlineLvl w:val="9"/>
              <w:rPr>
                <w:rFonts w:hint="default"/>
                <w:b/>
                <w:bCs/>
                <w:color w:val="000000" w:themeColor="text1"/>
                <w14:textFill>
                  <w14:solidFill>
                    <w14:schemeClr w14:val="tx1"/>
                  </w14:solidFill>
                </w14:textFill>
              </w:rPr>
            </w:pPr>
            <w:bookmarkStart w:id="4" w:name="_Toc27601"/>
            <w:r>
              <w:rPr>
                <w:rFonts w:hint="eastAsia"/>
                <w:b/>
                <w:bCs/>
                <w:color w:val="000000" w:themeColor="text1"/>
                <w:lang w:val="en-US" w:eastAsia="zh-CN"/>
                <w14:textFill>
                  <w14:solidFill>
                    <w14:schemeClr w14:val="tx1"/>
                  </w14:solidFill>
                </w14:textFill>
              </w:rPr>
              <w:t>4原辅</w:t>
            </w:r>
            <w:r>
              <w:rPr>
                <w:rFonts w:hint="default"/>
                <w:b/>
                <w:bCs/>
                <w:color w:val="000000" w:themeColor="text1"/>
                <w:lang w:val="en-US" w:eastAsia="zh-CN"/>
                <w14:textFill>
                  <w14:solidFill>
                    <w14:schemeClr w14:val="tx1"/>
                  </w14:solidFill>
                </w14:textFill>
              </w:rPr>
              <w:t>材料</w:t>
            </w:r>
            <w:r>
              <w:rPr>
                <w:rFonts w:hint="eastAsia"/>
                <w:b/>
                <w:bCs/>
                <w:color w:val="000000" w:themeColor="text1"/>
                <w:lang w:val="en-US" w:eastAsia="zh-CN"/>
                <w14:textFill>
                  <w14:solidFill>
                    <w14:schemeClr w14:val="tx1"/>
                  </w14:solidFill>
                </w14:textFill>
              </w:rPr>
              <w:t>及能源</w:t>
            </w:r>
            <w:r>
              <w:rPr>
                <w:rFonts w:hint="default"/>
                <w:b/>
                <w:bCs/>
                <w:color w:val="000000" w:themeColor="text1"/>
                <w:lang w:val="en-US" w:eastAsia="zh-CN"/>
                <w14:textFill>
                  <w14:solidFill>
                    <w14:schemeClr w14:val="tx1"/>
                  </w14:solidFill>
                </w14:textFill>
              </w:rPr>
              <w:t>消耗</w:t>
            </w:r>
            <w:bookmarkEnd w:id="4"/>
          </w:p>
          <w:p>
            <w:pPr>
              <w:pStyle w:val="34"/>
              <w:keepNext w:val="0"/>
              <w:keepLines w:val="0"/>
              <w:pageBreakBefore w:val="0"/>
              <w:widowControl/>
              <w:kinsoku/>
              <w:wordWrap/>
              <w:overflowPunct w:val="0"/>
              <w:topLinePunct w:val="0"/>
              <w:autoSpaceDE/>
              <w:autoSpaceDN/>
              <w:bidi w:val="0"/>
              <w:adjustRightInd w:val="0"/>
              <w:snapToGrid w:val="0"/>
              <w:spacing w:line="360" w:lineRule="auto"/>
              <w:ind w:left="0" w:firstLine="420" w:firstLineChars="200"/>
              <w:jc w:val="both"/>
              <w:textAlignment w:val="auto"/>
              <w:rPr>
                <w:rFonts w:hint="default" w:ascii="Times New Roman" w:hAnsi="Times New Roman" w:eastAsia="宋体" w:cs="Times New Roman"/>
                <w:b/>
                <w:bCs w:val="0"/>
                <w:color w:val="000000" w:themeColor="text1"/>
                <w:kern w:val="0"/>
                <w:sz w:val="21"/>
                <w:szCs w:val="21"/>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本项目</w:t>
            </w:r>
            <w:r>
              <w:rPr>
                <w:rFonts w:hint="default" w:ascii="Times New Roman" w:hAnsi="Times New Roman" w:eastAsia="宋体" w:cs="Times New Roman"/>
                <w:bCs/>
                <w:color w:val="000000" w:themeColor="text1"/>
                <w:kern w:val="0"/>
                <w:sz w:val="21"/>
                <w:szCs w:val="21"/>
                <w14:textFill>
                  <w14:solidFill>
                    <w14:schemeClr w14:val="tx1"/>
                  </w14:solidFill>
                </w14:textFill>
              </w:rPr>
              <w:t>原辅材料及能源消耗见</w:t>
            </w:r>
            <w:r>
              <w:rPr>
                <w:rFonts w:hint="eastAsia" w:cs="Times New Roman"/>
                <w:bCs/>
                <w:color w:val="000000" w:themeColor="text1"/>
                <w:kern w:val="0"/>
                <w:sz w:val="21"/>
                <w:szCs w:val="21"/>
                <w:lang w:val="en-US" w:eastAsia="zh-CN"/>
                <w14:textFill>
                  <w14:solidFill>
                    <w14:schemeClr w14:val="tx1"/>
                  </w14:solidFill>
                </w14:textFill>
              </w:rPr>
              <w:t>表2-3、表2-4</w:t>
            </w:r>
            <w:r>
              <w:rPr>
                <w:rFonts w:hint="default" w:ascii="Times New Roman" w:hAnsi="Times New Roman" w:eastAsia="宋体" w:cs="Times New Roman"/>
                <w:bCs/>
                <w:color w:val="000000" w:themeColor="text1"/>
                <w:kern w:val="0"/>
                <w:sz w:val="21"/>
                <w:szCs w:val="21"/>
                <w14:textFill>
                  <w14:solidFill>
                    <w14:schemeClr w14:val="tx1"/>
                  </w14:solidFill>
                </w14:textFill>
              </w:rPr>
              <w:t>。</w:t>
            </w:r>
          </w:p>
          <w:p>
            <w:pPr>
              <w:pStyle w:val="34"/>
              <w:keepNext w:val="0"/>
              <w:keepLines w:val="0"/>
              <w:pageBreakBefore w:val="0"/>
              <w:widowControl/>
              <w:kinsoku/>
              <w:wordWrap/>
              <w:overflowPunct w:val="0"/>
              <w:topLinePunct w:val="0"/>
              <w:autoSpaceDE/>
              <w:autoSpaceDN/>
              <w:bidi w:val="0"/>
              <w:adjustRightInd/>
              <w:snapToGrid/>
              <w:spacing w:line="240" w:lineRule="auto"/>
              <w:textAlignment w:val="auto"/>
              <w:rPr>
                <w:rFonts w:hint="default" w:ascii="Times New Roman" w:hAnsi="Times New Roman" w:eastAsia="宋体" w:cs="Times New Roman"/>
                <w:b/>
                <w:bCs w:val="0"/>
                <w:color w:val="000000" w:themeColor="text1"/>
                <w:kern w:val="0"/>
                <w:sz w:val="21"/>
                <w:szCs w:val="21"/>
                <w14:textFill>
                  <w14:solidFill>
                    <w14:schemeClr w14:val="tx1"/>
                  </w14:solidFill>
                </w14:textFill>
              </w:rPr>
            </w:pPr>
            <w:r>
              <w:rPr>
                <w:rFonts w:hint="default" w:ascii="Times New Roman" w:hAnsi="Times New Roman" w:eastAsia="宋体" w:cs="Times New Roman"/>
                <w:b/>
                <w:bCs w:val="0"/>
                <w:color w:val="000000" w:themeColor="text1"/>
                <w:kern w:val="0"/>
                <w:sz w:val="21"/>
                <w:szCs w:val="21"/>
                <w14:textFill>
                  <w14:solidFill>
                    <w14:schemeClr w14:val="tx1"/>
                  </w14:solidFill>
                </w14:textFill>
              </w:rPr>
              <w:t>表</w:t>
            </w:r>
            <w:r>
              <w:rPr>
                <w:rFonts w:hint="eastAsia" w:cs="Times New Roman"/>
                <w:b/>
                <w:bCs w:val="0"/>
                <w:color w:val="000000" w:themeColor="text1"/>
                <w:kern w:val="0"/>
                <w:sz w:val="21"/>
                <w:szCs w:val="21"/>
                <w:lang w:val="en-US" w:eastAsia="zh-CN"/>
                <w14:textFill>
                  <w14:solidFill>
                    <w14:schemeClr w14:val="tx1"/>
                  </w14:solidFill>
                </w14:textFill>
              </w:rPr>
              <w:t>2-3</w:t>
            </w:r>
            <w:r>
              <w:rPr>
                <w:rFonts w:hint="default" w:ascii="Times New Roman" w:hAnsi="Times New Roman" w:eastAsia="宋体" w:cs="Times New Roman"/>
                <w:b/>
                <w:bCs w:val="0"/>
                <w:color w:val="000000" w:themeColor="text1"/>
                <w:kern w:val="0"/>
                <w:sz w:val="21"/>
                <w:szCs w:val="21"/>
                <w14:textFill>
                  <w14:solidFill>
                    <w14:schemeClr w14:val="tx1"/>
                  </w14:solidFill>
                </w14:textFill>
              </w:rPr>
              <w:t xml:space="preserve">  </w:t>
            </w:r>
            <w:r>
              <w:rPr>
                <w:rFonts w:hint="eastAsia" w:cs="Times New Roman"/>
                <w:b/>
                <w:bCs w:val="0"/>
                <w:color w:val="000000" w:themeColor="text1"/>
                <w:kern w:val="0"/>
                <w:sz w:val="21"/>
                <w:szCs w:val="21"/>
                <w:lang w:val="en-US" w:eastAsia="zh-CN"/>
                <w14:textFill>
                  <w14:solidFill>
                    <w14:schemeClr w14:val="tx1"/>
                  </w14:solidFill>
                </w14:textFill>
              </w:rPr>
              <w:t>生产</w:t>
            </w:r>
            <w:r>
              <w:rPr>
                <w:rFonts w:hint="default" w:ascii="Times New Roman" w:hAnsi="Times New Roman" w:eastAsia="宋体" w:cs="Times New Roman"/>
                <w:b/>
                <w:bCs w:val="0"/>
                <w:color w:val="000000" w:themeColor="text1"/>
                <w:kern w:val="0"/>
                <w:sz w:val="21"/>
                <w:szCs w:val="21"/>
                <w14:textFill>
                  <w14:solidFill>
                    <w14:schemeClr w14:val="tx1"/>
                  </w14:solidFill>
                </w14:textFill>
              </w:rPr>
              <w:t>原辅材料消耗一览表</w:t>
            </w:r>
          </w:p>
          <w:tbl>
            <w:tblPr>
              <w:tblStyle w:val="23"/>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31"/>
              <w:gridCol w:w="1558"/>
              <w:gridCol w:w="1371"/>
              <w:gridCol w:w="1586"/>
              <w:gridCol w:w="1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jc w:val="center"/>
              </w:trPr>
              <w:tc>
                <w:tcPr>
                  <w:tcW w:w="1056" w:type="pct"/>
                  <w:tcBorders>
                    <w:tl2br w:val="nil"/>
                    <w:tr2bl w:val="nil"/>
                  </w:tcBorders>
                  <w:shd w:val="clear" w:color="auto" w:fill="auto"/>
                  <w:vAlign w:val="center"/>
                </w:tcPr>
                <w:p>
                  <w:pPr>
                    <w:pStyle w:val="20"/>
                    <w:keepNext w:val="0"/>
                    <w:keepLines w:val="0"/>
                    <w:widowControl/>
                    <w:suppressLineNumbers w:val="0"/>
                    <w:kinsoku/>
                    <w:wordWrap/>
                    <w:overflowPunct/>
                    <w:topLinePunct w:val="0"/>
                    <w:autoSpaceDE/>
                    <w:autoSpaceDN/>
                    <w:bidi w:val="0"/>
                    <w:adjustRightInd/>
                    <w:snapToGrid/>
                    <w:spacing w:before="0" w:after="0" w:line="240" w:lineRule="auto"/>
                    <w:ind w:left="0" w:right="0"/>
                    <w:jc w:val="center"/>
                    <w:outlineLvl w:val="3"/>
                    <w:rPr>
                      <w:rFonts w:hint="default" w:ascii="Times New Roman" w:hAnsi="Times New Roman" w:eastAsia="宋体" w:cs="Times New Roman"/>
                      <w:b/>
                      <w:bCs/>
                      <w:color w:val="000000" w:themeColor="text1"/>
                      <w:kern w:val="0"/>
                      <w:sz w:val="21"/>
                      <w:szCs w:val="21"/>
                      <w:u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u w:val="none"/>
                      <w14:textFill>
                        <w14:solidFill>
                          <w14:schemeClr w14:val="tx1"/>
                        </w14:solidFill>
                      </w14:textFill>
                    </w:rPr>
                    <w:t>名称</w:t>
                  </w:r>
                </w:p>
              </w:tc>
              <w:tc>
                <w:tcPr>
                  <w:tcW w:w="951" w:type="pct"/>
                  <w:tcBorders>
                    <w:tl2br w:val="nil"/>
                    <w:tr2bl w:val="nil"/>
                  </w:tcBorders>
                  <w:shd w:val="clear" w:color="auto" w:fill="auto"/>
                  <w:vAlign w:val="center"/>
                </w:tcPr>
                <w:p>
                  <w:pPr>
                    <w:pStyle w:val="20"/>
                    <w:keepNext w:val="0"/>
                    <w:keepLines w:val="0"/>
                    <w:widowControl/>
                    <w:suppressLineNumbers w:val="0"/>
                    <w:kinsoku/>
                    <w:wordWrap/>
                    <w:overflowPunct/>
                    <w:topLinePunct w:val="0"/>
                    <w:autoSpaceDE/>
                    <w:autoSpaceDN/>
                    <w:bidi w:val="0"/>
                    <w:adjustRightInd/>
                    <w:snapToGrid/>
                    <w:spacing w:before="0" w:after="0" w:line="240" w:lineRule="auto"/>
                    <w:ind w:left="0" w:right="0"/>
                    <w:jc w:val="center"/>
                    <w:outlineLvl w:val="3"/>
                    <w:rPr>
                      <w:rFonts w:hint="default" w:ascii="Times New Roman" w:hAnsi="Times New Roman" w:eastAsia="宋体" w:cs="Times New Roman"/>
                      <w:b/>
                      <w:bCs/>
                      <w:color w:val="000000" w:themeColor="text1"/>
                      <w:kern w:val="0"/>
                      <w:sz w:val="21"/>
                      <w:szCs w:val="21"/>
                      <w:u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u w:val="none"/>
                      <w14:textFill>
                        <w14:solidFill>
                          <w14:schemeClr w14:val="tx1"/>
                        </w14:solidFill>
                      </w14:textFill>
                    </w:rPr>
                    <w:t>用量</w:t>
                  </w:r>
                </w:p>
              </w:tc>
              <w:tc>
                <w:tcPr>
                  <w:tcW w:w="836" w:type="pct"/>
                  <w:tcBorders>
                    <w:tl2br w:val="nil"/>
                    <w:tr2bl w:val="nil"/>
                  </w:tcBorders>
                  <w:shd w:val="clear" w:color="auto" w:fill="auto"/>
                  <w:vAlign w:val="center"/>
                </w:tcPr>
                <w:p>
                  <w:pPr>
                    <w:pStyle w:val="20"/>
                    <w:keepNext w:val="0"/>
                    <w:keepLines w:val="0"/>
                    <w:widowControl/>
                    <w:suppressLineNumbers w:val="0"/>
                    <w:kinsoku/>
                    <w:wordWrap/>
                    <w:overflowPunct/>
                    <w:topLinePunct w:val="0"/>
                    <w:autoSpaceDE/>
                    <w:autoSpaceDN/>
                    <w:bidi w:val="0"/>
                    <w:adjustRightInd/>
                    <w:snapToGrid/>
                    <w:spacing w:before="0" w:after="0" w:line="240" w:lineRule="auto"/>
                    <w:ind w:left="0" w:right="0"/>
                    <w:jc w:val="center"/>
                    <w:outlineLvl w:val="3"/>
                    <w:rPr>
                      <w:rFonts w:hint="eastAsia" w:ascii="Times New Roman" w:hAnsi="Times New Roman" w:eastAsia="宋体" w:cs="Times New Roman"/>
                      <w:b/>
                      <w:bCs/>
                      <w:color w:val="000000" w:themeColor="text1"/>
                      <w:kern w:val="2"/>
                      <w:sz w:val="21"/>
                      <w:szCs w:val="21"/>
                      <w:u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u w:val="none"/>
                      <w14:textFill>
                        <w14:solidFill>
                          <w14:schemeClr w14:val="tx1"/>
                        </w14:solidFill>
                      </w14:textFill>
                    </w:rPr>
                    <w:t>原料来源</w:t>
                  </w:r>
                </w:p>
              </w:tc>
              <w:tc>
                <w:tcPr>
                  <w:tcW w:w="968" w:type="pct"/>
                  <w:tcBorders>
                    <w:tl2br w:val="nil"/>
                    <w:tr2bl w:val="nil"/>
                  </w:tcBorders>
                  <w:shd w:val="clear" w:color="auto" w:fill="auto"/>
                  <w:vAlign w:val="center"/>
                </w:tcPr>
                <w:p>
                  <w:pPr>
                    <w:pStyle w:val="20"/>
                    <w:keepNext w:val="0"/>
                    <w:keepLines w:val="0"/>
                    <w:widowControl/>
                    <w:suppressLineNumbers w:val="0"/>
                    <w:kinsoku/>
                    <w:wordWrap/>
                    <w:overflowPunct/>
                    <w:topLinePunct w:val="0"/>
                    <w:autoSpaceDE/>
                    <w:autoSpaceDN/>
                    <w:bidi w:val="0"/>
                    <w:adjustRightInd/>
                    <w:snapToGrid/>
                    <w:spacing w:before="0" w:after="0" w:line="240" w:lineRule="auto"/>
                    <w:ind w:left="0" w:right="0"/>
                    <w:jc w:val="center"/>
                    <w:outlineLvl w:val="3"/>
                    <w:rPr>
                      <w:rFonts w:hint="default" w:ascii="Times New Roman" w:hAnsi="Times New Roman" w:eastAsia="宋体" w:cs="Times New Roman"/>
                      <w:b/>
                      <w:bCs/>
                      <w:color w:val="000000" w:themeColor="text1"/>
                      <w:kern w:val="2"/>
                      <w:sz w:val="21"/>
                      <w:szCs w:val="21"/>
                      <w:u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1"/>
                      <w:szCs w:val="21"/>
                      <w:u w:val="none"/>
                      <w:lang w:val="en-US" w:eastAsia="zh-CN"/>
                      <w14:textFill>
                        <w14:solidFill>
                          <w14:schemeClr w14:val="tx1"/>
                        </w14:solidFill>
                      </w14:textFill>
                    </w:rPr>
                    <w:t>贮存方式</w:t>
                  </w:r>
                </w:p>
              </w:tc>
              <w:tc>
                <w:tcPr>
                  <w:tcW w:w="1186" w:type="pct"/>
                  <w:tcBorders>
                    <w:tl2br w:val="nil"/>
                    <w:tr2bl w:val="nil"/>
                  </w:tcBorders>
                  <w:shd w:val="clear" w:color="auto" w:fill="auto"/>
                  <w:vAlign w:val="center"/>
                </w:tcPr>
                <w:p>
                  <w:pPr>
                    <w:pStyle w:val="20"/>
                    <w:keepNext w:val="0"/>
                    <w:keepLines w:val="0"/>
                    <w:widowControl/>
                    <w:suppressLineNumbers w:val="0"/>
                    <w:kinsoku/>
                    <w:wordWrap/>
                    <w:overflowPunct/>
                    <w:topLinePunct w:val="0"/>
                    <w:autoSpaceDE/>
                    <w:autoSpaceDN/>
                    <w:bidi w:val="0"/>
                    <w:adjustRightInd/>
                    <w:snapToGrid/>
                    <w:spacing w:before="0" w:after="0" w:line="240" w:lineRule="auto"/>
                    <w:ind w:left="0" w:right="0"/>
                    <w:jc w:val="center"/>
                    <w:outlineLvl w:val="3"/>
                    <w:rPr>
                      <w:rFonts w:hint="default" w:ascii="Times New Roman" w:hAnsi="Times New Roman" w:eastAsia="宋体" w:cs="Times New Roman"/>
                      <w:b/>
                      <w:bCs/>
                      <w:color w:val="000000" w:themeColor="text1"/>
                      <w:kern w:val="2"/>
                      <w:sz w:val="21"/>
                      <w:szCs w:val="21"/>
                      <w:u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1"/>
                      <w:szCs w:val="21"/>
                      <w:u w:val="none"/>
                      <w:lang w:val="en-US" w:eastAsia="zh-CN"/>
                      <w14:textFill>
                        <w14:solidFill>
                          <w14:schemeClr w14:val="tx1"/>
                        </w14:solidFill>
                      </w14:textFill>
                    </w:rPr>
                    <w:t>厂区最大暂存量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056" w:type="pct"/>
                  <w:tcBorders>
                    <w:tl2br w:val="nil"/>
                    <w:tr2bl w:val="nil"/>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1"/>
                      <w:u w:val="none"/>
                      <w:lang w:val="en-US"/>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粉煤灰</w:t>
                  </w:r>
                </w:p>
              </w:tc>
              <w:tc>
                <w:tcPr>
                  <w:tcW w:w="951" w:type="pct"/>
                  <w:tcBorders>
                    <w:tl2br w:val="nil"/>
                    <w:tr2bl w:val="nil"/>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1"/>
                      <w:u w:val="none"/>
                      <w:lang w:val="en-US" w:eastAsia="zh-CN"/>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12万</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t/a</w:t>
                  </w:r>
                </w:p>
              </w:tc>
              <w:tc>
                <w:tcPr>
                  <w:tcW w:w="836" w:type="pct"/>
                  <w:tcBorders>
                    <w:tl2br w:val="nil"/>
                    <w:tr2bl w:val="nil"/>
                  </w:tcBorders>
                  <w:shd w:val="clear" w:color="auto" w:fill="auto"/>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u w:val="none"/>
                      <w14:textFill>
                        <w14:solidFill>
                          <w14:schemeClr w14:val="tx1"/>
                        </w14:solidFill>
                      </w14:textFill>
                    </w:rPr>
                    <w:t>外购</w:t>
                  </w:r>
                </w:p>
              </w:tc>
              <w:tc>
                <w:tcPr>
                  <w:tcW w:w="968" w:type="pct"/>
                  <w:tcBorders>
                    <w:tl2br w:val="nil"/>
                    <w:tr2bl w:val="nil"/>
                  </w:tcBorders>
                  <w:shd w:val="clear" w:color="auto" w:fill="auto"/>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cs="Times New Roman"/>
                      <w:color w:val="000000" w:themeColor="text1"/>
                      <w:sz w:val="21"/>
                      <w:szCs w:val="21"/>
                      <w:u w:val="none"/>
                      <w:lang w:val="en-US" w:eastAsia="zh-CN"/>
                      <w14:textFill>
                        <w14:solidFill>
                          <w14:schemeClr w14:val="tx1"/>
                        </w14:solidFill>
                      </w14:textFill>
                    </w:rPr>
                    <w:t>密闭储备库</w:t>
                  </w:r>
                </w:p>
              </w:tc>
              <w:tc>
                <w:tcPr>
                  <w:tcW w:w="1186" w:type="pct"/>
                  <w:tcBorders>
                    <w:tl2br w:val="nil"/>
                    <w:tr2bl w:val="nil"/>
                  </w:tcBorders>
                  <w:shd w:val="clear" w:color="auto" w:fill="auto"/>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cs="Times New Roman"/>
                      <w:color w:val="000000" w:themeColor="text1"/>
                      <w:sz w:val="21"/>
                      <w:szCs w:val="21"/>
                      <w:u w:val="none"/>
                      <w:lang w:val="en-US" w:eastAsia="zh-CN"/>
                      <w14:textFill>
                        <w14:solidFill>
                          <w14:schemeClr w14:val="tx1"/>
                        </w14:solidFill>
                      </w14:textFill>
                    </w:rPr>
                  </w:pPr>
                  <w:r>
                    <w:rPr>
                      <w:rFonts w:hint="eastAsia" w:ascii="Times New Roman" w:cs="Times New Roman"/>
                      <w:color w:val="000000" w:themeColor="text1"/>
                      <w:sz w:val="21"/>
                      <w:szCs w:val="21"/>
                      <w:u w:val="none"/>
                      <w:lang w:val="en-US" w:eastAsia="zh-CN"/>
                      <w14:textFill>
                        <w14:solidFill>
                          <w14:schemeClr w14:val="tx1"/>
                        </w14:solidFill>
                      </w14:textFill>
                    </w:rPr>
                    <w:t>8万t</w:t>
                  </w:r>
                </w:p>
              </w:tc>
            </w:tr>
          </w:tbl>
          <w:p>
            <w:pPr>
              <w:pStyle w:val="20"/>
              <w:keepNext w:val="0"/>
              <w:keepLines w:val="0"/>
              <w:pageBreakBefore/>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jc w:val="center"/>
              <w:textAlignment w:val="center"/>
              <w:rPr>
                <w:rFonts w:hint="eastAsia" w:ascii="宋体" w:hAnsi="宋体" w:eastAsia="宋体" w:cs="宋体"/>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项目</w:t>
            </w:r>
            <w:r>
              <w:rPr>
                <w:rFonts w:hint="eastAsia" w:eastAsia="宋体" w:cs="宋体"/>
                <w:b/>
                <w:bCs/>
                <w:color w:val="000000" w:themeColor="text1"/>
                <w:kern w:val="2"/>
                <w:sz w:val="21"/>
                <w:szCs w:val="21"/>
                <w:lang w:val="en-US" w:eastAsia="zh-CN" w:bidi="ar"/>
                <w14:textFill>
                  <w14:solidFill>
                    <w14:schemeClr w14:val="tx1"/>
                  </w14:solidFill>
                </w14:textFill>
              </w:rPr>
              <w:t>主要</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能源消耗一览表</w:t>
            </w:r>
          </w:p>
          <w:tbl>
            <w:tblPr>
              <w:tblStyle w:val="24"/>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18"/>
              <w:gridCol w:w="1430"/>
              <w:gridCol w:w="1615"/>
              <w:gridCol w:w="1282"/>
              <w:gridCol w:w="2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2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b/>
                      <w:bCs/>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序号</w:t>
                  </w:r>
                </w:p>
              </w:tc>
              <w:tc>
                <w:tcPr>
                  <w:tcW w:w="87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b/>
                      <w:bCs/>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名称</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b/>
                      <w:bCs/>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单位</w:t>
                  </w: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b/>
                      <w:bCs/>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年用量</w:t>
                  </w:r>
                </w:p>
              </w:tc>
              <w:tc>
                <w:tcPr>
                  <w:tcW w:w="173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b/>
                      <w:bCs/>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供应单位及方式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2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p>
              </w:tc>
              <w:tc>
                <w:tcPr>
                  <w:tcW w:w="87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水</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m</w:t>
                  </w:r>
                  <w:r>
                    <w:rPr>
                      <w:rFonts w:hint="eastAsia" w:cs="Times New Roman"/>
                      <w:color w:val="000000" w:themeColor="text1"/>
                      <w:kern w:val="2"/>
                      <w:sz w:val="21"/>
                      <w:szCs w:val="21"/>
                      <w:vertAlign w:val="superscript"/>
                      <w:lang w:val="en-US" w:eastAsia="zh-CN" w:bidi="ar"/>
                      <w14:textFill>
                        <w14:solidFill>
                          <w14:schemeClr w14:val="tx1"/>
                        </w14:solidFill>
                      </w14:textFill>
                    </w:rPr>
                    <w:t>3</w:t>
                  </w: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468</w:t>
                  </w:r>
                </w:p>
              </w:tc>
              <w:tc>
                <w:tcPr>
                  <w:tcW w:w="173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由园区</w:t>
                  </w:r>
                  <w:r>
                    <w:rPr>
                      <w:rFonts w:hint="eastAsia" w:ascii="宋体" w:hAnsi="宋体" w:eastAsia="宋体" w:cs="宋体"/>
                      <w:color w:val="000000" w:themeColor="text1"/>
                      <w:kern w:val="2"/>
                      <w:sz w:val="21"/>
                      <w:szCs w:val="21"/>
                      <w:lang w:val="en-US" w:eastAsia="zh-CN" w:bidi="ar"/>
                      <w14:textFill>
                        <w14:solidFill>
                          <w14:schemeClr w14:val="tx1"/>
                        </w14:solidFill>
                      </w14:textFill>
                    </w:rPr>
                    <w:t>供水管网</w:t>
                  </w:r>
                  <w:r>
                    <w:rPr>
                      <w:rFonts w:hint="eastAsia" w:ascii="宋体" w:hAnsi="宋体" w:cs="宋体"/>
                      <w:color w:val="000000" w:themeColor="text1"/>
                      <w:kern w:val="2"/>
                      <w:sz w:val="21"/>
                      <w:szCs w:val="21"/>
                      <w:lang w:val="en-US" w:eastAsia="zh-CN" w:bidi="ar"/>
                      <w14:textFill>
                        <w14:solidFill>
                          <w14:schemeClr w14:val="tx1"/>
                        </w14:solidFill>
                      </w14:textFill>
                    </w:rPr>
                    <w:t>供给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2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p>
              </w:tc>
              <w:tc>
                <w:tcPr>
                  <w:tcW w:w="87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电</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kW</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w:t>
                  </w:r>
                </w:p>
              </w:tc>
              <w:tc>
                <w:tcPr>
                  <w:tcW w:w="7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10</w:t>
                  </w:r>
                  <w:r>
                    <w:rPr>
                      <w:rFonts w:hint="eastAsia" w:ascii="宋体" w:hAnsi="宋体" w:eastAsia="宋体" w:cs="宋体"/>
                      <w:color w:val="000000" w:themeColor="text1"/>
                      <w:kern w:val="2"/>
                      <w:sz w:val="21"/>
                      <w:szCs w:val="21"/>
                      <w:lang w:val="en-US" w:eastAsia="zh-CN" w:bidi="ar"/>
                      <w14:textFill>
                        <w14:solidFill>
                          <w14:schemeClr w14:val="tx1"/>
                        </w14:solidFill>
                      </w14:textFill>
                    </w:rPr>
                    <w:t>万</w:t>
                  </w:r>
                </w:p>
              </w:tc>
              <w:tc>
                <w:tcPr>
                  <w:tcW w:w="173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国家电</w:t>
                  </w:r>
                  <w:r>
                    <w:rPr>
                      <w:rFonts w:hint="eastAsia" w:ascii="宋体" w:hAnsi="宋体" w:eastAsia="宋体" w:cs="宋体"/>
                      <w:color w:val="000000" w:themeColor="text1"/>
                      <w:kern w:val="2"/>
                      <w:sz w:val="21"/>
                      <w:szCs w:val="21"/>
                      <w:lang w:val="en-US" w:eastAsia="zh-CN" w:bidi="ar"/>
                      <w14:textFill>
                        <w14:solidFill>
                          <w14:schemeClr w14:val="tx1"/>
                        </w14:solidFill>
                      </w14:textFill>
                    </w:rPr>
                    <w:t>网</w:t>
                  </w:r>
                </w:p>
              </w:tc>
            </w:tr>
          </w:tbl>
          <w:p>
            <w:pPr>
              <w:keepNext w:val="0"/>
              <w:keepLines w:val="0"/>
              <w:widowControl w:val="0"/>
              <w:suppressLineNumbers w:val="0"/>
              <w:kinsoku/>
              <w:wordWrap/>
              <w:overflowPunct/>
              <w:autoSpaceDN/>
              <w:bidi w:val="0"/>
              <w:adjustRightInd w:val="0"/>
              <w:snapToGrid w:val="0"/>
              <w:spacing w:before="0" w:beforeAutospacing="0" w:after="0" w:afterAutospacing="0" w:line="360" w:lineRule="auto"/>
              <w:ind w:left="0" w:leftChars="0" w:right="0"/>
              <w:jc w:val="both"/>
              <w:rPr>
                <w:rFonts w:hint="default" w:ascii="Times New Roman" w:hAnsi="Times New Roman" w:eastAsia="宋体" w:cs="Times New Roman"/>
                <w:b/>
                <w:bCs/>
                <w:color w:val="000000" w:themeColor="text1"/>
                <w:kern w:val="2"/>
                <w:sz w:val="21"/>
                <w:szCs w:val="21"/>
                <w:lang w:val="en-US"/>
                <w14:textFill>
                  <w14:solidFill>
                    <w14:schemeClr w14:val="tx1"/>
                  </w14:solidFill>
                </w14:textFill>
              </w:rPr>
            </w:pPr>
            <w:bookmarkStart w:id="5" w:name="_Toc28853"/>
            <w:r>
              <w:rPr>
                <w:rFonts w:hint="eastAsia" w:cs="Times New Roman"/>
                <w:b/>
                <w:bCs/>
                <w:color w:val="000000" w:themeColor="text1"/>
                <w:kern w:val="2"/>
                <w:sz w:val="21"/>
                <w:szCs w:val="21"/>
                <w:lang w:val="en-US" w:eastAsia="zh-CN" w:bidi="ar"/>
                <w14:textFill>
                  <w14:solidFill>
                    <w14:schemeClr w14:val="tx1"/>
                  </w14:solidFill>
                </w14:textFill>
              </w:rPr>
              <w:t>5</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产品方案</w:t>
            </w:r>
          </w:p>
          <w:p>
            <w:pPr>
              <w:pStyle w:val="20"/>
              <w:keepNext w:val="0"/>
              <w:keepLines w:val="0"/>
              <w:widowControl/>
              <w:suppressLineNumbers w:val="0"/>
              <w:kinsoku/>
              <w:wordWrap/>
              <w:overflowPunct/>
              <w:autoSpaceDE w:val="0"/>
              <w:autoSpaceDN/>
              <w:bidi w:val="0"/>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w:t>
            </w:r>
            <w:r>
              <w:rPr>
                <w:rFonts w:hint="eastAsia" w:eastAsia="宋体" w:cs="宋体"/>
                <w:color w:val="000000" w:themeColor="text1"/>
                <w:kern w:val="2"/>
                <w:sz w:val="21"/>
                <w:szCs w:val="21"/>
                <w:lang w:val="en-US" w:eastAsia="zh-CN" w:bidi="ar"/>
                <w14:textFill>
                  <w14:solidFill>
                    <w14:schemeClr w14:val="tx1"/>
                  </w14:solidFill>
                </w14:textFill>
              </w:rPr>
              <w:t>为粉煤灰暂存项目，</w:t>
            </w:r>
            <w:r>
              <w:rPr>
                <w:rFonts w:hint="eastAsia" w:ascii="宋体" w:hAnsi="宋体" w:eastAsia="宋体" w:cs="宋体"/>
                <w:color w:val="000000" w:themeColor="text1"/>
                <w:kern w:val="2"/>
                <w:sz w:val="21"/>
                <w:szCs w:val="21"/>
                <w:lang w:val="en-US" w:eastAsia="zh-CN" w:bidi="ar"/>
                <w14:textFill>
                  <w14:solidFill>
                    <w14:schemeClr w14:val="tx1"/>
                  </w14:solidFill>
                </w14:textFill>
              </w:rPr>
              <w:t>产品方案详见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表2-5</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3"/>
              <w:keepNext/>
              <w:keepLines/>
              <w:widowControl w:val="0"/>
              <w:suppressLineNumbers w:val="0"/>
              <w:autoSpaceDE w:val="0"/>
              <w:autoSpaceDN/>
              <w:spacing w:before="0" w:beforeAutospacing="0" w:after="0" w:afterAutospacing="0" w:line="240" w:lineRule="auto"/>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14:textFill>
                  <w14:solidFill>
                    <w14:schemeClr w14:val="tx1"/>
                  </w14:solidFill>
                </w14:textFill>
              </w:rPr>
              <w:t>表</w:t>
            </w:r>
            <w:r>
              <w:rPr>
                <w:rFonts w:hint="default" w:ascii="Times New Roman" w:hAnsi="Times New Roman" w:eastAsia="宋体" w:cs="Times New Roman"/>
                <w:b/>
                <w:bCs w:val="0"/>
                <w:color w:val="000000" w:themeColor="text1"/>
                <w:kern w:val="2"/>
                <w:sz w:val="21"/>
                <w:szCs w:val="21"/>
                <w14:textFill>
                  <w14:solidFill>
                    <w14:schemeClr w14:val="tx1"/>
                  </w14:solidFill>
                </w14:textFill>
              </w:rPr>
              <w:t>2-</w:t>
            </w:r>
            <w:r>
              <w:rPr>
                <w:rFonts w:hint="eastAsia" w:cs="Times New Roman"/>
                <w:b/>
                <w:bCs w:val="0"/>
                <w:color w:val="000000" w:themeColor="text1"/>
                <w:kern w:val="2"/>
                <w:sz w:val="21"/>
                <w:szCs w:val="21"/>
                <w:lang w:val="en-US" w:eastAsia="zh-CN"/>
                <w14:textFill>
                  <w14:solidFill>
                    <w14:schemeClr w14:val="tx1"/>
                  </w14:solidFill>
                </w14:textFill>
              </w:rPr>
              <w:t>5</w:t>
            </w:r>
            <w:r>
              <w:rPr>
                <w:rFonts w:hint="default" w:ascii="Times New Roman" w:hAnsi="Times New Roman" w:eastAsia="宋体" w:cs="Times New Roman"/>
                <w:b/>
                <w:bCs w:val="0"/>
                <w:color w:val="000000" w:themeColor="text1"/>
                <w:kern w:val="2"/>
                <w:sz w:val="21"/>
                <w:szCs w:val="21"/>
                <w14:textFill>
                  <w14:solidFill>
                    <w14:schemeClr w14:val="tx1"/>
                  </w14:solidFill>
                </w14:textFill>
              </w:rPr>
              <w:t xml:space="preserve"> </w:t>
            </w:r>
            <w:r>
              <w:rPr>
                <w:rFonts w:hint="eastAsia" w:ascii="Times New Roman" w:hAnsi="Times New Roman" w:eastAsia="宋体" w:cs="Times New Roman"/>
                <w:b/>
                <w:bCs w:val="0"/>
                <w:color w:val="000000" w:themeColor="text1"/>
                <w:kern w:val="2"/>
                <w:sz w:val="21"/>
                <w:szCs w:val="21"/>
                <w14:textFill>
                  <w14:solidFill>
                    <w14:schemeClr w14:val="tx1"/>
                  </w14:solidFill>
                </w14:textFill>
              </w:rPr>
              <w:t xml:space="preserve"> </w:t>
            </w:r>
            <w:r>
              <w:rPr>
                <w:rFonts w:hint="eastAsia" w:ascii="宋体" w:hAnsi="宋体" w:eastAsia="宋体" w:cs="宋体"/>
                <w:b/>
                <w:bCs w:val="0"/>
                <w:color w:val="000000" w:themeColor="text1"/>
                <w:kern w:val="2"/>
                <w:sz w:val="21"/>
                <w:szCs w:val="21"/>
                <w14:textFill>
                  <w14:solidFill>
                    <w14:schemeClr w14:val="tx1"/>
                  </w14:solidFill>
                </w14:textFill>
              </w:rPr>
              <w:t>产品方案一览表</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15"/>
              <w:gridCol w:w="1706"/>
              <w:gridCol w:w="2194"/>
              <w:gridCol w:w="1545"/>
              <w:gridCol w:w="15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1215" w:type="dxa"/>
                  <w:shd w:val="clear" w:color="auto" w:fill="auto"/>
                  <w:vAlign w:val="center"/>
                </w:tcPr>
                <w:p>
                  <w:pPr>
                    <w:pStyle w:val="20"/>
                    <w:keepNext/>
                    <w:keepLines/>
                    <w:widowControl w:val="0"/>
                    <w:suppressLineNumbers w:val="0"/>
                    <w:autoSpaceDE w:val="0"/>
                    <w:autoSpaceDN/>
                    <w:spacing w:before="0" w:beforeAutospacing="0" w:after="0" w:afterAutospacing="0"/>
                    <w:ind w:left="0" w:leftChars="0" w:right="0" w:firstLine="0" w:firstLineChars="0"/>
                    <w:jc w:val="center"/>
                    <w:rPr>
                      <w:rFonts w:hint="default" w:ascii="Times New Roman" w:hAnsi="Times New Roman" w:eastAsia="宋体" w:cs="Times New Roman"/>
                      <w:b/>
                      <w:bCs w:val="0"/>
                      <w:color w:val="000000" w:themeColor="text1"/>
                      <w:kern w:val="2"/>
                      <w:sz w:val="21"/>
                      <w:szCs w:val="21"/>
                      <w:lang w:val="en-US" w:eastAsia="zh-CN"/>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14:textFill>
                        <w14:solidFill>
                          <w14:schemeClr w14:val="tx1"/>
                        </w14:solidFill>
                      </w14:textFill>
                    </w:rPr>
                    <w:t>序号</w:t>
                  </w:r>
                </w:p>
              </w:tc>
              <w:tc>
                <w:tcPr>
                  <w:tcW w:w="1706" w:type="dxa"/>
                  <w:shd w:val="clear" w:color="auto" w:fill="auto"/>
                  <w:vAlign w:val="center"/>
                </w:tcPr>
                <w:p>
                  <w:pPr>
                    <w:pStyle w:val="20"/>
                    <w:keepNext/>
                    <w:keepLines/>
                    <w:widowControl w:val="0"/>
                    <w:suppressLineNumbers w:val="0"/>
                    <w:autoSpaceDE w:val="0"/>
                    <w:autoSpaceDN/>
                    <w:spacing w:before="0" w:beforeAutospacing="0" w:after="0" w:afterAutospacing="0"/>
                    <w:ind w:left="0" w:leftChars="0" w:right="0" w:firstLine="0" w:firstLineChars="0"/>
                    <w:jc w:val="center"/>
                    <w:rPr>
                      <w:rFonts w:hint="default" w:ascii="Times New Roman" w:hAnsi="Times New Roman" w:eastAsia="宋体" w:cs="Times New Roman"/>
                      <w:b/>
                      <w:bCs w:val="0"/>
                      <w:color w:val="000000" w:themeColor="text1"/>
                      <w:kern w:val="2"/>
                      <w:sz w:val="21"/>
                      <w:szCs w:val="21"/>
                      <w:lang w:val="en-US" w:eastAsia="zh-CN"/>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14:textFill>
                        <w14:solidFill>
                          <w14:schemeClr w14:val="tx1"/>
                        </w14:solidFill>
                      </w14:textFill>
                    </w:rPr>
                    <w:t>产品名称</w:t>
                  </w:r>
                </w:p>
              </w:tc>
              <w:tc>
                <w:tcPr>
                  <w:tcW w:w="2194" w:type="dxa"/>
                  <w:shd w:val="clear" w:color="auto" w:fill="auto"/>
                  <w:vAlign w:val="center"/>
                </w:tcPr>
                <w:p>
                  <w:pPr>
                    <w:pStyle w:val="20"/>
                    <w:keepNext/>
                    <w:keepLines/>
                    <w:widowControl w:val="0"/>
                    <w:suppressLineNumbers w:val="0"/>
                    <w:autoSpaceDE w:val="0"/>
                    <w:autoSpaceDN/>
                    <w:spacing w:before="0" w:beforeAutospacing="0" w:after="0" w:afterAutospacing="0"/>
                    <w:ind w:left="0" w:right="0" w:firstLine="0" w:firstLineChars="0"/>
                    <w:jc w:val="center"/>
                    <w:rPr>
                      <w:rFonts w:hint="default" w:ascii="Times New Roman" w:hAnsi="Times New Roman" w:eastAsia="宋体" w:cs="Times New Roman"/>
                      <w:b/>
                      <w:bCs w:val="0"/>
                      <w:color w:val="000000" w:themeColor="text1"/>
                      <w:kern w:val="2"/>
                      <w:sz w:val="21"/>
                      <w:szCs w:val="21"/>
                      <w:lang w:val="en-US" w:eastAsia="zh-CN"/>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14:textFill>
                        <w14:solidFill>
                          <w14:schemeClr w14:val="tx1"/>
                        </w14:solidFill>
                      </w14:textFill>
                    </w:rPr>
                    <w:t>产量</w:t>
                  </w:r>
                </w:p>
              </w:tc>
              <w:tc>
                <w:tcPr>
                  <w:tcW w:w="1545" w:type="dxa"/>
                  <w:shd w:val="clear" w:color="auto" w:fill="auto"/>
                  <w:vAlign w:val="center"/>
                </w:tcPr>
                <w:p>
                  <w:pPr>
                    <w:pStyle w:val="20"/>
                    <w:keepNext/>
                    <w:keepLines/>
                    <w:widowControl w:val="0"/>
                    <w:suppressLineNumbers w:val="0"/>
                    <w:autoSpaceDE w:val="0"/>
                    <w:autoSpaceDN/>
                    <w:spacing w:before="0" w:beforeAutospacing="0" w:after="0" w:afterAutospacing="0"/>
                    <w:ind w:left="0" w:right="0" w:firstLine="0" w:firstLineChars="0"/>
                    <w:jc w:val="center"/>
                    <w:rPr>
                      <w:rFonts w:hint="default" w:ascii="Times New Roman" w:hAnsi="Times New Roman" w:eastAsia="宋体" w:cs="Times New Roman"/>
                      <w:b/>
                      <w:bCs w:val="0"/>
                      <w:color w:val="000000" w:themeColor="text1"/>
                      <w:kern w:val="2"/>
                      <w:sz w:val="21"/>
                      <w:szCs w:val="21"/>
                      <w:lang w:val="en-US" w:eastAsia="zh-CN"/>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14:textFill>
                        <w14:solidFill>
                          <w14:schemeClr w14:val="tx1"/>
                        </w14:solidFill>
                      </w14:textFill>
                    </w:rPr>
                    <w:t>去向</w:t>
                  </w:r>
                </w:p>
              </w:tc>
              <w:tc>
                <w:tcPr>
                  <w:tcW w:w="1557" w:type="dxa"/>
                  <w:shd w:val="clear" w:color="auto" w:fill="auto"/>
                  <w:vAlign w:val="center"/>
                </w:tcPr>
                <w:p>
                  <w:pPr>
                    <w:pStyle w:val="20"/>
                    <w:keepNext/>
                    <w:keepLines/>
                    <w:widowControl w:val="0"/>
                    <w:suppressLineNumbers w:val="0"/>
                    <w:autoSpaceDE w:val="0"/>
                    <w:autoSpaceDN/>
                    <w:spacing w:before="0" w:beforeAutospacing="0" w:after="0" w:afterAutospacing="0"/>
                    <w:ind w:left="0" w:right="0" w:firstLine="0" w:firstLineChars="0"/>
                    <w:jc w:val="center"/>
                    <w:rPr>
                      <w:rFonts w:hint="default" w:ascii="宋体" w:hAnsi="宋体" w:eastAsia="宋体" w:cs="宋体"/>
                      <w:b/>
                      <w:bCs w:val="0"/>
                      <w:color w:val="000000" w:themeColor="text1"/>
                      <w:kern w:val="2"/>
                      <w:sz w:val="21"/>
                      <w:szCs w:val="21"/>
                      <w:lang w:val="en-US" w:eastAsia="zh-CN"/>
                      <w14:textFill>
                        <w14:solidFill>
                          <w14:schemeClr w14:val="tx1"/>
                        </w14:solidFill>
                      </w14:textFill>
                    </w:rPr>
                  </w:pPr>
                  <w:r>
                    <w:rPr>
                      <w:rFonts w:hint="eastAsia" w:eastAsia="宋体" w:cs="宋体"/>
                      <w:b/>
                      <w:bCs w:val="0"/>
                      <w:color w:val="000000" w:themeColor="text1"/>
                      <w:kern w:val="2"/>
                      <w:sz w:val="21"/>
                      <w:szCs w:val="21"/>
                      <w:lang w:val="en-US" w:eastAsia="zh-CN"/>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215" w:type="dxa"/>
                  <w:shd w:val="clear" w:color="auto" w:fill="auto"/>
                  <w:vAlign w:val="center"/>
                </w:tcPr>
                <w:p>
                  <w:pPr>
                    <w:pStyle w:val="20"/>
                    <w:keepNext/>
                    <w:keepLines/>
                    <w:widowControl w:val="0"/>
                    <w:suppressLineNumbers w:val="0"/>
                    <w:autoSpaceDE w:val="0"/>
                    <w:autoSpaceDN/>
                    <w:spacing w:before="0" w:beforeAutospacing="0" w:after="0" w:afterAutospacing="0"/>
                    <w:ind w:left="0" w:leftChars="0" w:right="0" w:firstLine="0" w:firstLineChars="0"/>
                    <w:jc w:val="center"/>
                    <w:rPr>
                      <w:rFonts w:hint="default"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14:textFill>
                        <w14:solidFill>
                          <w14:schemeClr w14:val="tx1"/>
                        </w14:solidFill>
                      </w14:textFill>
                    </w:rPr>
                    <w:t>1</w:t>
                  </w:r>
                </w:p>
              </w:tc>
              <w:tc>
                <w:tcPr>
                  <w:tcW w:w="1706" w:type="dxa"/>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粉煤灰</w:t>
                  </w:r>
                </w:p>
              </w:tc>
              <w:tc>
                <w:tcPr>
                  <w:tcW w:w="2194" w:type="dxa"/>
                  <w:shd w:val="clear" w:color="auto" w:fill="auto"/>
                  <w:vAlign w:val="center"/>
                </w:tcPr>
                <w:p>
                  <w:pPr>
                    <w:pStyle w:val="20"/>
                    <w:keepNext/>
                    <w:keepLines/>
                    <w:widowControl w:val="0"/>
                    <w:suppressLineNumbers w:val="0"/>
                    <w:autoSpaceDE w:val="0"/>
                    <w:autoSpaceDN/>
                    <w:spacing w:before="0" w:beforeAutospacing="0" w:after="0" w:afterAutospacing="0"/>
                    <w:ind w:left="0" w:leftChars="0" w:right="0" w:firstLine="0" w:firstLineChars="0"/>
                    <w:jc w:val="center"/>
                    <w:rPr>
                      <w:rFonts w:hint="default"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12万t/a</w:t>
                  </w:r>
                </w:p>
              </w:tc>
              <w:tc>
                <w:tcPr>
                  <w:tcW w:w="1545" w:type="dxa"/>
                  <w:shd w:val="clear" w:color="auto" w:fill="auto"/>
                  <w:vAlign w:val="center"/>
                </w:tcPr>
                <w:p>
                  <w:pPr>
                    <w:pStyle w:val="20"/>
                    <w:keepNext/>
                    <w:keepLines/>
                    <w:widowControl w:val="0"/>
                    <w:suppressLineNumbers w:val="0"/>
                    <w:autoSpaceDE w:val="0"/>
                    <w:autoSpaceDN/>
                    <w:spacing w:before="0" w:beforeAutospacing="0" w:after="0" w:afterAutospacing="0"/>
                    <w:ind w:left="0" w:leftChars="0" w:right="0" w:firstLine="0" w:firstLineChars="0"/>
                    <w:jc w:val="center"/>
                    <w:rPr>
                      <w:rFonts w:hint="default"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宋体" w:hAnsi="宋体" w:eastAsia="宋体" w:cs="宋体"/>
                      <w:b w:val="0"/>
                      <w:color w:val="000000" w:themeColor="text1"/>
                      <w:kern w:val="2"/>
                      <w:sz w:val="21"/>
                      <w:szCs w:val="21"/>
                      <w:lang w:val="en-US" w:eastAsia="zh-CN"/>
                      <w14:textFill>
                        <w14:solidFill>
                          <w14:schemeClr w14:val="tx1"/>
                        </w14:solidFill>
                      </w14:textFill>
                    </w:rPr>
                    <w:t>外售</w:t>
                  </w:r>
                </w:p>
              </w:tc>
              <w:tc>
                <w:tcPr>
                  <w:tcW w:w="1557" w:type="dxa"/>
                  <w:shd w:val="clear" w:color="auto" w:fill="auto"/>
                  <w:vAlign w:val="center"/>
                </w:tcPr>
                <w:p>
                  <w:pPr>
                    <w:pStyle w:val="20"/>
                    <w:keepNext/>
                    <w:keepLines/>
                    <w:widowControl w:val="0"/>
                    <w:suppressLineNumbers w:val="0"/>
                    <w:autoSpaceDE w:val="0"/>
                    <w:autoSpaceDN/>
                    <w:spacing w:before="0" w:beforeAutospacing="0" w:after="0" w:afterAutospacing="0"/>
                    <w:ind w:left="0" w:leftChars="0" w:right="0" w:firstLine="0" w:firstLineChars="0"/>
                    <w:jc w:val="center"/>
                    <w:rPr>
                      <w:rFonts w:hint="default" w:ascii="Times New Roman" w:hAnsi="Times New Roman" w:eastAsia="宋体" w:cs="Times New Roman"/>
                      <w:b w:val="0"/>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color w:val="000000" w:themeColor="text1"/>
                      <w:kern w:val="2"/>
                      <w:sz w:val="21"/>
                      <w:szCs w:val="21"/>
                      <w:lang w:val="en-US" w:eastAsia="zh-CN"/>
                      <w14:textFill>
                        <w14:solidFill>
                          <w14:schemeClr w14:val="tx1"/>
                        </w14:solidFill>
                      </w14:textFill>
                    </w:rPr>
                    <w:t>/</w:t>
                  </w:r>
                </w:p>
              </w:tc>
            </w:tr>
          </w:tbl>
          <w:p>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textAlignment w:val="auto"/>
              <w:outlineLvl w:val="9"/>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6</w:t>
            </w:r>
            <w:r>
              <w:rPr>
                <w:rFonts w:hint="default"/>
                <w:b/>
                <w:bCs/>
                <w:color w:val="000000" w:themeColor="text1"/>
                <w:lang w:val="en-US" w:eastAsia="zh-CN"/>
                <w14:textFill>
                  <w14:solidFill>
                    <w14:schemeClr w14:val="tx1"/>
                  </w14:solidFill>
                </w14:textFill>
              </w:rPr>
              <w:t>公用工程</w:t>
            </w:r>
            <w:bookmarkEnd w:id="5"/>
          </w:p>
          <w:p>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auto"/>
              <w:ind w:left="0" w:leftChars="0" w:right="0" w:firstLine="420" w:firstLineChars="200"/>
              <w:textAlignment w:val="auto"/>
              <w:outlineLvl w:val="9"/>
              <w:rPr>
                <w:rFonts w:hint="default"/>
                <w:color w:val="000000" w:themeColor="text1"/>
                <w14:textFill>
                  <w14:solidFill>
                    <w14:schemeClr w14:val="tx1"/>
                  </w14:solidFill>
                </w14:textFill>
              </w:rPr>
            </w:pPr>
            <w:bookmarkStart w:id="6" w:name="_Toc27197"/>
            <w:r>
              <w:rPr>
                <w:rFonts w:hint="eastAsia"/>
                <w:color w:val="000000" w:themeColor="text1"/>
                <w:lang w:val="en-US" w:eastAsia="zh-CN"/>
                <w14:textFill>
                  <w14:solidFill>
                    <w14:schemeClr w14:val="tx1"/>
                  </w14:solidFill>
                </w14:textFill>
              </w:rPr>
              <w:t>（1）供电</w:t>
            </w:r>
            <w:bookmarkEnd w:id="6"/>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leftChars="0" w:right="0" w:firstLine="420" w:firstLineChars="200"/>
              <w:jc w:val="both"/>
              <w:textAlignment w:val="auto"/>
              <w:outlineLvl w:val="9"/>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本项目运营期用电由</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园区</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供电电网统一供给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可满足项目用电负荷的需要及供电可靠性要求。</w:t>
            </w:r>
          </w:p>
          <w:p>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auto"/>
              <w:ind w:left="0" w:leftChars="0" w:right="0" w:firstLine="420" w:firstLineChars="200"/>
              <w:textAlignment w:val="auto"/>
              <w:outlineLvl w:val="9"/>
              <w:rPr>
                <w:rFonts w:hint="default"/>
                <w:color w:val="000000" w:themeColor="text1"/>
                <w14:textFill>
                  <w14:solidFill>
                    <w14:schemeClr w14:val="tx1"/>
                  </w14:solidFill>
                </w14:textFill>
              </w:rPr>
            </w:pPr>
            <w:bookmarkStart w:id="7" w:name="_Toc10234"/>
            <w:r>
              <w:rPr>
                <w:rFonts w:hint="eastAsia"/>
                <w:color w:val="000000" w:themeColor="text1"/>
                <w:lang w:val="en-US" w:eastAsia="zh-CN"/>
                <w14:textFill>
                  <w14:solidFill>
                    <w14:schemeClr w14:val="tx1"/>
                  </w14:solidFill>
                </w14:textFill>
              </w:rPr>
              <w:t>（2）供水</w:t>
            </w:r>
            <w:bookmarkEnd w:id="7"/>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Style w:val="32"/>
                <w:rFonts w:hint="eastAsia" w:cs="Times New Roman"/>
                <w:color w:val="000000" w:themeColor="text1"/>
                <w:kern w:val="2"/>
                <w:sz w:val="21"/>
                <w:szCs w:val="21"/>
                <w:lang w:val="en-US" w:eastAsia="zh-CN" w:bidi="ar"/>
                <w14:textFill>
                  <w14:solidFill>
                    <w14:schemeClr w14:val="tx1"/>
                  </w14:solidFill>
                </w14:textFill>
              </w:rPr>
              <w:t>本项目运营期用水</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由园区供水管网供给</w:t>
            </w:r>
            <w:r>
              <w:rPr>
                <w:rFonts w:hint="eastAsia" w:cs="Times New Roman"/>
                <w:color w:val="000000" w:themeColor="text1"/>
                <w:kern w:val="0"/>
                <w:sz w:val="21"/>
                <w:szCs w:val="21"/>
                <w:lang w:val="en-US" w:eastAsia="zh-CN" w:bidi="ar"/>
                <w14:textFill>
                  <w14:solidFill>
                    <w14:schemeClr w14:val="tx1"/>
                  </w14:solidFill>
                </w14:textFill>
              </w:rPr>
              <w:t>，运营期用水主要为洒水抑尘用水和生活用水</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p>
            <w:pPr>
              <w:keepNext w:val="0"/>
              <w:keepLines w:val="0"/>
              <w:pageBreakBefore w:val="0"/>
              <w:suppressLineNumbers w:val="0"/>
              <w:kinsoku/>
              <w:wordWrap/>
              <w:overflowPunct/>
              <w:autoSpaceDE/>
              <w:autoSpaceDN/>
              <w:bidi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①洒水抑尘用水</w:t>
            </w:r>
          </w:p>
          <w:p>
            <w:pPr>
              <w:keepNext w:val="0"/>
              <w:keepLines w:val="0"/>
              <w:pageBreakBefore w:val="0"/>
              <w:suppressLineNumbers w:val="0"/>
              <w:kinsoku/>
              <w:wordWrap/>
              <w:overflowPunct/>
              <w:autoSpaceDE/>
              <w:autoSpaceDN/>
              <w:bidi w:val="0"/>
              <w:adjustRightInd w:val="0"/>
              <w:snapToGrid w:val="0"/>
              <w:spacing w:before="0" w:beforeAutospacing="0" w:after="0" w:afterAutospacing="0" w:line="360" w:lineRule="auto"/>
              <w:ind w:left="0" w:right="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本项目运营期</w:t>
            </w:r>
            <w:r>
              <w:rPr>
                <w:rFonts w:hint="eastAsia" w:cs="Times New Roman"/>
                <w:color w:val="000000" w:themeColor="text1"/>
                <w:sz w:val="21"/>
                <w:szCs w:val="21"/>
                <w:lang w:val="en-US" w:eastAsia="zh-CN"/>
                <w14:textFill>
                  <w14:solidFill>
                    <w14:schemeClr w14:val="tx1"/>
                  </w14:solidFill>
                </w14:textFill>
              </w:rPr>
              <w:t>需</w:t>
            </w:r>
            <w:r>
              <w:rPr>
                <w:rFonts w:hint="default" w:ascii="Times New Roman" w:hAnsi="Times New Roman" w:eastAsia="宋体" w:cs="Times New Roman"/>
                <w:color w:val="000000" w:themeColor="text1"/>
                <w:sz w:val="21"/>
                <w:szCs w:val="21"/>
                <w14:textFill>
                  <w14:solidFill>
                    <w14:schemeClr w14:val="tx1"/>
                  </w14:solidFill>
                </w14:textFill>
              </w:rPr>
              <w:t>定期对道路</w:t>
            </w:r>
            <w:r>
              <w:rPr>
                <w:rFonts w:hint="eastAsia" w:cs="Times New Roman"/>
                <w:color w:val="000000" w:themeColor="text1"/>
                <w:sz w:val="21"/>
                <w:szCs w:val="21"/>
                <w:lang w:val="en-US" w:eastAsia="zh-CN"/>
                <w14:textFill>
                  <w14:solidFill>
                    <w14:schemeClr w14:val="tx1"/>
                  </w14:solidFill>
                </w14:textFill>
              </w:rPr>
              <w:t>进行</w:t>
            </w:r>
            <w:r>
              <w:rPr>
                <w:rFonts w:hint="default" w:ascii="Times New Roman" w:hAnsi="Times New Roman" w:eastAsia="宋体" w:cs="Times New Roman"/>
                <w:color w:val="000000" w:themeColor="text1"/>
                <w:sz w:val="21"/>
                <w:szCs w:val="21"/>
                <w14:textFill>
                  <w14:solidFill>
                    <w14:schemeClr w14:val="tx1"/>
                  </w14:solidFill>
                </w14:textFill>
              </w:rPr>
              <w:t>洒水抑尘，根据建设单位提供资料，洒水抑尘用水量约</w:t>
            </w:r>
            <w:r>
              <w:rPr>
                <w:rFonts w:hint="eastAsia" w:cs="Times New Roman"/>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/d（</w:t>
            </w:r>
            <w:r>
              <w:rPr>
                <w:rFonts w:hint="eastAsia" w:cs="Times New Roman"/>
                <w:color w:val="000000" w:themeColor="text1"/>
                <w:sz w:val="21"/>
                <w:szCs w:val="21"/>
                <w:lang w:val="en-US" w:eastAsia="zh-CN"/>
                <w14:textFill>
                  <w14:solidFill>
                    <w14:schemeClr w14:val="tx1"/>
                  </w14:solidFill>
                </w14:textFill>
              </w:rPr>
              <w:t>360</w:t>
            </w: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/a）</w:t>
            </w:r>
          </w:p>
          <w:p>
            <w:pPr>
              <w:keepNext w:val="0"/>
              <w:keepLines w:val="0"/>
              <w:pageBreakBefore w:val="0"/>
              <w:suppressLineNumbers w:val="0"/>
              <w:kinsoku/>
              <w:wordWrap/>
              <w:overflowPunct/>
              <w:autoSpaceDE/>
              <w:autoSpaceDN/>
              <w:bidi w:val="0"/>
              <w:adjustRightInd w:val="0"/>
              <w:snapToGrid w:val="0"/>
              <w:spacing w:before="0" w:beforeAutospacing="0" w:after="0" w:afterAutospacing="0" w:line="360" w:lineRule="auto"/>
              <w:ind w:left="0" w:right="0" w:firstLine="420" w:firstLineChars="200"/>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②生活用水</w:t>
            </w:r>
          </w:p>
          <w:p>
            <w:pPr>
              <w:keepNext w:val="0"/>
              <w:keepLines w:val="0"/>
              <w:pageBreakBefore w:val="0"/>
              <w:suppressLineNumbers w:val="0"/>
              <w:kinsoku/>
              <w:wordWrap/>
              <w:overflowPunct/>
              <w:autoSpaceDE/>
              <w:autoSpaceDN/>
              <w:bidi w:val="0"/>
              <w:adjustRightInd w:val="0"/>
              <w:snapToGrid w:val="0"/>
              <w:spacing w:before="0" w:beforeAutospacing="0" w:after="0" w:afterAutospacing="0" w:line="360" w:lineRule="auto"/>
              <w:ind w:left="0" w:right="0" w:firstLine="420" w:firstLineChars="200"/>
              <w:rPr>
                <w:rFonts w:hint="eastAsia"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本项目运营期日常工作人员</w:t>
            </w:r>
            <w:r>
              <w:rPr>
                <w:rFonts w:hint="eastAsia" w:cs="Times New Roman"/>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14:textFill>
                  <w14:solidFill>
                    <w14:schemeClr w14:val="tx1"/>
                  </w14:solidFill>
                </w14:textFill>
              </w:rPr>
              <w:t>人，均</w:t>
            </w:r>
            <w:r>
              <w:rPr>
                <w:rFonts w:hint="eastAsia" w:cs="Times New Roman"/>
                <w:color w:val="000000" w:themeColor="text1"/>
                <w:sz w:val="21"/>
                <w:szCs w:val="21"/>
                <w:lang w:val="en-US" w:eastAsia="zh-CN"/>
                <w14:textFill>
                  <w14:solidFill>
                    <w14:schemeClr w14:val="tx1"/>
                  </w14:solidFill>
                </w14:textFill>
              </w:rPr>
              <w:t>不</w:t>
            </w:r>
            <w:r>
              <w:rPr>
                <w:rFonts w:hint="default" w:ascii="Times New Roman" w:hAnsi="Times New Roman" w:eastAsia="宋体" w:cs="Times New Roman"/>
                <w:color w:val="000000" w:themeColor="text1"/>
                <w:sz w:val="21"/>
                <w:szCs w:val="21"/>
                <w14:textFill>
                  <w14:solidFill>
                    <w14:schemeClr w14:val="tx1"/>
                  </w14:solidFill>
                </w14:textFill>
              </w:rPr>
              <w:t>在</w:t>
            </w:r>
            <w:r>
              <w:rPr>
                <w:rFonts w:hint="eastAsia" w:cs="Times New Roman"/>
                <w:color w:val="000000" w:themeColor="text1"/>
                <w:sz w:val="21"/>
                <w:szCs w:val="21"/>
                <w:lang w:val="en-US" w:eastAsia="zh-CN"/>
                <w14:textFill>
                  <w14:solidFill>
                    <w14:schemeClr w14:val="tx1"/>
                  </w14:solidFill>
                </w14:textFill>
              </w:rPr>
              <w:t>项目</w:t>
            </w:r>
            <w:r>
              <w:rPr>
                <w:rFonts w:hint="default" w:ascii="Times New Roman" w:hAnsi="Times New Roman" w:eastAsia="宋体" w:cs="Times New Roman"/>
                <w:color w:val="000000" w:themeColor="text1"/>
                <w:sz w:val="21"/>
                <w:szCs w:val="21"/>
                <w14:textFill>
                  <w14:solidFill>
                    <w14:schemeClr w14:val="tx1"/>
                  </w14:solidFill>
                </w14:textFill>
              </w:rPr>
              <w:t>区</w:t>
            </w:r>
            <w:r>
              <w:rPr>
                <w:rFonts w:hint="eastAsia" w:cs="Times New Roman"/>
                <w:color w:val="000000" w:themeColor="text1"/>
                <w:sz w:val="21"/>
                <w:szCs w:val="21"/>
                <w:lang w:val="en-US" w:eastAsia="zh-CN"/>
                <w14:textFill>
                  <w14:solidFill>
                    <w14:schemeClr w14:val="tx1"/>
                  </w14:solidFill>
                </w14:textFill>
              </w:rPr>
              <w:t>内</w:t>
            </w:r>
            <w:r>
              <w:rPr>
                <w:rFonts w:hint="default" w:ascii="Times New Roman" w:hAnsi="Times New Roman" w:eastAsia="宋体" w:cs="Times New Roman"/>
                <w:color w:val="000000" w:themeColor="text1"/>
                <w:sz w:val="21"/>
                <w:szCs w:val="21"/>
                <w14:textFill>
                  <w14:solidFill>
                    <w14:schemeClr w14:val="tx1"/>
                  </w14:solidFill>
                </w14:textFill>
              </w:rPr>
              <w:t>食宿，年工作</w:t>
            </w:r>
            <w:r>
              <w:rPr>
                <w:rFonts w:hint="eastAsia" w:cs="Times New Roman"/>
                <w:color w:val="000000" w:themeColor="text1"/>
                <w:sz w:val="21"/>
                <w:szCs w:val="21"/>
                <w:lang w:val="en-US" w:eastAsia="zh-CN"/>
                <w14:textFill>
                  <w14:solidFill>
                    <w14:schemeClr w14:val="tx1"/>
                  </w14:solidFill>
                </w14:textFill>
              </w:rPr>
              <w:t>360</w:t>
            </w:r>
            <w:r>
              <w:rPr>
                <w:rFonts w:hint="default" w:ascii="Times New Roman" w:hAnsi="Times New Roman" w:eastAsia="宋体" w:cs="Times New Roman"/>
                <w:color w:val="000000" w:themeColor="text1"/>
                <w:sz w:val="21"/>
                <w:szCs w:val="21"/>
                <w14:textFill>
                  <w14:solidFill>
                    <w14:schemeClr w14:val="tx1"/>
                  </w14:solidFill>
                </w14:textFill>
              </w:rPr>
              <w:t>天。职工生活用水以</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0L/人·d计，生活用水量约为</w:t>
            </w:r>
            <w:r>
              <w:rPr>
                <w:rFonts w:hint="eastAsia" w:cs="Times New Roman"/>
                <w:color w:val="000000" w:themeColor="text1"/>
                <w:sz w:val="21"/>
                <w:szCs w:val="21"/>
                <w:lang w:val="en-US" w:eastAsia="zh-CN"/>
                <w14:textFill>
                  <w14:solidFill>
                    <w14:schemeClr w14:val="tx1"/>
                  </w14:solidFill>
                </w14:textFill>
              </w:rPr>
              <w:t>0.3</w:t>
            </w: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/d（</w:t>
            </w:r>
            <w:r>
              <w:rPr>
                <w:rFonts w:hint="eastAsia" w:cs="Times New Roman"/>
                <w:color w:val="000000" w:themeColor="text1"/>
                <w:sz w:val="21"/>
                <w:szCs w:val="21"/>
                <w:lang w:val="en-US" w:eastAsia="zh-CN"/>
                <w14:textFill>
                  <w14:solidFill>
                    <w14:schemeClr w14:val="tx1"/>
                  </w14:solidFill>
                </w14:textFill>
              </w:rPr>
              <w:t>108</w:t>
            </w: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/a）</w:t>
            </w:r>
            <w:r>
              <w:rPr>
                <w:rFonts w:hint="eastAsia" w:cs="Times New Roman"/>
                <w:color w:val="000000" w:themeColor="text1"/>
                <w:sz w:val="21"/>
                <w:szCs w:val="21"/>
                <w:lang w:eastAsia="zh-CN"/>
                <w14:textFill>
                  <w14:solidFill>
                    <w14:schemeClr w14:val="tx1"/>
                  </w14:solidFill>
                </w14:textFill>
              </w:rPr>
              <w:t>。</w:t>
            </w:r>
          </w:p>
          <w:p>
            <w:pPr>
              <w:keepNext w:val="0"/>
              <w:keepLines w:val="0"/>
              <w:pageBreakBefore w:val="0"/>
              <w:suppressLineNumbers w:val="0"/>
              <w:kinsoku/>
              <w:wordWrap/>
              <w:overflowPunct/>
              <w:autoSpaceDE/>
              <w:autoSpaceDN/>
              <w:bidi w:val="0"/>
              <w:adjustRightInd w:val="0"/>
              <w:snapToGrid w:val="0"/>
              <w:spacing w:before="0" w:beforeAutospacing="0" w:after="0" w:afterAutospacing="0" w:line="360" w:lineRule="auto"/>
              <w:ind w:left="0" w:right="0" w:firstLine="420" w:firstLineChars="200"/>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综上所述，本项目</w:t>
            </w:r>
            <w:r>
              <w:rPr>
                <w:rFonts w:hint="eastAsia" w:cs="Times New Roman"/>
                <w:color w:val="000000" w:themeColor="text1"/>
                <w:sz w:val="21"/>
                <w:szCs w:val="21"/>
                <w:lang w:val="en-US" w:eastAsia="zh-CN"/>
                <w14:textFill>
                  <w14:solidFill>
                    <w14:schemeClr w14:val="tx1"/>
                  </w14:solidFill>
                </w14:textFill>
              </w:rPr>
              <w:t>运营期</w:t>
            </w:r>
            <w:r>
              <w:rPr>
                <w:rFonts w:hint="eastAsia" w:cs="Times New Roman"/>
                <w:color w:val="000000" w:themeColor="text1"/>
                <w:sz w:val="21"/>
                <w:szCs w:val="21"/>
                <w:lang w:eastAsia="zh-CN"/>
                <w14:textFill>
                  <w14:solidFill>
                    <w14:schemeClr w14:val="tx1"/>
                  </w14:solidFill>
                </w14:textFill>
              </w:rPr>
              <w:t>用水量为</w:t>
            </w:r>
            <w:r>
              <w:rPr>
                <w:rFonts w:hint="eastAsia" w:cs="Times New Roman"/>
                <w:color w:val="000000" w:themeColor="text1"/>
                <w:sz w:val="21"/>
                <w:szCs w:val="21"/>
                <w:lang w:val="en-US" w:eastAsia="zh-CN"/>
                <w14:textFill>
                  <w14:solidFill>
                    <w14:schemeClr w14:val="tx1"/>
                  </w14:solidFill>
                </w14:textFill>
              </w:rPr>
              <w:t>468</w:t>
            </w:r>
            <w:r>
              <w:rPr>
                <w:rFonts w:hint="eastAsia" w:cs="Times New Roman"/>
                <w:color w:val="000000" w:themeColor="text1"/>
                <w:sz w:val="21"/>
                <w:szCs w:val="21"/>
                <w:lang w:eastAsia="zh-CN"/>
                <w14:textFill>
                  <w14:solidFill>
                    <w14:schemeClr w14:val="tx1"/>
                  </w14:solidFill>
                </w14:textFill>
              </w:rPr>
              <w:t>m</w:t>
            </w:r>
            <w:r>
              <w:rPr>
                <w:rFonts w:hint="eastAsia" w:cs="Times New Roman"/>
                <w:color w:val="000000" w:themeColor="text1"/>
                <w:sz w:val="21"/>
                <w:szCs w:val="21"/>
                <w:vertAlign w:val="superscript"/>
                <w:lang w:eastAsia="zh-CN"/>
                <w14:textFill>
                  <w14:solidFill>
                    <w14:schemeClr w14:val="tx1"/>
                  </w14:solidFill>
                </w14:textFill>
              </w:rPr>
              <w:t>3</w:t>
            </w:r>
            <w:r>
              <w:rPr>
                <w:rFonts w:hint="eastAsia" w:cs="Times New Roman"/>
                <w:color w:val="000000" w:themeColor="text1"/>
                <w:sz w:val="21"/>
                <w:szCs w:val="21"/>
                <w:lang w:eastAsia="zh-CN"/>
                <w14:textFill>
                  <w14:solidFill>
                    <w14:schemeClr w14:val="tx1"/>
                  </w14:solidFill>
                </w14:textFill>
              </w:rPr>
              <w:t>/a。</w:t>
            </w:r>
          </w:p>
          <w:p>
            <w:pPr>
              <w:pStyle w:val="4"/>
              <w:pageBreakBefore w:val="0"/>
              <w:kinsoku/>
              <w:wordWrap/>
              <w:overflowPunct/>
              <w:autoSpaceDE/>
              <w:autoSpaceDN/>
              <w:bidi w:val="0"/>
              <w:adjustRightInd w:val="0"/>
              <w:snapToGrid w:val="0"/>
              <w:spacing w:before="0" w:after="0"/>
              <w:rPr>
                <w:rFonts w:hint="default" w:ascii="Times New Roman" w:hAnsi="Times New Roman" w:eastAsia="宋体" w:cs="Times New Roman"/>
                <w:color w:val="000000" w:themeColor="text1"/>
                <w:kern w:val="2"/>
                <w:szCs w:val="21"/>
                <w14:textFill>
                  <w14:solidFill>
                    <w14:schemeClr w14:val="tx1"/>
                  </w14:solidFill>
                </w14:textFill>
              </w:rPr>
            </w:pPr>
            <w:bookmarkStart w:id="8" w:name="_Toc26358"/>
            <w:r>
              <w:rPr>
                <w:rFonts w:hint="eastAsia"/>
                <w:color w:val="000000" w:themeColor="text1"/>
                <w:lang w:val="en-US" w:eastAsia="zh-CN"/>
                <w14:textFill>
                  <w14:solidFill>
                    <w14:schemeClr w14:val="tx1"/>
                  </w14:solidFill>
                </w14:textFill>
              </w:rPr>
              <w:t>（3）排水</w:t>
            </w:r>
            <w:bookmarkEnd w:id="8"/>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本项目洒水抑尘用水全部蒸发，不外排。本项目运营期生活污水的产生量按用水量的80%计，则生活污水量为0.24m</w:t>
            </w:r>
            <w:r>
              <w:rPr>
                <w:rFonts w:hint="eastAsia" w:cs="Times New Roman"/>
                <w:color w:val="000000" w:themeColor="text1"/>
                <w:kern w:val="2"/>
                <w:sz w:val="21"/>
                <w:szCs w:val="21"/>
                <w:vertAlign w:val="superscript"/>
                <w:lang w:val="en-US" w:eastAsia="zh-CN" w:bidi="ar"/>
                <w14:textFill>
                  <w14:solidFill>
                    <w14:schemeClr w14:val="tx1"/>
                  </w14:solidFill>
                </w14:textFill>
              </w:rPr>
              <w:t>3</w:t>
            </w:r>
            <w:r>
              <w:rPr>
                <w:rFonts w:hint="eastAsia" w:cs="Times New Roman"/>
                <w:color w:val="000000" w:themeColor="text1"/>
                <w:kern w:val="2"/>
                <w:sz w:val="21"/>
                <w:szCs w:val="21"/>
                <w:lang w:val="en-US" w:eastAsia="zh-CN" w:bidi="ar"/>
                <w14:textFill>
                  <w14:solidFill>
                    <w14:schemeClr w14:val="tx1"/>
                  </w14:solidFill>
                </w14:textFill>
              </w:rPr>
              <w:t>/d（86.4m</w:t>
            </w:r>
            <w:r>
              <w:rPr>
                <w:rFonts w:hint="eastAsia" w:cs="Times New Roman"/>
                <w:color w:val="000000" w:themeColor="text1"/>
                <w:kern w:val="2"/>
                <w:sz w:val="21"/>
                <w:szCs w:val="21"/>
                <w:vertAlign w:val="superscript"/>
                <w:lang w:val="en-US" w:eastAsia="zh-CN" w:bidi="ar"/>
                <w14:textFill>
                  <w14:solidFill>
                    <w14:schemeClr w14:val="tx1"/>
                  </w14:solidFill>
                </w14:textFill>
              </w:rPr>
              <w:t>3</w:t>
            </w:r>
            <w:r>
              <w:rPr>
                <w:rFonts w:hint="eastAsia" w:cs="Times New Roman"/>
                <w:color w:val="000000" w:themeColor="text1"/>
                <w:kern w:val="2"/>
                <w:sz w:val="21"/>
                <w:szCs w:val="21"/>
                <w:lang w:val="en-US" w:eastAsia="zh-CN" w:bidi="ar"/>
                <w14:textFill>
                  <w14:solidFill>
                    <w14:schemeClr w14:val="tx1"/>
                  </w14:solidFill>
                </w14:textFill>
              </w:rPr>
              <w:t>/a）。生活污水排入园区污水管网最终进入园区污水处理厂处理。</w:t>
            </w:r>
            <w:bookmarkStart w:id="9" w:name="_Toc7127"/>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本项目用、排水情况见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表2-</w:t>
            </w:r>
            <w:r>
              <w:rPr>
                <w:rFonts w:hint="eastAsia" w:cs="Times New Roman"/>
                <w:color w:val="000000" w:themeColor="text1"/>
                <w:kern w:val="2"/>
                <w:sz w:val="21"/>
                <w:szCs w:val="21"/>
                <w:lang w:val="en-US" w:eastAsia="zh-CN" w:bidi="ar"/>
                <w14:textFill>
                  <w14:solidFill>
                    <w14:schemeClr w14:val="tx1"/>
                  </w14:solidFill>
                </w14:textFill>
              </w:rPr>
              <w:t>6</w:t>
            </w:r>
            <w:r>
              <w:rPr>
                <w:rFonts w:hint="eastAsia" w:ascii="宋体" w:hAnsi="宋体" w:eastAsia="宋体" w:cs="宋体"/>
                <w:color w:val="000000" w:themeColor="text1"/>
                <w:kern w:val="2"/>
                <w:sz w:val="21"/>
                <w:szCs w:val="21"/>
                <w:lang w:val="en-US" w:eastAsia="zh-CN" w:bidi="ar"/>
                <w14:textFill>
                  <w14:solidFill>
                    <w14:schemeClr w14:val="tx1"/>
                  </w14:solidFill>
                </w14:textFill>
              </w:rPr>
              <w:t>，水平衡关系见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图2-1</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0"/>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2-</w:t>
            </w:r>
            <w:r>
              <w:rPr>
                <w:rFonts w:hint="eastAsia"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6</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供排水情况一览表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4"/>
              <w:gridCol w:w="1481"/>
              <w:gridCol w:w="1251"/>
              <w:gridCol w:w="1390"/>
              <w:gridCol w:w="1706"/>
              <w:gridCol w:w="1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eastAsia" w:ascii="Times New Roman" w:hAnsi="Times New Roman" w:eastAsia="宋体" w:cs="Times New Roman"/>
                      <w:b/>
                      <w:bCs/>
                      <w:color w:val="000000" w:themeColor="text1"/>
                      <w:kern w:val="2"/>
                      <w:sz w:val="21"/>
                      <w:szCs w:val="21"/>
                      <w:lang w:val="en-US" w:eastAsia="zh-CN"/>
                      <w14:textFill>
                        <w14:solidFill>
                          <w14:schemeClr w14:val="tx1"/>
                        </w14:solidFill>
                      </w14:textFill>
                    </w:rPr>
                  </w:pPr>
                  <w:r>
                    <w:rPr>
                      <w:rFonts w:hint="eastAsia" w:cs="Times New Roman"/>
                      <w:b/>
                      <w:bCs/>
                      <w:color w:val="000000" w:themeColor="text1"/>
                      <w:kern w:val="2"/>
                      <w:sz w:val="21"/>
                      <w:szCs w:val="21"/>
                      <w:lang w:val="en-US" w:eastAsia="zh-CN"/>
                      <w14:textFill>
                        <w14:solidFill>
                          <w14:schemeClr w14:val="tx1"/>
                        </w14:solidFill>
                      </w14:textFill>
                    </w:rPr>
                    <w:t>序号</w:t>
                  </w:r>
                </w:p>
              </w:tc>
              <w:tc>
                <w:tcPr>
                  <w:tcW w:w="90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eastAsia" w:ascii="宋体" w:hAnsi="宋体" w:eastAsia="宋体" w:cs="宋体"/>
                      <w:b/>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用水类别</w:t>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用水规模</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用水标准</w:t>
                  </w:r>
                </w:p>
              </w:tc>
              <w:tc>
                <w:tcPr>
                  <w:tcW w:w="103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用水量（</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m</w:t>
                  </w:r>
                  <w:r>
                    <w:rPr>
                      <w:rFonts w:hint="default" w:ascii="Times New Roman" w:hAnsi="Times New Roman" w:eastAsia="宋体" w:cs="Times New Roman"/>
                      <w:b/>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/a</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w:t>
                  </w:r>
                </w:p>
              </w:tc>
              <w:tc>
                <w:tcPr>
                  <w:tcW w:w="104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排水量（</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m</w:t>
                  </w:r>
                  <w:r>
                    <w:rPr>
                      <w:rFonts w:hint="default" w:ascii="Times New Roman" w:hAnsi="Times New Roman" w:eastAsia="宋体" w:cs="Times New Roman"/>
                      <w:b/>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/a</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宋体" w:hAnsi="宋体" w:eastAsia="宋体" w:cs="宋体"/>
                      <w:color w:val="000000" w:themeColor="text1"/>
                      <w:kern w:val="2"/>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1</w:t>
                  </w:r>
                </w:p>
              </w:tc>
              <w:tc>
                <w:tcPr>
                  <w:tcW w:w="90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洒水抑尘用水</w:t>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1m</w:t>
                  </w:r>
                  <w:r>
                    <w:rPr>
                      <w:rFonts w:hint="default" w:ascii="Times New Roman" w:hAnsi="Times New Roman" w:eastAsia="宋体" w:cs="Times New Roman"/>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36</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0d</w:t>
                  </w:r>
                </w:p>
              </w:tc>
              <w:tc>
                <w:tcPr>
                  <w:tcW w:w="103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360</w:t>
                  </w:r>
                </w:p>
              </w:tc>
              <w:tc>
                <w:tcPr>
                  <w:tcW w:w="104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2</w:t>
                  </w:r>
                </w:p>
              </w:tc>
              <w:tc>
                <w:tcPr>
                  <w:tcW w:w="90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生活用水</w:t>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6</w:t>
                  </w:r>
                  <w:r>
                    <w:rPr>
                      <w:rFonts w:hint="eastAsia" w:ascii="宋体" w:hAnsi="宋体" w:eastAsia="宋体" w:cs="宋体"/>
                      <w:color w:val="000000" w:themeColor="text1"/>
                      <w:kern w:val="2"/>
                      <w:sz w:val="21"/>
                      <w:szCs w:val="21"/>
                      <w:lang w:val="en-US" w:eastAsia="zh-CN" w:bidi="ar"/>
                      <w14:textFill>
                        <w14:solidFill>
                          <w14:schemeClr w14:val="tx1"/>
                        </w14:solidFill>
                      </w14:textFill>
                    </w:rPr>
                    <w:t>人，</w:t>
                  </w:r>
                  <w:r>
                    <w:rPr>
                      <w:rFonts w:hint="eastAsia" w:cs="Times New Roman"/>
                      <w:color w:val="000000" w:themeColor="text1"/>
                      <w:kern w:val="2"/>
                      <w:sz w:val="21"/>
                      <w:szCs w:val="21"/>
                      <w:lang w:val="en-US" w:eastAsia="zh-CN" w:bidi="ar"/>
                      <w14:textFill>
                        <w14:solidFill>
                          <w14:schemeClr w14:val="tx1"/>
                        </w14:solidFill>
                      </w14:textFill>
                    </w:rPr>
                    <w:t>360</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w:t>
                  </w:r>
                </w:p>
              </w:tc>
              <w:tc>
                <w:tcPr>
                  <w:tcW w:w="84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0L/</w:t>
                  </w:r>
                  <w:r>
                    <w:rPr>
                      <w:rFonts w:hint="eastAsia" w:ascii="宋体" w:hAnsi="宋体" w:eastAsia="宋体" w:cs="宋体"/>
                      <w:color w:val="000000" w:themeColor="text1"/>
                      <w:kern w:val="2"/>
                      <w:sz w:val="21"/>
                      <w:szCs w:val="21"/>
                      <w:lang w:val="en-US" w:eastAsia="zh-CN" w:bidi="ar"/>
                      <w14:textFill>
                        <w14:solidFill>
                          <w14:schemeClr w14:val="tx1"/>
                        </w14:solidFill>
                      </w14:textFill>
                    </w:rPr>
                    <w:t>人·</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w:t>
                  </w:r>
                </w:p>
              </w:tc>
              <w:tc>
                <w:tcPr>
                  <w:tcW w:w="103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108</w:t>
                  </w:r>
                </w:p>
              </w:tc>
              <w:tc>
                <w:tcPr>
                  <w:tcW w:w="104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合计</w:t>
                  </w:r>
                </w:p>
              </w:tc>
              <w:tc>
                <w:tcPr>
                  <w:tcW w:w="103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468</w:t>
                  </w:r>
                </w:p>
              </w:tc>
              <w:tc>
                <w:tcPr>
                  <w:tcW w:w="104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86.4</w:t>
                  </w:r>
                </w:p>
              </w:tc>
            </w:tr>
          </w:tbl>
          <w:p>
            <w:pPr>
              <w:pStyle w:val="10"/>
              <w:keepNext w:val="0"/>
              <w:keepLines w:val="0"/>
              <w:widowControl w:val="0"/>
              <w:suppressLineNumbers w:val="0"/>
              <w:spacing w:before="0" w:beforeAutospacing="0" w:after="0" w:afterAutospacing="0"/>
              <w:ind w:left="0" w:right="0"/>
              <w:rPr>
                <w:rFonts w:hint="default" w:ascii="Times New Roman" w:hAnsi="Times New Roman" w:eastAsia="宋体" w:cs="Times New Roman"/>
                <w:b/>
                <w:bCs/>
                <w:color w:val="000000" w:themeColor="text1"/>
                <w:kern w:val="0"/>
                <w:sz w:val="21"/>
                <w:szCs w:val="21"/>
                <w14:textFill>
                  <w14:solidFill>
                    <w14:schemeClr w14:val="tx1"/>
                  </w14:solidFill>
                </w14:textFill>
              </w:rPr>
            </w:pPr>
            <w:r>
              <w:rPr>
                <w:sz w:val="21"/>
              </w:rPr>
              <mc:AlternateContent>
                <mc:Choice Requires="wps">
                  <w:drawing>
                    <wp:anchor distT="0" distB="0" distL="114300" distR="114300" simplePos="0" relativeHeight="251673600" behindDoc="0" locked="0" layoutInCell="1" allowOverlap="1">
                      <wp:simplePos x="0" y="0"/>
                      <wp:positionH relativeFrom="column">
                        <wp:posOffset>1177290</wp:posOffset>
                      </wp:positionH>
                      <wp:positionV relativeFrom="paragraph">
                        <wp:posOffset>188595</wp:posOffset>
                      </wp:positionV>
                      <wp:extent cx="628015" cy="455295"/>
                      <wp:effectExtent l="0" t="0" r="0" b="0"/>
                      <wp:wrapNone/>
                      <wp:docPr id="23" name="矩形 23"/>
                      <wp:cNvGraphicFramePr/>
                      <a:graphic xmlns:a="http://schemas.openxmlformats.org/drawingml/2006/main">
                        <a:graphicData uri="http://schemas.microsoft.com/office/word/2010/wordprocessingShape">
                          <wps:wsp>
                            <wps:cNvSpPr/>
                            <wps:spPr>
                              <a:xfrm>
                                <a:off x="2476500" y="1242060"/>
                                <a:ext cx="628015" cy="455295"/>
                              </a:xfrm>
                              <a:prstGeom prst="rect">
                                <a:avLst/>
                              </a:prstGeom>
                              <a:noFill/>
                              <a:ln>
                                <a:noFill/>
                              </a:ln>
                            </wps:spPr>
                            <wps:txbx>
                              <w:txbxContent>
                                <w:p>
                                  <w:pPr>
                                    <w:pStyle w:val="2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360</w:t>
                                  </w:r>
                                </w:p>
                                <w:p>
                                  <w:pPr>
                                    <w:pStyle w:val="20"/>
                                    <w:jc w:val="center"/>
                                    <w:rPr>
                                      <w:rFonts w:hint="default"/>
                                      <w:lang w:val="en-US"/>
                                    </w:rPr>
                                  </w:pPr>
                                  <w:r>
                                    <w:rPr>
                                      <w:rFonts w:hint="eastAsia" w:ascii="Times New Roman" w:hAnsi="Times New Roman" w:eastAsia="宋体"/>
                                      <w:kern w:val="2"/>
                                      <w:sz w:val="21"/>
                                      <w:szCs w:val="21"/>
                                      <w:lang w:val="en-US" w:eastAsia="zh-CN"/>
                                    </w:rPr>
                                    <w:t>用水量</w:t>
                                  </w:r>
                                </w:p>
                              </w:txbxContent>
                            </wps:txbx>
                            <wps:bodyPr upright="1"/>
                          </wps:wsp>
                        </a:graphicData>
                      </a:graphic>
                    </wp:anchor>
                  </w:drawing>
                </mc:Choice>
                <mc:Fallback>
                  <w:pict>
                    <v:rect id="_x0000_s1026" o:spid="_x0000_s1026" o:spt="1" style="position:absolute;left:0pt;margin-left:92.7pt;margin-top:14.85pt;height:35.85pt;width:49.45pt;z-index:251673600;mso-width-relative:page;mso-height-relative:page;" filled="f" stroked="f" coordsize="21600,21600" o:gfxdata="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AT&#10;93faAAAACgEAAA8AAAAAAAAAAQAgAAAAIgAAAGRycy9kb3ducmV2LnhtbFBLAQIUABQAAAAIAIdO&#10;4kCSXUKurwEAAE4DAAAOAAAAAAAAAAEAIAAAACkBAABkcnMvZTJvRG9jLnhtbFBLBQYAAAAABgAG&#10;AFkBAABKBQAAAAA=&#10;">
                      <v:fill on="f" focussize="0,0"/>
                      <v:stroke on="f"/>
                      <v:imagedata o:title=""/>
                      <o:lock v:ext="edit" aspectratio="f"/>
                      <v:textbox>
                        <w:txbxContent>
                          <w:p>
                            <w:pPr>
                              <w:pStyle w:val="2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360</w:t>
                            </w:r>
                          </w:p>
                          <w:p>
                            <w:pPr>
                              <w:pStyle w:val="20"/>
                              <w:jc w:val="center"/>
                              <w:rPr>
                                <w:rFonts w:hint="default"/>
                                <w:lang w:val="en-US"/>
                              </w:rPr>
                            </w:pPr>
                            <w:r>
                              <w:rPr>
                                <w:rFonts w:hint="eastAsia" w:ascii="Times New Roman" w:hAnsi="Times New Roman" w:eastAsia="宋体"/>
                                <w:kern w:val="2"/>
                                <w:sz w:val="21"/>
                                <w:szCs w:val="21"/>
                                <w:lang w:val="en-US" w:eastAsia="zh-CN"/>
                              </w:rPr>
                              <w:t>用水量</w:t>
                            </w:r>
                          </w:p>
                        </w:txbxContent>
                      </v:textbox>
                    </v:rect>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2639060</wp:posOffset>
                      </wp:positionH>
                      <wp:positionV relativeFrom="paragraph">
                        <wp:posOffset>167640</wp:posOffset>
                      </wp:positionV>
                      <wp:extent cx="192405" cy="88265"/>
                      <wp:effectExtent l="1905" t="2540" r="15240" b="4445"/>
                      <wp:wrapNone/>
                      <wp:docPr id="22" name="直接箭头连接符 22"/>
                      <wp:cNvGraphicFramePr/>
                      <a:graphic xmlns:a="http://schemas.openxmlformats.org/drawingml/2006/main">
                        <a:graphicData uri="http://schemas.microsoft.com/office/word/2010/wordprocessingShape">
                          <wps:wsp>
                            <wps:cNvCnPr/>
                            <wps:spPr>
                              <a:xfrm flipV="1">
                                <a:off x="3943350" y="1260475"/>
                                <a:ext cx="192405" cy="88265"/>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_x0000_s1026" o:spid="_x0000_s1026" o:spt="32" type="#_x0000_t32" style="position:absolute;left:0pt;flip:y;margin-left:207.8pt;margin-top:13.2pt;height:6.95pt;width:15.15pt;z-index:251672576;mso-width-relative:page;mso-height-relative:page;" filled="f" stroked="t" coordsize="21600,21600" o:gfxdata="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Vvq4X1QAAAAkB&#10;AAAPAAAAAAAAAAEAIAAAACIAAABkcnMvZG93bnJldi54bWxQSwECFAAUAAAACACHTuJA/mrm4h4C&#10;AAAKBAAADgAAAAAAAAABACAAAAAkAQAAZHJzL2Uyb0RvYy54bWxQSwUGAAAAAAYABgBZAQAAtAUA&#10;AAAA&#10;">
                      <v:fill on="f" focussize="0,0"/>
                      <v:stroke color="#000000" joinstyle="round" dashstyle="dash" endarrow="block"/>
                      <v:imagedata o:title=""/>
                      <o:lock v:ext="edit" aspectratio="f"/>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2654935</wp:posOffset>
                      </wp:positionH>
                      <wp:positionV relativeFrom="paragraph">
                        <wp:posOffset>22225</wp:posOffset>
                      </wp:positionV>
                      <wp:extent cx="977900" cy="265430"/>
                      <wp:effectExtent l="0" t="0" r="0" b="0"/>
                      <wp:wrapNone/>
                      <wp:docPr id="21" name="矩形 21"/>
                      <wp:cNvGraphicFramePr/>
                      <a:graphic xmlns:a="http://schemas.openxmlformats.org/drawingml/2006/main">
                        <a:graphicData uri="http://schemas.microsoft.com/office/word/2010/wordprocessingShape">
                          <wps:wsp>
                            <wps:cNvSpPr/>
                            <wps:spPr>
                              <a:xfrm>
                                <a:off x="3959225" y="1115060"/>
                                <a:ext cx="977900" cy="265430"/>
                              </a:xfrm>
                              <a:prstGeom prst="rect">
                                <a:avLst/>
                              </a:prstGeom>
                              <a:noFill/>
                              <a:ln>
                                <a:noFill/>
                              </a:ln>
                            </wps:spPr>
                            <wps:txbx>
                              <w:txbxContent>
                                <w:p>
                                  <w:pPr>
                                    <w:pStyle w:val="20"/>
                                    <w:jc w:val="center"/>
                                    <w:rPr>
                                      <w:rFonts w:hint="default" w:eastAsia="宋体"/>
                                      <w:lang w:val="en-US" w:eastAsia="zh-CN"/>
                                    </w:rPr>
                                  </w:pPr>
                                  <w:r>
                                    <w:rPr>
                                      <w:rFonts w:hint="eastAsia" w:ascii="Times New Roman" w:hAnsi="Times New Roman" w:eastAsia="宋体"/>
                                      <w:kern w:val="2"/>
                                      <w:sz w:val="21"/>
                                      <w:szCs w:val="21"/>
                                      <w:lang w:val="en-US" w:eastAsia="zh-CN"/>
                                    </w:rPr>
                                    <w:t>损耗量360</w:t>
                                  </w:r>
                                </w:p>
                              </w:txbxContent>
                            </wps:txbx>
                            <wps:bodyPr upright="1"/>
                          </wps:wsp>
                        </a:graphicData>
                      </a:graphic>
                    </wp:anchor>
                  </w:drawing>
                </mc:Choice>
                <mc:Fallback>
                  <w:pict>
                    <v:rect id="_x0000_s1026" o:spid="_x0000_s1026" o:spt="1" style="position:absolute;left:0pt;margin-left:209.05pt;margin-top:1.75pt;height:20.9pt;width:77pt;z-index:251671552;mso-width-relative:page;mso-height-relative:page;" filled="f" stroked="f" coordsize="21600,21600" o:gfxdata="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cF&#10;r8/ZAAAACAEAAA8AAAAAAAAAAQAgAAAAIgAAAGRycy9kb3ducmV2LnhtbFBLAQIUABQAAAAIAIdO&#10;4kAIqOsKsAEAAE4DAAAOAAAAAAAAAAEAIAAAACgBAABkcnMvZTJvRG9jLnhtbFBLBQYAAAAABgAG&#10;AFkBAABKBQAAAAA=&#10;">
                      <v:fill on="f" focussize="0,0"/>
                      <v:stroke on="f"/>
                      <v:imagedata o:title=""/>
                      <o:lock v:ext="edit" aspectratio="f"/>
                      <v:textbox>
                        <w:txbxContent>
                          <w:p>
                            <w:pPr>
                              <w:pStyle w:val="20"/>
                              <w:jc w:val="center"/>
                              <w:rPr>
                                <w:rFonts w:hint="default" w:eastAsia="宋体"/>
                                <w:lang w:val="en-US" w:eastAsia="zh-CN"/>
                              </w:rPr>
                            </w:pPr>
                            <w:r>
                              <w:rPr>
                                <w:rFonts w:hint="eastAsia" w:ascii="Times New Roman" w:hAnsi="Times New Roman" w:eastAsia="宋体"/>
                                <w:kern w:val="2"/>
                                <w:sz w:val="21"/>
                                <w:szCs w:val="21"/>
                                <w:lang w:val="en-US" w:eastAsia="zh-CN"/>
                              </w:rPr>
                              <w:t>损耗量360</w:t>
                            </w:r>
                          </w:p>
                        </w:txbxContent>
                      </v:textbox>
                    </v:rect>
                  </w:pict>
                </mc:Fallback>
              </mc:AlternateContent>
            </w:r>
          </w:p>
          <w:p>
            <w:pPr>
              <w:pStyle w:val="20"/>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sz w:val="21"/>
              </w:rPr>
              <mc:AlternateContent>
                <mc:Choice Requires="wps">
                  <w:drawing>
                    <wp:anchor distT="0" distB="0" distL="114300" distR="114300" simplePos="0" relativeHeight="251670528" behindDoc="0" locked="0" layoutInCell="1" allowOverlap="1">
                      <wp:simplePos x="0" y="0"/>
                      <wp:positionH relativeFrom="column">
                        <wp:posOffset>1675765</wp:posOffset>
                      </wp:positionH>
                      <wp:positionV relativeFrom="paragraph">
                        <wp:posOffset>66675</wp:posOffset>
                      </wp:positionV>
                      <wp:extent cx="1033780" cy="265430"/>
                      <wp:effectExtent l="4445" t="4445" r="9525" b="15875"/>
                      <wp:wrapNone/>
                      <wp:docPr id="20" name="矩形 20"/>
                      <wp:cNvGraphicFramePr/>
                      <a:graphic xmlns:a="http://schemas.openxmlformats.org/drawingml/2006/main">
                        <a:graphicData uri="http://schemas.microsoft.com/office/word/2010/wordprocessingShape">
                          <wps:wsp>
                            <wps:cNvSpPr/>
                            <wps:spPr>
                              <a:xfrm>
                                <a:off x="2980055" y="1357630"/>
                                <a:ext cx="1033780" cy="265430"/>
                              </a:xfrm>
                              <a:prstGeom prst="rect">
                                <a:avLst/>
                              </a:prstGeom>
                              <a:noFill/>
                              <a:ln w="9525" cap="flat" cmpd="sng">
                                <a:solidFill>
                                  <a:srgbClr val="000000"/>
                                </a:solidFill>
                                <a:prstDash val="solid"/>
                                <a:miter/>
                                <a:headEnd type="none" w="med" len="med"/>
                                <a:tailEnd type="none" w="med" len="med"/>
                              </a:ln>
                            </wps:spPr>
                            <wps:txbx>
                              <w:txbxContent>
                                <w:p>
                                  <w:pPr>
                                    <w:rPr>
                                      <w:rFonts w:ascii="Times New Roman" w:hAnsi="Times New Roman" w:eastAsia="宋体"/>
                                      <w:kern w:val="2"/>
                                      <w:sz w:val="21"/>
                                      <w:szCs w:val="21"/>
                                    </w:rPr>
                                  </w:pPr>
                                  <w:r>
                                    <w:rPr>
                                      <w:rFonts w:hint="eastAsia" w:ascii="Times New Roman" w:hAnsi="Times New Roman" w:eastAsia="宋体"/>
                                      <w:kern w:val="2"/>
                                      <w:sz w:val="21"/>
                                      <w:szCs w:val="21"/>
                                    </w:rPr>
                                    <w:t>洒水抑尘用水</w:t>
                                  </w:r>
                                </w:p>
                              </w:txbxContent>
                            </wps:txbx>
                            <wps:bodyPr upright="1"/>
                          </wps:wsp>
                        </a:graphicData>
                      </a:graphic>
                    </wp:anchor>
                  </w:drawing>
                </mc:Choice>
                <mc:Fallback>
                  <w:pict>
                    <v:rect id="_x0000_s1026" o:spid="_x0000_s1026" o:spt="1" style="position:absolute;left:0pt;margin-left:131.95pt;margin-top:5.25pt;height:20.9pt;width:81.4pt;z-index:251670528;mso-width-relative:page;mso-height-relative:page;" filled="f" stroked="t" coordsize="21600,21600" o:gfxdata="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0WSw1wAAAAkBAAAPAAAAAAAAAAEAIAAAACIA&#10;AABkcnMvZG93bnJldi54bWxQSwECFAAUAAAACACHTuJAuNvaDgoCAAAOBAAADgAAAAAAAAABACAA&#10;AAAmAQAAZHJzL2Uyb0RvYy54bWxQSwUGAAAAAAYABgBZAQAAogUAAAAA&#10;">
                      <v:fill on="f" focussize="0,0"/>
                      <v:stroke color="#000000" joinstyle="miter"/>
                      <v:imagedata o:title=""/>
                      <o:lock v:ext="edit" aspectratio="f"/>
                      <v:textbox>
                        <w:txbxContent>
                          <w:p>
                            <w:pPr>
                              <w:rPr>
                                <w:rFonts w:ascii="Times New Roman" w:hAnsi="Times New Roman" w:eastAsia="宋体"/>
                                <w:kern w:val="2"/>
                                <w:sz w:val="21"/>
                                <w:szCs w:val="21"/>
                              </w:rPr>
                            </w:pPr>
                            <w:r>
                              <w:rPr>
                                <w:rFonts w:hint="eastAsia" w:ascii="Times New Roman" w:hAnsi="Times New Roman" w:eastAsia="宋体"/>
                                <w:kern w:val="2"/>
                                <w:sz w:val="21"/>
                                <w:szCs w:val="21"/>
                              </w:rPr>
                              <w:t>洒水抑尘用水</w:t>
                            </w:r>
                          </w:p>
                        </w:txbxContent>
                      </v:textbox>
                    </v:rect>
                  </w:pict>
                </mc:Fallback>
              </mc:AlternateConten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 xml:space="preserve"> </w:t>
            </w:r>
          </w:p>
          <w:p>
            <w:pPr>
              <w:pStyle w:val="20"/>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sz w:val="21"/>
              </w:rPr>
              <mc:AlternateContent>
                <mc:Choice Requires="wps">
                  <w:drawing>
                    <wp:anchor distT="0" distB="0" distL="114300" distR="114300" simplePos="0" relativeHeight="251677696" behindDoc="0" locked="0" layoutInCell="1" allowOverlap="1">
                      <wp:simplePos x="0" y="0"/>
                      <wp:positionH relativeFrom="column">
                        <wp:posOffset>734060</wp:posOffset>
                      </wp:positionH>
                      <wp:positionV relativeFrom="paragraph">
                        <wp:posOffset>34290</wp:posOffset>
                      </wp:positionV>
                      <wp:extent cx="693420" cy="450215"/>
                      <wp:effectExtent l="0" t="0" r="0" b="0"/>
                      <wp:wrapNone/>
                      <wp:docPr id="27" name="矩形 27"/>
                      <wp:cNvGraphicFramePr/>
                      <a:graphic xmlns:a="http://schemas.openxmlformats.org/drawingml/2006/main">
                        <a:graphicData uri="http://schemas.microsoft.com/office/word/2010/wordprocessingShape">
                          <wps:wsp>
                            <wps:cNvSpPr/>
                            <wps:spPr>
                              <a:xfrm>
                                <a:off x="2038350" y="1523365"/>
                                <a:ext cx="693420" cy="450215"/>
                              </a:xfrm>
                              <a:prstGeom prst="rect">
                                <a:avLst/>
                              </a:prstGeom>
                              <a:noFill/>
                              <a:ln>
                                <a:noFill/>
                              </a:ln>
                            </wps:spPr>
                            <wps:txbx>
                              <w:txbxContent>
                                <w:p>
                                  <w:pPr>
                                    <w:pStyle w:val="2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468</w:t>
                                  </w:r>
                                </w:p>
                                <w:p>
                                  <w:pPr>
                                    <w:pStyle w:val="20"/>
                                    <w:jc w:val="center"/>
                                    <w:rPr>
                                      <w:rFonts w:hint="default"/>
                                      <w:lang w:val="en-US"/>
                                    </w:rPr>
                                  </w:pPr>
                                  <w:r>
                                    <w:rPr>
                                      <w:rFonts w:hint="eastAsia" w:ascii="Times New Roman" w:hAnsi="Times New Roman" w:eastAsia="宋体"/>
                                      <w:kern w:val="2"/>
                                      <w:sz w:val="21"/>
                                      <w:szCs w:val="21"/>
                                      <w:lang w:val="en-US" w:eastAsia="zh-CN"/>
                                    </w:rPr>
                                    <w:t>新鲜水</w:t>
                                  </w:r>
                                </w:p>
                              </w:txbxContent>
                            </wps:txbx>
                            <wps:bodyPr upright="1"/>
                          </wps:wsp>
                        </a:graphicData>
                      </a:graphic>
                    </wp:anchor>
                  </w:drawing>
                </mc:Choice>
                <mc:Fallback>
                  <w:pict>
                    <v:rect id="_x0000_s1026" o:spid="_x0000_s1026" o:spt="1" style="position:absolute;left:0pt;margin-left:57.8pt;margin-top:2.7pt;height:35.45pt;width:54.6pt;z-index:251677696;mso-width-relative:page;mso-height-relative:page;" filled="f" stroked="f" coordsize="21600,21600" o:gfxdata="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aY&#10;f0/ZAAAACAEAAA8AAAAAAAAAAQAgAAAAIgAAAGRycy9kb3ducmV2LnhtbFBLAQIUABQAAAAIAIdO&#10;4kDItqgqsAEAAE4DAAAOAAAAAAAAAAEAIAAAACgBAABkcnMvZTJvRG9jLnhtbFBLBQYAAAAABgAG&#10;AFkBAABKBQAAAAA=&#10;">
                      <v:fill on="f" focussize="0,0"/>
                      <v:stroke on="f"/>
                      <v:imagedata o:title=""/>
                      <o:lock v:ext="edit" aspectratio="f"/>
                      <v:textbox>
                        <w:txbxContent>
                          <w:p>
                            <w:pPr>
                              <w:pStyle w:val="2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468</w:t>
                            </w:r>
                          </w:p>
                          <w:p>
                            <w:pPr>
                              <w:pStyle w:val="20"/>
                              <w:jc w:val="center"/>
                              <w:rPr>
                                <w:rFonts w:hint="default"/>
                                <w:lang w:val="en-US"/>
                              </w:rPr>
                            </w:pPr>
                            <w:r>
                              <w:rPr>
                                <w:rFonts w:hint="eastAsia" w:ascii="Times New Roman" w:hAnsi="Times New Roman" w:eastAsia="宋体"/>
                                <w:kern w:val="2"/>
                                <w:sz w:val="21"/>
                                <w:szCs w:val="21"/>
                                <w:lang w:val="en-US" w:eastAsia="zh-CN"/>
                              </w:rPr>
                              <w:t>新鲜水</w:t>
                            </w:r>
                          </w:p>
                        </w:txbxContent>
                      </v:textbox>
                    </v:rect>
                  </w:pict>
                </mc:Fallback>
              </mc:AlternateContent>
            </w:r>
            <w:r>
              <w:rPr>
                <w:rFonts w:hint="default"/>
                <w:sz w:val="21"/>
              </w:rPr>
              <mc:AlternateContent>
                <mc:Choice Requires="wps">
                  <w:drawing>
                    <wp:anchor distT="0" distB="0" distL="114300" distR="114300" simplePos="0" relativeHeight="251675648" behindDoc="0" locked="0" layoutInCell="1" allowOverlap="1">
                      <wp:simplePos x="0" y="0"/>
                      <wp:positionH relativeFrom="column">
                        <wp:posOffset>1289685</wp:posOffset>
                      </wp:positionH>
                      <wp:positionV relativeFrom="paragraph">
                        <wp:posOffset>12065</wp:posOffset>
                      </wp:positionV>
                      <wp:extent cx="1905" cy="537210"/>
                      <wp:effectExtent l="6350" t="0" r="10795" b="15240"/>
                      <wp:wrapNone/>
                      <wp:docPr id="25" name="直接连接符 25"/>
                      <wp:cNvGraphicFramePr/>
                      <a:graphic xmlns:a="http://schemas.openxmlformats.org/drawingml/2006/main">
                        <a:graphicData uri="http://schemas.microsoft.com/office/word/2010/wordprocessingShape">
                          <wps:wsp>
                            <wps:cNvCnPr/>
                            <wps:spPr>
                              <a:xfrm flipH="1">
                                <a:off x="2593975" y="1501140"/>
                                <a:ext cx="1905" cy="53721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01.55pt;margin-top:0.95pt;height:42.3pt;width:0.15pt;z-index:251675648;mso-width-relative:page;mso-height-relative:page;" filled="f" stroked="t" coordsize="21600,21600" o:gfxdata="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acsW7UAAAACAEAAA8AAAAAAAAAAQAgAAAAIgAAAGRycy9kb3ducmV2LnhtbFBL&#10;AQIUABQAAAAIAIdO4kDzvqDw+gEAAMwDAAAOAAAAAAAAAAEAIAAAACMBAABkcnMvZTJvRG9jLnht&#10;bFBLBQYAAAAABgAGAFkBAACPBQAAAAA=&#10;">
                      <v:fill on="f" focussize="0,0"/>
                      <v:stroke weight="1pt" color="#000000 [3213]" miterlimit="8" joinstyle="miter"/>
                      <v:imagedata o:title=""/>
                      <o:lock v:ext="edit" aspectratio="f"/>
                    </v:line>
                  </w:pict>
                </mc:Fallback>
              </mc:AlternateContent>
            </w:r>
            <w:r>
              <w:rPr>
                <w:rFonts w:hint="default"/>
                <w:sz w:val="21"/>
              </w:rPr>
              <mc:AlternateContent>
                <mc:Choice Requires="wps">
                  <w:drawing>
                    <wp:anchor distT="0" distB="0" distL="114300" distR="114300" simplePos="0" relativeHeight="251674624" behindDoc="0" locked="0" layoutInCell="1" allowOverlap="1">
                      <wp:simplePos x="0" y="0"/>
                      <wp:positionH relativeFrom="column">
                        <wp:posOffset>1289050</wp:posOffset>
                      </wp:positionH>
                      <wp:positionV relativeFrom="paragraph">
                        <wp:posOffset>9525</wp:posOffset>
                      </wp:positionV>
                      <wp:extent cx="391795" cy="6350"/>
                      <wp:effectExtent l="0" t="33020" r="8255" b="36830"/>
                      <wp:wrapNone/>
                      <wp:docPr id="24" name="直接箭头连接符 24"/>
                      <wp:cNvGraphicFramePr/>
                      <a:graphic xmlns:a="http://schemas.openxmlformats.org/drawingml/2006/main">
                        <a:graphicData uri="http://schemas.microsoft.com/office/word/2010/wordprocessingShape">
                          <wps:wsp>
                            <wps:cNvCnPr/>
                            <wps:spPr>
                              <a:xfrm>
                                <a:off x="2593340" y="1498600"/>
                                <a:ext cx="391795" cy="635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01.5pt;margin-top:0.75pt;height:0.5pt;width:30.85pt;z-index:251674624;mso-width-relative:page;mso-height-relative:page;" filled="f" stroked="t" coordsize="21600,21600" o:gfxdata="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JxhA7YAAAABwEAAA8AAAAA&#10;AAAAAQAgAAAAIgAAAGRycy9kb3ducmV2LnhtbFBLAQIUABQAAAAIAIdO4kAo00jQFAIAAAAEAAAO&#10;AAAAAAAAAAEAIAAAACcBAABkcnMvZTJvRG9jLnhtbFBLBQYAAAAABgAGAFkBAACtBQAAAAA=&#10;">
                      <v:fill on="f" focussize="0,0"/>
                      <v:stroke color="#000000" joinstyle="round" endarrow="block"/>
                      <v:imagedata o:title=""/>
                      <o:lock v:ext="edit" aspectratio="f"/>
                    </v:shape>
                  </w:pict>
                </mc:Fallback>
              </mc:AlternateContent>
            </w:r>
            <w:r>
              <w:rPr>
                <w:rFonts w:hint="default"/>
                <w:sz w:val="21"/>
              </w:rPr>
              <mc:AlternateContent>
                <mc:Choice Requires="wps">
                  <w:drawing>
                    <wp:anchor distT="0" distB="0" distL="114300" distR="114300" simplePos="0" relativeHeight="251667456" behindDoc="0" locked="0" layoutInCell="1" allowOverlap="1">
                      <wp:simplePos x="0" y="0"/>
                      <wp:positionH relativeFrom="column">
                        <wp:posOffset>2075180</wp:posOffset>
                      </wp:positionH>
                      <wp:positionV relativeFrom="paragraph">
                        <wp:posOffset>117475</wp:posOffset>
                      </wp:positionV>
                      <wp:extent cx="883285" cy="265430"/>
                      <wp:effectExtent l="0" t="0" r="0" b="0"/>
                      <wp:wrapNone/>
                      <wp:docPr id="99" name="矩形 99"/>
                      <wp:cNvGraphicFramePr/>
                      <a:graphic xmlns:a="http://schemas.openxmlformats.org/drawingml/2006/main">
                        <a:graphicData uri="http://schemas.microsoft.com/office/word/2010/wordprocessingShape">
                          <wps:wsp>
                            <wps:cNvSpPr/>
                            <wps:spPr>
                              <a:xfrm>
                                <a:off x="3379470" y="1606550"/>
                                <a:ext cx="883285" cy="265430"/>
                              </a:xfrm>
                              <a:prstGeom prst="rect">
                                <a:avLst/>
                              </a:prstGeom>
                              <a:noFill/>
                              <a:ln>
                                <a:noFill/>
                              </a:ln>
                            </wps:spPr>
                            <wps:txbx>
                              <w:txbxContent>
                                <w:p>
                                  <w:pPr>
                                    <w:pStyle w:val="20"/>
                                    <w:jc w:val="center"/>
                                    <w:rPr>
                                      <w:rFonts w:hint="default" w:eastAsia="宋体"/>
                                      <w:lang w:val="en-US" w:eastAsia="zh-CN"/>
                                    </w:rPr>
                                  </w:pPr>
                                  <w:r>
                                    <w:rPr>
                                      <w:rFonts w:hint="eastAsia" w:ascii="Times New Roman" w:hAnsi="Times New Roman" w:eastAsia="宋体"/>
                                      <w:kern w:val="2"/>
                                      <w:sz w:val="21"/>
                                      <w:szCs w:val="21"/>
                                      <w:lang w:val="en-US" w:eastAsia="zh-CN"/>
                                    </w:rPr>
                                    <w:t>损耗量21.6</w:t>
                                  </w:r>
                                </w:p>
                              </w:txbxContent>
                            </wps:txbx>
                            <wps:bodyPr upright="1"/>
                          </wps:wsp>
                        </a:graphicData>
                      </a:graphic>
                    </wp:anchor>
                  </w:drawing>
                </mc:Choice>
                <mc:Fallback>
                  <w:pict>
                    <v:rect id="_x0000_s1026" o:spid="_x0000_s1026" o:spt="1" style="position:absolute;left:0pt;margin-left:163.4pt;margin-top:9.25pt;height:20.9pt;width:69.55pt;z-index:251667456;mso-width-relative:page;mso-height-relative:page;" filled="f" stroked="f" coordsize="21600,21600" o:gfxdata="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Wh4toAAAAJAQAADwAAAAAAAAABACAAAAAiAAAAZHJzL2Rvd25yZXYueG1sUEsBAhQAFAAAAAgA&#10;h07iQJLT2XGxAQAATgMAAA4AAAAAAAAAAQAgAAAAKQEAAGRycy9lMm9Eb2MueG1sUEsFBgAAAAAG&#10;AAYAWQEAAEwFAAAAAA==&#10;">
                      <v:fill on="f" focussize="0,0"/>
                      <v:stroke on="f"/>
                      <v:imagedata o:title=""/>
                      <o:lock v:ext="edit" aspectratio="f"/>
                      <v:textbox>
                        <w:txbxContent>
                          <w:p>
                            <w:pPr>
                              <w:pStyle w:val="20"/>
                              <w:jc w:val="center"/>
                              <w:rPr>
                                <w:rFonts w:hint="default" w:eastAsia="宋体"/>
                                <w:lang w:val="en-US" w:eastAsia="zh-CN"/>
                              </w:rPr>
                            </w:pPr>
                            <w:r>
                              <w:rPr>
                                <w:rFonts w:hint="eastAsia" w:ascii="Times New Roman" w:hAnsi="Times New Roman" w:eastAsia="宋体"/>
                                <w:kern w:val="2"/>
                                <w:sz w:val="21"/>
                                <w:szCs w:val="21"/>
                                <w:lang w:val="en-US" w:eastAsia="zh-CN"/>
                              </w:rPr>
                              <w:t>损耗量21.6</w:t>
                            </w:r>
                          </w:p>
                        </w:txbxContent>
                      </v:textbox>
                    </v:rect>
                  </w:pict>
                </mc:Fallback>
              </mc:AlternateConten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 xml:space="preserve"> </w:t>
            </w:r>
          </w:p>
          <w:p>
            <w:pPr>
              <w:pStyle w:val="20"/>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1"/>
                <w:szCs w:val="21"/>
                <w:lang w:val="en-US" w:eastAsia="zh-CN" w:bidi="ar"/>
                <w14:textFill>
                  <w14:solidFill>
                    <w14:schemeClr w14:val="tx1"/>
                  </w14:solidFill>
                </w14:textFill>
              </w:rPr>
            </w:pPr>
            <w:r>
              <w:rPr>
                <w:rFonts w:hint="default"/>
                <w:sz w:val="21"/>
              </w:rPr>
              <mc:AlternateContent>
                <mc:Choice Requires="wps">
                  <w:drawing>
                    <wp:anchor distT="0" distB="0" distL="114300" distR="114300" simplePos="0" relativeHeight="251668480" behindDoc="0" locked="0" layoutInCell="1" allowOverlap="1">
                      <wp:simplePos x="0" y="0"/>
                      <wp:positionH relativeFrom="column">
                        <wp:posOffset>1176655</wp:posOffset>
                      </wp:positionH>
                      <wp:positionV relativeFrom="paragraph">
                        <wp:posOffset>130175</wp:posOffset>
                      </wp:positionV>
                      <wp:extent cx="605790" cy="516890"/>
                      <wp:effectExtent l="0" t="0" r="0" b="0"/>
                      <wp:wrapNone/>
                      <wp:docPr id="101" name="矩形 101"/>
                      <wp:cNvGraphicFramePr/>
                      <a:graphic xmlns:a="http://schemas.openxmlformats.org/drawingml/2006/main">
                        <a:graphicData uri="http://schemas.microsoft.com/office/word/2010/wordprocessingShape">
                          <wps:wsp>
                            <wps:cNvSpPr/>
                            <wps:spPr>
                              <a:xfrm>
                                <a:off x="2520315" y="1772920"/>
                                <a:ext cx="605790" cy="516890"/>
                              </a:xfrm>
                              <a:prstGeom prst="rect">
                                <a:avLst/>
                              </a:prstGeom>
                              <a:noFill/>
                              <a:ln>
                                <a:noFill/>
                              </a:ln>
                            </wps:spPr>
                            <wps:txbx>
                              <w:txbxContent>
                                <w:p>
                                  <w:pPr>
                                    <w:pStyle w:val="2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108</w:t>
                                  </w:r>
                                </w:p>
                                <w:p>
                                  <w:pPr>
                                    <w:pStyle w:val="20"/>
                                    <w:jc w:val="center"/>
                                    <w:rPr>
                                      <w:rFonts w:hint="default"/>
                                      <w:lang w:val="en-US"/>
                                    </w:rPr>
                                  </w:pPr>
                                  <w:r>
                                    <w:rPr>
                                      <w:rFonts w:hint="eastAsia" w:ascii="Times New Roman" w:hAnsi="Times New Roman" w:eastAsia="宋体"/>
                                      <w:kern w:val="2"/>
                                      <w:sz w:val="21"/>
                                      <w:szCs w:val="21"/>
                                      <w:lang w:val="en-US" w:eastAsia="zh-CN"/>
                                    </w:rPr>
                                    <w:t>用水量</w:t>
                                  </w:r>
                                </w:p>
                              </w:txbxContent>
                            </wps:txbx>
                            <wps:bodyPr upright="1"/>
                          </wps:wsp>
                        </a:graphicData>
                      </a:graphic>
                    </wp:anchor>
                  </w:drawing>
                </mc:Choice>
                <mc:Fallback>
                  <w:pict>
                    <v:rect id="_x0000_s1026" o:spid="_x0000_s1026" o:spt="1" style="position:absolute;left:0pt;margin-left:92.65pt;margin-top:10.25pt;height:40.7pt;width:47.7pt;z-index:251668480;mso-width-relative:page;mso-height-relative:page;" filled="f" stroked="f" coordsize="21600,21600" o:gfxdata="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3&#10;7x0t2gAAAAoBAAAPAAAAAAAAAAEAIAAAACIAAABkcnMvZG93bnJldi54bWxQSwECFAAUAAAACACH&#10;TuJA2ZiQULABAABQAwAADgAAAAAAAAABACAAAAApAQAAZHJzL2Uyb0RvYy54bWxQSwUGAAAAAAYA&#10;BgBZAQAASwUAAAAA&#10;">
                      <v:fill on="f" focussize="0,0"/>
                      <v:stroke on="f"/>
                      <v:imagedata o:title=""/>
                      <o:lock v:ext="edit" aspectratio="f"/>
                      <v:textbox>
                        <w:txbxContent>
                          <w:p>
                            <w:pPr>
                              <w:pStyle w:val="2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108</w:t>
                            </w:r>
                          </w:p>
                          <w:p>
                            <w:pPr>
                              <w:pStyle w:val="20"/>
                              <w:jc w:val="center"/>
                              <w:rPr>
                                <w:rFonts w:hint="default"/>
                                <w:lang w:val="en-US"/>
                              </w:rPr>
                            </w:pPr>
                            <w:r>
                              <w:rPr>
                                <w:rFonts w:hint="eastAsia" w:ascii="Times New Roman" w:hAnsi="Times New Roman" w:eastAsia="宋体"/>
                                <w:kern w:val="2"/>
                                <w:sz w:val="21"/>
                                <w:szCs w:val="21"/>
                                <w:lang w:val="en-US" w:eastAsia="zh-CN"/>
                              </w:rPr>
                              <w:t>用水量</w:t>
                            </w:r>
                          </w:p>
                        </w:txbxContent>
                      </v:textbox>
                    </v:rect>
                  </w:pict>
                </mc:Fallback>
              </mc:AlternateContent>
            </w:r>
            <w:r>
              <w:rPr>
                <w:rFonts w:hint="default"/>
                <w:sz w:val="21"/>
              </w:rPr>
              <mc:AlternateContent>
                <mc:Choice Requires="wps">
                  <w:drawing>
                    <wp:anchor distT="0" distB="0" distL="114300" distR="114300" simplePos="0" relativeHeight="251665408" behindDoc="0" locked="0" layoutInCell="1" allowOverlap="1">
                      <wp:simplePos x="0" y="0"/>
                      <wp:positionH relativeFrom="column">
                        <wp:posOffset>2397125</wp:posOffset>
                      </wp:positionH>
                      <wp:positionV relativeFrom="paragraph">
                        <wp:posOffset>130175</wp:posOffset>
                      </wp:positionV>
                      <wp:extent cx="612775" cy="477520"/>
                      <wp:effectExtent l="0" t="0" r="0" b="0"/>
                      <wp:wrapNone/>
                      <wp:docPr id="95" name="矩形 95"/>
                      <wp:cNvGraphicFramePr/>
                      <a:graphic xmlns:a="http://schemas.openxmlformats.org/drawingml/2006/main">
                        <a:graphicData uri="http://schemas.microsoft.com/office/word/2010/wordprocessingShape">
                          <wps:wsp>
                            <wps:cNvSpPr/>
                            <wps:spPr>
                              <a:xfrm>
                                <a:off x="3678555" y="1800860"/>
                                <a:ext cx="612775" cy="477520"/>
                              </a:xfrm>
                              <a:prstGeom prst="rect">
                                <a:avLst/>
                              </a:prstGeom>
                              <a:noFill/>
                              <a:ln>
                                <a:noFill/>
                              </a:ln>
                            </wps:spPr>
                            <wps:txbx>
                              <w:txbxContent>
                                <w:p>
                                  <w:pPr>
                                    <w:pStyle w:val="2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86.4</w:t>
                                  </w:r>
                                </w:p>
                                <w:p>
                                  <w:pPr>
                                    <w:pStyle w:val="20"/>
                                    <w:jc w:val="center"/>
                                    <w:rPr>
                                      <w:rFonts w:hint="default" w:eastAsia="黑体"/>
                                      <w:lang w:val="en-US" w:eastAsia="zh-CN"/>
                                    </w:rPr>
                                  </w:pPr>
                                  <w:r>
                                    <w:rPr>
                                      <w:rFonts w:hint="eastAsia" w:ascii="Times New Roman" w:hAnsi="Times New Roman" w:eastAsia="宋体"/>
                                      <w:kern w:val="2"/>
                                      <w:sz w:val="21"/>
                                      <w:szCs w:val="21"/>
                                      <w:lang w:val="en-US" w:eastAsia="zh-CN"/>
                                    </w:rPr>
                                    <w:t>排水量</w:t>
                                  </w:r>
                                </w:p>
                              </w:txbxContent>
                            </wps:txbx>
                            <wps:bodyPr upright="1"/>
                          </wps:wsp>
                        </a:graphicData>
                      </a:graphic>
                    </wp:anchor>
                  </w:drawing>
                </mc:Choice>
                <mc:Fallback>
                  <w:pict>
                    <v:rect id="_x0000_s1026" o:spid="_x0000_s1026" o:spt="1" style="position:absolute;left:0pt;margin-left:188.75pt;margin-top:10.25pt;height:37.6pt;width:48.25pt;z-index:251665408;mso-width-relative:page;mso-height-relative:page;" filled="f" stroked="f" coordsize="21600,21600" o:gfxdata="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3QU&#10;w9sAAAAJAQAADwAAAAAAAAABACAAAAAiAAAAZHJzL2Rvd25yZXYueG1sUEsBAhQAFAAAAAgAh07i&#10;QCvqpr+tAQAATgMAAA4AAAAAAAAAAQAgAAAAKgEAAGRycy9lMm9Eb2MueG1sUEsFBgAAAAAGAAYA&#10;WQEAAEkFAAAAAA==&#10;">
                      <v:fill on="f" focussize="0,0"/>
                      <v:stroke on="f"/>
                      <v:imagedata o:title=""/>
                      <o:lock v:ext="edit" aspectratio="f"/>
                      <v:textbox>
                        <w:txbxContent>
                          <w:p>
                            <w:pPr>
                              <w:pStyle w:val="20"/>
                              <w:jc w:val="center"/>
                              <w:rPr>
                                <w:rFonts w:hint="eastAsia" w:ascii="Times New Roman" w:hAnsi="Times New Roman" w:eastAsia="宋体"/>
                                <w:kern w:val="2"/>
                                <w:sz w:val="21"/>
                                <w:szCs w:val="21"/>
                                <w:lang w:val="en-US" w:eastAsia="zh-CN"/>
                              </w:rPr>
                            </w:pPr>
                            <w:r>
                              <w:rPr>
                                <w:rFonts w:hint="eastAsia" w:ascii="Times New Roman" w:hAnsi="Times New Roman" w:eastAsia="宋体"/>
                                <w:kern w:val="2"/>
                                <w:sz w:val="21"/>
                                <w:szCs w:val="21"/>
                                <w:lang w:val="en-US" w:eastAsia="zh-CN"/>
                              </w:rPr>
                              <w:t>86.4</w:t>
                            </w:r>
                          </w:p>
                          <w:p>
                            <w:pPr>
                              <w:pStyle w:val="20"/>
                              <w:jc w:val="center"/>
                              <w:rPr>
                                <w:rFonts w:hint="default" w:eastAsia="黑体"/>
                                <w:lang w:val="en-US" w:eastAsia="zh-CN"/>
                              </w:rPr>
                            </w:pPr>
                            <w:r>
                              <w:rPr>
                                <w:rFonts w:hint="eastAsia" w:ascii="Times New Roman" w:hAnsi="Times New Roman" w:eastAsia="宋体"/>
                                <w:kern w:val="2"/>
                                <w:sz w:val="21"/>
                                <w:szCs w:val="21"/>
                                <w:lang w:val="en-US" w:eastAsia="zh-CN"/>
                              </w:rPr>
                              <w:t>排水量</w:t>
                            </w:r>
                          </w:p>
                        </w:txbxContent>
                      </v:textbox>
                    </v:rect>
                  </w:pict>
                </mc:Fallback>
              </mc:AlternateContent>
            </w:r>
            <w:r>
              <w:rPr>
                <w:rFonts w:hint="default"/>
                <w:sz w:val="21"/>
              </w:rPr>
              <mc:AlternateContent>
                <mc:Choice Requires="wps">
                  <w:drawing>
                    <wp:anchor distT="0" distB="0" distL="114300" distR="114300" simplePos="0" relativeHeight="251676672" behindDoc="0" locked="0" layoutInCell="1" allowOverlap="1">
                      <wp:simplePos x="0" y="0"/>
                      <wp:positionH relativeFrom="column">
                        <wp:posOffset>902970</wp:posOffset>
                      </wp:positionH>
                      <wp:positionV relativeFrom="paragraph">
                        <wp:posOffset>63500</wp:posOffset>
                      </wp:positionV>
                      <wp:extent cx="391795" cy="6350"/>
                      <wp:effectExtent l="0" t="33020" r="8255" b="36830"/>
                      <wp:wrapNone/>
                      <wp:docPr id="26" name="直接箭头连接符 26"/>
                      <wp:cNvGraphicFramePr/>
                      <a:graphic xmlns:a="http://schemas.openxmlformats.org/drawingml/2006/main">
                        <a:graphicData uri="http://schemas.microsoft.com/office/word/2010/wordprocessingShape">
                          <wps:wsp>
                            <wps:cNvCnPr/>
                            <wps:spPr>
                              <a:xfrm>
                                <a:off x="2207260" y="1750695"/>
                                <a:ext cx="391795" cy="635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71.1pt;margin-top:5pt;height:0.5pt;width:30.85pt;z-index:251676672;mso-width-relative:page;mso-height-relative:page;" filled="f" stroked="t" coordsize="21600,21600" o:gfxdata="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oTsDa2AAAAAkBAAAPAAAA&#10;AAAAAAEAIAAAACIAAABkcnMvZG93bnJldi54bWxQSwECFAAUAAAACACHTuJAS/93lxUCAAAABAAA&#10;DgAAAAAAAAABACAAAAAnAQAAZHJzL2Uyb0RvYy54bWxQSwUGAAAAAAYABgBZAQAArgUAAAAA&#10;">
                      <v:fill on="f" focussize="0,0"/>
                      <v:stroke color="#000000" joinstyle="round" endarrow="block"/>
                      <v:imagedata o:title=""/>
                      <o:lock v:ext="edit" aspectratio="f"/>
                    </v:shape>
                  </w:pict>
                </mc:Fallback>
              </mc:AlternateContent>
            </w:r>
            <w:r>
              <w:rPr>
                <w:rFonts w:hint="default"/>
                <w:sz w:val="21"/>
              </w:rPr>
              <mc:AlternateContent>
                <mc:Choice Requires="wps">
                  <w:drawing>
                    <wp:anchor distT="0" distB="0" distL="114300" distR="114300" simplePos="0" relativeHeight="251666432" behindDoc="0" locked="0" layoutInCell="1" allowOverlap="1">
                      <wp:simplePos x="0" y="0"/>
                      <wp:positionH relativeFrom="column">
                        <wp:posOffset>1992630</wp:posOffset>
                      </wp:positionH>
                      <wp:positionV relativeFrom="paragraph">
                        <wp:posOffset>121285</wp:posOffset>
                      </wp:positionV>
                      <wp:extent cx="192405" cy="88265"/>
                      <wp:effectExtent l="1905" t="2540" r="15240" b="4445"/>
                      <wp:wrapNone/>
                      <wp:docPr id="97" name="直接箭头连接符 97"/>
                      <wp:cNvGraphicFramePr/>
                      <a:graphic xmlns:a="http://schemas.openxmlformats.org/drawingml/2006/main">
                        <a:graphicData uri="http://schemas.microsoft.com/office/word/2010/wordprocessingShape">
                          <wps:wsp>
                            <wps:cNvCnPr/>
                            <wps:spPr>
                              <a:xfrm flipV="1">
                                <a:off x="3296920" y="1808480"/>
                                <a:ext cx="192405" cy="88265"/>
                              </a:xfrm>
                              <a:prstGeom prst="straightConnector1">
                                <a:avLst/>
                              </a:prstGeom>
                              <a:ln w="9525" cap="flat" cmpd="sng">
                                <a:solidFill>
                                  <a:srgbClr val="000000"/>
                                </a:solidFill>
                                <a:prstDash val="dash"/>
                                <a:headEnd type="none" w="med" len="med"/>
                                <a:tailEnd type="triangle" w="med" len="med"/>
                              </a:ln>
                            </wps:spPr>
                            <wps:bodyPr/>
                          </wps:wsp>
                        </a:graphicData>
                      </a:graphic>
                    </wp:anchor>
                  </w:drawing>
                </mc:Choice>
                <mc:Fallback>
                  <w:pict>
                    <v:shape id="_x0000_s1026" o:spid="_x0000_s1026" o:spt="32" type="#_x0000_t32" style="position:absolute;left:0pt;flip:y;margin-left:156.9pt;margin-top:9.55pt;height:6.95pt;width:15.15pt;z-index:251666432;mso-width-relative:page;mso-height-relative:page;" filled="f" stroked="t" coordsize="21600,21600" o:gfxdata="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IprfA1AAAAAkBAAAP&#10;AAAAAAAAAAEAIAAAACIAAABkcnMvZG93bnJldi54bWxQSwECFAAUAAAACACHTuJAVOoJGxwCAAAK&#10;BAAADgAAAAAAAAABACAAAAAjAQAAZHJzL2Uyb0RvYy54bWxQSwUGAAAAAAYABgBZAQAAsQUAAAAA&#10;">
                      <v:fill on="f" focussize="0,0"/>
                      <v:stroke color="#000000" joinstyle="round" dashstyle="dash" endarrow="block"/>
                      <v:imagedata o:title=""/>
                      <o:lock v:ext="edit" aspectratio="f"/>
                    </v:shape>
                  </w:pict>
                </mc:Fallback>
              </mc:AlternateContent>
            </w:r>
          </w:p>
          <w:p>
            <w:pPr>
              <w:pStyle w:val="20"/>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1"/>
                <w:szCs w:val="21"/>
                <w:lang w:val="en-US" w:eastAsia="zh-CN" w:bidi="ar"/>
                <w14:textFill>
                  <w14:solidFill>
                    <w14:schemeClr w14:val="tx1"/>
                  </w14:solidFill>
                </w14:textFill>
              </w:rPr>
            </w:pPr>
            <w:r>
              <w:rPr>
                <w:rFonts w:hint="default"/>
                <w:sz w:val="21"/>
              </w:rPr>
              <mc:AlternateContent>
                <mc:Choice Requires="wps">
                  <w:drawing>
                    <wp:anchor distT="0" distB="0" distL="114300" distR="114300" simplePos="0" relativeHeight="251669504" behindDoc="0" locked="0" layoutInCell="1" allowOverlap="1">
                      <wp:simplePos x="0" y="0"/>
                      <wp:positionH relativeFrom="column">
                        <wp:posOffset>2943860</wp:posOffset>
                      </wp:positionH>
                      <wp:positionV relativeFrom="paragraph">
                        <wp:posOffset>52070</wp:posOffset>
                      </wp:positionV>
                      <wp:extent cx="1282700" cy="280035"/>
                      <wp:effectExtent l="5080" t="4445" r="7620" b="20320"/>
                      <wp:wrapNone/>
                      <wp:docPr id="41" name="矩形 32"/>
                      <wp:cNvGraphicFramePr/>
                      <a:graphic xmlns:a="http://schemas.openxmlformats.org/drawingml/2006/main">
                        <a:graphicData uri="http://schemas.microsoft.com/office/word/2010/wordprocessingShape">
                          <wps:wsp>
                            <wps:cNvSpPr/>
                            <wps:spPr>
                              <a:xfrm>
                                <a:off x="4157980" y="1915160"/>
                                <a:ext cx="1282700" cy="280035"/>
                              </a:xfrm>
                              <a:prstGeom prst="rect">
                                <a:avLst/>
                              </a:prstGeom>
                              <a:noFill/>
                              <a:ln w="9525" cap="flat" cmpd="sng">
                                <a:solidFill>
                                  <a:srgbClr val="000000"/>
                                </a:solidFill>
                                <a:prstDash val="solid"/>
                                <a:miter/>
                                <a:headEnd type="none" w="med" len="med"/>
                                <a:tailEnd type="none" w="med" len="med"/>
                              </a:ln>
                            </wps:spPr>
                            <wps:txbx>
                              <w:txbxContent>
                                <w:p>
                                  <w:pPr>
                                    <w:pStyle w:val="20"/>
                                    <w:jc w:val="center"/>
                                  </w:pPr>
                                  <w:r>
                                    <w:rPr>
                                      <w:rFonts w:ascii="Times New Roman" w:hAnsi="Times New Roman" w:eastAsia="宋体"/>
                                      <w:kern w:val="2"/>
                                      <w:sz w:val="21"/>
                                      <w:szCs w:val="21"/>
                                    </w:rPr>
                                    <w:t>排入园区下水管网</w:t>
                                  </w:r>
                                </w:p>
                              </w:txbxContent>
                            </wps:txbx>
                            <wps:bodyPr upright="1"/>
                          </wps:wsp>
                        </a:graphicData>
                      </a:graphic>
                    </wp:anchor>
                  </w:drawing>
                </mc:Choice>
                <mc:Fallback>
                  <w:pict>
                    <v:rect id="矩形 32" o:spid="_x0000_s1026" o:spt="1" style="position:absolute;left:0pt;margin-left:231.8pt;margin-top:4.1pt;height:22.05pt;width:101pt;z-index:251669504;mso-width-relative:page;mso-height-relative:page;" filled="f" stroked="t" coordsize="21600,21600" o:gfxdata="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N54PNYAAAAIAQAADwAAAAAAAAABACAAAAAiAAAA&#10;ZHJzL2Rvd25yZXYueG1sUEsBAhQAFAAAAAgAh07iQAu01LgJAgAADgQAAA4AAAAAAAAAAQAgAAAA&#10;JQEAAGRycy9lMm9Eb2MueG1sUEsFBgAAAAAGAAYAWQEAAKAFAAAAAA==&#10;">
                      <v:fill on="f" focussize="0,0"/>
                      <v:stroke color="#000000" joinstyle="miter"/>
                      <v:imagedata o:title=""/>
                      <o:lock v:ext="edit" aspectratio="f"/>
                      <v:textbox>
                        <w:txbxContent>
                          <w:p>
                            <w:pPr>
                              <w:pStyle w:val="20"/>
                              <w:jc w:val="center"/>
                            </w:pPr>
                            <w:r>
                              <w:rPr>
                                <w:rFonts w:ascii="Times New Roman" w:hAnsi="Times New Roman" w:eastAsia="宋体"/>
                                <w:kern w:val="2"/>
                                <w:sz w:val="21"/>
                                <w:szCs w:val="21"/>
                              </w:rPr>
                              <w:t>排入园区下水管网</w:t>
                            </w:r>
                          </w:p>
                        </w:txbxContent>
                      </v:textbox>
                    </v:rect>
                  </w:pict>
                </mc:Fallback>
              </mc:AlternateContent>
            </w:r>
            <w:r>
              <w:rPr>
                <w:rFonts w:hint="default"/>
                <w:sz w:val="21"/>
              </w:rPr>
              <mc:AlternateContent>
                <mc:Choice Requires="wps">
                  <w:drawing>
                    <wp:anchor distT="0" distB="0" distL="114300" distR="114300" simplePos="0" relativeHeight="251664384" behindDoc="0" locked="0" layoutInCell="1" allowOverlap="1">
                      <wp:simplePos x="0" y="0"/>
                      <wp:positionH relativeFrom="column">
                        <wp:posOffset>2475865</wp:posOffset>
                      </wp:positionH>
                      <wp:positionV relativeFrom="paragraph">
                        <wp:posOffset>172720</wp:posOffset>
                      </wp:positionV>
                      <wp:extent cx="454660" cy="3175"/>
                      <wp:effectExtent l="0" t="37465" r="2540" b="35560"/>
                      <wp:wrapNone/>
                      <wp:docPr id="94" name="直接箭头连接符 94"/>
                      <wp:cNvGraphicFramePr/>
                      <a:graphic xmlns:a="http://schemas.openxmlformats.org/drawingml/2006/main">
                        <a:graphicData uri="http://schemas.microsoft.com/office/word/2010/wordprocessingShape">
                          <wps:wsp>
                            <wps:cNvCnPr/>
                            <wps:spPr>
                              <a:xfrm flipV="1">
                                <a:off x="3780155" y="2061210"/>
                                <a:ext cx="454660" cy="317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94.95pt;margin-top:13.6pt;height:0.25pt;width:35.8pt;z-index:251664384;mso-width-relative:page;mso-height-relative:page;" filled="f" stroked="t" coordsize="21600,21600" o:gfxdata="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mhq7Y2QAA&#10;AAkBAAAPAAAAAAAAAAEAIAAAACIAAABkcnMvZG93bnJldi54bWxQSwECFAAUAAAACACHTuJAa/MR&#10;jx0CAAAKBAAADgAAAAAAAAABACAAAAAoAQAAZHJzL2Uyb0RvYy54bWxQSwUGAAAAAAYABgBZAQAA&#10;twUAAAAA&#10;">
                      <v:fill on="f" focussize="0,0"/>
                      <v:stroke color="#000000" joinstyle="round" endarrow="block"/>
                      <v:imagedata o:title=""/>
                      <o:lock v:ext="edit" aspectratio="f"/>
                    </v:shape>
                  </w:pict>
                </mc:Fallback>
              </mc:AlternateContent>
            </w:r>
            <w:r>
              <w:rPr>
                <w:rFonts w:hint="default"/>
                <w:sz w:val="21"/>
              </w:rPr>
              <mc:AlternateContent>
                <mc:Choice Requires="wps">
                  <w:drawing>
                    <wp:anchor distT="0" distB="0" distL="114300" distR="114300" simplePos="0" relativeHeight="251663360" behindDoc="0" locked="0" layoutInCell="1" allowOverlap="1">
                      <wp:simplePos x="0" y="0"/>
                      <wp:positionH relativeFrom="column">
                        <wp:posOffset>1720215</wp:posOffset>
                      </wp:positionH>
                      <wp:positionV relativeFrom="paragraph">
                        <wp:posOffset>25400</wp:posOffset>
                      </wp:positionV>
                      <wp:extent cx="757555" cy="265430"/>
                      <wp:effectExtent l="4445" t="4445" r="19050" b="15875"/>
                      <wp:wrapNone/>
                      <wp:docPr id="92" name="矩形 92"/>
                      <wp:cNvGraphicFramePr/>
                      <a:graphic xmlns:a="http://schemas.openxmlformats.org/drawingml/2006/main">
                        <a:graphicData uri="http://schemas.microsoft.com/office/word/2010/wordprocessingShape">
                          <wps:wsp>
                            <wps:cNvSpPr/>
                            <wps:spPr>
                              <a:xfrm>
                                <a:off x="3024505" y="1910715"/>
                                <a:ext cx="757555" cy="265430"/>
                              </a:xfrm>
                              <a:prstGeom prst="rect">
                                <a:avLst/>
                              </a:prstGeom>
                              <a:noFill/>
                              <a:ln w="9525" cap="flat" cmpd="sng">
                                <a:solidFill>
                                  <a:srgbClr val="000000"/>
                                </a:solidFill>
                                <a:prstDash val="solid"/>
                                <a:miter/>
                                <a:headEnd type="none" w="med" len="med"/>
                                <a:tailEnd type="none" w="med" len="med"/>
                              </a:ln>
                            </wps:spPr>
                            <wps:txbx>
                              <w:txbxContent>
                                <w:p>
                                  <w:pPr>
                                    <w:pStyle w:val="20"/>
                                    <w:jc w:val="center"/>
                                  </w:pPr>
                                  <w:r>
                                    <w:rPr>
                                      <w:rFonts w:ascii="Times New Roman" w:hAnsi="Times New Roman" w:eastAsia="宋体"/>
                                      <w:kern w:val="2"/>
                                      <w:sz w:val="21"/>
                                      <w:szCs w:val="21"/>
                                    </w:rPr>
                                    <w:t>生活用水</w:t>
                                  </w:r>
                                </w:p>
                              </w:txbxContent>
                            </wps:txbx>
                            <wps:bodyPr upright="1"/>
                          </wps:wsp>
                        </a:graphicData>
                      </a:graphic>
                    </wp:anchor>
                  </w:drawing>
                </mc:Choice>
                <mc:Fallback>
                  <w:pict>
                    <v:rect id="_x0000_s1026" o:spid="_x0000_s1026" o:spt="1" style="position:absolute;left:0pt;margin-left:135.45pt;margin-top:2pt;height:20.9pt;width:59.65pt;z-index:251663360;mso-width-relative:page;mso-height-relative:page;" filled="f" stroked="t" coordsize="21600,21600" o:gfxdata="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rEiAdYAAAAIAQAADwAAAAAAAAABACAAAAAiAAAA&#10;ZHJzL2Rvd25yZXYueG1sUEsBAhQAFAAAAAgAh07iQDLFwQQJAgAADQQAAA4AAAAAAAAAAQAgAAAA&#10;JQEAAGRycy9lMm9Eb2MueG1sUEsFBgAAAAAGAAYAWQEAAKAFAAAAAA==&#10;">
                      <v:fill on="f" focussize="0,0"/>
                      <v:stroke color="#000000" joinstyle="miter"/>
                      <v:imagedata o:title=""/>
                      <o:lock v:ext="edit" aspectratio="f"/>
                      <v:textbox>
                        <w:txbxContent>
                          <w:p>
                            <w:pPr>
                              <w:pStyle w:val="20"/>
                              <w:jc w:val="center"/>
                            </w:pPr>
                            <w:r>
                              <w:rPr>
                                <w:rFonts w:ascii="Times New Roman" w:hAnsi="Times New Roman" w:eastAsia="宋体"/>
                                <w:kern w:val="2"/>
                                <w:sz w:val="21"/>
                                <w:szCs w:val="21"/>
                              </w:rPr>
                              <w:t>生活用水</w:t>
                            </w:r>
                          </w:p>
                        </w:txbxContent>
                      </v:textbox>
                    </v:rect>
                  </w:pict>
                </mc:Fallback>
              </mc:AlternateContent>
            </w:r>
            <w:r>
              <w:rPr>
                <w:rFonts w:hint="default"/>
                <w:sz w:val="21"/>
              </w:rPr>
              <mc:AlternateContent>
                <mc:Choice Requires="wps">
                  <w:drawing>
                    <wp:anchor distT="0" distB="0" distL="114300" distR="114300" simplePos="0" relativeHeight="251662336" behindDoc="0" locked="0" layoutInCell="1" allowOverlap="1">
                      <wp:simplePos x="0" y="0"/>
                      <wp:positionH relativeFrom="column">
                        <wp:posOffset>1289685</wp:posOffset>
                      </wp:positionH>
                      <wp:positionV relativeFrom="paragraph">
                        <wp:posOffset>157480</wp:posOffset>
                      </wp:positionV>
                      <wp:extent cx="417830" cy="5715"/>
                      <wp:effectExtent l="0" t="33655" r="1270" b="36830"/>
                      <wp:wrapNone/>
                      <wp:docPr id="91" name="直接箭头连接符 91"/>
                      <wp:cNvGraphicFramePr/>
                      <a:graphic xmlns:a="http://schemas.openxmlformats.org/drawingml/2006/main">
                        <a:graphicData uri="http://schemas.microsoft.com/office/word/2010/wordprocessingShape">
                          <wps:wsp>
                            <wps:cNvCnPr/>
                            <wps:spPr>
                              <a:xfrm>
                                <a:off x="2593975" y="2042795"/>
                                <a:ext cx="417830" cy="571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01.55pt;margin-top:12.4pt;height:0.45pt;width:32.9pt;z-index:251662336;mso-width-relative:page;mso-height-relative:page;" filled="f" stroked="t" coordsize="21600,21600" o:gfxdata="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FhNCrZAAAACQEAAA8A&#10;AAAAAAAAAQAgAAAAIgAAAGRycy9kb3ducmV2LnhtbFBLAQIUABQAAAAIAIdO4kCzbAMbFgIAAAAE&#10;AAAOAAAAAAAAAAEAIAAAACgBAABkcnMvZTJvRG9jLnhtbFBLBQYAAAAABgAGAFkBAACwBQAAAAA=&#10;">
                      <v:fill on="f" focussize="0,0"/>
                      <v:stroke color="#000000" joinstyle="round" endarrow="block"/>
                      <v:imagedata o:title=""/>
                      <o:lock v:ext="edit" aspectratio="f"/>
                    </v:shape>
                  </w:pict>
                </mc:Fallback>
              </mc:AlternateContent>
            </w:r>
          </w:p>
          <w:p>
            <w:pPr>
              <w:pStyle w:val="20"/>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1"/>
                <w:szCs w:val="21"/>
                <w:lang w:val="en-US" w:eastAsia="zh-CN" w:bidi="ar"/>
                <w14:textFill>
                  <w14:solidFill>
                    <w14:schemeClr w14:val="tx1"/>
                  </w14:solidFill>
                </w14:textFill>
              </w:rPr>
            </w:pPr>
          </w:p>
          <w:p>
            <w:pPr>
              <w:pStyle w:val="20"/>
              <w:keepNext w:val="0"/>
              <w:keepLines w:val="0"/>
              <w:widowControl/>
              <w:suppressLineNumbers w:val="0"/>
              <w:spacing w:before="0" w:beforeAutospacing="0" w:after="0" w:afterAutospacing="0"/>
              <w:ind w:left="0" w:right="0"/>
              <w:jc w:val="center"/>
              <w:rPr>
                <w:rFonts w:hint="default"/>
                <w:color w:val="FF0000"/>
              </w:rPr>
            </w:pPr>
            <w:r>
              <w:rPr>
                <w:rFonts w:hint="eastAsia" w:ascii="宋体" w:hAnsi="宋体" w:eastAsia="宋体" w:cs="宋体"/>
                <w:b/>
                <w:bCs/>
                <w:color w:val="FF0000"/>
                <w:kern w:val="0"/>
                <w:sz w:val="21"/>
                <w:szCs w:val="21"/>
                <w:lang w:val="en-US" w:eastAsia="zh-CN" w:bidi="ar"/>
              </w:rPr>
              <w:t>图</w:t>
            </w:r>
            <w:r>
              <w:rPr>
                <w:rFonts w:hint="default" w:ascii="Times New Roman" w:hAnsi="Times New Roman" w:eastAsia="宋体" w:cs="Times New Roman"/>
                <w:b/>
                <w:bCs/>
                <w:color w:val="FF0000"/>
                <w:kern w:val="0"/>
                <w:sz w:val="21"/>
                <w:szCs w:val="21"/>
                <w:lang w:val="en-US" w:eastAsia="zh-CN" w:bidi="ar"/>
              </w:rPr>
              <w:t>2-</w:t>
            </w:r>
            <w:r>
              <w:rPr>
                <w:rFonts w:hint="eastAsia" w:ascii="Times New Roman" w:hAnsi="Times New Roman" w:eastAsia="宋体" w:cs="Times New Roman"/>
                <w:b/>
                <w:bCs/>
                <w:color w:val="FF0000"/>
                <w:kern w:val="0"/>
                <w:sz w:val="21"/>
                <w:szCs w:val="21"/>
                <w:lang w:val="en-US" w:eastAsia="zh-CN" w:bidi="ar"/>
              </w:rPr>
              <w:t>1</w:t>
            </w:r>
            <w:r>
              <w:rPr>
                <w:rFonts w:hint="default" w:ascii="Times New Roman" w:hAnsi="Times New Roman" w:eastAsia="宋体" w:cs="Times New Roman"/>
                <w:b/>
                <w:bCs/>
                <w:color w:val="FF0000"/>
                <w:kern w:val="0"/>
                <w:sz w:val="21"/>
                <w:szCs w:val="21"/>
                <w:lang w:val="en-US" w:eastAsia="zh-CN" w:bidi="ar"/>
              </w:rPr>
              <w:t xml:space="preserve">  </w:t>
            </w:r>
            <w:r>
              <w:rPr>
                <w:rFonts w:hint="eastAsia" w:ascii="宋体" w:hAnsi="宋体" w:eastAsia="宋体" w:cs="宋体"/>
                <w:b/>
                <w:bCs/>
                <w:color w:val="FF0000"/>
                <w:kern w:val="0"/>
                <w:sz w:val="21"/>
                <w:szCs w:val="21"/>
                <w:lang w:val="en-US" w:eastAsia="zh-CN" w:bidi="ar"/>
              </w:rPr>
              <w:t>项目水平衡图</w:t>
            </w:r>
            <w:r>
              <w:rPr>
                <w:rFonts w:hint="eastAsia" w:eastAsia="宋体" w:cs="宋体"/>
                <w:b/>
                <w:bCs/>
                <w:color w:val="FF0000"/>
                <w:kern w:val="0"/>
                <w:sz w:val="21"/>
                <w:szCs w:val="21"/>
                <w:lang w:val="en-US" w:eastAsia="zh-CN" w:bidi="ar"/>
              </w:rPr>
              <w:t xml:space="preserve">  单位：</w:t>
            </w:r>
            <w:r>
              <w:rPr>
                <w:rFonts w:hint="default" w:ascii="Times New Roman" w:hAnsi="Times New Roman" w:eastAsia="宋体" w:cs="Times New Roman"/>
                <w:b/>
                <w:bCs/>
                <w:color w:val="FF0000"/>
                <w:kern w:val="0"/>
                <w:sz w:val="21"/>
                <w:szCs w:val="21"/>
                <w:lang w:val="en-US" w:eastAsia="zh-CN" w:bidi="ar"/>
              </w:rPr>
              <w:t>m</w:t>
            </w:r>
            <w:r>
              <w:rPr>
                <w:rFonts w:hint="default" w:ascii="Times New Roman" w:hAnsi="Times New Roman" w:eastAsia="宋体" w:cs="Times New Roman"/>
                <w:b/>
                <w:bCs/>
                <w:color w:val="FF0000"/>
                <w:kern w:val="0"/>
                <w:sz w:val="21"/>
                <w:szCs w:val="21"/>
                <w:vertAlign w:val="superscript"/>
                <w:lang w:val="en-US" w:eastAsia="zh-CN" w:bidi="ar"/>
              </w:rPr>
              <w:t>3</w:t>
            </w:r>
            <w:r>
              <w:rPr>
                <w:rFonts w:hint="default" w:ascii="Times New Roman" w:hAnsi="Times New Roman" w:eastAsia="宋体" w:cs="Times New Roman"/>
                <w:b/>
                <w:bCs/>
                <w:color w:val="FF0000"/>
                <w:kern w:val="0"/>
                <w:sz w:val="21"/>
                <w:szCs w:val="21"/>
                <w:lang w:val="en-US" w:eastAsia="zh-CN" w:bidi="ar"/>
              </w:rPr>
              <w:t>/a</w:t>
            </w:r>
          </w:p>
          <w:p>
            <w:pPr>
              <w:pStyle w:val="3"/>
              <w:pageBreakBefore w:val="0"/>
              <w:suppressLineNumbers w:val="0"/>
              <w:kinsoku/>
              <w:wordWrap/>
              <w:overflowPunct/>
              <w:autoSpaceDE/>
              <w:autoSpaceDN/>
              <w:bidi w:val="0"/>
              <w:adjustRightInd w:val="0"/>
              <w:snapToGrid w:val="0"/>
              <w:spacing w:before="0" w:beforeLines="0" w:after="0" w:afterLines="0"/>
              <w:ind w:left="0" w:right="0"/>
              <w:rPr>
                <w:rFonts w:hint="default" w:ascii="Times New Roman" w:hAnsi="Times New Roman" w:eastAsia="宋体" w:cs="Times New Roman"/>
                <w:color w:val="000000" w:themeColor="text1"/>
                <w:kern w:val="2"/>
                <w:szCs w:val="21"/>
                <w:lang w:val="en-US"/>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供</w:t>
            </w:r>
            <w:r>
              <w:rPr>
                <w:rFonts w:hint="eastAsia"/>
                <w:color w:val="000000" w:themeColor="text1"/>
                <w:lang w:val="en-US" w:eastAsia="zh-CN"/>
                <w14:textFill>
                  <w14:solidFill>
                    <w14:schemeClr w14:val="tx1"/>
                  </w14:solidFill>
                </w14:textFill>
              </w:rPr>
              <w:t>暖</w:t>
            </w:r>
            <w:bookmarkEnd w:id="9"/>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20" w:firstLineChars="200"/>
              <w:jc w:val="both"/>
              <w:textAlignment w:val="baseline"/>
              <w:rPr>
                <w:rFonts w:hint="eastAsia"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本项目</w:t>
            </w:r>
            <w:r>
              <w:rPr>
                <w:rFonts w:hint="eastAsia" w:cs="Times New Roman"/>
                <w:color w:val="000000" w:themeColor="text1"/>
                <w:kern w:val="2"/>
                <w:sz w:val="21"/>
                <w:szCs w:val="21"/>
                <w:vertAlign w:val="baseline"/>
                <w:lang w:val="en-US" w:eastAsia="zh-CN" w:bidi="ar"/>
                <w14:textFill>
                  <w14:solidFill>
                    <w14:schemeClr w14:val="tx1"/>
                  </w14:solidFill>
                </w14:textFill>
              </w:rPr>
              <w:t>冬季采用电采暖</w:t>
            </w:r>
            <w:r>
              <w:rPr>
                <w:rFonts w:hint="eastAsia"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w:t>
            </w:r>
          </w:p>
          <w:p>
            <w:pPr>
              <w:pStyle w:val="2"/>
              <w:pageBreakBefore w:val="0"/>
              <w:suppressLineNumbers w:val="0"/>
              <w:kinsoku/>
              <w:wordWrap/>
              <w:overflowPunct/>
              <w:autoSpaceDE/>
              <w:autoSpaceDN/>
              <w:bidi w:val="0"/>
              <w:adjustRightInd w:val="0"/>
              <w:snapToGrid w:val="0"/>
              <w:spacing w:before="0" w:beforeLines="0" w:after="0" w:afterLines="0"/>
              <w:ind w:left="0" w:right="0"/>
              <w:rPr>
                <w:rFonts w:hint="default"/>
                <w:color w:val="000000" w:themeColor="text1"/>
                <w14:textFill>
                  <w14:solidFill>
                    <w14:schemeClr w14:val="tx1"/>
                  </w14:solidFill>
                </w14:textFill>
              </w:rPr>
            </w:pPr>
            <w:bookmarkStart w:id="10" w:name="_Toc22630"/>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劳动定员及工作制度</w:t>
            </w:r>
            <w:bookmarkEnd w:id="10"/>
          </w:p>
          <w:p>
            <w:pPr>
              <w:pStyle w:val="34"/>
              <w:pageBreakBefore w:val="0"/>
              <w:widowControl/>
              <w:kinsoku/>
              <w:wordWrap/>
              <w:overflowPunct/>
              <w:topLinePunct/>
              <w:autoSpaceDE/>
              <w:autoSpaceDN/>
              <w:bidi w:val="0"/>
              <w:adjustRightInd w:val="0"/>
              <w:snapToGrid w:val="0"/>
              <w:spacing w:before="0" w:after="0" w:line="360" w:lineRule="auto"/>
              <w:ind w:lef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劳动定员：本项目</w:t>
            </w:r>
            <w:r>
              <w:rPr>
                <w:rFonts w:hint="eastAsia" w:cs="Times New Roman"/>
                <w:color w:val="000000" w:themeColor="text1"/>
                <w:kern w:val="2"/>
                <w:sz w:val="21"/>
                <w:szCs w:val="21"/>
                <w:lang w:val="en-US" w:eastAsia="zh-CN"/>
                <w14:textFill>
                  <w14:solidFill>
                    <w14:schemeClr w14:val="tx1"/>
                  </w14:solidFill>
                </w14:textFill>
              </w:rPr>
              <w:t>劳动定员6</w:t>
            </w:r>
            <w:r>
              <w:rPr>
                <w:rFonts w:hint="default" w:ascii="Times New Roman" w:hAnsi="Times New Roman" w:eastAsia="宋体" w:cs="Times New Roman"/>
                <w:color w:val="000000" w:themeColor="text1"/>
                <w:kern w:val="2"/>
                <w:sz w:val="21"/>
                <w:szCs w:val="21"/>
                <w14:textFill>
                  <w14:solidFill>
                    <w14:schemeClr w14:val="tx1"/>
                  </w14:solidFill>
                </w14:textFill>
              </w:rPr>
              <w:t>人，</w:t>
            </w:r>
            <w:r>
              <w:rPr>
                <w:rFonts w:hint="eastAsia" w:cs="Times New Roman"/>
                <w:color w:val="000000" w:themeColor="text1"/>
                <w:kern w:val="2"/>
                <w:sz w:val="21"/>
                <w:szCs w:val="21"/>
                <w:lang w:val="en-US" w:eastAsia="zh-CN"/>
                <w14:textFill>
                  <w14:solidFill>
                    <w14:schemeClr w14:val="tx1"/>
                  </w14:solidFill>
                </w14:textFill>
              </w:rPr>
              <w:t>项目区内不设食宿</w:t>
            </w:r>
            <w:r>
              <w:rPr>
                <w:rFonts w:hint="default" w:ascii="Times New Roman" w:hAnsi="Times New Roman" w:eastAsia="宋体" w:cs="Times New Roman"/>
                <w:color w:val="000000" w:themeColor="text1"/>
                <w:kern w:val="2"/>
                <w:sz w:val="21"/>
                <w:szCs w:val="21"/>
                <w14:textFill>
                  <w14:solidFill>
                    <w14:schemeClr w14:val="tx1"/>
                  </w14:solidFill>
                </w14:textFill>
              </w:rPr>
              <w:t>。</w:t>
            </w:r>
          </w:p>
          <w:p>
            <w:pPr>
              <w:pStyle w:val="34"/>
              <w:pageBreakBefore w:val="0"/>
              <w:widowControl/>
              <w:kinsoku/>
              <w:wordWrap/>
              <w:overflowPunct/>
              <w:topLinePunct/>
              <w:autoSpaceDE/>
              <w:autoSpaceDN/>
              <w:bidi w:val="0"/>
              <w:adjustRightInd w:val="0"/>
              <w:snapToGrid w:val="0"/>
              <w:spacing w:before="0" w:after="0" w:line="360" w:lineRule="auto"/>
              <w:ind w:left="0" w:firstLine="420" w:firstLineChars="200"/>
              <w:jc w:val="both"/>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工作制度：年运行天数</w:t>
            </w:r>
            <w:r>
              <w:rPr>
                <w:rFonts w:hint="eastAsia" w:cs="Times New Roman"/>
                <w:color w:val="000000" w:themeColor="text1"/>
                <w:kern w:val="2"/>
                <w:sz w:val="21"/>
                <w:szCs w:val="21"/>
                <w:lang w:val="en-US" w:eastAsia="zh-CN"/>
                <w14:textFill>
                  <w14:solidFill>
                    <w14:schemeClr w14:val="tx1"/>
                  </w14:solidFill>
                </w14:textFill>
              </w:rPr>
              <w:t>360</w:t>
            </w:r>
            <w:r>
              <w:rPr>
                <w:rFonts w:hint="default" w:ascii="Times New Roman" w:hAnsi="Times New Roman" w:eastAsia="宋体" w:cs="Times New Roman"/>
                <w:color w:val="000000" w:themeColor="text1"/>
                <w:kern w:val="2"/>
                <w:sz w:val="21"/>
                <w:szCs w:val="21"/>
                <w14:textFill>
                  <w14:solidFill>
                    <w14:schemeClr w14:val="tx1"/>
                  </w14:solidFill>
                </w14:textFill>
              </w:rPr>
              <w:t>天</w:t>
            </w:r>
            <w:r>
              <w:rPr>
                <w:rFonts w:hint="eastAsia" w:cs="Times New Roman"/>
                <w:color w:val="000000" w:themeColor="text1"/>
                <w:kern w:val="2"/>
                <w:sz w:val="21"/>
                <w:szCs w:val="21"/>
                <w:lang w:eastAsia="zh-CN"/>
                <w14:textFill>
                  <w14:solidFill>
                    <w14:schemeClr w14:val="tx1"/>
                  </w14:solidFill>
                </w14:textFill>
              </w:rPr>
              <w:t>，</w:t>
            </w:r>
            <w:r>
              <w:rPr>
                <w:rFonts w:hint="eastAsia" w:cs="Times New Roman"/>
                <w:color w:val="000000" w:themeColor="text1"/>
                <w:kern w:val="2"/>
                <w:sz w:val="21"/>
                <w:szCs w:val="21"/>
                <w:lang w:val="en-US" w:eastAsia="zh-CN"/>
                <w14:textFill>
                  <w14:solidFill>
                    <w14:schemeClr w14:val="tx1"/>
                  </w14:solidFill>
                </w14:textFill>
              </w:rPr>
              <w:t>采用</w:t>
            </w:r>
            <w:r>
              <w:rPr>
                <w:rFonts w:hint="eastAsia" w:cs="Times New Roman"/>
                <w:color w:val="000000" w:themeColor="text1"/>
                <w:kern w:val="2"/>
                <w:sz w:val="21"/>
                <w:szCs w:val="21"/>
                <w:lang w:eastAsia="zh-CN"/>
                <w14:textFill>
                  <w14:solidFill>
                    <w14:schemeClr w14:val="tx1"/>
                  </w14:solidFill>
                </w14:textFill>
              </w:rPr>
              <w:t>一班制，每班生产8小时。</w:t>
            </w:r>
          </w:p>
          <w:p>
            <w:pPr>
              <w:pStyle w:val="2"/>
              <w:pageBreakBefore w:val="0"/>
              <w:suppressLineNumbers w:val="0"/>
              <w:kinsoku/>
              <w:wordWrap/>
              <w:overflowPunct/>
              <w:autoSpaceDE/>
              <w:autoSpaceDN/>
              <w:bidi w:val="0"/>
              <w:adjustRightInd w:val="0"/>
              <w:snapToGrid w:val="0"/>
              <w:spacing w:before="0" w:beforeLines="0" w:after="0" w:afterLines="0"/>
              <w:ind w:left="0" w:right="0"/>
              <w:rPr>
                <w:rFonts w:hint="default"/>
                <w:color w:val="000000" w:themeColor="text1"/>
                <w14:textFill>
                  <w14:solidFill>
                    <w14:schemeClr w14:val="tx1"/>
                  </w14:solidFill>
                </w14:textFill>
              </w:rPr>
            </w:pPr>
            <w:bookmarkStart w:id="11" w:name="_Toc16146"/>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总平面布置</w:t>
            </w:r>
            <w:bookmarkEnd w:id="11"/>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20" w:firstLineChars="200"/>
              <w:contextualSpacing w:val="0"/>
              <w:jc w:val="both"/>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本项目</w:t>
            </w:r>
            <w:r>
              <w:rPr>
                <w:rFonts w:hint="eastAsia" w:cs="Times New Roman"/>
                <w:color w:val="000000" w:themeColor="text1"/>
                <w:kern w:val="2"/>
                <w:sz w:val="21"/>
                <w:szCs w:val="21"/>
                <w:lang w:val="en-US" w:eastAsia="zh-CN" w:bidi="ar"/>
                <w14:textFill>
                  <w14:solidFill>
                    <w14:schemeClr w14:val="tx1"/>
                  </w14:solidFill>
                </w14:textFill>
              </w:rPr>
              <w:t>周边均为生产企业，不存在环境敏感目标</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r>
              <w:rPr>
                <w:rFonts w:hint="eastAsia" w:cs="Times New Roman"/>
                <w:color w:val="000000" w:themeColor="text1"/>
                <w:kern w:val="2"/>
                <w:sz w:val="21"/>
                <w:szCs w:val="21"/>
                <w:lang w:val="en-US" w:eastAsia="zh-CN" w:bidi="ar"/>
                <w14:textFill>
                  <w14:solidFill>
                    <w14:schemeClr w14:val="tx1"/>
                  </w14:solidFill>
                </w14:textFill>
              </w:rPr>
              <w:t>项目区北侧为粉煤灰储备库，南侧为地磅房和门卫室，厂区出入口位于南侧。</w:t>
            </w:r>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20" w:firstLineChars="200"/>
              <w:contextualSpacing w:val="0"/>
              <w:jc w:val="both"/>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厂区布置紧密，工业线路短，运输方便，并符合节能、环保、防火、安全、卫生等要求；充分合理</w:t>
            </w:r>
            <w:r>
              <w:rPr>
                <w:rFonts w:hint="eastAsia" w:cs="Times New Roman"/>
                <w:color w:val="000000" w:themeColor="text1"/>
                <w:kern w:val="2"/>
                <w:sz w:val="21"/>
                <w:szCs w:val="21"/>
                <w:lang w:val="en-US" w:eastAsia="zh-CN" w:bidi="ar"/>
                <w14:textFill>
                  <w14:solidFill>
                    <w14:schemeClr w14:val="tx1"/>
                  </w14:solidFill>
                </w14:textFill>
              </w:rPr>
              <w:t>地</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利用公共设施，功能分区合理，动力负荷集中，工艺流程顺捷，生产管理方便；合理组织运输，缩短运输距离，便于相互联系，做到人流、物流各行其道，避免交叉等优点，厂区平面布置合理。项目区具体平面布置见附图</w:t>
            </w:r>
            <w:r>
              <w:rPr>
                <w:rFonts w:hint="eastAsia" w:cs="Times New Roman"/>
                <w:color w:val="000000" w:themeColor="text1"/>
                <w:kern w:val="2"/>
                <w:sz w:val="21"/>
                <w:szCs w:val="21"/>
                <w:lang w:val="en-US" w:eastAsia="zh-CN" w:bidi="ar"/>
                <w14:textFill>
                  <w14:solidFill>
                    <w14:schemeClr w14:val="tx1"/>
                  </w14:solidFill>
                </w14:textFill>
              </w:rPr>
              <w:t>7</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426" w:type="dxa"/>
            <w:tcBorders>
              <w:top w:val="single" w:color="auto" w:sz="8" w:space="0"/>
              <w:left w:val="single" w:color="auto" w:sz="8" w:space="0"/>
              <w:bottom w:val="single" w:color="auto" w:sz="8" w:space="0"/>
              <w:right w:val="single" w:color="auto" w:sz="4" w:space="0"/>
            </w:tcBorders>
            <w:shd w:val="clear" w:color="auto" w:fill="auto"/>
            <w:vAlign w:val="center"/>
          </w:tcPr>
          <w:p>
            <w:pPr>
              <w:keepNext w:val="0"/>
              <w:keepLines w:val="0"/>
              <w:suppressLineNumbers w:val="0"/>
              <w:tabs>
                <w:tab w:val="left" w:pos="1358"/>
              </w:tabs>
              <w:kinsoku/>
              <w:wordWrap/>
              <w:bidi w:val="0"/>
              <w:adjustRightInd/>
              <w:snapToGrid/>
              <w:spacing w:before="0" w:beforeAutospacing="0" w:after="0" w:afterAutospacing="0"/>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suppressLineNumbers w:val="0"/>
              <w:tabs>
                <w:tab w:val="left" w:pos="1358"/>
              </w:tabs>
              <w:kinsoku/>
              <w:wordWrap/>
              <w:bidi w:val="0"/>
              <w:adjustRightInd/>
              <w:snapToGrid/>
              <w:spacing w:before="0" w:beforeAutospacing="0" w:after="0" w:afterAutospacing="0"/>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suppressLineNumbers w:val="0"/>
              <w:tabs>
                <w:tab w:val="left" w:pos="1358"/>
              </w:tabs>
              <w:kinsoku/>
              <w:wordWrap/>
              <w:bidi w:val="0"/>
              <w:adjustRightInd/>
              <w:snapToGrid/>
              <w:spacing w:before="0" w:beforeAutospacing="0" w:after="0" w:afterAutospacing="0"/>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suppressLineNumbers w:val="0"/>
              <w:tabs>
                <w:tab w:val="left" w:pos="1358"/>
              </w:tabs>
              <w:kinsoku/>
              <w:wordWrap/>
              <w:bidi w:val="0"/>
              <w:adjustRightInd/>
              <w:snapToGrid/>
              <w:spacing w:before="0" w:beforeAutospacing="0" w:after="0" w:afterAutospacing="0"/>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suppressLineNumbers w:val="0"/>
              <w:tabs>
                <w:tab w:val="left" w:pos="1358"/>
              </w:tabs>
              <w:kinsoku/>
              <w:wordWrap/>
              <w:bidi w:val="0"/>
              <w:adjustRightInd/>
              <w:snapToGrid/>
              <w:spacing w:before="0" w:beforeAutospacing="0" w:after="0" w:afterAutospacing="0"/>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suppressLineNumbers w:val="0"/>
              <w:tabs>
                <w:tab w:val="left" w:pos="1358"/>
              </w:tabs>
              <w:kinsoku/>
              <w:wordWrap/>
              <w:bidi w:val="0"/>
              <w:adjustRightInd/>
              <w:snapToGrid/>
              <w:spacing w:before="0" w:beforeAutospacing="0" w:after="0" w:afterAutospacing="0"/>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suppressLineNumbers w:val="0"/>
              <w:tabs>
                <w:tab w:val="left" w:pos="1358"/>
              </w:tabs>
              <w:kinsoku/>
              <w:wordWrap/>
              <w:bidi w:val="0"/>
              <w:adjustRightInd/>
              <w:snapToGrid/>
              <w:spacing w:before="0" w:beforeAutospacing="0" w:after="0" w:afterAutospacing="0"/>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keepNext w:val="0"/>
              <w:keepLines w:val="0"/>
              <w:suppressLineNumbers w:val="0"/>
              <w:tabs>
                <w:tab w:val="left" w:pos="1358"/>
              </w:tabs>
              <w:kinsoku/>
              <w:wordWrap/>
              <w:bidi w:val="0"/>
              <w:adjustRightInd/>
              <w:snapToGrid/>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工艺流程和产污排污环节</w:t>
            </w:r>
          </w:p>
        </w:tc>
        <w:tc>
          <w:tcPr>
            <w:tcW w:w="8440" w:type="dxa"/>
            <w:tcBorders>
              <w:top w:val="single" w:color="auto" w:sz="8" w:space="0"/>
              <w:left w:val="single" w:color="auto" w:sz="4" w:space="0"/>
              <w:bottom w:val="single" w:color="auto" w:sz="8" w:space="0"/>
              <w:right w:val="single" w:color="auto" w:sz="8" w:space="0"/>
            </w:tcBorders>
            <w:shd w:val="clear" w:color="auto" w:fill="auto"/>
            <w:vAlign w:val="top"/>
          </w:tcPr>
          <w:p>
            <w:pPr>
              <w:pStyle w:val="2"/>
              <w:pageBreakBefore w:val="0"/>
              <w:widowControl w:val="0"/>
              <w:numPr>
                <w:ilvl w:val="0"/>
                <w:numId w:val="0"/>
              </w:numPr>
              <w:suppressLineNumbers w:val="0"/>
              <w:kinsoku/>
              <w:wordWrap/>
              <w:overflowPunct/>
              <w:topLinePunct w:val="0"/>
              <w:autoSpaceDE/>
              <w:autoSpaceDN/>
              <w:bidi w:val="0"/>
              <w:adjustRightInd w:val="0"/>
              <w:snapToGrid w:val="0"/>
              <w:spacing w:before="0" w:beforeLines="0" w:after="0" w:afterLines="0"/>
              <w:ind w:left="0" w:right="0" w:rightChars="0"/>
              <w:textAlignment w:val="auto"/>
              <w:rPr>
                <w:rFonts w:hint="eastAsia"/>
                <w:color w:val="000000" w:themeColor="text1"/>
                <w:lang w:val="en-US" w:eastAsia="zh-CN"/>
                <w14:textFill>
                  <w14:solidFill>
                    <w14:schemeClr w14:val="tx1"/>
                  </w14:solidFill>
                </w14:textFill>
              </w:rPr>
            </w:pPr>
            <w:bookmarkStart w:id="12" w:name="_Toc27703"/>
            <w:r>
              <w:rPr>
                <w:rFonts w:hint="eastAsia"/>
                <w:color w:val="000000" w:themeColor="text1"/>
                <w:lang w:val="en-US" w:eastAsia="zh-CN"/>
                <w14:textFill>
                  <w14:solidFill>
                    <w14:schemeClr w14:val="tx1"/>
                  </w14:solidFill>
                </w14:textFill>
              </w:rPr>
              <w:t>1施工期工艺流程及产污环节</w:t>
            </w:r>
            <w:bookmarkEnd w:id="12"/>
          </w:p>
          <w:p>
            <w:pPr>
              <w:pStyle w:val="31"/>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bookmarkStart w:id="13" w:name="_Toc24131"/>
            <w:r>
              <w:rPr>
                <w:rFonts w:hint="default"/>
              </w:rPr>
              <mc:AlternateContent>
                <mc:Choice Requires="wpg">
                  <w:drawing>
                    <wp:anchor distT="0" distB="0" distL="114300" distR="114300" simplePos="0" relativeHeight="251660288" behindDoc="0" locked="0" layoutInCell="1" allowOverlap="1">
                      <wp:simplePos x="0" y="0"/>
                      <wp:positionH relativeFrom="column">
                        <wp:posOffset>133985</wp:posOffset>
                      </wp:positionH>
                      <wp:positionV relativeFrom="paragraph">
                        <wp:posOffset>176530</wp:posOffset>
                      </wp:positionV>
                      <wp:extent cx="5137785" cy="1229995"/>
                      <wp:effectExtent l="0" t="0" r="0" b="27940"/>
                      <wp:wrapNone/>
                      <wp:docPr id="53" name="画布 752"/>
                      <wp:cNvGraphicFramePr/>
                      <a:graphic xmlns:a="http://schemas.openxmlformats.org/drawingml/2006/main">
                        <a:graphicData uri="http://schemas.microsoft.com/office/word/2010/wordprocessingGroup">
                          <wpg:wgp>
                            <wpg:cNvGrpSpPr/>
                            <wpg:grpSpPr>
                              <a:xfrm>
                                <a:off x="0" y="0"/>
                                <a:ext cx="5137785" cy="1229995"/>
                                <a:chOff x="0" y="0"/>
                                <a:chExt cx="5137785" cy="1229995"/>
                              </a:xfrm>
                            </wpg:grpSpPr>
                            <wps:wsp>
                              <wps:cNvPr id="4" name="画布 752"/>
                              <wps:cNvSpPr>
                                <a:spLocks noChangeAspect="1"/>
                              </wps:cNvSpPr>
                              <wps:spPr>
                                <a:xfrm>
                                  <a:off x="0" y="0"/>
                                  <a:ext cx="5137785" cy="1229995"/>
                                </a:xfrm>
                                <a:noFill/>
                                <a:ln>
                                  <a:noFill/>
                                </a:ln>
                              </wps:spPr>
                              <wps:bodyPr/>
                            </wps:wsp>
                            <wps:wsp>
                              <wps:cNvPr id="33" name="矩形 755"/>
                              <wps:cNvSpPr/>
                              <wps:spPr>
                                <a:xfrm>
                                  <a:off x="294041" y="57180"/>
                                  <a:ext cx="1497515" cy="454260"/>
                                </a:xfrm>
                                <a:prstGeom prst="rect">
                                  <a:avLst/>
                                </a:prstGeom>
                                <a:noFill/>
                                <a:ln>
                                  <a:noFill/>
                                </a:ln>
                              </wps:spPr>
                              <wps:txbx>
                                <w:txbxContent>
                                  <w:p>
                                    <w:pPr>
                                      <w:pStyle w:val="20"/>
                                      <w:jc w:val="center"/>
                                    </w:pPr>
                                    <w:r>
                                      <w:rPr>
                                        <w:rFonts w:ascii="Times New Roman" w:hAnsi="Times New Roman" w:eastAsia="宋体"/>
                                        <w:kern w:val="2"/>
                                        <w:sz w:val="21"/>
                                        <w:szCs w:val="21"/>
                                      </w:rPr>
                                      <w:t>废气（扬尘等）、废水、</w:t>
                                    </w:r>
                                  </w:p>
                                  <w:p>
                                    <w:pPr>
                                      <w:pStyle w:val="20"/>
                                      <w:jc w:val="center"/>
                                    </w:pPr>
                                    <w:r>
                                      <w:rPr>
                                        <w:rFonts w:ascii="Times New Roman" w:hAnsi="Times New Roman" w:eastAsia="宋体"/>
                                        <w:kern w:val="2"/>
                                        <w:sz w:val="21"/>
                                        <w:szCs w:val="21"/>
                                      </w:rPr>
                                      <w:t>噪声、固废</w:t>
                                    </w:r>
                                  </w:p>
                                </w:txbxContent>
                              </wps:txbx>
                              <wps:bodyPr vert="horz" wrap="square" anchor="t" anchorCtr="0" upright="1"/>
                            </wps:wsp>
                            <wps:wsp>
                              <wps:cNvPr id="34" name="矩形 756"/>
                              <wps:cNvSpPr/>
                              <wps:spPr>
                                <a:xfrm>
                                  <a:off x="24768" y="930120"/>
                                  <a:ext cx="799564" cy="297334"/>
                                </a:xfrm>
                                <a:prstGeom prst="rect">
                                  <a:avLst/>
                                </a:prstGeom>
                                <a:noFill/>
                                <a:ln w="9525" cap="flat" cmpd="sng">
                                  <a:solidFill>
                                    <a:srgbClr val="000000"/>
                                  </a:solidFill>
                                  <a:prstDash val="solid"/>
                                  <a:miter/>
                                  <a:headEnd type="none" w="med" len="med"/>
                                  <a:tailEnd type="none" w="med" len="med"/>
                                </a:ln>
                              </wps:spPr>
                              <wps:txbx>
                                <w:txbxContent>
                                  <w:p>
                                    <w:pPr>
                                      <w:pStyle w:val="20"/>
                                      <w:jc w:val="center"/>
                                    </w:pPr>
                                    <w:r>
                                      <w:rPr>
                                        <w:rFonts w:ascii="Times New Roman" w:hAnsi="Times New Roman" w:eastAsia="宋体"/>
                                        <w:kern w:val="2"/>
                                        <w:sz w:val="21"/>
                                        <w:szCs w:val="21"/>
                                      </w:rPr>
                                      <w:t>基础工程</w:t>
                                    </w:r>
                                  </w:p>
                                </w:txbxContent>
                              </wps:txbx>
                              <wps:bodyPr vert="horz" wrap="square" anchor="t" anchorCtr="0" upright="1"/>
                            </wps:wsp>
                            <wps:wsp>
                              <wps:cNvPr id="35" name="矩形 757"/>
                              <wps:cNvSpPr/>
                              <wps:spPr>
                                <a:xfrm>
                                  <a:off x="1134250" y="916778"/>
                                  <a:ext cx="738596" cy="297334"/>
                                </a:xfrm>
                                <a:prstGeom prst="rect">
                                  <a:avLst/>
                                </a:prstGeom>
                                <a:noFill/>
                                <a:ln w="9525" cap="flat" cmpd="sng">
                                  <a:solidFill>
                                    <a:srgbClr val="000000"/>
                                  </a:solidFill>
                                  <a:prstDash val="solid"/>
                                  <a:miter/>
                                  <a:headEnd type="none" w="med" len="med"/>
                                  <a:tailEnd type="none" w="med" len="med"/>
                                </a:ln>
                              </wps:spPr>
                              <wps:txbx>
                                <w:txbxContent>
                                  <w:p>
                                    <w:pPr>
                                      <w:pStyle w:val="20"/>
                                      <w:jc w:val="center"/>
                                    </w:pPr>
                                    <w:r>
                                      <w:rPr>
                                        <w:rFonts w:ascii="Times New Roman" w:hAnsi="Times New Roman" w:eastAsia="宋体"/>
                                        <w:kern w:val="2"/>
                                        <w:sz w:val="21"/>
                                        <w:szCs w:val="21"/>
                                      </w:rPr>
                                      <w:t>主体工程</w:t>
                                    </w:r>
                                  </w:p>
                                </w:txbxContent>
                              </wps:txbx>
                              <wps:bodyPr vert="horz" wrap="square" anchor="t" anchorCtr="0" upright="1"/>
                            </wps:wsp>
                            <wps:wsp>
                              <wps:cNvPr id="36" name="矩形 758"/>
                              <wps:cNvSpPr/>
                              <wps:spPr>
                                <a:xfrm>
                                  <a:off x="2114811" y="926944"/>
                                  <a:ext cx="763999" cy="297334"/>
                                </a:xfrm>
                                <a:prstGeom prst="rect">
                                  <a:avLst/>
                                </a:prstGeom>
                                <a:noFill/>
                                <a:ln w="9525" cap="flat" cmpd="sng">
                                  <a:solidFill>
                                    <a:srgbClr val="000000"/>
                                  </a:solidFill>
                                  <a:prstDash val="solid"/>
                                  <a:miter/>
                                  <a:headEnd type="none" w="med" len="med"/>
                                  <a:tailEnd type="none" w="med" len="med"/>
                                </a:ln>
                              </wps:spPr>
                              <wps:txbx>
                                <w:txbxContent>
                                  <w:p>
                                    <w:pPr>
                                      <w:pStyle w:val="20"/>
                                      <w:jc w:val="both"/>
                                    </w:pPr>
                                    <w:r>
                                      <w:rPr>
                                        <w:rFonts w:ascii="Times New Roman" w:hAnsi="Times New Roman" w:eastAsia="宋体"/>
                                        <w:kern w:val="2"/>
                                        <w:sz w:val="21"/>
                                        <w:szCs w:val="21"/>
                                      </w:rPr>
                                      <w:t>设备安装</w:t>
                                    </w:r>
                                  </w:p>
                                </w:txbxContent>
                              </wps:txbx>
                              <wps:bodyPr vert="horz" wrap="square" anchor="t" anchorCtr="0" upright="1"/>
                            </wps:wsp>
                            <wps:wsp>
                              <wps:cNvPr id="37" name="矩形 760"/>
                              <wps:cNvSpPr/>
                              <wps:spPr>
                                <a:xfrm>
                                  <a:off x="4128645" y="937744"/>
                                  <a:ext cx="773526" cy="297334"/>
                                </a:xfrm>
                                <a:prstGeom prst="rect">
                                  <a:avLst/>
                                </a:prstGeom>
                                <a:noFill/>
                                <a:ln w="9525" cap="flat" cmpd="sng">
                                  <a:solidFill>
                                    <a:srgbClr val="000000"/>
                                  </a:solidFill>
                                  <a:prstDash val="solid"/>
                                  <a:miter/>
                                  <a:headEnd type="none" w="med" len="med"/>
                                  <a:tailEnd type="none" w="med" len="med"/>
                                </a:ln>
                              </wps:spPr>
                              <wps:txbx>
                                <w:txbxContent>
                                  <w:p>
                                    <w:pPr>
                                      <w:pStyle w:val="20"/>
                                      <w:jc w:val="center"/>
                                    </w:pPr>
                                    <w:r>
                                      <w:rPr>
                                        <w:rFonts w:ascii="Times New Roman" w:hAnsi="Times New Roman" w:eastAsia="宋体"/>
                                        <w:kern w:val="2"/>
                                        <w:sz w:val="21"/>
                                        <w:szCs w:val="21"/>
                                      </w:rPr>
                                      <w:t>工程验收</w:t>
                                    </w:r>
                                  </w:p>
                                </w:txbxContent>
                              </wps:txbx>
                              <wps:bodyPr vert="horz" wrap="square" anchor="t" anchorCtr="0" upright="1"/>
                            </wps:wsp>
                            <wps:wsp>
                              <wps:cNvPr id="38" name="直线 767"/>
                              <wps:cNvCnPr/>
                              <wps:spPr>
                                <a:xfrm flipV="1">
                                  <a:off x="386128" y="756676"/>
                                  <a:ext cx="635" cy="173445"/>
                                </a:xfrm>
                                <a:prstGeom prst="line">
                                  <a:avLst/>
                                </a:prstGeom>
                                <a:ln w="9525" cap="flat" cmpd="sng">
                                  <a:solidFill>
                                    <a:srgbClr val="000000"/>
                                  </a:solidFill>
                                  <a:prstDash val="solid"/>
                                  <a:headEnd type="none" w="med" len="med"/>
                                  <a:tailEnd type="none" w="med" len="med"/>
                                </a:ln>
                              </wps:spPr>
                              <wps:bodyPr/>
                            </wps:wsp>
                            <wps:wsp>
                              <wps:cNvPr id="39" name="直线 768"/>
                              <wps:cNvCnPr/>
                              <wps:spPr>
                                <a:xfrm flipV="1">
                                  <a:off x="3461813" y="488567"/>
                                  <a:ext cx="635" cy="447906"/>
                                </a:xfrm>
                                <a:prstGeom prst="line">
                                  <a:avLst/>
                                </a:prstGeom>
                                <a:ln w="9525" cap="flat" cmpd="sng">
                                  <a:solidFill>
                                    <a:srgbClr val="000000"/>
                                  </a:solidFill>
                                  <a:prstDash val="dashDot"/>
                                  <a:headEnd type="none" w="med" len="med"/>
                                  <a:tailEnd type="triangle" w="med" len="med"/>
                                </a:ln>
                              </wps:spPr>
                              <wps:bodyPr/>
                            </wps:wsp>
                            <wps:wsp>
                              <wps:cNvPr id="40" name="直线 770"/>
                              <wps:cNvCnPr/>
                              <wps:spPr>
                                <a:xfrm flipV="1">
                                  <a:off x="378507" y="755405"/>
                                  <a:ext cx="2081152" cy="635"/>
                                </a:xfrm>
                                <a:prstGeom prst="line">
                                  <a:avLst/>
                                </a:prstGeom>
                                <a:ln w="9525" cap="flat" cmpd="sng">
                                  <a:solidFill>
                                    <a:srgbClr val="000000"/>
                                  </a:solidFill>
                                  <a:prstDash val="solid"/>
                                  <a:headEnd type="none" w="med" len="med"/>
                                  <a:tailEnd type="none" w="med" len="med"/>
                                </a:ln>
                              </wps:spPr>
                              <wps:bodyPr/>
                            </wps:wsp>
                            <wps:wsp>
                              <wps:cNvPr id="5" name="直线 771"/>
                              <wps:cNvCnPr/>
                              <wps:spPr>
                                <a:xfrm flipH="1" flipV="1">
                                  <a:off x="2466645" y="762394"/>
                                  <a:ext cx="6351" cy="167091"/>
                                </a:xfrm>
                                <a:prstGeom prst="line">
                                  <a:avLst/>
                                </a:prstGeom>
                                <a:ln w="9525" cap="flat" cmpd="sng">
                                  <a:solidFill>
                                    <a:srgbClr val="000000"/>
                                  </a:solidFill>
                                  <a:prstDash val="solid"/>
                                  <a:headEnd type="none" w="med" len="med"/>
                                  <a:tailEnd type="none" w="med" len="med"/>
                                </a:ln>
                              </wps:spPr>
                              <wps:bodyPr/>
                            </wps:wsp>
                            <wps:wsp>
                              <wps:cNvPr id="42" name="直线 764"/>
                              <wps:cNvCnPr/>
                              <wps:spPr>
                                <a:xfrm>
                                  <a:off x="1878562" y="1052103"/>
                                  <a:ext cx="226088" cy="635"/>
                                </a:xfrm>
                                <a:prstGeom prst="line">
                                  <a:avLst/>
                                </a:prstGeom>
                                <a:ln w="9525" cap="flat" cmpd="sng">
                                  <a:solidFill>
                                    <a:srgbClr val="000000"/>
                                  </a:solidFill>
                                  <a:prstDash val="solid"/>
                                  <a:headEnd type="none" w="med" len="med"/>
                                  <a:tailEnd type="triangle" w="med" len="med"/>
                                </a:ln>
                              </wps:spPr>
                              <wps:bodyPr/>
                            </wps:wsp>
                            <wps:wsp>
                              <wps:cNvPr id="43" name="直线 764"/>
                              <wps:cNvCnPr/>
                              <wps:spPr>
                                <a:xfrm>
                                  <a:off x="833858" y="1066716"/>
                                  <a:ext cx="313094" cy="635"/>
                                </a:xfrm>
                                <a:prstGeom prst="line">
                                  <a:avLst/>
                                </a:prstGeom>
                                <a:ln w="9525" cap="flat" cmpd="sng">
                                  <a:solidFill>
                                    <a:srgbClr val="000000"/>
                                  </a:solidFill>
                                  <a:prstDash val="solid"/>
                                  <a:headEnd type="none" w="med" len="med"/>
                                  <a:tailEnd type="triangle" w="med" len="med"/>
                                </a:ln>
                              </wps:spPr>
                              <wps:bodyPr/>
                            </wps:wsp>
                            <wps:wsp>
                              <wps:cNvPr id="44" name="直线 768"/>
                              <wps:cNvCnPr/>
                              <wps:spPr>
                                <a:xfrm flipV="1">
                                  <a:off x="1010410" y="471413"/>
                                  <a:ext cx="9526" cy="285262"/>
                                </a:xfrm>
                                <a:prstGeom prst="line">
                                  <a:avLst/>
                                </a:prstGeom>
                                <a:ln w="9525" cap="flat" cmpd="sng">
                                  <a:solidFill>
                                    <a:srgbClr val="000000"/>
                                  </a:solidFill>
                                  <a:prstDash val="dashDot"/>
                                  <a:headEnd type="none" w="med" len="med"/>
                                  <a:tailEnd type="triangle" w="med" len="med"/>
                                </a:ln>
                              </wps:spPr>
                              <wps:bodyPr/>
                            </wps:wsp>
                            <wps:wsp>
                              <wps:cNvPr id="45" name="矩形 754"/>
                              <wps:cNvSpPr/>
                              <wps:spPr>
                                <a:xfrm>
                                  <a:off x="2810222" y="136596"/>
                                  <a:ext cx="1285399" cy="309405"/>
                                </a:xfrm>
                                <a:prstGeom prst="rect">
                                  <a:avLst/>
                                </a:prstGeom>
                                <a:noFill/>
                                <a:ln>
                                  <a:noFill/>
                                </a:ln>
                              </wps:spPr>
                              <wps:txbx>
                                <w:txbxContent>
                                  <w:p>
                                    <w:pPr>
                                      <w:pStyle w:val="20"/>
                                      <w:jc w:val="center"/>
                                    </w:pPr>
                                    <w:r>
                                      <w:rPr>
                                        <w:rFonts w:ascii="Times New Roman" w:hAnsi="Times New Roman" w:eastAsia="宋体"/>
                                        <w:kern w:val="2"/>
                                        <w:sz w:val="21"/>
                                        <w:szCs w:val="21"/>
                                      </w:rPr>
                                      <w:t>废气、噪声、固废</w:t>
                                    </w:r>
                                  </w:p>
                                </w:txbxContent>
                              </wps:txbx>
                              <wps:bodyPr vert="horz" wrap="square" anchor="t" anchorCtr="0" upright="1"/>
                            </wps:wsp>
                            <wps:wsp>
                              <wps:cNvPr id="46" name="直线 764"/>
                              <wps:cNvCnPr/>
                              <wps:spPr>
                                <a:xfrm>
                                  <a:off x="2889607" y="1071798"/>
                                  <a:ext cx="215927" cy="0"/>
                                </a:xfrm>
                                <a:prstGeom prst="line">
                                  <a:avLst/>
                                </a:prstGeom>
                                <a:ln w="9525" cap="flat" cmpd="sng">
                                  <a:solidFill>
                                    <a:srgbClr val="000000"/>
                                  </a:solidFill>
                                  <a:prstDash val="solid"/>
                                  <a:headEnd type="none" w="med" len="med"/>
                                  <a:tailEnd type="triangle" w="med" len="med"/>
                                </a:ln>
                              </wps:spPr>
                              <wps:bodyPr/>
                            </wps:wsp>
                            <wps:wsp>
                              <wps:cNvPr id="48" name="矩形 758"/>
                              <wps:cNvSpPr/>
                              <wps:spPr>
                                <a:xfrm>
                                  <a:off x="3106169" y="942191"/>
                                  <a:ext cx="762094" cy="292251"/>
                                </a:xfrm>
                                <a:prstGeom prst="rect">
                                  <a:avLst/>
                                </a:prstGeom>
                                <a:noFill/>
                                <a:ln w="9525" cap="flat" cmpd="sng">
                                  <a:solidFill>
                                    <a:srgbClr val="000000"/>
                                  </a:solidFill>
                                  <a:prstDash val="solid"/>
                                  <a:miter/>
                                  <a:headEnd type="none" w="med" len="med"/>
                                  <a:tailEnd type="none" w="med" len="med"/>
                                </a:ln>
                              </wps:spPr>
                              <wps:txbx>
                                <w:txbxContent>
                                  <w:p>
                                    <w:pPr>
                                      <w:pStyle w:val="20"/>
                                      <w:jc w:val="both"/>
                                    </w:pPr>
                                    <w:r>
                                      <w:rPr>
                                        <w:rFonts w:ascii="Times New Roman" w:hAnsi="Times New Roman" w:eastAsia="宋体"/>
                                        <w:kern w:val="2"/>
                                        <w:sz w:val="21"/>
                                        <w:szCs w:val="21"/>
                                      </w:rPr>
                                      <w:t>设备调试</w:t>
                                    </w:r>
                                  </w:p>
                                </w:txbxContent>
                              </wps:txbx>
                              <wps:bodyPr vert="horz" wrap="square" anchor="t" anchorCtr="0" upright="1"/>
                            </wps:wsp>
                            <wps:wsp>
                              <wps:cNvPr id="49" name="直线 764"/>
                              <wps:cNvCnPr/>
                              <wps:spPr>
                                <a:xfrm>
                                  <a:off x="3886045" y="1080693"/>
                                  <a:ext cx="215927" cy="0"/>
                                </a:xfrm>
                                <a:prstGeom prst="line">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画布 752" o:spid="_x0000_s1026" o:spt="203" style="position:absolute;left:0pt;margin-left:10.55pt;margin-top:13.9pt;height:96.85pt;width:404.55pt;z-index:251660288;mso-width-relative:page;mso-height-relative:page;" coordsize="5137785,1229995" o:gfxdata="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">
                      <o:lock v:ext="edit" aspectratio="f"/>
                      <v:shape id="画布 752" o:spid="_x0000_s1026" style="position:absolute;left:0;top:0;height:1229995;width:5137785;" filled="f" stroked="f" coordsize="21600,21600" o:gfxdata="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T4rVvQAA&#10;ANoAAAAPAAAAAAAAAAEAIAAAACIAAABkcnMvZG93bnJldi54bWxQSwECFAAUAAAACACHTuJAMy8F&#10;njsAAAA5AAAAEAAAAAAAAAABACAAAAAMAQAAZHJzL3NoYXBleG1sLnhtbFBLBQYAAAAABgAGAFsB&#10;AAC2AwAAAAA=&#10;">
                        <v:fill on="f" focussize="0,0"/>
                        <v:stroke on="f"/>
                        <v:imagedata o:title=""/>
                        <o:lock v:ext="edit" aspectratio="t"/>
                      </v:shape>
                      <v:rect id="矩形 755" o:spid="_x0000_s1026" o:spt="1" style="position:absolute;left:294041;top:57180;height:454260;width:1497515;" filled="f" stroked="f" coordsize="21600,21600" o:gfxdata="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1hmB7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20"/>
                                <w:jc w:val="center"/>
                              </w:pPr>
                              <w:r>
                                <w:rPr>
                                  <w:rFonts w:ascii="Times New Roman" w:hAnsi="Times New Roman" w:eastAsia="宋体"/>
                                  <w:kern w:val="2"/>
                                  <w:sz w:val="21"/>
                                  <w:szCs w:val="21"/>
                                </w:rPr>
                                <w:t>废气（扬尘等）、废水、</w:t>
                              </w:r>
                            </w:p>
                            <w:p>
                              <w:pPr>
                                <w:pStyle w:val="20"/>
                                <w:jc w:val="center"/>
                              </w:pPr>
                              <w:r>
                                <w:rPr>
                                  <w:rFonts w:ascii="Times New Roman" w:hAnsi="Times New Roman" w:eastAsia="宋体"/>
                                  <w:kern w:val="2"/>
                                  <w:sz w:val="21"/>
                                  <w:szCs w:val="21"/>
                                </w:rPr>
                                <w:t>噪声、固废</w:t>
                              </w:r>
                            </w:p>
                          </w:txbxContent>
                        </v:textbox>
                      </v:rect>
                      <v:rect id="矩形 756" o:spid="_x0000_s1026" o:spt="1" style="position:absolute;left:24768;top:930120;height:297334;width:799564;" filled="f" stroked="t" coordsize="21600,21600" o:gfxdata="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YHA8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pStyle w:val="20"/>
                                <w:jc w:val="center"/>
                              </w:pPr>
                              <w:r>
                                <w:rPr>
                                  <w:rFonts w:ascii="Times New Roman" w:hAnsi="Times New Roman" w:eastAsia="宋体"/>
                                  <w:kern w:val="2"/>
                                  <w:sz w:val="21"/>
                                  <w:szCs w:val="21"/>
                                </w:rPr>
                                <w:t>基础工程</w:t>
                              </w:r>
                            </w:p>
                          </w:txbxContent>
                        </v:textbox>
                      </v:rect>
                      <v:rect id="矩形 757" o:spid="_x0000_s1026" o:spt="1" style="position:absolute;left:1134250;top:916778;height:297334;width:738596;"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pStyle w:val="20"/>
                                <w:jc w:val="center"/>
                              </w:pPr>
                              <w:r>
                                <w:rPr>
                                  <w:rFonts w:ascii="Times New Roman" w:hAnsi="Times New Roman" w:eastAsia="宋体"/>
                                  <w:kern w:val="2"/>
                                  <w:sz w:val="21"/>
                                  <w:szCs w:val="21"/>
                                </w:rPr>
                                <w:t>主体工程</w:t>
                              </w:r>
                            </w:p>
                          </w:txbxContent>
                        </v:textbox>
                      </v:rect>
                      <v:rect id="矩形 758" o:spid="_x0000_s1026" o:spt="1" style="position:absolute;left:2114811;top:926944;height:297334;width:763999;"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pStyle w:val="20"/>
                                <w:jc w:val="both"/>
                              </w:pPr>
                              <w:r>
                                <w:rPr>
                                  <w:rFonts w:ascii="Times New Roman" w:hAnsi="Times New Roman" w:eastAsia="宋体"/>
                                  <w:kern w:val="2"/>
                                  <w:sz w:val="21"/>
                                  <w:szCs w:val="21"/>
                                </w:rPr>
                                <w:t>设备安装</w:t>
                              </w:r>
                            </w:p>
                          </w:txbxContent>
                        </v:textbox>
                      </v:rect>
                      <v:rect id="矩形 760" o:spid="_x0000_s1026" o:spt="1" style="position:absolute;left:4128645;top:937744;height:297334;width:773526;"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pStyle w:val="20"/>
                                <w:jc w:val="center"/>
                              </w:pPr>
                              <w:r>
                                <w:rPr>
                                  <w:rFonts w:ascii="Times New Roman" w:hAnsi="Times New Roman" w:eastAsia="宋体"/>
                                  <w:kern w:val="2"/>
                                  <w:sz w:val="21"/>
                                  <w:szCs w:val="21"/>
                                </w:rPr>
                                <w:t>工程验收</w:t>
                              </w:r>
                            </w:p>
                          </w:txbxContent>
                        </v:textbox>
                      </v:rect>
                      <v:line id="直线 767" o:spid="_x0000_s1026" o:spt="20" style="position:absolute;left:386128;top:756676;flip:y;height:173445;width:635;" filled="f" stroked="t" coordsize="21600,21600" o:gfxdata="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8b7k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768" o:spid="_x0000_s1026" o:spt="20" style="position:absolute;left:3461813;top:488567;flip:y;height:447906;width:635;" filled="f" stroked="t" coordsize="21600,21600" o:gfxdata="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FabvQAA&#10;ANsAAAAPAAAAAAAAAAEAIAAAACIAAABkcnMvZG93bnJldi54bWxQSwECFAAUAAAACACHTuJAMy8F&#10;njsAAAA5AAAAEAAAAAAAAAABACAAAAAMAQAAZHJzL3NoYXBleG1sLnhtbFBLBQYAAAAABgAGAFsB&#10;AAC2AwAAAAA=&#10;">
                        <v:fill on="f" focussize="0,0"/>
                        <v:stroke color="#000000" joinstyle="round" dashstyle="dashDot" endarrow="block"/>
                        <v:imagedata o:title=""/>
                        <o:lock v:ext="edit" aspectratio="f"/>
                      </v:line>
                      <v:line id="直线 770" o:spid="_x0000_s1026" o:spt="20" style="position:absolute;left:378507;top:755405;flip:y;height:635;width:2081152;" filled="f" stroked="t" coordsize="21600,21600" o:gfxdata="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WBwZ+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771" o:spid="_x0000_s1026" o:spt="20" style="position:absolute;left:2466645;top:762394;flip:x y;height:167091;width:6351;" filled="f" stroked="t" coordsize="21600,21600" o:gfxdata="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CIcLgAAADa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直线 764" o:spid="_x0000_s1026" o:spt="20" style="position:absolute;left:1878562;top:1052103;height:635;width:226088;" filled="f" stroked="t" coordsize="21600,21600" o:gfxdata="UEsDBAoAAAAAAIdO4kAAAAAAAAAAAAAAAAAEAAAAZHJzL1BLAwQUAAAACACHTuJA5YToWr8AAADb&#10;AAAADwAAAGRycy9kb3ducmV2LnhtbEWPT2vCQBTE7wW/w/IEb3UTk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E6Fq/&#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线 764" o:spid="_x0000_s1026" o:spt="20" style="position:absolute;left:833858;top:1066716;height:635;width:313094;" filled="f" stroked="t" coordsize="21600,21600" o:gfxdata="UEsDBAoAAAAAAIdO4kAAAAAAAAAAAAAAAAAEAAAAZHJzL1BLAwQUAAAACACHTuJAishNwb8AAADb&#10;AAAADwAAAGRycy9kb3ducmV2LnhtbEWPT2vCQBTE7wW/w/KE3uomtki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rITcG/&#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线 768" o:spid="_x0000_s1026" o:spt="20" style="position:absolute;left:1010410;top:471413;flip:y;height:285262;width:9526;" filled="f" stroked="t" coordsize="21600,21600" o:gfxdata="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OOKeLsAAADb&#10;AAAADwAAAAAAAAABACAAAAAiAAAAZHJzL2Rvd25yZXYueG1sUEsBAhQAFAAAAAgAh07iQDMvBZ47&#10;AAAAOQAAABAAAAAAAAAAAQAgAAAACgEAAGRycy9zaGFwZXhtbC54bWxQSwUGAAAAAAYABgBbAQAA&#10;tAMAAAAA&#10;">
                        <v:fill on="f" focussize="0,0"/>
                        <v:stroke color="#000000" joinstyle="round" dashstyle="dashDot" endarrow="block"/>
                        <v:imagedata o:title=""/>
                        <o:lock v:ext="edit" aspectratio="f"/>
                      </v:line>
                      <v:rect id="矩形 754" o:spid="_x0000_s1026" o:spt="1" style="position:absolute;left:2810222;top:136596;height:309405;width:1285399;" filled="f" stroked="f" coordsize="21600,21600" o:gfxdata="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solb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pPr>
                                <w:pStyle w:val="20"/>
                                <w:jc w:val="center"/>
                              </w:pPr>
                              <w:r>
                                <w:rPr>
                                  <w:rFonts w:ascii="Times New Roman" w:hAnsi="Times New Roman" w:eastAsia="宋体"/>
                                  <w:kern w:val="2"/>
                                  <w:sz w:val="21"/>
                                  <w:szCs w:val="21"/>
                                </w:rPr>
                                <w:t>废气、噪声、固废</w:t>
                              </w:r>
                            </w:p>
                          </w:txbxContent>
                        </v:textbox>
                      </v:rect>
                      <v:line id="直线 764" o:spid="_x0000_s1026" o:spt="20" style="position:absolute;left:2889607;top:1071798;height:0;width:215927;" filled="f" stroked="t" coordsize="21600,21600" o:gfxdata="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q/7lm/&#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矩形 758" o:spid="_x0000_s1026" o:spt="1" style="position:absolute;left:3106169;top:942191;height:292251;width:762094;" filled="f" stroked="t" coordsize="21600,21600" o:gfxdata="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rCUS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pStyle w:val="20"/>
                                <w:jc w:val="both"/>
                              </w:pPr>
                              <w:r>
                                <w:rPr>
                                  <w:rFonts w:ascii="Times New Roman" w:hAnsi="Times New Roman" w:eastAsia="宋体"/>
                                  <w:kern w:val="2"/>
                                  <w:sz w:val="21"/>
                                  <w:szCs w:val="21"/>
                                </w:rPr>
                                <w:t>设备调试</w:t>
                              </w:r>
                            </w:p>
                          </w:txbxContent>
                        </v:textbox>
                      </v:rect>
                      <v:line id="直线 764" o:spid="_x0000_s1026" o:spt="20" style="position:absolute;left:3886045;top:1080693;height:0;width:215927;" filled="f" stroked="t" coordsize="21600,21600" o:gfxdata="UEsDBAoAAAAAAIdO4kAAAAAAAAAAAAAAAAAEAAAAZHJzL1BLAwQUAAAACACHTuJA6yB6K78AAADb&#10;AAAADwAAAGRycy9kb3ducmV2LnhtbEWPT2vCQBTE7wW/w/KE3uomUkqM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sgei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w:pict>
                </mc:Fallback>
              </mc:AlternateContent>
            </w:r>
            <w:r>
              <w:rPr>
                <w:rFonts w:hint="eastAsia"/>
                <w:color w:val="000000" w:themeColor="text1"/>
                <w:lang w:val="en-US" w:eastAsia="zh-CN"/>
                <w14:textFill>
                  <w14:solidFill>
                    <w14:schemeClr w14:val="tx1"/>
                  </w14:solidFill>
                </w14:textFill>
              </w:rPr>
              <w:t>本项目施工期施工流程及产污环节详见图2-2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pPr>
              <w:pStyle w:val="3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pStyle w:val="3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pStyle w:val="3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pStyle w:val="3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pPr>
              <w:pStyle w:val="3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图</w:t>
            </w:r>
            <w:r>
              <w:rPr>
                <w:rFonts w:hint="eastAsia" w:cs="Times New Roman"/>
                <w:b/>
                <w:bCs/>
                <w:color w:val="000000" w:themeColor="text1"/>
                <w:sz w:val="21"/>
                <w:szCs w:val="21"/>
                <w:lang w:val="en-US" w:eastAsia="zh-CN"/>
                <w14:textFill>
                  <w14:solidFill>
                    <w14:schemeClr w14:val="tx1"/>
                  </w14:solidFill>
                </w14:textFill>
              </w:rPr>
              <w:t xml:space="preserve">2-2 </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 xml:space="preserve"> </w:t>
            </w:r>
            <w:r>
              <w:rPr>
                <w:rFonts w:hint="eastAsia" w:cs="Times New Roman"/>
                <w:b/>
                <w:bCs/>
                <w:color w:val="000000" w:themeColor="text1"/>
                <w:sz w:val="21"/>
                <w:szCs w:val="21"/>
                <w:lang w:val="en-US" w:eastAsia="zh-CN"/>
                <w14:textFill>
                  <w14:solidFill>
                    <w14:schemeClr w14:val="tx1"/>
                  </w14:solidFill>
                </w14:textFill>
              </w:rPr>
              <w:t>施工期</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工艺流程及产污环节图</w:t>
            </w:r>
          </w:p>
          <w:p>
            <w:pPr>
              <w:pStyle w:val="3"/>
              <w:suppressLineNumbers w:val="0"/>
              <w:kinsoku/>
              <w:wordWrap/>
              <w:bidi w:val="0"/>
              <w:adjustRightInd/>
              <w:snapToGrid/>
              <w:spacing w:before="0" w:after="0"/>
              <w:ind w:left="0" w:right="0"/>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bookmarkStart w:id="14" w:name="_Toc24252"/>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施工期主要污染工序及污染因子见表2-</w:t>
            </w:r>
            <w:r>
              <w:rPr>
                <w:rFonts w:hint="eastAsia" w:cs="Times New Roman"/>
                <w:b w:val="0"/>
                <w:bCs/>
                <w:color w:val="000000" w:themeColor="text1"/>
                <w:sz w:val="21"/>
                <w:szCs w:val="21"/>
                <w:lang w:val="en-US" w:eastAsia="zh-CN"/>
                <w14:textFill>
                  <w14:solidFill>
                    <w14:schemeClr w14:val="tx1"/>
                  </w14:solidFill>
                </w14:textFill>
              </w:rPr>
              <w:t>7</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w:t>
            </w:r>
            <w:bookmarkEnd w:id="13"/>
            <w:bookmarkEnd w:id="14"/>
          </w:p>
          <w:p>
            <w:pPr>
              <w:pStyle w:val="3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shd w:val="clear" w:color="auto" w:fill="auto"/>
                <w:lang w:val="en-US" w:eastAsia="zh-CN"/>
                <w14:textFill>
                  <w14:solidFill>
                    <w14:schemeClr w14:val="tx1"/>
                  </w14:solidFill>
                </w14:textFill>
              </w:rPr>
              <w:t>表2-</w:t>
            </w:r>
            <w:r>
              <w:rPr>
                <w:rFonts w:hint="eastAsia" w:cs="Times New Roman"/>
                <w:b/>
                <w:bCs/>
                <w:color w:val="000000" w:themeColor="text1"/>
                <w:sz w:val="21"/>
                <w:szCs w:val="21"/>
                <w:shd w:val="clear" w:color="auto" w:fill="auto"/>
                <w:lang w:val="en-US" w:eastAsia="zh-CN"/>
                <w14:textFill>
                  <w14:solidFill>
                    <w14:schemeClr w14:val="tx1"/>
                  </w14:solidFill>
                </w14:textFill>
              </w:rPr>
              <w:t>7</w:t>
            </w:r>
            <w:r>
              <w:rPr>
                <w:rFonts w:hint="eastAsia" w:ascii="Times New Roman" w:hAnsi="Times New Roman" w:eastAsia="宋体" w:cs="Times New Roman"/>
                <w:b/>
                <w:bCs/>
                <w:color w:val="000000" w:themeColor="text1"/>
                <w:sz w:val="21"/>
                <w:szCs w:val="21"/>
                <w:shd w:val="clear" w:color="auto" w:fill="auto"/>
                <w:lang w:val="en-US" w:eastAsia="zh-CN"/>
                <w14:textFill>
                  <w14:solidFill>
                    <w14:schemeClr w14:val="tx1"/>
                  </w14:solidFill>
                </w14:textFill>
              </w:rPr>
              <w:t xml:space="preserve">  施工期主要污染工序一览表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15"/>
              <w:gridCol w:w="1713"/>
              <w:gridCol w:w="1704"/>
              <w:gridCol w:w="3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4" w:hRule="atLeast"/>
                <w:jc w:val="center"/>
              </w:trPr>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污染类别</w:t>
                  </w: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污染源名称</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产生工序</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b/>
                      <w:bCs/>
                      <w:kern w:val="2"/>
                      <w:sz w:val="21"/>
                      <w:szCs w:val="21"/>
                    </w:rPr>
                  </w:pPr>
                  <w:r>
                    <w:rPr>
                      <w:rFonts w:hint="eastAsia" w:ascii="宋体" w:hAnsi="宋体" w:eastAsia="宋体" w:cs="宋体"/>
                      <w:b/>
                      <w:bCs/>
                      <w:kern w:val="2"/>
                      <w:sz w:val="21"/>
                      <w:szCs w:val="21"/>
                      <w:lang w:val="en-US" w:eastAsia="zh-CN" w:bidi="ar"/>
                    </w:rPr>
                    <w:t>主要污染因子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297"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废气</w:t>
                  </w: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堆场、施工场地</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施工过程</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颗粒物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97"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机械动力设备</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机械设备运行</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尾气（</w:t>
                  </w:r>
                  <w:r>
                    <w:rPr>
                      <w:rFonts w:hint="default" w:ascii="Times New Roman" w:hAnsi="Times New Roman" w:eastAsia="宋体" w:cs="Times New Roman"/>
                      <w:kern w:val="2"/>
                      <w:sz w:val="21"/>
                      <w:szCs w:val="21"/>
                      <w:lang w:val="en-US" w:eastAsia="zh-CN" w:bidi="ar"/>
                    </w:rPr>
                    <w:t>SO</w:t>
                  </w:r>
                  <w:r>
                    <w:rPr>
                      <w:rFonts w:hint="default" w:ascii="Times New Roman" w:hAnsi="Times New Roman" w:eastAsia="宋体" w:cs="Times New Roman"/>
                      <w:kern w:val="2"/>
                      <w:sz w:val="21"/>
                      <w:szCs w:val="21"/>
                      <w:vertAlign w:val="subscript"/>
                      <w:lang w:val="en-US" w:eastAsia="zh-CN" w:bidi="ar"/>
                    </w:rPr>
                    <w:t>2</w:t>
                  </w:r>
                  <w:r>
                    <w:rPr>
                      <w:rFonts w:hint="eastAsia" w:ascii="宋体" w:hAnsi="宋体" w:eastAsia="宋体" w:cs="宋体"/>
                      <w:kern w:val="2"/>
                      <w:sz w:val="21"/>
                      <w:szCs w:val="21"/>
                      <w:lang w:val="en-US" w:eastAsia="zh-CN" w:bidi="ar"/>
                    </w:rPr>
                    <w:t>、颗粒物、总烃、</w:t>
                  </w:r>
                  <w:r>
                    <w:rPr>
                      <w:rFonts w:hint="default" w:ascii="Times New Roman" w:hAnsi="Times New Roman" w:eastAsia="宋体" w:cs="Times New Roman"/>
                      <w:kern w:val="2"/>
                      <w:sz w:val="21"/>
                      <w:szCs w:val="21"/>
                      <w:lang w:val="en-US" w:eastAsia="zh-CN" w:bidi="ar"/>
                    </w:rPr>
                    <w:t>CO</w:t>
                  </w:r>
                  <w:r>
                    <w:rPr>
                      <w:rFonts w:hint="eastAsia" w:ascii="宋体" w:hAnsi="宋体" w:eastAsia="宋体" w:cs="宋体"/>
                      <w:kern w:val="2"/>
                      <w:sz w:val="21"/>
                      <w:szCs w:val="21"/>
                      <w:lang w:val="en-US" w:eastAsia="zh-CN" w:bidi="ar"/>
                    </w:rPr>
                    <w:t>、</w:t>
                  </w:r>
                  <w:r>
                    <w:rPr>
                      <w:rFonts w:hint="default" w:ascii="Times New Roman" w:hAnsi="Times New Roman" w:eastAsia="宋体" w:cs="Times New Roman"/>
                      <w:kern w:val="2"/>
                      <w:sz w:val="21"/>
                      <w:szCs w:val="21"/>
                      <w:lang w:val="en-US" w:eastAsia="zh-CN" w:bidi="ar"/>
                    </w:rPr>
                    <w:t>NO</w:t>
                  </w:r>
                  <w:r>
                    <w:rPr>
                      <w:rFonts w:hint="default" w:ascii="Times New Roman" w:hAnsi="Times New Roman" w:eastAsia="宋体" w:cs="Times New Roman"/>
                      <w:kern w:val="2"/>
                      <w:sz w:val="21"/>
                      <w:szCs w:val="21"/>
                      <w:vertAlign w:val="subscript"/>
                      <w:lang w:val="en-US" w:eastAsia="zh-CN" w:bidi="ar"/>
                    </w:rPr>
                    <w:t>x</w:t>
                  </w:r>
                  <w:r>
                    <w:rPr>
                      <w:rFonts w:hint="eastAsia" w:ascii="宋体" w:hAnsi="宋体" w:eastAsia="宋体" w:cs="宋体"/>
                      <w:kern w:val="2"/>
                      <w:sz w:val="21"/>
                      <w:szCs w:val="2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废水</w:t>
                  </w: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施工废水</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施工作业过程</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default" w:ascii="Times New Roman" w:hAnsi="Times New Roman" w:eastAsia="宋体" w:cs="Times New Roman"/>
                      <w:kern w:val="2"/>
                      <w:sz w:val="21"/>
                      <w:szCs w:val="21"/>
                      <w:lang w:val="en-US" w:eastAsia="zh-CN" w:bidi="ar"/>
                    </w:rPr>
                    <w:t>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97"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噪声</w:t>
                  </w: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施工设备</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施工设备运行</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机械噪声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97"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运输车辆</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运输车辆行驶</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交通噪声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97"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施工人员</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施工人员生活</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生活噪声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297"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固体废物</w:t>
                  </w: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建筑垃圾</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施工过程</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土石方、建材等建筑垃圾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97"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生活垃圾</w:t>
                  </w:r>
                </w:p>
              </w:tc>
              <w:tc>
                <w:tcPr>
                  <w:tcW w:w="18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施工人员生活</w:t>
                  </w:r>
                </w:p>
              </w:tc>
              <w:tc>
                <w:tcPr>
                  <w:tcW w:w="386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生活垃圾</w:t>
                  </w:r>
                </w:p>
              </w:tc>
            </w:tr>
          </w:tbl>
          <w:p>
            <w:pPr>
              <w:pStyle w:val="2"/>
              <w:pageBreakBefore w:val="0"/>
              <w:widowControl w:val="0"/>
              <w:suppressLineNumbers w:val="0"/>
              <w:kinsoku/>
              <w:wordWrap/>
              <w:overflowPunct/>
              <w:topLinePunct w:val="0"/>
              <w:autoSpaceDE/>
              <w:autoSpaceDN/>
              <w:bidi w:val="0"/>
              <w:adjustRightInd w:val="0"/>
              <w:snapToGrid w:val="0"/>
              <w:spacing w:before="0" w:beforeLines="0" w:after="0" w:afterLines="0"/>
              <w:ind w:left="0" w:right="0"/>
              <w:textAlignment w:val="auto"/>
              <w:rPr>
                <w:rFonts w:hint="default"/>
                <w:color w:val="000000" w:themeColor="text1"/>
                <w:lang w:val="en-US" w:eastAsia="zh-CN"/>
                <w14:textFill>
                  <w14:solidFill>
                    <w14:schemeClr w14:val="tx1"/>
                  </w14:solidFill>
                </w14:textFill>
              </w:rPr>
            </w:pPr>
            <w:bookmarkStart w:id="15" w:name="_Toc251"/>
            <w:r>
              <w:rPr>
                <w:rFonts w:hint="eastAsia"/>
                <w:color w:val="000000" w:themeColor="text1"/>
                <w:lang w:val="en-US" w:eastAsia="zh-CN"/>
                <w14:textFill>
                  <w14:solidFill>
                    <w14:schemeClr w14:val="tx1"/>
                  </w14:solidFill>
                </w14:textFill>
              </w:rPr>
              <w:t>2运营期工艺流程及产污环节</w:t>
            </w:r>
            <w:bookmarkEnd w:id="15"/>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本项目</w:t>
            </w:r>
            <w:r>
              <w:rPr>
                <w:rFonts w:hint="eastAsia"/>
                <w:color w:val="000000" w:themeColor="text1"/>
                <w:lang w:val="en-US" w:eastAsia="zh-CN"/>
                <w14:textFill>
                  <w14:solidFill>
                    <w14:schemeClr w14:val="tx1"/>
                  </w14:solidFill>
                </w14:textFill>
              </w:rPr>
              <w:t>运营期</w:t>
            </w:r>
            <w:r>
              <w:rPr>
                <w:rFonts w:hint="default"/>
                <w:color w:val="000000" w:themeColor="text1"/>
                <w14:textFill>
                  <w14:solidFill>
                    <w14:schemeClr w14:val="tx1"/>
                  </w14:solidFill>
                </w14:textFill>
              </w:rPr>
              <w:t>生产工艺流程及产污环节见图2-3。</w:t>
            </w:r>
          </w:p>
          <w:p>
            <w:pPr>
              <w:pStyle w:val="20"/>
              <w:keepNext w:val="0"/>
              <w:keepLines w:val="0"/>
              <w:widowControl w:val="0"/>
              <w:suppressLineNumbers w:val="0"/>
              <w:autoSpaceDE w:val="0"/>
              <w:autoSpaceDN/>
              <w:spacing w:before="0" w:beforeAutospacing="0" w:after="0" w:afterAutospacing="0" w:line="360" w:lineRule="auto"/>
              <w:ind w:left="0" w:right="0" w:firstLine="420" w:firstLineChars="200"/>
              <w:jc w:val="cente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default"/>
                <w:sz w:val="21"/>
              </w:rPr>
              <mc:AlternateContent>
                <mc:Choice Requires="wpg">
                  <w:drawing>
                    <wp:anchor distT="0" distB="0" distL="114300" distR="114300" simplePos="0" relativeHeight="251661312" behindDoc="0" locked="0" layoutInCell="1" allowOverlap="1">
                      <wp:simplePos x="0" y="0"/>
                      <wp:positionH relativeFrom="column">
                        <wp:posOffset>1075690</wp:posOffset>
                      </wp:positionH>
                      <wp:positionV relativeFrom="paragraph">
                        <wp:posOffset>15875</wp:posOffset>
                      </wp:positionV>
                      <wp:extent cx="2854325" cy="794385"/>
                      <wp:effectExtent l="0" t="0" r="0" b="0"/>
                      <wp:wrapNone/>
                      <wp:docPr id="19" name="组合 19"/>
                      <wp:cNvGraphicFramePr/>
                      <a:graphic xmlns:a="http://schemas.openxmlformats.org/drawingml/2006/main">
                        <a:graphicData uri="http://schemas.microsoft.com/office/word/2010/wordprocessingGroup">
                          <wpg:wgp>
                            <wpg:cNvGrpSpPr/>
                            <wpg:grpSpPr>
                              <a:xfrm>
                                <a:off x="0" y="0"/>
                                <a:ext cx="2854325" cy="794385"/>
                                <a:chOff x="2698" y="242596"/>
                                <a:chExt cx="4495" cy="1251"/>
                              </a:xfrm>
                            </wpg:grpSpPr>
                            <wps:wsp>
                              <wps:cNvPr id="2" name="直接箭头连接符 91"/>
                              <wps:cNvCnPr/>
                              <wps:spPr>
                                <a:xfrm>
                                  <a:off x="3954" y="242814"/>
                                  <a:ext cx="534" cy="10"/>
                                </a:xfrm>
                                <a:prstGeom prst="straightConnector1">
                                  <a:avLst/>
                                </a:prstGeom>
                                <a:ln w="9525" cap="flat" cmpd="sng">
                                  <a:solidFill>
                                    <a:srgbClr val="000000"/>
                                  </a:solidFill>
                                  <a:prstDash val="solid"/>
                                  <a:headEnd type="none" w="med" len="med"/>
                                  <a:tailEnd type="triangle" w="med" len="med"/>
                                </a:ln>
                              </wps:spPr>
                              <wps:bodyPr/>
                            </wps:wsp>
                            <wps:wsp>
                              <wps:cNvPr id="3" name="矩形 92"/>
                              <wps:cNvSpPr/>
                              <wps:spPr>
                                <a:xfrm>
                                  <a:off x="4488" y="242645"/>
                                  <a:ext cx="1174" cy="418"/>
                                </a:xfrm>
                                <a:prstGeom prst="rect">
                                  <a:avLst/>
                                </a:prstGeom>
                                <a:noFill/>
                                <a:ln w="9525" cap="flat" cmpd="sng">
                                  <a:solidFill>
                                    <a:srgbClr val="000000"/>
                                  </a:solidFill>
                                  <a:prstDash val="solid"/>
                                  <a:miter/>
                                  <a:headEnd type="none" w="med" len="med"/>
                                  <a:tailEnd type="none" w="med" len="med"/>
                                </a:ln>
                              </wps:spPr>
                              <wps:txbx>
                                <w:txbxContent>
                                  <w:p>
                                    <w:pPr>
                                      <w:pStyle w:val="20"/>
                                      <w:spacing w:line="240" w:lineRule="auto"/>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进库仓储</w:t>
                                    </w:r>
                                  </w:p>
                                </w:txbxContent>
                              </wps:txbx>
                              <wps:bodyPr upright="1"/>
                            </wps:wsp>
                            <wps:wsp>
                              <wps:cNvPr id="6" name="直接箭头连接符 94"/>
                              <wps:cNvCnPr/>
                              <wps:spPr>
                                <a:xfrm>
                                  <a:off x="5669" y="242855"/>
                                  <a:ext cx="508" cy="0"/>
                                </a:xfrm>
                                <a:prstGeom prst="straightConnector1">
                                  <a:avLst/>
                                </a:prstGeom>
                                <a:ln w="9525" cap="flat" cmpd="sng">
                                  <a:solidFill>
                                    <a:srgbClr val="000000"/>
                                  </a:solidFill>
                                  <a:prstDash val="solid"/>
                                  <a:headEnd type="none" w="med" len="med"/>
                                  <a:tailEnd type="triangle" w="med" len="med"/>
                                </a:ln>
                              </wps:spPr>
                              <wps:bodyPr/>
                            </wps:wsp>
                            <wps:wsp>
                              <wps:cNvPr id="10" name="矩形 101"/>
                              <wps:cNvSpPr/>
                              <wps:spPr>
                                <a:xfrm>
                                  <a:off x="2698" y="242596"/>
                                  <a:ext cx="1405" cy="418"/>
                                </a:xfrm>
                                <a:prstGeom prst="rect">
                                  <a:avLst/>
                                </a:prstGeom>
                                <a:noFill/>
                                <a:ln>
                                  <a:noFill/>
                                </a:ln>
                              </wps:spPr>
                              <wps:txbx>
                                <w:txbxContent>
                                  <w:p>
                                    <w:pPr>
                                      <w:pStyle w:val="20"/>
                                      <w:spacing w:line="240" w:lineRule="auto"/>
                                      <w:jc w:val="center"/>
                                      <w:textAlignment w:val="center"/>
                                      <w:rPr>
                                        <w:rFonts w:hint="default" w:eastAsia="黑体"/>
                                        <w:lang w:val="en-US" w:eastAsia="zh-CN"/>
                                      </w:rPr>
                                    </w:pPr>
                                    <w:r>
                                      <w:rPr>
                                        <w:rFonts w:hint="eastAsia" w:ascii="Times New Roman" w:hAnsi="Times New Roman" w:eastAsia="宋体"/>
                                        <w:kern w:val="2"/>
                                        <w:sz w:val="21"/>
                                        <w:szCs w:val="21"/>
                                        <w:lang w:val="en-US" w:eastAsia="zh-CN"/>
                                      </w:rPr>
                                      <w:t>外购粉煤灰</w:t>
                                    </w:r>
                                  </w:p>
                                </w:txbxContent>
                              </wps:txbx>
                              <wps:bodyPr upright="1"/>
                            </wps:wsp>
                            <wps:wsp>
                              <wps:cNvPr id="11" name="矩形 32"/>
                              <wps:cNvSpPr/>
                              <wps:spPr>
                                <a:xfrm>
                                  <a:off x="6175" y="242634"/>
                                  <a:ext cx="814" cy="441"/>
                                </a:xfrm>
                                <a:prstGeom prst="rect">
                                  <a:avLst/>
                                </a:prstGeom>
                                <a:noFill/>
                                <a:ln w="9525" cap="flat" cmpd="sng">
                                  <a:solidFill>
                                    <a:srgbClr val="000000"/>
                                  </a:solidFill>
                                  <a:prstDash val="solid"/>
                                  <a:miter/>
                                  <a:headEnd type="none" w="med" len="med"/>
                                  <a:tailEnd type="none" w="med" len="med"/>
                                </a:ln>
                              </wps:spPr>
                              <wps:txbx>
                                <w:txbxContent>
                                  <w:p>
                                    <w:pPr>
                                      <w:pStyle w:val="20"/>
                                      <w:spacing w:line="240" w:lineRule="auto"/>
                                      <w:jc w:val="center"/>
                                      <w:textAlignment w:val="center"/>
                                    </w:pPr>
                                    <w:r>
                                      <w:rPr>
                                        <w:rFonts w:hint="eastAsia" w:ascii="Times New Roman" w:hAnsi="Times New Roman" w:eastAsia="宋体"/>
                                        <w:kern w:val="2"/>
                                        <w:sz w:val="21"/>
                                        <w:szCs w:val="21"/>
                                        <w:lang w:val="en-US" w:eastAsia="zh-CN"/>
                                      </w:rPr>
                                      <w:t>出库</w:t>
                                    </w:r>
                                  </w:p>
                                </w:txbxContent>
                              </wps:txbx>
                              <wps:bodyPr upright="1"/>
                            </wps:wsp>
                            <wps:wsp>
                              <wps:cNvPr id="12" name="直接连接符 12"/>
                              <wps:cNvCnPr>
                                <a:stCxn id="3" idx="2"/>
                              </wps:cNvCnPr>
                              <wps:spPr>
                                <a:xfrm flipH="1">
                                  <a:off x="5073" y="243063"/>
                                  <a:ext cx="2" cy="437"/>
                                </a:xfrm>
                                <a:prstGeom prst="line">
                                  <a:avLst/>
                                </a:prstGeom>
                                <a:ln>
                                  <a:solidFill>
                                    <a:schemeClr val="tx1"/>
                                  </a:solidFill>
                                  <a:prstDash val="dash"/>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13" name="直接连接符 13"/>
                              <wps:cNvCnPr/>
                              <wps:spPr>
                                <a:xfrm flipH="1">
                                  <a:off x="6495" y="243082"/>
                                  <a:ext cx="2" cy="437"/>
                                </a:xfrm>
                                <a:prstGeom prst="line">
                                  <a:avLst/>
                                </a:prstGeom>
                                <a:ln>
                                  <a:solidFill>
                                    <a:schemeClr val="tx1"/>
                                  </a:solidFill>
                                  <a:prstDash val="dash"/>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14" name="矩形 101"/>
                              <wps:cNvSpPr/>
                              <wps:spPr>
                                <a:xfrm>
                                  <a:off x="4376" y="243418"/>
                                  <a:ext cx="1405" cy="418"/>
                                </a:xfrm>
                                <a:prstGeom prst="rect">
                                  <a:avLst/>
                                </a:prstGeom>
                                <a:noFill/>
                                <a:ln>
                                  <a:noFill/>
                                </a:ln>
                              </wps:spPr>
                              <wps:txbx>
                                <w:txbxContent>
                                  <w:p>
                                    <w:pPr>
                                      <w:pStyle w:val="20"/>
                                      <w:spacing w:line="240" w:lineRule="auto"/>
                                      <w:jc w:val="center"/>
                                      <w:textAlignment w:val="center"/>
                                      <w:rPr>
                                        <w:rFonts w:hint="default" w:eastAsia="黑体"/>
                                        <w:lang w:val="en-US" w:eastAsia="zh-CN"/>
                                      </w:rPr>
                                    </w:pPr>
                                    <w:r>
                                      <w:rPr>
                                        <w:rFonts w:hint="eastAsia" w:ascii="Times New Roman" w:hAnsi="Times New Roman" w:eastAsia="宋体"/>
                                        <w:kern w:val="2"/>
                                        <w:sz w:val="21"/>
                                        <w:szCs w:val="21"/>
                                        <w:lang w:val="en-US" w:eastAsia="zh-CN"/>
                                      </w:rPr>
                                      <w:t>粉尘、噪声</w:t>
                                    </w:r>
                                  </w:p>
                                </w:txbxContent>
                              </wps:txbx>
                              <wps:bodyPr upright="1"/>
                            </wps:wsp>
                            <wps:wsp>
                              <wps:cNvPr id="17" name="矩形 101"/>
                              <wps:cNvSpPr/>
                              <wps:spPr>
                                <a:xfrm>
                                  <a:off x="5789" y="243429"/>
                                  <a:ext cx="1405" cy="418"/>
                                </a:xfrm>
                                <a:prstGeom prst="rect">
                                  <a:avLst/>
                                </a:prstGeom>
                                <a:noFill/>
                                <a:ln>
                                  <a:noFill/>
                                </a:ln>
                              </wps:spPr>
                              <wps:txbx>
                                <w:txbxContent>
                                  <w:p>
                                    <w:pPr>
                                      <w:pStyle w:val="20"/>
                                      <w:spacing w:line="240" w:lineRule="auto"/>
                                      <w:jc w:val="center"/>
                                      <w:textAlignment w:val="center"/>
                                      <w:rPr>
                                        <w:rFonts w:hint="default" w:eastAsia="黑体"/>
                                        <w:lang w:val="en-US" w:eastAsia="zh-CN"/>
                                      </w:rPr>
                                    </w:pPr>
                                    <w:r>
                                      <w:rPr>
                                        <w:rFonts w:hint="eastAsia" w:ascii="Times New Roman" w:hAnsi="Times New Roman" w:eastAsia="宋体"/>
                                        <w:kern w:val="2"/>
                                        <w:sz w:val="21"/>
                                        <w:szCs w:val="21"/>
                                        <w:lang w:val="en-US" w:eastAsia="zh-CN"/>
                                      </w:rPr>
                                      <w:t>粉尘、噪声</w:t>
                                    </w:r>
                                  </w:p>
                                </w:txbxContent>
                              </wps:txbx>
                              <wps:bodyPr upright="1"/>
                            </wps:wsp>
                          </wpg:wgp>
                        </a:graphicData>
                      </a:graphic>
                    </wp:anchor>
                  </w:drawing>
                </mc:Choice>
                <mc:Fallback>
                  <w:pict>
                    <v:group id="_x0000_s1026" o:spid="_x0000_s1026" o:spt="203" style="position:absolute;left:0pt;margin-left:84.7pt;margin-top:1.25pt;height:62.55pt;width:224.75pt;z-index:251661312;mso-width-relative:page;mso-height-relative:page;" coordorigin="2698,242596" coordsize="4495,1251" o:gfxdata="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">
                      <o:lock v:ext="edit" aspectratio="f"/>
                      <v:shape id="直接箭头连接符 91" o:spid="_x0000_s1026" o:spt="32" type="#_x0000_t32" style="position:absolute;left:3954;top:242814;height:10;width:534;" filled="f" stroked="t" coordsize="21600,21600" o:gfxdata="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cQ6K8AAAA&#10;2g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矩形 92" o:spid="_x0000_s1026" o:spt="1" style="position:absolute;left:4488;top:242645;height:418;width:1174;" filled="f" stroked="t" coordsize="21600,21600" o:gfxdata="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6zHw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pPr>
                                <w:pStyle w:val="20"/>
                                <w:spacing w:line="240" w:lineRule="auto"/>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进库仓储</w:t>
                              </w:r>
                            </w:p>
                          </w:txbxContent>
                        </v:textbox>
                      </v:rect>
                      <v:shape id="直接箭头连接符 94" o:spid="_x0000_s1026" o:spt="32" type="#_x0000_t32" style="position:absolute;left:5669;top:242855;height:0;width:508;" filled="f" stroked="t" coordsize="21600,21600" o:gfxdata="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fnRaG8AAAA&#10;2g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矩形 101" o:spid="_x0000_s1026" o:spt="1" style="position:absolute;left:2698;top:242596;height:418;width:1405;" filled="f" stroked="f" coordsize="21600,21600" o:gfxdata="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P6Q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20"/>
                                <w:spacing w:line="240" w:lineRule="auto"/>
                                <w:jc w:val="center"/>
                                <w:textAlignment w:val="center"/>
                                <w:rPr>
                                  <w:rFonts w:hint="default" w:eastAsia="黑体"/>
                                  <w:lang w:val="en-US" w:eastAsia="zh-CN"/>
                                </w:rPr>
                              </w:pPr>
                              <w:r>
                                <w:rPr>
                                  <w:rFonts w:hint="eastAsia" w:ascii="Times New Roman" w:hAnsi="Times New Roman" w:eastAsia="宋体"/>
                                  <w:kern w:val="2"/>
                                  <w:sz w:val="21"/>
                                  <w:szCs w:val="21"/>
                                  <w:lang w:val="en-US" w:eastAsia="zh-CN"/>
                                </w:rPr>
                                <w:t>外购粉煤灰</w:t>
                              </w:r>
                            </w:p>
                          </w:txbxContent>
                        </v:textbox>
                      </v:rect>
                      <v:rect id="矩形 32" o:spid="_x0000_s1026" o:spt="1" style="position:absolute;left:6175;top:242634;height:441;width:814;" filled="f" stroked="t" coordsize="21600,21600" o:gfxdata="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Cij8S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pStyle w:val="20"/>
                                <w:spacing w:line="240" w:lineRule="auto"/>
                                <w:jc w:val="center"/>
                                <w:textAlignment w:val="center"/>
                              </w:pPr>
                              <w:r>
                                <w:rPr>
                                  <w:rFonts w:hint="eastAsia" w:ascii="Times New Roman" w:hAnsi="Times New Roman" w:eastAsia="宋体"/>
                                  <w:kern w:val="2"/>
                                  <w:sz w:val="21"/>
                                  <w:szCs w:val="21"/>
                                  <w:lang w:val="en-US" w:eastAsia="zh-CN"/>
                                </w:rPr>
                                <w:t>出库</w:t>
                              </w:r>
                            </w:p>
                          </w:txbxContent>
                        </v:textbox>
                      </v:rect>
                      <v:line id="_x0000_s1026" o:spid="_x0000_s1026" o:spt="20" style="position:absolute;left:5073;top:243063;flip:x;height:437;width:2;" filled="f" stroked="t" coordsize="21600,21600" o:gfxdata="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VaZuC2AAAA2wAAAA8A&#10;AAAAAAAAAQAgAAAAIgAAAGRycy9kb3ducmV2LnhtbFBLAQIUABQAAAAIAIdO4kAzLwWeOwAAADkA&#10;AAAQAAAAAAAAAAEAIAAAAAUBAABkcnMvc2hhcGV4bWwueG1sUEsFBgAAAAAGAAYAWwEAAK8DAAAA&#10;AA==&#10;">
                        <v:fill on="f" focussize="0,0"/>
                        <v:stroke weight="1pt" color="#000000 [3213]" miterlimit="8" joinstyle="miter" dashstyle="dash" endarrow="block"/>
                        <v:imagedata o:title=""/>
                        <o:lock v:ext="edit" aspectratio="f"/>
                      </v:line>
                      <v:line id="_x0000_s1026" o:spid="_x0000_s1026" o:spt="20" style="position:absolute;left:6495;top:243082;flip:x;height:437;width:2;" filled="f" stroked="t" coordsize="21600,21600" o:gfxdata="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oWw3u5AAAA2wAA&#10;AA8AAAAAAAAAAQAgAAAAIgAAAGRycy9kb3ducmV2LnhtbFBLAQIUABQAAAAIAIdO4kAzLwWeOwAA&#10;ADkAAAAQAAAAAAAAAAEAIAAAAAgBAABkcnMvc2hhcGV4bWwueG1sUEsFBgAAAAAGAAYAWwEAALID&#10;AAAAAA==&#10;">
                        <v:fill on="f" focussize="0,0"/>
                        <v:stroke weight="1pt" color="#000000 [3213]" miterlimit="8" joinstyle="miter" dashstyle="dash" endarrow="block"/>
                        <v:imagedata o:title=""/>
                        <o:lock v:ext="edit" aspectratio="f"/>
                      </v:line>
                      <v:rect id="矩形 101" o:spid="_x0000_s1026" o:spt="1" style="position:absolute;left:4376;top:243418;height:418;width:1405;" filled="f" stroked="f" coordsize="21600,21600" o:gfxdata="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BKIT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pStyle w:val="20"/>
                                <w:spacing w:line="240" w:lineRule="auto"/>
                                <w:jc w:val="center"/>
                                <w:textAlignment w:val="center"/>
                                <w:rPr>
                                  <w:rFonts w:hint="default" w:eastAsia="黑体"/>
                                  <w:lang w:val="en-US" w:eastAsia="zh-CN"/>
                                </w:rPr>
                              </w:pPr>
                              <w:r>
                                <w:rPr>
                                  <w:rFonts w:hint="eastAsia" w:ascii="Times New Roman" w:hAnsi="Times New Roman" w:eastAsia="宋体"/>
                                  <w:kern w:val="2"/>
                                  <w:sz w:val="21"/>
                                  <w:szCs w:val="21"/>
                                  <w:lang w:val="en-US" w:eastAsia="zh-CN"/>
                                </w:rPr>
                                <w:t>粉尘、噪声</w:t>
                              </w:r>
                            </w:p>
                          </w:txbxContent>
                        </v:textbox>
                      </v:rect>
                      <v:rect id="矩形 101" o:spid="_x0000_s1026" o:spt="1" style="position:absolute;left:5789;top:243429;height:418;width:1405;" filled="f" stroked="f" coordsize="21600,21600" o:gfxdata="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9Y8Z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20"/>
                                <w:spacing w:line="240" w:lineRule="auto"/>
                                <w:jc w:val="center"/>
                                <w:textAlignment w:val="center"/>
                                <w:rPr>
                                  <w:rFonts w:hint="default" w:eastAsia="黑体"/>
                                  <w:lang w:val="en-US" w:eastAsia="zh-CN"/>
                                </w:rPr>
                              </w:pPr>
                              <w:r>
                                <w:rPr>
                                  <w:rFonts w:hint="eastAsia" w:ascii="Times New Roman" w:hAnsi="Times New Roman" w:eastAsia="宋体"/>
                                  <w:kern w:val="2"/>
                                  <w:sz w:val="21"/>
                                  <w:szCs w:val="21"/>
                                  <w:lang w:val="en-US" w:eastAsia="zh-CN"/>
                                </w:rPr>
                                <w:t>粉尘、噪声</w:t>
                              </w:r>
                            </w:p>
                          </w:txbxContent>
                        </v:textbox>
                      </v:rect>
                    </v:group>
                  </w:pict>
                </mc:Fallback>
              </mc:AlternateContent>
            </w:r>
          </w:p>
          <w:p>
            <w:pPr>
              <w:pStyle w:val="20"/>
              <w:keepNext w:val="0"/>
              <w:keepLines w:val="0"/>
              <w:widowControl w:val="0"/>
              <w:suppressLineNumbers w:val="0"/>
              <w:autoSpaceDE w:val="0"/>
              <w:autoSpaceDN/>
              <w:spacing w:before="0" w:beforeAutospacing="0" w:after="0" w:afterAutospacing="0" w:line="360" w:lineRule="auto"/>
              <w:ind w:left="0" w:right="0" w:firstLine="422" w:firstLineChars="200"/>
              <w:jc w:val="cente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p>
          <w:p>
            <w:pPr>
              <w:pStyle w:val="20"/>
              <w:keepNext w:val="0"/>
              <w:keepLines w:val="0"/>
              <w:widowControl w:val="0"/>
              <w:suppressLineNumbers w:val="0"/>
              <w:autoSpaceDE w:val="0"/>
              <w:autoSpaceDN/>
              <w:spacing w:before="0" w:beforeAutospacing="0" w:after="0" w:afterAutospacing="0" w:line="360" w:lineRule="auto"/>
              <w:ind w:left="0" w:right="0" w:firstLine="422" w:firstLineChars="200"/>
              <w:jc w:val="cente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p>
          <w:p>
            <w:pPr>
              <w:pStyle w:val="20"/>
              <w:keepNext w:val="0"/>
              <w:keepLines w:val="0"/>
              <w:widowControl w:val="0"/>
              <w:suppressLineNumbers w:val="0"/>
              <w:autoSpaceDE w:val="0"/>
              <w:autoSpaceDN/>
              <w:spacing w:before="0" w:beforeAutospacing="0" w:after="0" w:afterAutospacing="0" w:line="360" w:lineRule="auto"/>
              <w:ind w:left="0" w:right="0" w:firstLine="422" w:firstLineChars="200"/>
              <w:jc w:val="cente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图2-</w:t>
            </w: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运营期</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生产工艺及产污节点图</w:t>
            </w:r>
          </w:p>
          <w:p>
            <w:pPr>
              <w:pStyle w:val="20"/>
              <w:keepNext w:val="0"/>
              <w:keepLines w:val="0"/>
              <w:pageBreakBefore/>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center"/>
              <w:rPr>
                <w:rFonts w:hint="default" w:ascii="Times New Roman" w:hAnsi="Times New Roman" w:eastAsia="宋体" w:cs="Times New Roman"/>
                <w:color w:val="FF0000"/>
                <w:sz w:val="21"/>
                <w:szCs w:val="24"/>
              </w:rPr>
            </w:pPr>
            <w:r>
              <w:rPr>
                <w:rFonts w:hint="default" w:ascii="Times New Roman" w:hAnsi="Times New Roman" w:eastAsia="宋体" w:cs="Times New Roman"/>
                <w:color w:val="FF0000"/>
                <w:sz w:val="21"/>
                <w:szCs w:val="24"/>
              </w:rPr>
              <w:t>（1）外购粉煤灰：新疆金桥金新型建材有限公司从</w:t>
            </w:r>
            <w:r>
              <w:rPr>
                <w:rFonts w:hint="eastAsia" w:ascii="Times New Roman" w:hAnsi="Times New Roman" w:eastAsia="宋体" w:cs="Times New Roman"/>
                <w:color w:val="FF0000"/>
                <w:sz w:val="21"/>
                <w:szCs w:val="24"/>
                <w:lang w:val="en-US" w:eastAsia="zh-CN"/>
              </w:rPr>
              <w:t>市场外购</w:t>
            </w:r>
            <w:r>
              <w:rPr>
                <w:rFonts w:hint="default" w:ascii="Times New Roman" w:hAnsi="Times New Roman" w:eastAsia="宋体" w:cs="Times New Roman"/>
                <w:color w:val="FF0000"/>
                <w:sz w:val="21"/>
                <w:szCs w:val="24"/>
              </w:rPr>
              <w:t>粉煤灰进行销售，对需要</w:t>
            </w:r>
            <w:r>
              <w:rPr>
                <w:rFonts w:hint="eastAsia" w:ascii="Times New Roman" w:hAnsi="Times New Roman" w:eastAsia="宋体" w:cs="Times New Roman"/>
                <w:color w:val="FF0000"/>
                <w:sz w:val="21"/>
                <w:szCs w:val="24"/>
                <w:lang w:val="en-US" w:eastAsia="zh-CN"/>
              </w:rPr>
              <w:t>外售</w:t>
            </w:r>
            <w:r>
              <w:rPr>
                <w:rFonts w:hint="default" w:ascii="Times New Roman" w:hAnsi="Times New Roman" w:eastAsia="宋体" w:cs="Times New Roman"/>
                <w:color w:val="FF0000"/>
                <w:sz w:val="21"/>
                <w:szCs w:val="24"/>
              </w:rPr>
              <w:t>的粉煤灰进行贮存。</w:t>
            </w:r>
          </w:p>
          <w:p>
            <w:pPr>
              <w:pStyle w:val="20"/>
              <w:keepNext w:val="0"/>
              <w:keepLines w:val="0"/>
              <w:pageBreakBefore/>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center"/>
              <w:rPr>
                <w:rFonts w:hint="eastAsia" w:ascii="Times New Roman" w:hAnsi="Times New Roman" w:eastAsia="宋体" w:cs="Times New Roman"/>
                <w:color w:val="FF0000"/>
                <w:sz w:val="21"/>
                <w:szCs w:val="24"/>
                <w:lang w:eastAsia="zh-CN"/>
              </w:rPr>
            </w:pPr>
            <w:r>
              <w:rPr>
                <w:rFonts w:hint="default" w:ascii="Times New Roman" w:hAnsi="Times New Roman" w:eastAsia="宋体" w:cs="Times New Roman"/>
                <w:color w:val="FF0000"/>
                <w:sz w:val="21"/>
                <w:szCs w:val="24"/>
              </w:rPr>
              <w:t>（2）进库：本项目粉煤灰进储备库时利用粉煤灰罐车内压力通过卸料预埋管从粉煤灰罐车底部进入粉煤灰储备库斗式提升机</w:t>
            </w:r>
            <w:r>
              <w:rPr>
                <w:rFonts w:hint="eastAsia" w:ascii="Times New Roman" w:hAnsi="Times New Roman" w:eastAsia="宋体" w:cs="Times New Roman"/>
                <w:color w:val="FF0000"/>
                <w:sz w:val="21"/>
                <w:szCs w:val="24"/>
                <w:lang w:eastAsia="zh-CN"/>
              </w:rPr>
              <w:t>，</w:t>
            </w:r>
            <w:r>
              <w:rPr>
                <w:rFonts w:hint="eastAsia" w:ascii="Times New Roman" w:hAnsi="Times New Roman" w:eastAsia="宋体" w:cs="Times New Roman"/>
                <w:color w:val="FF0000"/>
                <w:sz w:val="21"/>
                <w:szCs w:val="24"/>
                <w:lang w:val="en-US" w:eastAsia="zh-CN"/>
              </w:rPr>
              <w:t>然后</w:t>
            </w:r>
            <w:r>
              <w:rPr>
                <w:rFonts w:hint="default" w:ascii="Times New Roman" w:hAnsi="Times New Roman" w:eastAsia="宋体" w:cs="Times New Roman"/>
                <w:color w:val="FF0000"/>
                <w:sz w:val="21"/>
                <w:szCs w:val="24"/>
              </w:rPr>
              <w:t>输送至库顶，通过密闭布料溜槽入库堆存，储备库配套脉冲布袋除尘器处理进料呼吸粉尘</w:t>
            </w:r>
            <w:r>
              <w:rPr>
                <w:rFonts w:hint="eastAsia" w:ascii="Times New Roman" w:hAnsi="Times New Roman" w:eastAsia="宋体" w:cs="Times New Roman"/>
                <w:color w:val="FF0000"/>
                <w:sz w:val="21"/>
                <w:szCs w:val="24"/>
                <w:lang w:eastAsia="zh-CN"/>
              </w:rPr>
              <w:t>。</w:t>
            </w:r>
          </w:p>
          <w:p>
            <w:pPr>
              <w:pStyle w:val="20"/>
              <w:keepNext w:val="0"/>
              <w:keepLines w:val="0"/>
              <w:pageBreakBefore/>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center"/>
              <w:rPr>
                <w:rFonts w:hint="default" w:ascii="Times New Roman" w:hAnsi="Times New Roman" w:eastAsia="宋体" w:cs="Times New Roman"/>
                <w:color w:val="FF0000"/>
                <w:sz w:val="21"/>
                <w:szCs w:val="24"/>
              </w:rPr>
            </w:pPr>
            <w:r>
              <w:rPr>
                <w:rFonts w:hint="eastAsia" w:ascii="Times New Roman" w:hAnsi="Times New Roman" w:eastAsia="宋体" w:cs="Times New Roman"/>
                <w:color w:val="FF0000"/>
                <w:sz w:val="21"/>
                <w:szCs w:val="24"/>
                <w:lang w:eastAsia="zh-CN"/>
              </w:rPr>
              <w:t>（</w:t>
            </w:r>
            <w:r>
              <w:rPr>
                <w:rFonts w:hint="eastAsia" w:ascii="Times New Roman" w:hAnsi="Times New Roman" w:eastAsia="宋体" w:cs="Times New Roman"/>
                <w:color w:val="FF0000"/>
                <w:sz w:val="21"/>
                <w:szCs w:val="24"/>
                <w:lang w:val="en-US" w:eastAsia="zh-CN"/>
              </w:rPr>
              <w:t>3</w:t>
            </w:r>
            <w:r>
              <w:rPr>
                <w:rFonts w:hint="eastAsia" w:ascii="Times New Roman" w:hAnsi="Times New Roman" w:eastAsia="宋体" w:cs="Times New Roman"/>
                <w:color w:val="FF0000"/>
                <w:sz w:val="21"/>
                <w:szCs w:val="24"/>
                <w:lang w:eastAsia="zh-CN"/>
              </w:rPr>
              <w:t>）</w:t>
            </w:r>
            <w:r>
              <w:rPr>
                <w:rFonts w:hint="default" w:ascii="Times New Roman" w:hAnsi="Times New Roman" w:eastAsia="宋体" w:cs="Times New Roman"/>
                <w:color w:val="FF0000"/>
                <w:sz w:val="21"/>
                <w:szCs w:val="24"/>
              </w:rPr>
              <w:t>仓储</w:t>
            </w:r>
            <w:r>
              <w:rPr>
                <w:rFonts w:hint="eastAsia" w:ascii="Times New Roman" w:hAnsi="Times New Roman" w:eastAsia="宋体" w:cs="Times New Roman"/>
                <w:color w:val="FF0000"/>
                <w:sz w:val="21"/>
                <w:szCs w:val="24"/>
                <w:lang w:eastAsia="zh-CN"/>
              </w:rPr>
              <w:t>：粉煤灰密闭储存于球形网架库内，库底设置气化流化卸料系统，正常生产工况下，粉煤灰依靠库底气化装置流态化，经库底密闭输送廊道输出，实现出料全过程密闭管道输送。</w:t>
            </w:r>
            <w:r>
              <w:rPr>
                <w:rFonts w:hint="default" w:ascii="Times New Roman" w:hAnsi="Times New Roman" w:eastAsia="宋体" w:cs="Times New Roman"/>
                <w:color w:val="FF0000"/>
                <w:sz w:val="21"/>
                <w:szCs w:val="24"/>
              </w:rPr>
              <w:t>输送过程中储备库和管道都密闭，仓储过程中本项目严格按照粉煤灰的储存要求存放，设置通风、避光、密闭设施，并定期复查库存和设施完好情况。</w:t>
            </w:r>
          </w:p>
          <w:p>
            <w:pPr>
              <w:pStyle w:val="20"/>
              <w:keepNext w:val="0"/>
              <w:keepLines w:val="0"/>
              <w:pageBreakBefore/>
              <w:widowControl w:val="0"/>
              <w:numPr>
                <w:ilvl w:val="0"/>
                <w:numId w:val="0"/>
              </w:numPr>
              <w:suppressLineNumbers w:val="0"/>
              <w:kinsoku/>
              <w:wordWrap/>
              <w:overflowPunct/>
              <w:topLinePunct w:val="0"/>
              <w:autoSpaceDE w:val="0"/>
              <w:autoSpaceDN/>
              <w:bidi w:val="0"/>
              <w:adjustRightInd w:val="0"/>
              <w:snapToGrid w:val="0"/>
              <w:spacing w:before="0" w:beforeAutospacing="0" w:after="0" w:afterAutospacing="0" w:line="360" w:lineRule="auto"/>
              <w:ind w:left="0" w:right="0" w:rightChars="0" w:firstLine="420" w:firstLineChars="200"/>
              <w:jc w:val="both"/>
              <w:textAlignment w:val="center"/>
              <w:rPr>
                <w:rFonts w:hint="default" w:ascii="Times New Roman" w:hAnsi="Times New Roman" w:eastAsia="宋体" w:cs="Times New Roman"/>
                <w:color w:val="FF0000"/>
                <w:sz w:val="21"/>
                <w:szCs w:val="24"/>
              </w:rPr>
            </w:pPr>
            <w:r>
              <w:rPr>
                <w:rFonts w:hint="eastAsia" w:ascii="Times New Roman" w:hAnsi="Times New Roman" w:eastAsia="宋体" w:cs="Times New Roman"/>
                <w:color w:val="FF0000"/>
                <w:sz w:val="21"/>
                <w:szCs w:val="24"/>
                <w:lang w:eastAsia="zh-CN"/>
              </w:rPr>
              <w:t>（</w:t>
            </w:r>
            <w:r>
              <w:rPr>
                <w:rFonts w:hint="eastAsia" w:ascii="Times New Roman" w:hAnsi="Times New Roman" w:eastAsia="宋体" w:cs="Times New Roman"/>
                <w:color w:val="FF0000"/>
                <w:sz w:val="21"/>
                <w:szCs w:val="24"/>
                <w:lang w:val="en-US" w:eastAsia="zh-CN"/>
              </w:rPr>
              <w:t>4</w:t>
            </w:r>
            <w:r>
              <w:rPr>
                <w:rFonts w:hint="eastAsia" w:ascii="Times New Roman" w:hAnsi="Times New Roman" w:eastAsia="宋体" w:cs="Times New Roman"/>
                <w:color w:val="FF0000"/>
                <w:sz w:val="21"/>
                <w:szCs w:val="24"/>
                <w:lang w:eastAsia="zh-CN"/>
              </w:rPr>
              <w:t>）</w:t>
            </w:r>
            <w:r>
              <w:rPr>
                <w:rFonts w:hint="default" w:ascii="Times New Roman" w:hAnsi="Times New Roman" w:eastAsia="宋体" w:cs="Times New Roman"/>
                <w:color w:val="FF0000"/>
                <w:sz w:val="21"/>
                <w:szCs w:val="24"/>
              </w:rPr>
              <w:t>出库：库底密闭输送系统将粉煤灰输送至装车设施，密闭对接散装罐车外运</w:t>
            </w:r>
            <w:r>
              <w:rPr>
                <w:rFonts w:hint="eastAsia" w:ascii="Times New Roman" w:hAnsi="Times New Roman" w:eastAsia="宋体" w:cs="Times New Roman"/>
                <w:color w:val="FF0000"/>
                <w:sz w:val="21"/>
                <w:szCs w:val="24"/>
                <w:lang w:eastAsia="zh-CN"/>
              </w:rPr>
              <w:t>。</w:t>
            </w:r>
          </w:p>
          <w:p>
            <w:pPr>
              <w:pStyle w:val="20"/>
              <w:keepNext w:val="0"/>
              <w:keepLines w:val="0"/>
              <w:pageBreakBefore/>
              <w:widowControl w:val="0"/>
              <w:numPr>
                <w:ilvl w:val="0"/>
                <w:numId w:val="0"/>
              </w:numPr>
              <w:suppressLineNumbers w:val="0"/>
              <w:kinsoku/>
              <w:wordWrap/>
              <w:overflowPunct/>
              <w:topLinePunct w:val="0"/>
              <w:autoSpaceDE w:val="0"/>
              <w:autoSpaceDN/>
              <w:bidi w:val="0"/>
              <w:adjustRightInd w:val="0"/>
              <w:snapToGrid w:val="0"/>
              <w:spacing w:before="0" w:beforeAutospacing="0" w:after="0" w:afterAutospacing="0" w:line="360" w:lineRule="auto"/>
              <w:ind w:left="0" w:right="0" w:rightChars="0" w:firstLine="420" w:firstLineChars="200"/>
              <w:jc w:val="both"/>
              <w:textAlignment w:val="center"/>
              <w:rPr>
                <w:rFonts w:hint="eastAsia" w:ascii="Times New Roman" w:hAnsi="Times New Roman" w:eastAsia="宋体" w:cs="Times New Roman"/>
                <w:color w:val="000000" w:themeColor="text1"/>
                <w:sz w:val="21"/>
                <w:szCs w:val="24"/>
                <w:lang w:eastAsia="zh-CN"/>
                <w14:textFill>
                  <w14:solidFill>
                    <w14:schemeClr w14:val="tx1"/>
                  </w14:solidFill>
                </w14:textFill>
              </w:rPr>
            </w:pPr>
            <w:r>
              <w:rPr>
                <w:rFonts w:hint="eastAsia" w:ascii="Times New Roman" w:hAnsi="Times New Roman" w:eastAsia="宋体" w:cs="Times New Roman"/>
                <w:color w:val="FF0000"/>
                <w:sz w:val="21"/>
                <w:szCs w:val="24"/>
                <w:lang w:eastAsia="zh-CN"/>
              </w:rPr>
              <w:t>本项目配置的1台装载机不作为常态化出料设备，仅在库内粉煤灰发生板结结块、设备检修清库时临时使用，正常生产期间库内无装载机铲运作业；库内设置固定喷雾抑尘系统，清库作业时开启抑尘。库体整体密闭，物料储存、输送过程粉尘得到有效控制。</w:t>
            </w:r>
          </w:p>
          <w:p>
            <w:pPr>
              <w:pStyle w:val="31"/>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运营期主要污染工序及污染因子</w:t>
            </w:r>
            <w:r>
              <w:rPr>
                <w:rFonts w:hint="eastAsia" w:cs="Times New Roman"/>
                <w:color w:val="000000" w:themeColor="text1"/>
                <w:sz w:val="21"/>
                <w:szCs w:val="21"/>
                <w:lang w:val="en-US" w:eastAsia="zh-CN"/>
                <w14:textFill>
                  <w14:solidFill>
                    <w14:schemeClr w14:val="tx1"/>
                  </w14:solidFill>
                </w14:textFill>
              </w:rPr>
              <w:t>详见</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表2-</w:t>
            </w:r>
            <w:r>
              <w:rPr>
                <w:rFonts w:hint="eastAsia" w:cs="Times New Roman"/>
                <w:color w:val="000000" w:themeColor="text1"/>
                <w:sz w:val="21"/>
                <w:szCs w:val="21"/>
                <w:lang w:val="en-US" w:eastAsia="zh-CN"/>
                <w14:textFill>
                  <w14:solidFill>
                    <w14:schemeClr w14:val="tx1"/>
                  </w14:solidFill>
                </w14:textFill>
              </w:rPr>
              <w:t>8。</w:t>
            </w:r>
          </w:p>
          <w:p>
            <w:pPr>
              <w:pStyle w:val="3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表</w:t>
            </w:r>
            <w:r>
              <w:rPr>
                <w:rFonts w:hint="eastAsia" w:cs="Times New Roman"/>
                <w:b/>
                <w:bCs/>
                <w:color w:val="000000" w:themeColor="text1"/>
                <w:sz w:val="21"/>
                <w:szCs w:val="21"/>
                <w:lang w:val="en-US" w:eastAsia="zh-CN"/>
                <w14:textFill>
                  <w14:solidFill>
                    <w14:schemeClr w14:val="tx1"/>
                  </w14:solidFill>
                </w14:textFill>
              </w:rPr>
              <w:t>2-8</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 xml:space="preserve">  运营期主要污染工序一览表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93"/>
              <w:gridCol w:w="908"/>
              <w:gridCol w:w="2001"/>
              <w:gridCol w:w="2019"/>
              <w:gridCol w:w="2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92" w:type="pct"/>
                  <w:gridSpan w:val="2"/>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污染类别</w:t>
                  </w:r>
                </w:p>
              </w:tc>
              <w:tc>
                <w:tcPr>
                  <w:tcW w:w="1218"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污染源名称</w:t>
                  </w:r>
                </w:p>
              </w:tc>
              <w:tc>
                <w:tcPr>
                  <w:tcW w:w="122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产生工序</w:t>
                  </w:r>
                </w:p>
              </w:tc>
              <w:tc>
                <w:tcPr>
                  <w:tcW w:w="175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主要污染因子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39" w:type="pct"/>
                  <w:vMerge w:val="restar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废气</w:t>
                  </w:r>
                </w:p>
              </w:tc>
              <w:tc>
                <w:tcPr>
                  <w:tcW w:w="552"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有组织</w:t>
                  </w:r>
                </w:p>
              </w:tc>
              <w:tc>
                <w:tcPr>
                  <w:tcW w:w="1218"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cs="宋体"/>
                      <w:b w:val="0"/>
                      <w:bCs w:val="0"/>
                      <w:color w:val="000000" w:themeColor="text1"/>
                      <w:kern w:val="2"/>
                      <w:sz w:val="21"/>
                      <w:szCs w:val="21"/>
                      <w:lang w:val="en-US" w:eastAsia="zh-CN" w:bidi="ar"/>
                      <w14:textFill>
                        <w14:solidFill>
                          <w14:schemeClr w14:val="tx1"/>
                        </w14:solidFill>
                      </w14:textFill>
                    </w:rPr>
                    <w:t>贮存废气</w:t>
                  </w:r>
                </w:p>
              </w:tc>
              <w:tc>
                <w:tcPr>
                  <w:tcW w:w="122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贮存过程</w:t>
                  </w:r>
                </w:p>
              </w:tc>
              <w:tc>
                <w:tcPr>
                  <w:tcW w:w="175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颗粒物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39" w:type="pct"/>
                  <w:vMerge w:val="continue"/>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pPr>
                </w:p>
              </w:tc>
              <w:tc>
                <w:tcPr>
                  <w:tcW w:w="552"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无组织</w:t>
                  </w:r>
                </w:p>
              </w:tc>
              <w:tc>
                <w:tcPr>
                  <w:tcW w:w="1218"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cs="宋体"/>
                      <w:b w:val="0"/>
                      <w:bCs w:val="0"/>
                      <w:color w:val="000000" w:themeColor="text1"/>
                      <w:kern w:val="2"/>
                      <w:sz w:val="21"/>
                      <w:szCs w:val="21"/>
                      <w:lang w:val="en-US" w:eastAsia="zh-CN" w:bidi="ar"/>
                      <w14:textFill>
                        <w14:solidFill>
                          <w14:schemeClr w14:val="tx1"/>
                        </w14:solidFill>
                      </w14:textFill>
                    </w:rPr>
                    <w:t>运输扬尘</w:t>
                  </w:r>
                </w:p>
              </w:tc>
              <w:tc>
                <w:tcPr>
                  <w:tcW w:w="122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cs="宋体"/>
                      <w:b w:val="0"/>
                      <w:bCs w:val="0"/>
                      <w:color w:val="000000" w:themeColor="text1"/>
                      <w:kern w:val="2"/>
                      <w:sz w:val="21"/>
                      <w:szCs w:val="21"/>
                      <w:lang w:val="en-US" w:eastAsia="zh-CN" w:bidi="ar"/>
                      <w14:textFill>
                        <w14:solidFill>
                          <w14:schemeClr w14:val="tx1"/>
                        </w14:solidFill>
                      </w14:textFill>
                    </w:rPr>
                    <w:t>运输</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过程</w:t>
                  </w:r>
                </w:p>
              </w:tc>
              <w:tc>
                <w:tcPr>
                  <w:tcW w:w="175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颗粒物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792" w:type="pct"/>
                  <w:gridSpan w:val="2"/>
                  <w:vMerge w:val="restar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废水</w:t>
                  </w:r>
                </w:p>
              </w:tc>
              <w:tc>
                <w:tcPr>
                  <w:tcW w:w="1218"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生活污水</w:t>
                  </w:r>
                </w:p>
              </w:tc>
              <w:tc>
                <w:tcPr>
                  <w:tcW w:w="122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职工生活</w:t>
                  </w:r>
                </w:p>
              </w:tc>
              <w:tc>
                <w:tcPr>
                  <w:tcW w:w="175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COD、BOD</w:t>
                  </w:r>
                  <w:r>
                    <w:rPr>
                      <w:rFonts w:hint="default" w:ascii="Times New Roman" w:hAnsi="Times New Roman" w:eastAsia="宋体" w:cs="Times New Roman"/>
                      <w:b w:val="0"/>
                      <w:bCs w:val="0"/>
                      <w:color w:val="000000" w:themeColor="text1"/>
                      <w:kern w:val="2"/>
                      <w:sz w:val="21"/>
                      <w:szCs w:val="21"/>
                      <w:vertAlign w:val="subscript"/>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、SS、NH</w:t>
                  </w:r>
                  <w:r>
                    <w:rPr>
                      <w:rFonts w:hint="default" w:ascii="Times New Roman" w:hAnsi="Times New Roman" w:eastAsia="宋体" w:cs="Times New Roman"/>
                      <w:b w:val="0"/>
                      <w:bCs w:val="0"/>
                      <w:color w:val="000000" w:themeColor="text1"/>
                      <w:kern w:val="2"/>
                      <w:sz w:val="21"/>
                      <w:szCs w:val="21"/>
                      <w:vertAlign w:val="subscript"/>
                      <w:lang w:val="en-US" w:eastAsia="zh-CN" w:bidi="ar"/>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92" w:type="pct"/>
                  <w:gridSpan w:val="2"/>
                  <w:vMerge w:val="restar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噪声</w:t>
                  </w:r>
                </w:p>
              </w:tc>
              <w:tc>
                <w:tcPr>
                  <w:tcW w:w="1218" w:type="pct"/>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生产设备噪声</w:t>
                  </w:r>
                </w:p>
              </w:tc>
              <w:tc>
                <w:tcPr>
                  <w:tcW w:w="122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生产过程</w:t>
                  </w:r>
                </w:p>
              </w:tc>
              <w:tc>
                <w:tcPr>
                  <w:tcW w:w="175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机械噪声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92" w:type="pct"/>
                  <w:gridSpan w:val="2"/>
                  <w:vMerge w:val="continue"/>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lang w:val="en-US" w:eastAsia="zh-CN"/>
                      <w14:textFill>
                        <w14:solidFill>
                          <w14:schemeClr w14:val="tx1"/>
                        </w14:solidFill>
                      </w14:textFill>
                    </w:rPr>
                  </w:pPr>
                </w:p>
              </w:tc>
              <w:tc>
                <w:tcPr>
                  <w:tcW w:w="1218" w:type="pct"/>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运输车辆噪声</w:t>
                  </w:r>
                </w:p>
              </w:tc>
              <w:tc>
                <w:tcPr>
                  <w:tcW w:w="122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运输过程</w:t>
                  </w:r>
                </w:p>
              </w:tc>
              <w:tc>
                <w:tcPr>
                  <w:tcW w:w="175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车辆噪声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792" w:type="pct"/>
                  <w:gridSpan w:val="2"/>
                  <w:vMerge w:val="restar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固废</w:t>
                  </w:r>
                </w:p>
              </w:tc>
              <w:tc>
                <w:tcPr>
                  <w:tcW w:w="1218"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生产固废</w:t>
                  </w:r>
                </w:p>
              </w:tc>
              <w:tc>
                <w:tcPr>
                  <w:tcW w:w="122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整个生产过程</w:t>
                  </w:r>
                </w:p>
              </w:tc>
              <w:tc>
                <w:tcPr>
                  <w:tcW w:w="175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除尘器收集粉尘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pct"/>
                  <w:gridSpan w:val="2"/>
                  <w:vMerge w:val="continue"/>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lang w:val="en-US" w:eastAsia="zh-CN"/>
                      <w14:textFill>
                        <w14:solidFill>
                          <w14:schemeClr w14:val="tx1"/>
                        </w14:solidFill>
                      </w14:textFill>
                    </w:rPr>
                  </w:pPr>
                </w:p>
              </w:tc>
              <w:tc>
                <w:tcPr>
                  <w:tcW w:w="1218"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生活垃圾</w:t>
                  </w:r>
                </w:p>
              </w:tc>
              <w:tc>
                <w:tcPr>
                  <w:tcW w:w="122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职工</w:t>
                  </w:r>
                  <w:r>
                    <w:rPr>
                      <w:rFonts w:hint="eastAsia" w:ascii="宋体" w:hAnsi="宋体" w:cs="宋体"/>
                      <w:b w:val="0"/>
                      <w:bCs w:val="0"/>
                      <w:color w:val="000000" w:themeColor="text1"/>
                      <w:kern w:val="2"/>
                      <w:sz w:val="21"/>
                      <w:szCs w:val="21"/>
                      <w:lang w:val="en-US" w:eastAsia="zh-CN" w:bidi="ar"/>
                      <w14:textFill>
                        <w14:solidFill>
                          <w14:schemeClr w14:val="tx1"/>
                        </w14:solidFill>
                      </w14:textFill>
                    </w:rPr>
                    <w:t>办公</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生活</w:t>
                  </w:r>
                </w:p>
              </w:tc>
              <w:tc>
                <w:tcPr>
                  <w:tcW w:w="1759"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生活垃圾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pct"/>
                  <w:gridSpan w:val="2"/>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生态</w:t>
                  </w:r>
                </w:p>
              </w:tc>
              <w:tc>
                <w:tcPr>
                  <w:tcW w:w="4207" w:type="pct"/>
                  <w:gridSpan w:val="3"/>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基本不对当地生态环境产生影响</w:t>
                  </w:r>
                </w:p>
              </w:tc>
            </w:tr>
          </w:tbl>
          <w:p>
            <w:pPr>
              <w:pStyle w:val="3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tcBorders>
              <w:top w:val="single" w:color="auto" w:sz="8" w:space="0"/>
              <w:left w:val="single" w:color="auto" w:sz="8" w:space="0"/>
              <w:bottom w:val="single" w:color="auto" w:sz="4" w:space="0"/>
              <w:right w:val="single" w:color="auto" w:sz="4" w:space="0"/>
            </w:tcBorders>
            <w:shd w:val="clear" w:color="auto" w:fill="auto"/>
            <w:vAlign w:val="center"/>
          </w:tcPr>
          <w:p>
            <w:pPr>
              <w:keepNext w:val="0"/>
              <w:keepLines w:val="0"/>
              <w:pageBreakBefore w:val="0"/>
              <w:widowControl w:val="0"/>
              <w:suppressLineNumbers w:val="0"/>
              <w:tabs>
                <w:tab w:val="left" w:pos="1358"/>
              </w:tabs>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与项目有关的原有环境污染问题</w:t>
            </w:r>
          </w:p>
        </w:tc>
        <w:tc>
          <w:tcPr>
            <w:tcW w:w="8440" w:type="dxa"/>
            <w:tcBorders>
              <w:top w:val="single" w:color="auto" w:sz="8" w:space="0"/>
              <w:left w:val="single" w:color="auto" w:sz="4" w:space="0"/>
              <w:bottom w:val="single" w:color="auto" w:sz="4" w:space="0"/>
              <w:right w:val="single" w:color="auto" w:sz="8" w:space="0"/>
            </w:tcBorders>
            <w:shd w:val="clear" w:color="auto" w:fill="auto"/>
            <w:vAlign w:val="top"/>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lang w:val="en-US" w:eastAsia="zh-CN" w:bidi="ar"/>
              </w:rPr>
              <w:t>1</w:t>
            </w:r>
            <w:r>
              <w:rPr>
                <w:rFonts w:hint="eastAsia" w:ascii="宋体" w:hAnsi="宋体" w:eastAsia="宋体" w:cs="宋体"/>
                <w:b/>
                <w:bCs/>
                <w:kern w:val="0"/>
                <w:sz w:val="21"/>
                <w:szCs w:val="21"/>
                <w:lang w:val="en-US" w:eastAsia="zh-CN" w:bidi="ar"/>
              </w:rPr>
              <w:t>现有项目概况</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新</w:t>
            </w:r>
            <w:r>
              <w:rPr>
                <w:rFonts w:hint="default" w:ascii="Times New Roman" w:hAnsi="Times New Roman" w:eastAsia="宋体" w:cs="Times New Roman"/>
                <w:kern w:val="0"/>
                <w:sz w:val="21"/>
                <w:szCs w:val="21"/>
                <w:lang w:val="en-US" w:eastAsia="zh-CN" w:bidi="ar"/>
              </w:rPr>
              <w:t>疆金桥金新型建材有限公司2013年11月委托新疆净源环境咨询有限公司编制完成《新疆金桥金新型建材有限公司年产2000万m</w:t>
            </w:r>
            <w:r>
              <w:rPr>
                <w:rFonts w:hint="default" w:ascii="Times New Roman" w:hAnsi="Times New Roman" w:eastAsia="宋体" w:cs="Times New Roman"/>
                <w:kern w:val="0"/>
                <w:sz w:val="21"/>
                <w:szCs w:val="21"/>
                <w:vertAlign w:val="superscript"/>
                <w:lang w:val="en-US" w:eastAsia="zh-CN" w:bidi="ar"/>
              </w:rPr>
              <w:t>2</w:t>
            </w:r>
            <w:r>
              <w:rPr>
                <w:rFonts w:hint="default" w:ascii="Times New Roman" w:hAnsi="Times New Roman" w:eastAsia="宋体" w:cs="Times New Roman"/>
                <w:kern w:val="0"/>
                <w:sz w:val="21"/>
                <w:szCs w:val="21"/>
                <w:lang w:val="en-US" w:eastAsia="zh-CN" w:bidi="ar"/>
              </w:rPr>
              <w:t>防水卷材项目环境影响报告表》。2013年12月4日，原昌吉高新区环保局以昌高环管字〔2013〕46号文对</w:t>
            </w:r>
            <w:r>
              <w:rPr>
                <w:rFonts w:hint="eastAsia" w:ascii="宋体" w:hAnsi="宋体" w:eastAsia="宋体" w:cs="宋体"/>
                <w:kern w:val="0"/>
                <w:sz w:val="21"/>
                <w:szCs w:val="21"/>
                <w:lang w:val="en-US" w:eastAsia="zh-CN" w:bidi="ar"/>
              </w:rPr>
              <w:t>环境影响报告表进行了批复。</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kern w:val="0"/>
                <w:sz w:val="21"/>
                <w:szCs w:val="21"/>
                <w:lang w:val="en-US" w:eastAsia="zh-CN" w:bidi="ar"/>
              </w:rPr>
            </w:pPr>
            <w:r>
              <w:rPr>
                <w:rFonts w:hint="default" w:ascii="Times New Roman" w:hAnsi="Times New Roman" w:eastAsia="宋体" w:cs="Times New Roman"/>
                <w:kern w:val="0"/>
                <w:sz w:val="21"/>
                <w:szCs w:val="21"/>
                <w:lang w:val="en-US" w:eastAsia="zh-CN" w:bidi="ar"/>
              </w:rPr>
              <w:t>2015年3月12日，原昌吉高新区环保局</w:t>
            </w:r>
            <w:r>
              <w:rPr>
                <w:rFonts w:hint="eastAsia" w:ascii="宋体" w:hAnsi="宋体" w:eastAsia="宋体" w:cs="宋体"/>
                <w:kern w:val="0"/>
                <w:sz w:val="21"/>
                <w:szCs w:val="21"/>
                <w:lang w:val="en-US" w:eastAsia="zh-CN" w:bidi="ar"/>
              </w:rPr>
              <w:t>以“关于变更新疆金桥金新型建材有限公司</w:t>
            </w:r>
            <w:r>
              <w:rPr>
                <w:rFonts w:hint="default" w:ascii="Times New Roman" w:hAnsi="Times New Roman" w:eastAsia="宋体" w:cs="Times New Roman"/>
                <w:kern w:val="0"/>
                <w:sz w:val="21"/>
                <w:szCs w:val="21"/>
                <w:lang w:val="en-US" w:eastAsia="zh-CN" w:bidi="ar"/>
              </w:rPr>
              <w:t>年产2000万m</w:t>
            </w:r>
            <w:r>
              <w:rPr>
                <w:rFonts w:hint="eastAsia" w:ascii="Times New Roman" w:hAnsi="Times New Roman" w:eastAsia="宋体" w:cs="Times New Roman"/>
                <w:kern w:val="0"/>
                <w:sz w:val="21"/>
                <w:szCs w:val="21"/>
                <w:vertAlign w:val="superscript"/>
                <w:lang w:val="en-US" w:eastAsia="zh-CN" w:bidi="ar"/>
              </w:rPr>
              <w:t>2</w:t>
            </w:r>
            <w:r>
              <w:rPr>
                <w:rFonts w:hint="default" w:ascii="Times New Roman" w:hAnsi="Times New Roman" w:eastAsia="宋体" w:cs="Times New Roman"/>
                <w:kern w:val="0"/>
                <w:sz w:val="21"/>
                <w:szCs w:val="21"/>
                <w:lang w:val="en-US" w:eastAsia="zh-CN" w:bidi="ar"/>
              </w:rPr>
              <w:t>防水卷材项目名称为高聚合物改性沥青防水卷材新型环保生产线的复函</w:t>
            </w:r>
            <w:r>
              <w:rPr>
                <w:rFonts w:hint="eastAsia" w:ascii="Times New Roman" w:hAnsi="Times New Roman" w:eastAsia="宋体" w:cs="Times New Roman"/>
                <w:kern w:val="0"/>
                <w:sz w:val="21"/>
                <w:szCs w:val="21"/>
                <w:lang w:val="en-US" w:eastAsia="zh-CN" w:bidi="ar"/>
              </w:rPr>
              <w:t>（昌高环函〔2015〕16号）</w:t>
            </w:r>
            <w:r>
              <w:rPr>
                <w:rFonts w:hint="eastAsia" w:ascii="宋体" w:hAnsi="宋体" w:eastAsia="宋体" w:cs="宋体"/>
                <w:kern w:val="0"/>
                <w:sz w:val="21"/>
                <w:szCs w:val="21"/>
                <w:lang w:val="en-US" w:eastAsia="zh-CN" w:bidi="ar"/>
              </w:rPr>
              <w:t>”批准项目名称变更。复函明确：“环评报告表及批复中其他内容不变”。</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原有项目总投资</w:t>
            </w:r>
            <w:r>
              <w:rPr>
                <w:rFonts w:hint="eastAsia" w:ascii="Times New Roman" w:hAnsi="Times New Roman" w:eastAsia="宋体" w:cs="Times New Roman"/>
                <w:kern w:val="0"/>
                <w:sz w:val="21"/>
                <w:szCs w:val="21"/>
                <w:lang w:val="en-US" w:eastAsia="zh-CN" w:bidi="ar"/>
              </w:rPr>
              <w:t>32000</w:t>
            </w:r>
            <w:r>
              <w:rPr>
                <w:rFonts w:hint="eastAsia" w:ascii="宋体" w:hAnsi="宋体" w:eastAsia="宋体" w:cs="宋体"/>
                <w:kern w:val="0"/>
                <w:sz w:val="21"/>
                <w:szCs w:val="21"/>
                <w:lang w:val="en-US" w:eastAsia="zh-CN" w:bidi="ar"/>
              </w:rPr>
              <w:t>万元，环保投资</w:t>
            </w:r>
            <w:r>
              <w:rPr>
                <w:rFonts w:hint="eastAsia" w:ascii="Times New Roman" w:hAnsi="Times New Roman" w:eastAsia="宋体" w:cs="Times New Roman"/>
                <w:kern w:val="0"/>
                <w:sz w:val="21"/>
                <w:szCs w:val="21"/>
                <w:lang w:val="en-US" w:eastAsia="zh-CN" w:bidi="ar"/>
              </w:rPr>
              <w:t>149.5</w:t>
            </w:r>
            <w:r>
              <w:rPr>
                <w:rFonts w:hint="eastAsia" w:ascii="宋体" w:hAnsi="宋体" w:eastAsia="宋体" w:cs="宋体"/>
                <w:kern w:val="0"/>
                <w:sz w:val="21"/>
                <w:szCs w:val="21"/>
                <w:lang w:val="en-US" w:eastAsia="zh-CN" w:bidi="ar"/>
              </w:rPr>
              <w:t>万元，建设</w:t>
            </w:r>
            <w:r>
              <w:rPr>
                <w:rFonts w:hint="default" w:ascii="Times New Roman" w:hAnsi="Times New Roman" w:eastAsia="宋体" w:cs="Times New Roman"/>
                <w:kern w:val="0"/>
                <w:sz w:val="21"/>
                <w:szCs w:val="21"/>
                <w:lang w:val="en-US" w:eastAsia="zh-CN" w:bidi="ar"/>
              </w:rPr>
              <w:t>年产2000万m</w:t>
            </w:r>
            <w:r>
              <w:rPr>
                <w:rFonts w:hint="default" w:ascii="Times New Roman" w:hAnsi="Times New Roman" w:eastAsia="宋体" w:cs="Times New Roman"/>
                <w:kern w:val="0"/>
                <w:sz w:val="21"/>
                <w:szCs w:val="21"/>
                <w:vertAlign w:val="superscript"/>
                <w:lang w:val="en-US" w:eastAsia="zh-CN" w:bidi="ar"/>
              </w:rPr>
              <w:t>2</w:t>
            </w:r>
            <w:r>
              <w:rPr>
                <w:rFonts w:hint="default" w:ascii="Times New Roman" w:hAnsi="Times New Roman" w:eastAsia="宋体" w:cs="Times New Roman"/>
                <w:kern w:val="0"/>
                <w:sz w:val="21"/>
                <w:szCs w:val="21"/>
                <w:lang w:val="en-US" w:eastAsia="zh-CN" w:bidi="ar"/>
              </w:rPr>
              <w:t>防水卷材</w:t>
            </w:r>
            <w:r>
              <w:rPr>
                <w:rFonts w:hint="eastAsia" w:ascii="Times New Roman" w:hAnsi="Times New Roman" w:eastAsia="宋体" w:cs="Times New Roman"/>
                <w:kern w:val="0"/>
                <w:sz w:val="21"/>
                <w:szCs w:val="21"/>
                <w:lang w:val="en-US" w:eastAsia="zh-CN" w:bidi="ar"/>
              </w:rPr>
              <w:t>生产设备</w:t>
            </w:r>
            <w:r>
              <w:rPr>
                <w:rFonts w:hint="eastAsia" w:ascii="宋体" w:hAnsi="宋体" w:eastAsia="宋体" w:cs="宋体"/>
                <w:kern w:val="0"/>
                <w:sz w:val="21"/>
                <w:szCs w:val="21"/>
                <w:lang w:val="en-US" w:eastAsia="zh-CN" w:bidi="ar"/>
              </w:rPr>
              <w:t>。</w:t>
            </w:r>
            <w:r>
              <w:rPr>
                <w:rFonts w:hint="default" w:ascii="Times New Roman" w:hAnsi="Times New Roman" w:eastAsia="宋体" w:cs="Times New Roman"/>
                <w:kern w:val="0"/>
                <w:sz w:val="21"/>
                <w:szCs w:val="21"/>
                <w:lang w:val="en-US" w:eastAsia="zh-CN" w:bidi="ar"/>
              </w:rPr>
              <w:t>2023</w:t>
            </w:r>
            <w:r>
              <w:rPr>
                <w:rFonts w:hint="eastAsia" w:ascii="宋体" w:hAnsi="宋体" w:eastAsia="宋体" w:cs="宋体"/>
                <w:kern w:val="0"/>
                <w:sz w:val="21"/>
                <w:szCs w:val="21"/>
                <w:lang w:val="en-US" w:eastAsia="zh-CN" w:bidi="ar"/>
              </w:rPr>
              <w:t>年</w:t>
            </w:r>
            <w:r>
              <w:rPr>
                <w:rFonts w:hint="default" w:ascii="Times New Roman" w:hAnsi="Times New Roman" w:eastAsia="宋体" w:cs="Times New Roman"/>
                <w:kern w:val="0"/>
                <w:sz w:val="21"/>
                <w:szCs w:val="21"/>
                <w:lang w:val="en-US" w:eastAsia="zh-CN" w:bidi="ar"/>
              </w:rPr>
              <w:t>7</w:t>
            </w:r>
            <w:r>
              <w:rPr>
                <w:rFonts w:hint="eastAsia" w:ascii="宋体" w:hAnsi="宋体" w:eastAsia="宋体" w:cs="宋体"/>
                <w:kern w:val="0"/>
                <w:sz w:val="21"/>
                <w:szCs w:val="21"/>
                <w:lang w:val="en-US" w:eastAsia="zh-CN" w:bidi="ar"/>
              </w:rPr>
              <w:t>月</w:t>
            </w:r>
            <w:r>
              <w:rPr>
                <w:rFonts w:hint="default" w:ascii="Times New Roman" w:hAnsi="Times New Roman" w:eastAsia="宋体" w:cs="Times New Roman"/>
                <w:kern w:val="0"/>
                <w:sz w:val="21"/>
                <w:szCs w:val="21"/>
                <w:lang w:val="en-US" w:eastAsia="zh-CN" w:bidi="ar"/>
              </w:rPr>
              <w:t>7</w:t>
            </w:r>
            <w:r>
              <w:rPr>
                <w:rFonts w:hint="eastAsia" w:ascii="宋体" w:hAnsi="宋体" w:eastAsia="宋体" w:cs="宋体"/>
                <w:kern w:val="0"/>
                <w:sz w:val="21"/>
                <w:szCs w:val="21"/>
                <w:lang w:val="en-US" w:eastAsia="zh-CN" w:bidi="ar"/>
              </w:rPr>
              <w:t>日至</w:t>
            </w:r>
            <w:r>
              <w:rPr>
                <w:rFonts w:hint="default" w:ascii="Times New Roman" w:hAnsi="Times New Roman" w:eastAsia="宋体" w:cs="Times New Roman"/>
                <w:kern w:val="0"/>
                <w:sz w:val="21"/>
                <w:szCs w:val="21"/>
                <w:lang w:val="en-US" w:eastAsia="zh-CN" w:bidi="ar"/>
              </w:rPr>
              <w:t>8</w:t>
            </w:r>
            <w:r>
              <w:rPr>
                <w:rFonts w:hint="eastAsia" w:ascii="宋体" w:hAnsi="宋体" w:eastAsia="宋体" w:cs="宋体"/>
                <w:kern w:val="0"/>
                <w:sz w:val="21"/>
                <w:szCs w:val="21"/>
                <w:lang w:val="en-US" w:eastAsia="zh-CN" w:bidi="ar"/>
              </w:rPr>
              <w:t>日，新疆天蓝蓝环保技术服务有限公司对新疆金桥金新型建材有限公司高聚合物改性沥青防水卷材新型环保生产线项目进行竣工环保验收监测，编制完成了《新疆金桥金新型建材有限公司高聚合物改性沥青防水卷材新型环保生产线项目竣工环境保护验收监测报告》，经现场验收监测和调查，原有项目废气、废水和厂界噪声均达标排放，固废合理处置。</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jc w:val="both"/>
              <w:textAlignment w:val="auto"/>
              <w:rPr>
                <w:rFonts w:hint="eastAsia" w:ascii="Times New Roman" w:hAnsi="Times New Roman" w:eastAsia="宋体" w:cs="Times New Roman"/>
                <w:kern w:val="0"/>
                <w:sz w:val="21"/>
                <w:szCs w:val="21"/>
              </w:rPr>
            </w:pPr>
            <w:r>
              <w:rPr>
                <w:rFonts w:hint="default" w:ascii="Times New Roman" w:hAnsi="Times New Roman" w:eastAsia="宋体" w:cs="Times New Roman"/>
                <w:b/>
                <w:bCs/>
                <w:kern w:val="0"/>
                <w:sz w:val="21"/>
                <w:szCs w:val="21"/>
                <w:lang w:val="en-US" w:eastAsia="zh-CN" w:bidi="ar"/>
              </w:rPr>
              <w:t>2</w:t>
            </w:r>
            <w:r>
              <w:rPr>
                <w:rFonts w:hint="eastAsia" w:ascii="宋体" w:hAnsi="宋体" w:eastAsia="宋体" w:cs="宋体"/>
                <w:b/>
                <w:bCs/>
                <w:kern w:val="0"/>
                <w:sz w:val="21"/>
                <w:szCs w:val="21"/>
                <w:lang w:val="en-US" w:eastAsia="zh-CN" w:bidi="ar"/>
              </w:rPr>
              <w:t>与本项目有关的污染情况</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w:t>
            </w:r>
            <w:r>
              <w:rPr>
                <w:rFonts w:hint="default" w:ascii="Times New Roman" w:hAnsi="Times New Roman" w:eastAsia="宋体" w:cs="Times New Roman"/>
                <w:kern w:val="0"/>
                <w:sz w:val="21"/>
                <w:szCs w:val="21"/>
                <w:lang w:val="en-US" w:eastAsia="zh-CN" w:bidi="ar"/>
              </w:rPr>
              <w:t>1</w:t>
            </w:r>
            <w:r>
              <w:rPr>
                <w:rFonts w:hint="eastAsia" w:ascii="宋体" w:hAnsi="宋体" w:eastAsia="宋体" w:cs="宋体"/>
                <w:kern w:val="0"/>
                <w:sz w:val="21"/>
                <w:szCs w:val="21"/>
                <w:lang w:val="en-US" w:eastAsia="zh-CN" w:bidi="ar"/>
              </w:rPr>
              <w:t>）废气</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kern w:val="0"/>
                <w:sz w:val="21"/>
                <w:szCs w:val="21"/>
              </w:rPr>
            </w:pPr>
            <w:r>
              <w:rPr>
                <w:rFonts w:hint="eastAsia" w:ascii="宋体" w:hAnsi="宋体" w:cs="宋体"/>
                <w:kern w:val="0"/>
                <w:sz w:val="21"/>
                <w:szCs w:val="21"/>
                <w:lang w:val="en-US" w:eastAsia="zh-CN" w:bidi="ar"/>
              </w:rPr>
              <w:t>根据</w:t>
            </w:r>
            <w:r>
              <w:rPr>
                <w:rFonts w:hint="eastAsia" w:ascii="宋体" w:hAnsi="宋体" w:eastAsia="宋体" w:cs="宋体"/>
                <w:kern w:val="0"/>
                <w:sz w:val="21"/>
                <w:szCs w:val="21"/>
                <w:lang w:val="en-US" w:eastAsia="zh-CN" w:bidi="ar"/>
              </w:rPr>
              <w:t>《新疆金桥金新型建材有限公司高聚合物改性沥青防水卷材新型环保生产线项目竣工环境保护验收监测报告》</w:t>
            </w:r>
            <w:r>
              <w:rPr>
                <w:rFonts w:hint="eastAsia" w:ascii="宋体" w:hAnsi="宋体" w:cs="宋体"/>
                <w:kern w:val="0"/>
                <w:sz w:val="21"/>
                <w:szCs w:val="21"/>
                <w:lang w:val="en-US" w:eastAsia="zh-CN" w:bidi="ar"/>
              </w:rPr>
              <w:t>，</w:t>
            </w:r>
            <w:r>
              <w:rPr>
                <w:rFonts w:hint="eastAsia" w:ascii="宋体" w:hAnsi="宋体" w:eastAsia="宋体" w:cs="宋体"/>
                <w:kern w:val="0"/>
                <w:sz w:val="21"/>
                <w:szCs w:val="21"/>
                <w:lang w:val="en-US" w:eastAsia="zh-CN" w:bidi="ar"/>
              </w:rPr>
              <w:t>原有项目在加热、搅拌、输送时采用密闭罐体和管道，故未安装布袋除尘器。车间内沥青浸涂工序为封闭作业。项目安装沥青烟气活性炭吸附</w:t>
            </w:r>
            <w:r>
              <w:rPr>
                <w:rFonts w:hint="default" w:ascii="Times New Roman" w:hAnsi="Times New Roman" w:eastAsia="宋体" w:cs="Times New Roman"/>
                <w:kern w:val="0"/>
                <w:sz w:val="21"/>
                <w:szCs w:val="21"/>
                <w:lang w:val="en-US" w:eastAsia="zh-CN" w:bidi="ar"/>
              </w:rPr>
              <w:t>装置1套，设置15米高</w:t>
            </w:r>
            <w:r>
              <w:rPr>
                <w:rFonts w:hint="eastAsia" w:ascii="宋体" w:hAnsi="宋体" w:eastAsia="宋体" w:cs="宋体"/>
                <w:kern w:val="0"/>
                <w:sz w:val="21"/>
                <w:szCs w:val="21"/>
                <w:lang w:val="en-US" w:eastAsia="zh-CN" w:bidi="ar"/>
              </w:rPr>
              <w:t>排气筒高空排放；监测结果显示，</w:t>
            </w:r>
            <w:r>
              <w:rPr>
                <w:rFonts w:hint="default" w:ascii="Times New Roman" w:hAnsi="Times New Roman" w:eastAsia="宋体" w:cs="Times New Roman"/>
                <w:kern w:val="0"/>
                <w:sz w:val="21"/>
                <w:szCs w:val="21"/>
                <w:lang w:val="en-US" w:eastAsia="zh-CN" w:bidi="ar"/>
              </w:rPr>
              <w:t>有组织废气中，沥青烟最大值为38mg/m</w:t>
            </w:r>
            <w:r>
              <w:rPr>
                <w:rFonts w:hint="eastAsia" w:ascii="Times New Roman" w:hAnsi="Times New Roman" w:eastAsia="宋体" w:cs="Times New Roman"/>
                <w:kern w:val="0"/>
                <w:sz w:val="21"/>
                <w:szCs w:val="21"/>
                <w:vertAlign w:val="superscript"/>
                <w:lang w:val="en-US" w:eastAsia="zh-CN" w:bidi="ar"/>
              </w:rPr>
              <w:t>3</w:t>
            </w:r>
            <w:r>
              <w:rPr>
                <w:rFonts w:hint="default" w:ascii="Times New Roman" w:hAnsi="Times New Roman" w:eastAsia="宋体" w:cs="Times New Roman"/>
                <w:kern w:val="0"/>
                <w:sz w:val="21"/>
                <w:szCs w:val="21"/>
                <w:lang w:val="en-US" w:eastAsia="zh-CN" w:bidi="ar"/>
              </w:rPr>
              <w:t>，最大排放速率为0.13kg/h，烟囱高度15m，未超过《大气污染物综合排放标准》</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GB16297-1996</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二级标准限值</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苯并[a]芘检测结果为未检出，满足《大气污染物综合排放标准》</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GB16297-1996</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中二级排放标准</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燃气锅炉烟气颗粒物最大浓度为18mg/m</w:t>
            </w:r>
            <w:r>
              <w:rPr>
                <w:rFonts w:hint="eastAsia" w:ascii="Times New Roman" w:hAnsi="Times New Roman" w:eastAsia="宋体" w:cs="Times New Roman"/>
                <w:kern w:val="0"/>
                <w:sz w:val="21"/>
                <w:szCs w:val="21"/>
                <w:vertAlign w:val="superscript"/>
                <w:lang w:val="en-US" w:eastAsia="zh-CN" w:bidi="ar"/>
              </w:rPr>
              <w:t>3</w:t>
            </w:r>
            <w:r>
              <w:rPr>
                <w:rFonts w:hint="default" w:ascii="Times New Roman" w:hAnsi="Times New Roman" w:eastAsia="宋体" w:cs="Times New Roman"/>
                <w:kern w:val="0"/>
                <w:sz w:val="21"/>
                <w:szCs w:val="21"/>
                <w:lang w:val="en-US" w:eastAsia="zh-CN" w:bidi="ar"/>
              </w:rPr>
              <w:t>，SO</w:t>
            </w:r>
            <w:r>
              <w:rPr>
                <w:rFonts w:hint="default" w:ascii="Times New Roman" w:hAnsi="Times New Roman" w:eastAsia="宋体" w:cs="Times New Roman"/>
                <w:kern w:val="0"/>
                <w:sz w:val="21"/>
                <w:szCs w:val="21"/>
                <w:vertAlign w:val="subscript"/>
                <w:lang w:val="en-US" w:eastAsia="zh-CN" w:bidi="ar"/>
              </w:rPr>
              <w:t>2</w:t>
            </w:r>
            <w:r>
              <w:rPr>
                <w:rFonts w:hint="default" w:ascii="Times New Roman" w:hAnsi="Times New Roman" w:eastAsia="宋体" w:cs="Times New Roman"/>
                <w:kern w:val="0"/>
                <w:sz w:val="21"/>
                <w:szCs w:val="21"/>
                <w:lang w:val="en-US" w:eastAsia="zh-CN" w:bidi="ar"/>
              </w:rPr>
              <w:t>未检出，NO</w:t>
            </w:r>
            <w:r>
              <w:rPr>
                <w:rFonts w:hint="default" w:ascii="Times New Roman" w:hAnsi="Times New Roman" w:eastAsia="宋体" w:cs="Times New Roman"/>
                <w:kern w:val="0"/>
                <w:sz w:val="21"/>
                <w:szCs w:val="21"/>
                <w:vertAlign w:val="subscript"/>
                <w:lang w:val="en-US" w:eastAsia="zh-CN" w:bidi="ar"/>
              </w:rPr>
              <w:t>x</w:t>
            </w:r>
            <w:r>
              <w:rPr>
                <w:rFonts w:hint="default" w:ascii="Times New Roman" w:hAnsi="Times New Roman" w:eastAsia="宋体" w:cs="Times New Roman"/>
                <w:kern w:val="0"/>
                <w:sz w:val="21"/>
                <w:szCs w:val="21"/>
                <w:lang w:val="en-US" w:eastAsia="zh-CN" w:bidi="ar"/>
              </w:rPr>
              <w:t>最大浓度110mg/m</w:t>
            </w:r>
            <w:r>
              <w:rPr>
                <w:rFonts w:hint="eastAsia" w:ascii="Times New Roman" w:hAnsi="Times New Roman" w:eastAsia="宋体" w:cs="Times New Roman"/>
                <w:kern w:val="0"/>
                <w:sz w:val="21"/>
                <w:szCs w:val="21"/>
                <w:vertAlign w:val="superscript"/>
                <w:lang w:val="en-US" w:eastAsia="zh-CN" w:bidi="ar"/>
              </w:rPr>
              <w:t>3</w:t>
            </w:r>
            <w:r>
              <w:rPr>
                <w:rFonts w:hint="default" w:ascii="Times New Roman" w:hAnsi="Times New Roman" w:eastAsia="宋体" w:cs="Times New Roman"/>
                <w:kern w:val="0"/>
                <w:sz w:val="21"/>
                <w:szCs w:val="21"/>
                <w:lang w:val="en-US" w:eastAsia="zh-CN" w:bidi="ar"/>
              </w:rPr>
              <w:t>，排气筒高度为8米，满足《锅炉大气污染物排放标准》</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GB13271-2014</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表3标准限值。无组织废气中颗粒物最大排放浓度0.181mg/m</w:t>
            </w:r>
            <w:r>
              <w:rPr>
                <w:rFonts w:hint="eastAsia" w:ascii="Times New Roman" w:hAnsi="Times New Roman" w:eastAsia="宋体" w:cs="Times New Roman"/>
                <w:kern w:val="0"/>
                <w:sz w:val="21"/>
                <w:szCs w:val="21"/>
                <w:vertAlign w:val="superscript"/>
                <w:lang w:val="en-US" w:eastAsia="zh-CN" w:bidi="ar"/>
              </w:rPr>
              <w:t>3</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苯并[a]芘检测结果为未检出，满足《大气污染物综合排放标准》</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GB16297-1996</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中无组织排放监控浓度</w:t>
            </w:r>
            <w:r>
              <w:rPr>
                <w:rFonts w:hint="eastAsia" w:ascii="宋体" w:hAnsi="宋体" w:eastAsia="宋体" w:cs="宋体"/>
                <w:kern w:val="0"/>
                <w:sz w:val="21"/>
                <w:szCs w:val="21"/>
                <w:lang w:val="en-US" w:eastAsia="zh-CN" w:bidi="ar"/>
              </w:rPr>
              <w:t>限值</w:t>
            </w:r>
            <w:r>
              <w:rPr>
                <w:rFonts w:hint="eastAsia" w:ascii="宋体" w:hAnsi="宋体" w:cs="宋体"/>
                <w:kern w:val="0"/>
                <w:sz w:val="21"/>
                <w:szCs w:val="21"/>
                <w:lang w:val="en-US" w:eastAsia="zh-CN" w:bidi="ar"/>
              </w:rPr>
              <w:t>。</w:t>
            </w:r>
            <w:r>
              <w:rPr>
                <w:rFonts w:hint="eastAsia" w:ascii="宋体" w:hAnsi="宋体" w:cs="宋体"/>
                <w:color w:val="FF0000"/>
                <w:kern w:val="0"/>
                <w:sz w:val="21"/>
                <w:szCs w:val="21"/>
                <w:lang w:val="en-US" w:eastAsia="zh-CN" w:bidi="ar"/>
              </w:rPr>
              <w:t>根</w:t>
            </w:r>
            <w:r>
              <w:rPr>
                <w:rFonts w:hint="default" w:ascii="Times New Roman" w:hAnsi="Times New Roman" w:cs="Times New Roman"/>
                <w:color w:val="FF0000"/>
                <w:kern w:val="0"/>
                <w:sz w:val="21"/>
                <w:szCs w:val="21"/>
                <w:lang w:val="en-US" w:eastAsia="zh-CN" w:bidi="ar"/>
              </w:rPr>
              <w:t>据《新疆金桥金新型建材有限公司高聚合物改性沥青防水卷材新型环保生产线项目竣工环境保护验收监测报告》中验收监测报告核算，原有项目颗粒物排放量为0.086t/a</w:t>
            </w:r>
            <w:r>
              <w:rPr>
                <w:rFonts w:hint="default" w:ascii="Times New Roman" w:hAnsi="Times New Roman" w:eastAsia="宋体" w:cs="Times New Roman"/>
                <w:color w:val="FF0000"/>
                <w:kern w:val="0"/>
                <w:sz w:val="21"/>
                <w:szCs w:val="21"/>
                <w:lang w:val="en-US" w:eastAsia="zh-CN" w:bidi="ar"/>
              </w:rPr>
              <w:t>。</w:t>
            </w:r>
          </w:p>
          <w:p>
            <w:pPr>
              <w:keepNext w:val="0"/>
              <w:keepLines w:val="0"/>
              <w:pageBreakBefore w:val="0"/>
              <w:widowControl w:val="0"/>
              <w:numPr>
                <w:ilvl w:val="0"/>
                <w:numId w:val="2"/>
              </w:numPr>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废水</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根据《新疆金桥金新型建材有限公司高聚合物改性沥青防水卷材新型环保生产线项目竣工环境保护验收监测报告》，原有项目运营期废水主要为工作人员生活污水，无生产废水排放。生活污水排入园区下水管网内，最终进入昌吉高新技术开发区污水处理厂处理。</w:t>
            </w:r>
          </w:p>
          <w:p>
            <w:pPr>
              <w:keepNext w:val="0"/>
              <w:keepLines w:val="0"/>
              <w:pageBreakBefore w:val="0"/>
              <w:widowControl w:val="0"/>
              <w:numPr>
                <w:ilvl w:val="0"/>
                <w:numId w:val="2"/>
              </w:numPr>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firstLine="420" w:firstLineChars="200"/>
              <w:jc w:val="both"/>
              <w:textAlignment w:val="auto"/>
              <w:rPr>
                <w:rFonts w:hint="eastAsia"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噪声</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根据《新疆金桥金新型建材有限公司高聚合物改性沥青防水卷材新型环保生产线项目竣工环境保护验收监测报告》，原有项目运营期选用低噪设备，设置减振基础，减震垫。验收期间，原有项目厂界昼间、夜间噪声满足《工业企业厂界环境噪声排放标准》（</w:t>
            </w:r>
            <w:r>
              <w:rPr>
                <w:rFonts w:hint="default" w:ascii="Times New Roman" w:hAnsi="Times New Roman" w:eastAsia="宋体" w:cs="Times New Roman"/>
                <w:kern w:val="0"/>
                <w:sz w:val="21"/>
                <w:szCs w:val="21"/>
                <w:lang w:val="en-US" w:eastAsia="zh-CN" w:bidi="ar"/>
              </w:rPr>
              <w:t>GB12348-2008</w:t>
            </w:r>
            <w:r>
              <w:rPr>
                <w:rFonts w:hint="eastAsia" w:ascii="宋体" w:hAnsi="宋体" w:eastAsia="宋体" w:cs="宋体"/>
                <w:kern w:val="0"/>
                <w:sz w:val="21"/>
                <w:szCs w:val="21"/>
                <w:lang w:val="en-US" w:eastAsia="zh-CN" w:bidi="ar"/>
              </w:rPr>
              <w:t>）中</w:t>
            </w:r>
            <w:r>
              <w:rPr>
                <w:rFonts w:hint="default" w:ascii="Times New Roman" w:hAnsi="Times New Roman" w:eastAsia="宋体" w:cs="Times New Roman"/>
                <w:kern w:val="0"/>
                <w:sz w:val="21"/>
                <w:szCs w:val="21"/>
                <w:lang w:val="en-US" w:eastAsia="zh-CN" w:bidi="ar"/>
              </w:rPr>
              <w:t>3</w:t>
            </w:r>
            <w:r>
              <w:rPr>
                <w:rFonts w:hint="eastAsia" w:ascii="宋体" w:hAnsi="宋体" w:eastAsia="宋体" w:cs="宋体"/>
                <w:kern w:val="0"/>
                <w:sz w:val="21"/>
                <w:szCs w:val="21"/>
                <w:lang w:val="en-US" w:eastAsia="zh-CN" w:bidi="ar"/>
              </w:rPr>
              <w:t>类标准。</w:t>
            </w:r>
          </w:p>
          <w:p>
            <w:pPr>
              <w:keepNext w:val="0"/>
              <w:keepLines w:val="0"/>
              <w:pageBreakBefore w:val="0"/>
              <w:widowControl w:val="0"/>
              <w:numPr>
                <w:ilvl w:val="0"/>
                <w:numId w:val="2"/>
              </w:numPr>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firstLine="420" w:firstLineChars="200"/>
              <w:jc w:val="both"/>
              <w:textAlignment w:val="auto"/>
              <w:rPr>
                <w:rFonts w:hint="eastAsia"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固体废物</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FF0000"/>
                <w:kern w:val="0"/>
                <w:sz w:val="21"/>
                <w:szCs w:val="21"/>
              </w:rPr>
            </w:pPr>
            <w:r>
              <w:rPr>
                <w:rFonts w:hint="eastAsia" w:ascii="宋体" w:hAnsi="宋体" w:eastAsia="宋体" w:cs="宋体"/>
                <w:color w:val="FF0000"/>
                <w:kern w:val="0"/>
                <w:sz w:val="21"/>
                <w:szCs w:val="21"/>
                <w:lang w:val="en-US" w:eastAsia="zh-CN" w:bidi="ar"/>
              </w:rPr>
              <w:t>根据《新疆金桥金新型建材有限公司高聚合物改性沥青防水卷材新型环保生产线项目竣工环境保护验收监测报告》，原有项</w:t>
            </w:r>
            <w:r>
              <w:rPr>
                <w:rFonts w:hint="default" w:ascii="Times New Roman" w:hAnsi="Times New Roman" w:eastAsia="宋体" w:cs="Times New Roman"/>
                <w:color w:val="FF0000"/>
                <w:kern w:val="0"/>
                <w:sz w:val="21"/>
                <w:szCs w:val="21"/>
                <w:lang w:val="en-US" w:eastAsia="zh-CN" w:bidi="ar"/>
              </w:rPr>
              <w:t>目运营期废活性炭产生量约为300kg</w:t>
            </w:r>
            <w:r>
              <w:rPr>
                <w:rFonts w:hint="eastAsia" w:cs="Times New Roman"/>
                <w:color w:val="FF0000"/>
                <w:kern w:val="0"/>
                <w:sz w:val="21"/>
                <w:szCs w:val="21"/>
                <w:lang w:val="en-US" w:eastAsia="zh-CN" w:bidi="ar"/>
              </w:rPr>
              <w:t>/a</w:t>
            </w:r>
            <w:r>
              <w:rPr>
                <w:rFonts w:hint="default" w:ascii="Times New Roman" w:hAnsi="Times New Roman" w:eastAsia="宋体" w:cs="Times New Roman"/>
                <w:color w:val="FF0000"/>
                <w:kern w:val="0"/>
                <w:sz w:val="21"/>
                <w:szCs w:val="21"/>
                <w:lang w:val="en-US" w:eastAsia="zh-CN" w:bidi="ar"/>
              </w:rPr>
              <w:t>，暂存于危废间</w:t>
            </w:r>
            <w:r>
              <w:rPr>
                <w:rFonts w:hint="eastAsia" w:ascii="Times New Roman" w:hAnsi="Times New Roman" w:eastAsia="宋体" w:cs="Times New Roman"/>
                <w:color w:val="FF0000"/>
                <w:kern w:val="0"/>
                <w:sz w:val="21"/>
                <w:szCs w:val="21"/>
                <w:lang w:val="en-US" w:eastAsia="zh-CN" w:bidi="ar"/>
              </w:rPr>
              <w:t>；</w:t>
            </w:r>
            <w:r>
              <w:rPr>
                <w:rFonts w:hint="default" w:ascii="Times New Roman" w:hAnsi="Times New Roman" w:eastAsia="宋体" w:cs="Times New Roman"/>
                <w:color w:val="FF0000"/>
                <w:kern w:val="0"/>
                <w:sz w:val="21"/>
                <w:szCs w:val="21"/>
                <w:lang w:val="en-US" w:eastAsia="zh-CN" w:bidi="ar"/>
              </w:rPr>
              <w:t>生产过程中产生的各类废弃包装材料产生约2t/a，全部作为废品出售，综合利用不外排</w:t>
            </w:r>
            <w:r>
              <w:rPr>
                <w:rFonts w:hint="eastAsia" w:ascii="Times New Roman" w:hAnsi="Times New Roman" w:eastAsia="宋体" w:cs="Times New Roman"/>
                <w:color w:val="FF0000"/>
                <w:kern w:val="0"/>
                <w:sz w:val="21"/>
                <w:szCs w:val="21"/>
                <w:lang w:val="en-US" w:eastAsia="zh-CN" w:bidi="ar"/>
              </w:rPr>
              <w:t>；</w:t>
            </w:r>
            <w:r>
              <w:rPr>
                <w:rFonts w:hint="default" w:ascii="Times New Roman" w:hAnsi="Times New Roman" w:eastAsia="宋体" w:cs="Times New Roman"/>
                <w:color w:val="FF0000"/>
                <w:kern w:val="0"/>
                <w:sz w:val="21"/>
                <w:szCs w:val="21"/>
                <w:lang w:val="en-US" w:eastAsia="zh-CN" w:bidi="ar"/>
              </w:rPr>
              <w:t>生活垃圾产生量约为3.5t</w:t>
            </w:r>
            <w:r>
              <w:rPr>
                <w:rFonts w:hint="eastAsia" w:cs="Times New Roman"/>
                <w:color w:val="FF0000"/>
                <w:kern w:val="0"/>
                <w:sz w:val="21"/>
                <w:szCs w:val="21"/>
                <w:lang w:val="en-US" w:eastAsia="zh-CN" w:bidi="ar"/>
              </w:rPr>
              <w:t>/a</w:t>
            </w:r>
            <w:r>
              <w:rPr>
                <w:rFonts w:hint="default" w:ascii="Times New Roman" w:hAnsi="Times New Roman" w:eastAsia="宋体" w:cs="Times New Roman"/>
                <w:color w:val="FF0000"/>
                <w:kern w:val="0"/>
                <w:sz w:val="21"/>
                <w:szCs w:val="21"/>
                <w:lang w:val="en-US" w:eastAsia="zh-CN" w:bidi="ar"/>
              </w:rPr>
              <w:t>，在厂区内定点统一收集后，由高新区环卫部门运往昌吉市生活垃圾填埋场处置</w:t>
            </w:r>
            <w:r>
              <w:rPr>
                <w:rFonts w:hint="eastAsia" w:ascii="宋体" w:hAnsi="宋体" w:eastAsia="宋体" w:cs="宋体"/>
                <w:color w:val="FF0000"/>
                <w:kern w:val="0"/>
                <w:sz w:val="21"/>
                <w:szCs w:val="21"/>
                <w:lang w:val="en-US" w:eastAsia="zh-CN" w:bidi="ar"/>
              </w:rPr>
              <w:t>。</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jc w:val="both"/>
              <w:textAlignment w:val="auto"/>
              <w:rPr>
                <w:rFonts w:hint="eastAsia"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lang w:val="en-US" w:eastAsia="zh-CN" w:bidi="ar"/>
              </w:rPr>
              <w:t>3</w:t>
            </w:r>
            <w:r>
              <w:rPr>
                <w:rFonts w:hint="eastAsia" w:ascii="宋体" w:hAnsi="宋体" w:eastAsia="宋体" w:cs="宋体"/>
                <w:b/>
                <w:bCs/>
                <w:kern w:val="0"/>
                <w:sz w:val="21"/>
                <w:szCs w:val="21"/>
                <w:lang w:val="en-US" w:eastAsia="zh-CN" w:bidi="ar"/>
              </w:rPr>
              <w:t>主要环境问题及整改要求</w:t>
            </w:r>
          </w:p>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宋体" w:hAnsi="宋体" w:eastAsia="宋体" w:cs="宋体"/>
                <w:kern w:val="0"/>
                <w:sz w:val="21"/>
                <w:szCs w:val="21"/>
              </w:rPr>
              <w:t>根据现状调查，原有项目各项污染物均得到合理处理，不存在原有环境污染问题</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p>
        </w:tc>
      </w:tr>
    </w:tbl>
    <w:p>
      <w:pPr>
        <w:pStyle w:val="20"/>
        <w:keepNext w:val="0"/>
        <w:keepLines w:val="0"/>
        <w:pageBreakBefore/>
        <w:widowControl/>
        <w:kinsoku/>
        <w:wordWrap/>
        <w:overflowPunct/>
        <w:topLinePunct w:val="0"/>
        <w:autoSpaceDE/>
        <w:autoSpaceDN/>
        <w:bidi w:val="0"/>
        <w:adjustRightInd w:val="0"/>
        <w:snapToGrid w:val="0"/>
        <w:spacing w:line="240" w:lineRule="auto"/>
        <w:textAlignment w:val="center"/>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三、区域环境质量现状、环境保护目标及评价标准</w:t>
      </w:r>
    </w:p>
    <w:tbl>
      <w:tblPr>
        <w:tblStyle w:val="23"/>
        <w:tblW w:w="881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38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426" w:type="dxa"/>
            <w:noWrap w:val="0"/>
            <w:vAlign w:val="center"/>
          </w:tcPr>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区域</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环境</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质量</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现状</w:t>
            </w:r>
          </w:p>
        </w:tc>
        <w:tc>
          <w:tcPr>
            <w:tcW w:w="8387" w:type="dxa"/>
            <w:noWrap w:val="0"/>
            <w:vAlign w:val="center"/>
          </w:tcPr>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为了解项目所在区域的环境质量现状情况，结合区域的自然环境特征和本项目的工程污染源特征，对大气环境、水环境、声环境质量现状进行调查和评价。</w:t>
            </w:r>
          </w:p>
          <w:p>
            <w:pPr>
              <w:pStyle w:val="2"/>
              <w:pageBreakBefore w:val="0"/>
              <w:widowControl w:val="0"/>
              <w:suppressLineNumbers w:val="0"/>
              <w:kinsoku/>
              <w:wordWrap/>
              <w:overflowPunct/>
              <w:topLinePunct w:val="0"/>
              <w:autoSpaceDN/>
              <w:bidi w:val="0"/>
              <w:adjustRightInd w:val="0"/>
              <w:snapToGrid w:val="0"/>
              <w:spacing w:before="0" w:beforeLines="0" w:after="0" w:afterLines="0"/>
              <w:ind w:left="0" w:right="0"/>
              <w:textAlignment w:val="auto"/>
              <w:rPr>
                <w:rFonts w:hint="default" w:ascii="Times New Roman" w:hAnsi="Times New Roman" w:eastAsia="宋体" w:cs="Times New Roman"/>
                <w:color w:val="000000" w:themeColor="text1"/>
                <w:sz w:val="21"/>
                <w:szCs w:val="21"/>
                <w14:textFill>
                  <w14:solidFill>
                    <w14:schemeClr w14:val="tx1"/>
                  </w14:solidFill>
                </w14:textFill>
              </w:rPr>
            </w:pPr>
            <w:bookmarkStart w:id="16" w:name="_Toc17576"/>
            <w:r>
              <w:rPr>
                <w:rFonts w:hint="default" w:ascii="Times New Roman" w:hAnsi="Times New Roman" w:eastAsia="宋体" w:cs="Times New Roman"/>
                <w:color w:val="000000" w:themeColor="text1"/>
                <w:sz w:val="21"/>
                <w:szCs w:val="21"/>
                <w:lang w:val="en-US" w:eastAsia="zh-CN"/>
                <w14:textFill>
                  <w14:solidFill>
                    <w14:schemeClr w14:val="tx1"/>
                  </w14:solidFill>
                </w14:textFill>
              </w:rPr>
              <w:t>1环境空气质量现状调查及评价</w:t>
            </w:r>
            <w:bookmarkEnd w:id="16"/>
          </w:p>
          <w:p>
            <w:pPr>
              <w:pStyle w:val="3"/>
              <w:pageBreakBefore w:val="0"/>
              <w:widowControl w:val="0"/>
              <w:suppressLineNumbers w:val="0"/>
              <w:kinsoku/>
              <w:wordWrap/>
              <w:overflowPunct/>
              <w:topLinePunct w:val="0"/>
              <w:autoSpaceDN/>
              <w:bidi w:val="0"/>
              <w:adjustRightInd w:val="0"/>
              <w:snapToGrid w:val="0"/>
              <w:spacing w:before="0" w:beforeLines="0" w:after="0" w:afterLines="0"/>
              <w:ind w:left="0" w:leftChars="0" w:right="0"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bookmarkStart w:id="17" w:name="_Toc27977"/>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1.1</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区域空气质量现状调查及评价</w:t>
            </w:r>
            <w:bookmarkEnd w:id="17"/>
          </w:p>
          <w:p>
            <w:pPr>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宋体" w:hAnsi="宋体" w:eastAsia="宋体" w:cs="宋体"/>
                <w:color w:val="000000" w:themeColor="text1"/>
                <w:kern w:val="2"/>
                <w:sz w:val="21"/>
                <w:szCs w:val="21"/>
                <w:lang w:val="en-US" w:eastAsia="zh-CN" w:bidi="ar"/>
                <w14:textFill>
                  <w14:solidFill>
                    <w14:schemeClr w14:val="tx1"/>
                  </w14:solidFill>
                </w14:textFill>
              </w:rPr>
              <w:t>）数据来源</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contextualSpacing/>
              <w:jc w:val="both"/>
              <w:textAlignment w:val="auto"/>
              <w:rPr>
                <w:rFonts w:hint="default" w:ascii="Times New Roman" w:hAnsi="Times New Roman" w:eastAsia="宋体" w:cs="Times New Roman"/>
                <w:b w:val="0"/>
                <w:color w:val="000000" w:themeColor="text1"/>
                <w:kern w:val="2"/>
                <w:sz w:val="21"/>
                <w:szCs w:val="21"/>
                <w14:textFill>
                  <w14:solidFill>
                    <w14:schemeClr w14:val="tx1"/>
                  </w14:solidFill>
                </w14:textFill>
              </w:rPr>
            </w:pP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本</w:t>
            </w:r>
            <w:r>
              <w:rPr>
                <w:rFonts w:hint="eastAsia" w:ascii="宋体" w:hAnsi="宋体" w:cs="宋体"/>
                <w:b w:val="0"/>
                <w:color w:val="000000" w:themeColor="text1"/>
                <w:kern w:val="2"/>
                <w:sz w:val="21"/>
                <w:szCs w:val="21"/>
                <w:lang w:val="en-US" w:eastAsia="zh-CN" w:bidi="ar"/>
                <w14:textFill>
                  <w14:solidFill>
                    <w14:schemeClr w14:val="tx1"/>
                  </w14:solidFill>
                </w14:textFill>
              </w:rPr>
              <w:t>次</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环评根据《环境影响评价技术导则</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大气环境》（</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HJ2.2-2018</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）对环境质量现状数据的要求，</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选取2025年</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昌吉州的环境空气质量数据，基本污染物环境质量现状评价采用环境空气质量模型技术支持服务系统（</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http://data.lem.org.cn/eamds/apply/tostepone.html</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）中生态环境部环境工程评估中心国家环境保护环境影响评价数值模拟重点实验室发布的</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202</w:t>
            </w:r>
            <w:r>
              <w:rPr>
                <w:rFonts w:hint="eastAsia" w:cs="Times New Roman"/>
                <w:b w:val="0"/>
                <w:color w:val="000000" w:themeColor="text1"/>
                <w:kern w:val="2"/>
                <w:sz w:val="21"/>
                <w:szCs w:val="21"/>
                <w:lang w:val="en-US" w:eastAsia="zh-CN" w:bidi="ar"/>
                <w14:textFill>
                  <w14:solidFill>
                    <w14:schemeClr w14:val="tx1"/>
                  </w14:solidFill>
                </w14:textFill>
              </w:rPr>
              <w:t>5</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年昌吉州空气质量数据，符合其要求。</w:t>
            </w:r>
          </w:p>
          <w:p>
            <w:pPr>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contextualSpacing/>
              <w:jc w:val="both"/>
              <w:rPr>
                <w:rFonts w:hint="default" w:ascii="Times New Roman" w:hAnsi="Times New Roman" w:eastAsia="宋体" w:cs="Times New Roman"/>
                <w:b w:val="0"/>
                <w:color w:val="000000" w:themeColor="text1"/>
                <w:kern w:val="2"/>
                <w:sz w:val="21"/>
                <w:szCs w:val="21"/>
                <w14:textFill>
                  <w14:solidFill>
                    <w14:schemeClr w14:val="tx1"/>
                  </w14:solidFill>
                </w14:textFill>
              </w:rPr>
            </w:pP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2</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）评价标准</w:t>
            </w:r>
          </w:p>
          <w:p>
            <w:pPr>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contextualSpacing/>
              <w:jc w:val="both"/>
              <w:rPr>
                <w:rFonts w:hint="default" w:ascii="Times New Roman" w:hAnsi="Times New Roman" w:eastAsia="宋体" w:cs="Times New Roman"/>
                <w:b w:val="0"/>
                <w:color w:val="000000" w:themeColor="text1"/>
                <w:kern w:val="2"/>
                <w:sz w:val="21"/>
                <w:szCs w:val="21"/>
                <w14:textFill>
                  <w14:solidFill>
                    <w14:schemeClr w14:val="tx1"/>
                  </w14:solidFill>
                </w14:textFill>
              </w:rPr>
            </w:pP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SO</w:t>
            </w:r>
            <w:r>
              <w:rPr>
                <w:rFonts w:hint="default" w:ascii="Times New Roman" w:hAnsi="Times New Roman" w:eastAsia="宋体" w:cs="Times New Roman"/>
                <w:b w:val="0"/>
                <w:color w:val="000000" w:themeColor="text1"/>
                <w:kern w:val="2"/>
                <w:sz w:val="21"/>
                <w:szCs w:val="21"/>
                <w:vertAlign w:val="subscript"/>
                <w:lang w:val="en-US" w:eastAsia="zh-CN" w:bidi="ar"/>
                <w14:textFill>
                  <w14:solidFill>
                    <w14:schemeClr w14:val="tx1"/>
                  </w14:solidFill>
                </w14:textFill>
              </w:rPr>
              <w:t>2</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NO</w:t>
            </w:r>
            <w:r>
              <w:rPr>
                <w:rFonts w:hint="default" w:ascii="Times New Roman" w:hAnsi="Times New Roman" w:eastAsia="宋体" w:cs="Times New Roman"/>
                <w:b w:val="0"/>
                <w:color w:val="000000" w:themeColor="text1"/>
                <w:kern w:val="2"/>
                <w:sz w:val="21"/>
                <w:szCs w:val="21"/>
                <w:vertAlign w:val="subscript"/>
                <w:lang w:val="en-US" w:eastAsia="zh-CN" w:bidi="ar"/>
                <w14:textFill>
                  <w14:solidFill>
                    <w14:schemeClr w14:val="tx1"/>
                  </w14:solidFill>
                </w14:textFill>
              </w:rPr>
              <w:t>2</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PM</w:t>
            </w:r>
            <w:r>
              <w:rPr>
                <w:rFonts w:hint="default" w:ascii="Times New Roman" w:hAnsi="Times New Roman" w:eastAsia="宋体" w:cs="Times New Roman"/>
                <w:b w:val="0"/>
                <w:color w:val="000000" w:themeColor="text1"/>
                <w:kern w:val="2"/>
                <w:sz w:val="21"/>
                <w:szCs w:val="21"/>
                <w:vertAlign w:val="subscript"/>
                <w:lang w:val="en-US" w:eastAsia="zh-CN" w:bidi="ar"/>
                <w14:textFill>
                  <w14:solidFill>
                    <w14:schemeClr w14:val="tx1"/>
                  </w14:solidFill>
                </w14:textFill>
              </w:rPr>
              <w:t>10</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PM</w:t>
            </w:r>
            <w:r>
              <w:rPr>
                <w:rFonts w:hint="default" w:ascii="Times New Roman" w:hAnsi="Times New Roman" w:eastAsia="宋体" w:cs="Times New Roman"/>
                <w:b w:val="0"/>
                <w:color w:val="000000" w:themeColor="text1"/>
                <w:kern w:val="2"/>
                <w:sz w:val="21"/>
                <w:szCs w:val="21"/>
                <w:vertAlign w:val="subscript"/>
                <w:lang w:val="en-US" w:eastAsia="zh-CN" w:bidi="ar"/>
                <w14:textFill>
                  <w14:solidFill>
                    <w14:schemeClr w14:val="tx1"/>
                  </w14:solidFill>
                </w14:textFill>
              </w:rPr>
              <w:t>2.5</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CO</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O</w:t>
            </w:r>
            <w:r>
              <w:rPr>
                <w:rFonts w:hint="default" w:ascii="Times New Roman" w:hAnsi="Times New Roman" w:eastAsia="宋体" w:cs="Times New Roman"/>
                <w:b w:val="0"/>
                <w:color w:val="000000" w:themeColor="text1"/>
                <w:kern w:val="2"/>
                <w:sz w:val="21"/>
                <w:szCs w:val="21"/>
                <w:vertAlign w:val="subscript"/>
                <w:lang w:val="en-US" w:eastAsia="zh-CN" w:bidi="ar"/>
                <w14:textFill>
                  <w14:solidFill>
                    <w14:schemeClr w14:val="tx1"/>
                  </w14:solidFill>
                </w14:textFill>
              </w:rPr>
              <w:t>3</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执行《环境</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空气质量标准》（GB3095-2026）中过渡阶段浓度限值的二级标</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准。</w:t>
            </w:r>
          </w:p>
          <w:p>
            <w:pPr>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b w:val="0"/>
                <w:color w:val="000000" w:themeColor="text1"/>
                <w:kern w:val="2"/>
                <w:sz w:val="21"/>
                <w:szCs w:val="21"/>
                <w14:textFill>
                  <w14:solidFill>
                    <w14:schemeClr w14:val="tx1"/>
                  </w14:solidFill>
                </w14:textFill>
              </w:rPr>
            </w:pP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3</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）监测结果</w:t>
            </w:r>
          </w:p>
          <w:p>
            <w:pPr>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b w:val="0"/>
                <w:color w:val="000000" w:themeColor="text1"/>
                <w:kern w:val="2"/>
                <w:sz w:val="21"/>
                <w:szCs w:val="21"/>
                <w14:textFill>
                  <w14:solidFill>
                    <w14:schemeClr w14:val="tx1"/>
                  </w14:solidFill>
                </w14:textFill>
              </w:rPr>
            </w:pP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根据引用监测数据，其监测结果</w:t>
            </w:r>
            <w:r>
              <w:rPr>
                <w:rFonts w:hint="default" w:ascii="Times New Roman" w:hAnsi="Times New Roman" w:eastAsia="宋体" w:cs="Times New Roman"/>
                <w:b w:val="0"/>
                <w:color w:val="000000" w:themeColor="text1"/>
                <w:kern w:val="2"/>
                <w:sz w:val="21"/>
                <w:szCs w:val="21"/>
                <w:lang w:val="en-US" w:eastAsia="zh-CN" w:bidi="ar"/>
                <w14:textFill>
                  <w14:solidFill>
                    <w14:schemeClr w14:val="tx1"/>
                  </w14:solidFill>
                </w14:textFill>
              </w:rPr>
              <w:t>见表3-1</w:t>
            </w:r>
            <w:r>
              <w:rPr>
                <w:rFonts w:hint="eastAsia" w:ascii="宋体" w:hAnsi="宋体" w:eastAsia="宋体" w:cs="宋体"/>
                <w:b w:val="0"/>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ind w:left="0" w:right="0"/>
              <w:contextualSpacing/>
              <w:jc w:val="center"/>
              <w:rPr>
                <w:rFonts w:hint="eastAsia" w:ascii="宋体" w:hAnsi="宋体" w:eastAsia="宋体" w:cs="宋体"/>
                <w:b/>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3-1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环境空气质量现状评价结果</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95"/>
              <w:gridCol w:w="2011"/>
              <w:gridCol w:w="1435"/>
              <w:gridCol w:w="1272"/>
              <w:gridCol w:w="1507"/>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监测</w:t>
                  </w:r>
                </w:p>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因子</w:t>
                  </w:r>
                </w:p>
              </w:tc>
              <w:tc>
                <w:tcPr>
                  <w:tcW w:w="183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评价指标</w:t>
                  </w:r>
                </w:p>
              </w:tc>
              <w:tc>
                <w:tcPr>
                  <w:tcW w:w="131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现状浓度（</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μg/m</w:t>
                  </w:r>
                  <w:r>
                    <w:rPr>
                      <w:rFonts w:hint="default" w:ascii="Times New Roman" w:hAnsi="Times New Roman" w:eastAsia="宋体" w:cs="Times New Roman"/>
                      <w:b/>
                      <w:bCs w:val="0"/>
                      <w:color w:val="000000" w:themeColor="text1"/>
                      <w:kern w:val="2"/>
                      <w:sz w:val="21"/>
                      <w:szCs w:val="21"/>
                      <w:vertAlign w:val="superscript"/>
                      <w:lang w:val="en-US" w:eastAsia="zh-CN" w:bidi="ar"/>
                      <w14:textFill>
                        <w14:solidFill>
                          <w14:schemeClr w14:val="tx1"/>
                        </w14:solidFill>
                      </w14:textFill>
                    </w:rPr>
                    <w:t>3</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w:t>
                  </w:r>
                </w:p>
              </w:tc>
              <w:tc>
                <w:tcPr>
                  <w:tcW w:w="115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标准值（</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μg/m</w:t>
                  </w:r>
                  <w:r>
                    <w:rPr>
                      <w:rFonts w:hint="default" w:ascii="Times New Roman" w:hAnsi="Times New Roman" w:eastAsia="宋体" w:cs="Times New Roman"/>
                      <w:b/>
                      <w:bCs w:val="0"/>
                      <w:color w:val="000000" w:themeColor="text1"/>
                      <w:kern w:val="2"/>
                      <w:sz w:val="21"/>
                      <w:szCs w:val="21"/>
                      <w:vertAlign w:val="superscript"/>
                      <w:lang w:val="en-US" w:eastAsia="zh-CN" w:bidi="ar"/>
                      <w14:textFill>
                        <w14:solidFill>
                          <w14:schemeClr w14:val="tx1"/>
                        </w14:solidFill>
                      </w14:textFill>
                    </w:rPr>
                    <w:t>3</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w:t>
                  </w:r>
                </w:p>
              </w:tc>
              <w:tc>
                <w:tcPr>
                  <w:tcW w:w="13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浓度占标率（</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w:t>
                  </w:r>
                </w:p>
              </w:tc>
              <w:tc>
                <w:tcPr>
                  <w:tcW w:w="10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eastAsia" w:ascii="宋体" w:hAnsi="宋体" w:eastAsia="宋体" w:cs="宋体"/>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达标</w:t>
                  </w:r>
                </w:p>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SO</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2</w:t>
                  </w:r>
                </w:p>
              </w:tc>
              <w:tc>
                <w:tcPr>
                  <w:tcW w:w="183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年平均值</w:t>
                  </w:r>
                </w:p>
              </w:tc>
              <w:tc>
                <w:tcPr>
                  <w:tcW w:w="131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7</w:t>
                  </w:r>
                </w:p>
              </w:tc>
              <w:tc>
                <w:tcPr>
                  <w:tcW w:w="115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60</w:t>
                  </w:r>
                </w:p>
              </w:tc>
              <w:tc>
                <w:tcPr>
                  <w:tcW w:w="13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11.67</w:t>
                  </w:r>
                </w:p>
              </w:tc>
              <w:tc>
                <w:tcPr>
                  <w:tcW w:w="10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NO</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2</w:t>
                  </w:r>
                </w:p>
              </w:tc>
              <w:tc>
                <w:tcPr>
                  <w:tcW w:w="183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年平均值</w:t>
                  </w:r>
                </w:p>
              </w:tc>
              <w:tc>
                <w:tcPr>
                  <w:tcW w:w="131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25</w:t>
                  </w:r>
                </w:p>
              </w:tc>
              <w:tc>
                <w:tcPr>
                  <w:tcW w:w="115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40</w:t>
                  </w:r>
                </w:p>
              </w:tc>
              <w:tc>
                <w:tcPr>
                  <w:tcW w:w="13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62.5</w:t>
                  </w:r>
                </w:p>
              </w:tc>
              <w:tc>
                <w:tcPr>
                  <w:tcW w:w="10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PM</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10</w:t>
                  </w:r>
                </w:p>
              </w:tc>
              <w:tc>
                <w:tcPr>
                  <w:tcW w:w="183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年平均值</w:t>
                  </w:r>
                </w:p>
              </w:tc>
              <w:tc>
                <w:tcPr>
                  <w:tcW w:w="131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67</w:t>
                  </w:r>
                </w:p>
              </w:tc>
              <w:tc>
                <w:tcPr>
                  <w:tcW w:w="115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60</w:t>
                  </w:r>
                </w:p>
              </w:tc>
              <w:tc>
                <w:tcPr>
                  <w:tcW w:w="13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11</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67</w:t>
                  </w:r>
                </w:p>
              </w:tc>
              <w:tc>
                <w:tcPr>
                  <w:tcW w:w="10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PM</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2.5</w:t>
                  </w:r>
                </w:p>
              </w:tc>
              <w:tc>
                <w:tcPr>
                  <w:tcW w:w="183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年平均值</w:t>
                  </w:r>
                </w:p>
              </w:tc>
              <w:tc>
                <w:tcPr>
                  <w:tcW w:w="131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37</w:t>
                  </w:r>
                </w:p>
              </w:tc>
              <w:tc>
                <w:tcPr>
                  <w:tcW w:w="115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30</w:t>
                  </w:r>
                </w:p>
              </w:tc>
              <w:tc>
                <w:tcPr>
                  <w:tcW w:w="13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2</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3.33</w:t>
                  </w:r>
                </w:p>
              </w:tc>
              <w:tc>
                <w:tcPr>
                  <w:tcW w:w="10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CO</w:t>
                  </w:r>
                </w:p>
              </w:tc>
              <w:tc>
                <w:tcPr>
                  <w:tcW w:w="183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24</w:t>
                  </w:r>
                  <w:r>
                    <w:rPr>
                      <w:rFonts w:hint="eastAsia" w:ascii="宋体" w:hAnsi="宋体" w:eastAsia="宋体" w:cs="宋体"/>
                      <w:color w:val="000000" w:themeColor="text1"/>
                      <w:kern w:val="2"/>
                      <w:sz w:val="21"/>
                      <w:szCs w:val="21"/>
                      <w:lang w:val="en-US" w:eastAsia="zh-CN" w:bidi="ar"/>
                      <w14:textFill>
                        <w14:solidFill>
                          <w14:schemeClr w14:val="tx1"/>
                        </w14:solidFill>
                      </w14:textFill>
                    </w:rPr>
                    <w:t>小时第</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95</w:t>
                  </w:r>
                  <w:r>
                    <w:rPr>
                      <w:rFonts w:hint="eastAsia" w:ascii="宋体" w:hAnsi="宋体" w:eastAsia="宋体" w:cs="宋体"/>
                      <w:color w:val="000000" w:themeColor="text1"/>
                      <w:kern w:val="2"/>
                      <w:sz w:val="21"/>
                      <w:szCs w:val="21"/>
                      <w:lang w:val="en-US" w:eastAsia="zh-CN" w:bidi="ar"/>
                      <w14:textFill>
                        <w14:solidFill>
                          <w14:schemeClr w14:val="tx1"/>
                        </w14:solidFill>
                      </w14:textFill>
                    </w:rPr>
                    <w:t>百分位数日平均</w:t>
                  </w:r>
                </w:p>
              </w:tc>
              <w:tc>
                <w:tcPr>
                  <w:tcW w:w="131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6</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00</w:t>
                  </w:r>
                </w:p>
              </w:tc>
              <w:tc>
                <w:tcPr>
                  <w:tcW w:w="115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4000</w:t>
                  </w:r>
                </w:p>
              </w:tc>
              <w:tc>
                <w:tcPr>
                  <w:tcW w:w="13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0</w:t>
                  </w:r>
                </w:p>
              </w:tc>
              <w:tc>
                <w:tcPr>
                  <w:tcW w:w="10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O</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3</w:t>
                  </w:r>
                </w:p>
              </w:tc>
              <w:tc>
                <w:tcPr>
                  <w:tcW w:w="183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最大</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w:t>
                  </w:r>
                  <w:r>
                    <w:rPr>
                      <w:rFonts w:hint="eastAsia" w:ascii="宋体" w:hAnsi="宋体" w:eastAsia="宋体" w:cs="宋体"/>
                      <w:color w:val="000000" w:themeColor="text1"/>
                      <w:kern w:val="2"/>
                      <w:sz w:val="21"/>
                      <w:szCs w:val="21"/>
                      <w:lang w:val="en-US" w:eastAsia="zh-CN" w:bidi="ar"/>
                      <w14:textFill>
                        <w14:solidFill>
                          <w14:schemeClr w14:val="tx1"/>
                        </w14:solidFill>
                      </w14:textFill>
                    </w:rPr>
                    <w:t>小时第</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90</w:t>
                  </w:r>
                  <w:r>
                    <w:rPr>
                      <w:rFonts w:hint="eastAsia" w:ascii="宋体" w:hAnsi="宋体" w:eastAsia="宋体" w:cs="宋体"/>
                      <w:color w:val="000000" w:themeColor="text1"/>
                      <w:kern w:val="2"/>
                      <w:sz w:val="21"/>
                      <w:szCs w:val="21"/>
                      <w:lang w:val="en-US" w:eastAsia="zh-CN" w:bidi="ar"/>
                      <w14:textFill>
                        <w14:solidFill>
                          <w14:schemeClr w14:val="tx1"/>
                        </w14:solidFill>
                      </w14:textFill>
                    </w:rPr>
                    <w:t>百分位数日平均</w:t>
                  </w:r>
                </w:p>
              </w:tc>
              <w:tc>
                <w:tcPr>
                  <w:tcW w:w="131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13</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1</w:t>
                  </w:r>
                </w:p>
              </w:tc>
              <w:tc>
                <w:tcPr>
                  <w:tcW w:w="115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160</w:t>
                  </w:r>
                </w:p>
              </w:tc>
              <w:tc>
                <w:tcPr>
                  <w:tcW w:w="137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1.88</w:t>
                  </w:r>
                </w:p>
              </w:tc>
              <w:tc>
                <w:tcPr>
                  <w:tcW w:w="10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达标</w:t>
                  </w:r>
                </w:p>
              </w:tc>
            </w:tr>
          </w:tbl>
          <w:p>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 w:val="0"/>
                <w:bCs w:val="0"/>
                <w:color w:val="000000" w:themeColor="text1"/>
                <w:spacing w:val="0"/>
                <w:kern w:val="2"/>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spacing w:val="0"/>
                <w:kern w:val="2"/>
                <w:sz w:val="21"/>
                <w:szCs w:val="21"/>
                <w:lang w:val="en-US" w:eastAsia="zh-CN" w:bidi="ar"/>
                <w14:textFill>
                  <w14:solidFill>
                    <w14:schemeClr w14:val="tx1"/>
                  </w14:solidFill>
                </w14:textFill>
              </w:rPr>
              <w:t>根据上表评价结果可知，</w:t>
            </w: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202</w:t>
            </w:r>
            <w:r>
              <w:rPr>
                <w:rFonts w:hint="default" w:ascii="Times New Roman" w:hAnsi="Times New Roman" w:cs="Times New Roman"/>
                <w:b w:val="0"/>
                <w:bCs w:val="0"/>
                <w:color w:val="000000" w:themeColor="text1"/>
                <w:spacing w:val="0"/>
                <w:kern w:val="2"/>
                <w:sz w:val="21"/>
                <w:szCs w:val="21"/>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年昌吉州SO</w:t>
            </w:r>
            <w:r>
              <w:rPr>
                <w:rFonts w:hint="default" w:ascii="Times New Roman" w:hAnsi="Times New Roman" w:eastAsia="宋体" w:cs="Times New Roman"/>
                <w:b w:val="0"/>
                <w:bCs w:val="0"/>
                <w:color w:val="000000" w:themeColor="text1"/>
                <w:spacing w:val="0"/>
                <w:kern w:val="2"/>
                <w:sz w:val="21"/>
                <w:szCs w:val="21"/>
                <w:vertAlign w:val="subscript"/>
                <w:lang w:val="en-US" w:eastAsia="zh-CN" w:bidi="ar"/>
                <w14:textFill>
                  <w14:solidFill>
                    <w14:schemeClr w14:val="tx1"/>
                  </w14:solidFill>
                </w14:textFill>
              </w:rPr>
              <w:t>2</w:t>
            </w: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、CO、NO</w:t>
            </w:r>
            <w:r>
              <w:rPr>
                <w:rFonts w:hint="default" w:ascii="Times New Roman" w:hAnsi="Times New Roman" w:eastAsia="宋体" w:cs="Times New Roman"/>
                <w:b w:val="0"/>
                <w:bCs w:val="0"/>
                <w:color w:val="000000" w:themeColor="text1"/>
                <w:spacing w:val="0"/>
                <w:kern w:val="2"/>
                <w:sz w:val="21"/>
                <w:szCs w:val="21"/>
                <w:vertAlign w:val="subscript"/>
                <w:lang w:val="en-US" w:eastAsia="zh-CN" w:bidi="ar"/>
                <w14:textFill>
                  <w14:solidFill>
                    <w14:schemeClr w14:val="tx1"/>
                  </w14:solidFill>
                </w14:textFill>
              </w:rPr>
              <w:t>2</w:t>
            </w: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、O</w:t>
            </w:r>
            <w:r>
              <w:rPr>
                <w:rFonts w:hint="default" w:ascii="Times New Roman" w:hAnsi="Times New Roman" w:eastAsia="宋体" w:cs="Times New Roman"/>
                <w:b w:val="0"/>
                <w:bCs w:val="0"/>
                <w:color w:val="000000" w:themeColor="text1"/>
                <w:spacing w:val="0"/>
                <w:kern w:val="2"/>
                <w:sz w:val="21"/>
                <w:szCs w:val="21"/>
                <w:vertAlign w:val="subscript"/>
                <w:lang w:val="en-US" w:eastAsia="zh-CN" w:bidi="ar"/>
                <w14:textFill>
                  <w14:solidFill>
                    <w14:schemeClr w14:val="tx1"/>
                  </w14:solidFill>
                </w14:textFill>
              </w:rPr>
              <w:t>3</w:t>
            </w: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均达到《环境空气质量标准》（GB3095-2026）中过渡阶段浓度限值的二级标准，PM</w:t>
            </w:r>
            <w:r>
              <w:rPr>
                <w:rFonts w:hint="default" w:ascii="Times New Roman" w:hAnsi="Times New Roman" w:eastAsia="宋体" w:cs="Times New Roman"/>
                <w:b w:val="0"/>
                <w:bCs w:val="0"/>
                <w:color w:val="000000" w:themeColor="text1"/>
                <w:spacing w:val="0"/>
                <w:kern w:val="2"/>
                <w:sz w:val="21"/>
                <w:szCs w:val="21"/>
                <w:vertAlign w:val="subscript"/>
                <w:lang w:val="en-US" w:eastAsia="zh-CN" w:bidi="ar"/>
                <w14:textFill>
                  <w14:solidFill>
                    <w14:schemeClr w14:val="tx1"/>
                  </w14:solidFill>
                </w14:textFill>
              </w:rPr>
              <w:t>10</w:t>
            </w: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、PM</w:t>
            </w:r>
            <w:r>
              <w:rPr>
                <w:rFonts w:hint="default" w:ascii="Times New Roman" w:hAnsi="Times New Roman" w:eastAsia="宋体" w:cs="Times New Roman"/>
                <w:b w:val="0"/>
                <w:bCs w:val="0"/>
                <w:color w:val="000000" w:themeColor="text1"/>
                <w:spacing w:val="0"/>
                <w:kern w:val="2"/>
                <w:sz w:val="21"/>
                <w:szCs w:val="21"/>
                <w:vertAlign w:val="subscript"/>
                <w:lang w:val="en-US" w:eastAsia="zh-CN" w:bidi="ar"/>
                <w14:textFill>
                  <w14:solidFill>
                    <w14:schemeClr w14:val="tx1"/>
                  </w14:solidFill>
                </w14:textFill>
              </w:rPr>
              <w:t>2.5</w:t>
            </w: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不能满足《环境空气质量标准》（GB3095-2026）中过渡阶段浓度限值的二级标准，根据《环境影响评价技术导则 大气环境》（HJ2.2-2018），判定该区域环境空</w:t>
            </w:r>
            <w:r>
              <w:rPr>
                <w:rFonts w:hint="eastAsia" w:ascii="宋体" w:hAnsi="宋体" w:eastAsia="宋体" w:cs="宋体"/>
                <w:b w:val="0"/>
                <w:bCs w:val="0"/>
                <w:color w:val="000000" w:themeColor="text1"/>
                <w:spacing w:val="0"/>
                <w:kern w:val="2"/>
                <w:sz w:val="21"/>
                <w:szCs w:val="21"/>
                <w:lang w:val="en-US" w:eastAsia="zh-CN" w:bidi="ar"/>
                <w14:textFill>
                  <w14:solidFill>
                    <w14:schemeClr w14:val="tx1"/>
                  </w14:solidFill>
                </w14:textFill>
              </w:rPr>
              <w:t>气质量不达标，判定评价区域环境空气质量不达标。</w:t>
            </w:r>
          </w:p>
          <w:p>
            <w:pPr>
              <w:keepNext w:val="0"/>
              <w:keepLines w:val="0"/>
              <w:widowControl w:val="0"/>
              <w:suppressLineNumbers w:val="0"/>
              <w:spacing w:before="0" w:beforeAutospacing="0" w:after="0" w:afterAutospacing="0" w:line="360" w:lineRule="auto"/>
              <w:ind w:left="0" w:right="0" w:firstLine="420" w:firstLineChars="200"/>
              <w:jc w:val="both"/>
              <w:rPr>
                <w:rFonts w:hint="default"/>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PM</w:t>
            </w:r>
            <w:r>
              <w:rPr>
                <w:rFonts w:hint="default" w:ascii="Times New Roman" w:hAnsi="Times New Roman" w:eastAsia="宋体" w:cs="Times New Roman"/>
                <w:b w:val="0"/>
                <w:bCs w:val="0"/>
                <w:color w:val="000000" w:themeColor="text1"/>
                <w:spacing w:val="0"/>
                <w:kern w:val="2"/>
                <w:sz w:val="21"/>
                <w:szCs w:val="21"/>
                <w:vertAlign w:val="subscript"/>
                <w:lang w:val="en-US" w:eastAsia="zh-CN" w:bidi="ar"/>
                <w14:textFill>
                  <w14:solidFill>
                    <w14:schemeClr w14:val="tx1"/>
                  </w14:solidFill>
                </w14:textFill>
              </w:rPr>
              <w:t>10</w:t>
            </w:r>
            <w:r>
              <w:rPr>
                <w:rFonts w:hint="default" w:ascii="Times New Roman" w:hAnsi="Times New Roman" w:eastAsia="宋体" w:cs="Times New Roman"/>
                <w:b w:val="0"/>
                <w:bCs w:val="0"/>
                <w:color w:val="000000" w:themeColor="text1"/>
                <w:spacing w:val="0"/>
                <w:kern w:val="2"/>
                <w:sz w:val="21"/>
                <w:szCs w:val="21"/>
                <w:lang w:val="en-US" w:eastAsia="zh-CN" w:bidi="ar"/>
                <w14:textFill>
                  <w14:solidFill>
                    <w14:schemeClr w14:val="tx1"/>
                  </w14:solidFill>
                </w14:textFill>
              </w:rPr>
              <w:t>、PM</w:t>
            </w:r>
            <w:r>
              <w:rPr>
                <w:rFonts w:hint="default" w:ascii="Times New Roman" w:hAnsi="Times New Roman" w:eastAsia="宋体" w:cs="Times New Roman"/>
                <w:b w:val="0"/>
                <w:bCs w:val="0"/>
                <w:color w:val="000000" w:themeColor="text1"/>
                <w:spacing w:val="0"/>
                <w:kern w:val="2"/>
                <w:sz w:val="21"/>
                <w:szCs w:val="21"/>
                <w:vertAlign w:val="subscript"/>
                <w:lang w:val="en-US" w:eastAsia="zh-CN" w:bidi="ar"/>
                <w14:textFill>
                  <w14:solidFill>
                    <w14:schemeClr w14:val="tx1"/>
                  </w14:solidFill>
                </w14:textFill>
              </w:rPr>
              <w:t>2.5</w:t>
            </w:r>
            <w:r>
              <w:rPr>
                <w:rFonts w:hint="eastAsia" w:ascii="宋体" w:hAnsi="宋体" w:eastAsia="宋体" w:cs="宋体"/>
                <w:b w:val="0"/>
                <w:bCs w:val="0"/>
                <w:color w:val="000000" w:themeColor="text1"/>
                <w:spacing w:val="0"/>
                <w:kern w:val="2"/>
                <w:sz w:val="21"/>
                <w:szCs w:val="21"/>
                <w:lang w:val="en-US" w:eastAsia="zh-CN" w:bidi="ar"/>
                <w14:textFill>
                  <w14:solidFill>
                    <w14:schemeClr w14:val="tx1"/>
                  </w14:solidFill>
                </w14:textFill>
              </w:rPr>
              <w:t>超标主要因为新疆气候干燥，浮尘天气等因素影响，受自然因素的影响比较明显</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kinsoku/>
              <w:wordWrap/>
              <w:overflowPunct/>
              <w:autoSpaceDE w:val="0"/>
              <w:autoSpaceDN w:val="0"/>
              <w:bidi w:val="0"/>
              <w:adjustRightInd w:val="0"/>
              <w:snapToGrid w:val="0"/>
              <w:spacing w:before="0" w:beforeAutospacing="0" w:after="0" w:afterAutospacing="0" w:line="360" w:lineRule="auto"/>
              <w:ind w:left="0" w:right="0"/>
              <w:jc w:val="both"/>
              <w:textAlignment w:val="baseline"/>
              <w:rPr>
                <w:rFonts w:hint="default" w:ascii="Times New Roman" w:hAnsi="Times New Roman" w:eastAsia="宋体" w:cs="Times New Roman"/>
                <w:b/>
                <w:bCs/>
                <w:color w:val="000000" w:themeColor="text1"/>
                <w:kern w:val="2"/>
                <w:sz w:val="21"/>
                <w:szCs w:val="21"/>
                <w:vertAlign w:val="baseline"/>
                <w14:textFill>
                  <w14:solidFill>
                    <w14:schemeClr w14:val="tx1"/>
                  </w14:solidFill>
                </w14:textFill>
              </w:rPr>
            </w:pPr>
            <w:r>
              <w:rPr>
                <w:rFonts w:hint="eastAsia" w:ascii="Times New Roman" w:hAnsi="Times New Roman" w:eastAsia="宋体" w:cs="Times New Roman"/>
                <w:b/>
                <w:bCs/>
                <w:color w:val="000000" w:themeColor="text1"/>
                <w:kern w:val="2"/>
                <w:sz w:val="21"/>
                <w:szCs w:val="21"/>
                <w:vertAlign w:val="baseline"/>
                <w:lang w:val="en-US" w:eastAsia="zh-CN" w:bidi="ar"/>
                <w14:textFill>
                  <w14:solidFill>
                    <w14:schemeClr w14:val="tx1"/>
                  </w14:solidFill>
                </w14:textFill>
              </w:rPr>
              <w:t>1.2</w:t>
            </w:r>
            <w:r>
              <w:rPr>
                <w:rFonts w:hint="default" w:ascii="Times New Roman" w:hAnsi="Times New Roman" w:eastAsia="宋体" w:cs="Times New Roman"/>
                <w:b/>
                <w:bCs/>
                <w:color w:val="000000" w:themeColor="text1"/>
                <w:kern w:val="2"/>
                <w:sz w:val="21"/>
                <w:szCs w:val="21"/>
                <w:vertAlign w:val="baseline"/>
                <w:lang w:val="en-US" w:eastAsia="zh-CN" w:bidi="ar"/>
                <w14:textFill>
                  <w14:solidFill>
                    <w14:schemeClr w14:val="tx1"/>
                  </w14:solidFill>
                </w14:textFill>
              </w:rPr>
              <w:t>特征污染物质量现状调查及评价</w:t>
            </w:r>
          </w:p>
          <w:p>
            <w:pPr>
              <w:keepNext w:val="0"/>
              <w:keepLines w:val="0"/>
              <w:widowControl w:val="0"/>
              <w:suppressLineNumbers w:val="0"/>
              <w:kinsoku/>
              <w:wordWrap/>
              <w:overflowPunct/>
              <w:bidi w:val="0"/>
              <w:adjustRightInd w:val="0"/>
              <w:snapToGrid w:val="0"/>
              <w:spacing w:before="0" w:beforeAutospacing="0" w:after="0" w:afterAutospacing="0" w:line="360" w:lineRule="auto"/>
              <w:ind w:left="0" w:right="0" w:firstLine="420" w:firstLineChars="200"/>
              <w:jc w:val="both"/>
              <w:rPr>
                <w:rFonts w:hint="default"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1</w:t>
            </w:r>
            <w:r>
              <w:rPr>
                <w:rFonts w:hint="eastAsia" w:ascii="宋体" w:hAnsi="宋体" w:cs="宋体"/>
                <w:color w:val="000000" w:themeColor="text1"/>
                <w:kern w:val="0"/>
                <w:sz w:val="21"/>
                <w:szCs w:val="21"/>
                <w:lang w:val="en-US" w:eastAsia="zh-CN" w:bidi="ar"/>
                <w14:textFill>
                  <w14:solidFill>
                    <w14:schemeClr w14:val="tx1"/>
                  </w14:solidFill>
                </w14:textFill>
              </w:rPr>
              <w:t>）概述</w:t>
            </w:r>
          </w:p>
          <w:p>
            <w:pPr>
              <w:keepNext w:val="0"/>
              <w:keepLines w:val="0"/>
              <w:widowControl w:val="0"/>
              <w:suppressLineNumbers w:val="0"/>
              <w:kinsoku/>
              <w:wordWrap/>
              <w:overflowPunct/>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本项目产生的大气特征污染物</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为TSP，本次特征污染物</w:t>
            </w:r>
            <w:r>
              <w:rPr>
                <w:rFonts w:hint="eastAsia" w:cs="Times New Roman"/>
                <w:color w:val="000000" w:themeColor="text1"/>
                <w:kern w:val="0"/>
                <w:sz w:val="21"/>
                <w:szCs w:val="21"/>
                <w:lang w:val="en-US" w:eastAsia="zh-CN" w:bidi="ar"/>
                <w14:textFill>
                  <w14:solidFill>
                    <w14:schemeClr w14:val="tx1"/>
                  </w14:solidFill>
                </w14:textFill>
              </w:rPr>
              <w:t>现状监测</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数据</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引用新疆</w:t>
            </w:r>
            <w:r>
              <w:rPr>
                <w:rFonts w:hint="eastAsia" w:cs="Times New Roman"/>
                <w:color w:val="000000" w:themeColor="text1"/>
                <w:kern w:val="0"/>
                <w:sz w:val="21"/>
                <w:szCs w:val="21"/>
                <w:lang w:val="en-US" w:eastAsia="zh-CN" w:bidi="ar"/>
                <w14:textFill>
                  <w14:solidFill>
                    <w14:schemeClr w14:val="tx1"/>
                  </w14:solidFill>
                </w14:textFill>
              </w:rPr>
              <w:t>齐新</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环境</w:t>
            </w:r>
            <w:r>
              <w:rPr>
                <w:rFonts w:hint="eastAsia" w:cs="Times New Roman"/>
                <w:color w:val="000000" w:themeColor="text1"/>
                <w:kern w:val="0"/>
                <w:sz w:val="21"/>
                <w:szCs w:val="21"/>
                <w:lang w:val="en-US" w:eastAsia="zh-CN" w:bidi="ar"/>
                <w14:textFill>
                  <w14:solidFill>
                    <w14:schemeClr w14:val="tx1"/>
                  </w14:solidFill>
                </w14:textFill>
              </w:rPr>
              <w:t>服务</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有限公司于202</w:t>
            </w:r>
            <w:r>
              <w:rPr>
                <w:rFonts w:hint="eastAsia" w:cs="Times New Roman"/>
                <w:color w:val="000000" w:themeColor="text1"/>
                <w:kern w:val="0"/>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年</w:t>
            </w:r>
            <w:r>
              <w:rPr>
                <w:rFonts w:hint="eastAsia" w:cs="Times New Roman"/>
                <w:color w:val="000000" w:themeColor="text1"/>
                <w:kern w:val="0"/>
                <w:sz w:val="21"/>
                <w:szCs w:val="21"/>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月</w:t>
            </w:r>
            <w:r>
              <w:rPr>
                <w:rFonts w:hint="eastAsia" w:cs="Times New Roman"/>
                <w:color w:val="000000" w:themeColor="text1"/>
                <w:kern w:val="0"/>
                <w:sz w:val="21"/>
                <w:szCs w:val="21"/>
                <w:lang w:val="en-US" w:eastAsia="zh-CN" w:bidi="ar"/>
                <w14:textFill>
                  <w14:solidFill>
                    <w14:schemeClr w14:val="tx1"/>
                  </w14:solidFill>
                </w14:textFill>
              </w:rPr>
              <w:t>12</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日-</w:t>
            </w:r>
            <w:r>
              <w:rPr>
                <w:rFonts w:hint="eastAsia" w:cs="Times New Roman"/>
                <w:color w:val="000000" w:themeColor="text1"/>
                <w:kern w:val="0"/>
                <w:sz w:val="21"/>
                <w:szCs w:val="21"/>
                <w:lang w:val="en-US" w:eastAsia="zh-CN" w:bidi="ar"/>
                <w14:textFill>
                  <w14:solidFill>
                    <w14:schemeClr w14:val="tx1"/>
                  </w14:solidFill>
                </w14:textFill>
              </w:rPr>
              <w:t>14</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日</w:t>
            </w:r>
            <w:r>
              <w:rPr>
                <w:rFonts w:hint="eastAsia" w:cs="Times New Roman"/>
                <w:color w:val="000000" w:themeColor="text1"/>
                <w:kern w:val="0"/>
                <w:sz w:val="21"/>
                <w:szCs w:val="21"/>
                <w:lang w:val="en-US" w:eastAsia="zh-CN" w:bidi="ar"/>
                <w14:textFill>
                  <w14:solidFill>
                    <w14:schemeClr w14:val="tx1"/>
                  </w14:solidFill>
                </w14:textFill>
              </w:rPr>
              <w:t>对《昌吉扬普新材料有限公司秸秆残膜回收，生产木塑板、托盘、建筑模板建设项目》现状监测出具的监测数据，</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监测点</w:t>
            </w:r>
            <w:r>
              <w:rPr>
                <w:rFonts w:hint="eastAsia" w:cs="Times New Roman"/>
                <w:color w:val="000000" w:themeColor="text1"/>
                <w:kern w:val="0"/>
                <w:sz w:val="21"/>
                <w:szCs w:val="21"/>
                <w:lang w:val="en-US" w:eastAsia="zh-CN" w:bidi="ar"/>
                <w14:textFill>
                  <w14:solidFill>
                    <w14:schemeClr w14:val="tx1"/>
                  </w14:solidFill>
                </w14:textFill>
              </w:rPr>
              <w:t>坐标</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E87°</w:t>
            </w:r>
            <w:r>
              <w:rPr>
                <w:rFonts w:hint="eastAsia" w:cs="Times New Roman"/>
                <w:color w:val="000000" w:themeColor="text1"/>
                <w:kern w:val="0"/>
                <w:sz w:val="21"/>
                <w:szCs w:val="21"/>
                <w:lang w:val="en-US" w:eastAsia="zh-CN" w:bidi="ar"/>
                <w14:textFill>
                  <w14:solidFill>
                    <w14:schemeClr w14:val="tx1"/>
                  </w14:solidFill>
                </w14:textFill>
              </w:rPr>
              <w:t>8</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eastAsia" w:cs="Times New Roman"/>
                <w:color w:val="000000" w:themeColor="text1"/>
                <w:kern w:val="0"/>
                <w:sz w:val="21"/>
                <w:szCs w:val="21"/>
                <w:lang w:val="en-US" w:eastAsia="zh-CN" w:bidi="ar"/>
                <w14:textFill>
                  <w14:solidFill>
                    <w14:schemeClr w14:val="tx1"/>
                  </w14:solidFill>
                </w14:textFill>
              </w:rPr>
              <w:t>35.55</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″，N44°</w:t>
            </w:r>
            <w:r>
              <w:rPr>
                <w:rFonts w:hint="eastAsia" w:cs="Times New Roman"/>
                <w:color w:val="000000" w:themeColor="text1"/>
                <w:kern w:val="0"/>
                <w:sz w:val="21"/>
                <w:szCs w:val="21"/>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eastAsia" w:cs="Times New Roman"/>
                <w:color w:val="000000" w:themeColor="text1"/>
                <w:kern w:val="0"/>
                <w:sz w:val="21"/>
                <w:szCs w:val="21"/>
                <w:lang w:val="en-US" w:eastAsia="zh-CN" w:bidi="ar"/>
                <w14:textFill>
                  <w14:solidFill>
                    <w14:schemeClr w14:val="tx1"/>
                  </w14:solidFill>
                </w14:textFill>
              </w:rPr>
              <w:t>56.15</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″，位于本项目</w:t>
            </w:r>
            <w:r>
              <w:rPr>
                <w:rFonts w:hint="eastAsia" w:cs="Times New Roman"/>
                <w:color w:val="000000" w:themeColor="text1"/>
                <w:kern w:val="0"/>
                <w:sz w:val="21"/>
                <w:szCs w:val="21"/>
                <w:lang w:val="en-US" w:eastAsia="zh-CN" w:bidi="ar"/>
                <w14:textFill>
                  <w14:solidFill>
                    <w14:schemeClr w14:val="tx1"/>
                  </w14:solidFill>
                </w14:textFill>
              </w:rPr>
              <w:t>东南</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侧，距离</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约</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为</w:t>
            </w:r>
            <w:r>
              <w:rPr>
                <w:rFonts w:hint="eastAsia" w:cs="Times New Roman"/>
                <w:color w:val="000000" w:themeColor="text1"/>
                <w:kern w:val="0"/>
                <w:sz w:val="21"/>
                <w:szCs w:val="21"/>
                <w:lang w:val="en-US" w:eastAsia="zh-CN" w:bidi="ar"/>
                <w14:textFill>
                  <w14:solidFill>
                    <w14:schemeClr w14:val="tx1"/>
                  </w14:solidFill>
                </w14:textFill>
              </w:rPr>
              <w:t>1.25k</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m。监测点位示意图见附图</w:t>
            </w:r>
            <w:r>
              <w:rPr>
                <w:rFonts w:hint="eastAsia" w:cs="Times New Roman"/>
                <w:color w:val="000000" w:themeColor="text1"/>
                <w:kern w:val="0"/>
                <w:sz w:val="21"/>
                <w:szCs w:val="21"/>
                <w:lang w:val="en-US" w:eastAsia="zh-CN" w:bidi="ar"/>
                <w14:textFill>
                  <w14:solidFill>
                    <w14:schemeClr w14:val="tx1"/>
                  </w14:solidFill>
                </w14:textFill>
              </w:rPr>
              <w:t>8</w:t>
            </w:r>
            <w:r>
              <w:rPr>
                <w:rFonts w:hint="eastAsia" w:ascii="宋体" w:hAnsi="宋体" w:cs="宋体"/>
                <w:color w:val="000000" w:themeColor="text1"/>
                <w:kern w:val="0"/>
                <w:sz w:val="21"/>
                <w:szCs w:val="21"/>
                <w:lang w:val="en-US" w:eastAsia="zh-CN" w:bidi="ar"/>
                <w14:textFill>
                  <w14:solidFill>
                    <w14:schemeClr w14:val="tx1"/>
                  </w14:solidFill>
                </w14:textFill>
              </w:rPr>
              <w:t>。</w:t>
            </w:r>
          </w:p>
          <w:p>
            <w:pPr>
              <w:pStyle w:val="4"/>
              <w:widowControl/>
              <w:kinsoku/>
              <w:wordWrap/>
              <w:overflowPunct/>
              <w:bidi w:val="0"/>
              <w:adjustRightInd w:val="0"/>
              <w:snapToGrid w:val="0"/>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w:t>
            </w: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2</w:t>
            </w:r>
            <w:r>
              <w:rPr>
                <w:rFonts w:hint="eastAsia" w:ascii="宋体" w:hAnsi="宋体" w:eastAsia="宋体" w:cs="宋体"/>
                <w:bCs/>
                <w:color w:val="000000" w:themeColor="text1"/>
                <w:kern w:val="2"/>
                <w:sz w:val="21"/>
                <w:szCs w:val="21"/>
                <w14:textFill>
                  <w14:solidFill>
                    <w14:schemeClr w14:val="tx1"/>
                  </w14:solidFill>
                </w14:textFill>
              </w:rPr>
              <w:t>）评价标准及方法</w:t>
            </w:r>
          </w:p>
          <w:p>
            <w:pPr>
              <w:pStyle w:val="20"/>
              <w:keepNext w:val="0"/>
              <w:keepLines w:val="0"/>
              <w:widowControl w:val="0"/>
              <w:suppressLineNumbers w:val="0"/>
              <w:kinsoku/>
              <w:wordWrap/>
              <w:overflowPunct/>
              <w:topLinePunct/>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评价标准：采用《环境空气质量</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标准》（GB3095-2026）中二级</w:t>
            </w:r>
            <w:r>
              <w:rPr>
                <w:rFonts w:hint="eastAsia" w:ascii="宋体" w:hAnsi="宋体" w:eastAsia="宋体" w:cs="宋体"/>
                <w:color w:val="000000" w:themeColor="text1"/>
                <w:kern w:val="2"/>
                <w:sz w:val="21"/>
                <w:szCs w:val="21"/>
                <w:lang w:val="en-US" w:eastAsia="zh-CN" w:bidi="ar"/>
                <w14:textFill>
                  <w14:solidFill>
                    <w14:schemeClr w14:val="tx1"/>
                  </w14:solidFill>
                </w14:textFill>
              </w:rPr>
              <w:t>标准浓度限值</w:t>
            </w:r>
            <w:r>
              <w:rPr>
                <w:rFonts w:hint="eastAsia" w:eastAsia="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评价标准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见表3-2</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0"/>
              <w:keepNext w:val="0"/>
              <w:keepLines w:val="0"/>
              <w:widowControl w:val="0"/>
              <w:suppressLineNumbers w:val="0"/>
              <w:topLinePunct/>
              <w:autoSpaceDE w:val="0"/>
              <w:autoSpaceDN/>
              <w:spacing w:before="0" w:beforeAutospacing="0" w:after="0" w:afterAutospacing="0"/>
              <w:ind w:left="0" w:right="0"/>
              <w:jc w:val="center"/>
              <w:rPr>
                <w:rFonts w:hint="default" w:ascii="宋体" w:hAnsi="宋体" w:eastAsia="宋体" w:cs="宋体"/>
                <w:b/>
                <w:bCs w:val="0"/>
                <w:color w:val="000000" w:themeColor="text1"/>
                <w:kern w:val="2"/>
                <w:sz w:val="21"/>
                <w:szCs w:val="21"/>
                <w:lang w:val="en-US" w:eastAsia="zh-CN" w:bidi="ar"/>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 xml:space="preserve">3-2  </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评价标准</w:t>
            </w:r>
            <w:r>
              <w:rPr>
                <w:rFonts w:hint="eastAsia" w:eastAsia="宋体" w:cs="宋体"/>
                <w:b/>
                <w:bCs w:val="0"/>
                <w:color w:val="000000" w:themeColor="text1"/>
                <w:kern w:val="2"/>
                <w:sz w:val="21"/>
                <w:szCs w:val="21"/>
                <w:lang w:val="en-US" w:eastAsia="zh-CN" w:bidi="ar"/>
                <w14:textFill>
                  <w14:solidFill>
                    <w14:schemeClr w14:val="tx1"/>
                  </w14:solidFill>
                </w14:textFill>
              </w:rPr>
              <w:t>限值</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60"/>
              <w:gridCol w:w="1751"/>
              <w:gridCol w:w="1399"/>
              <w:gridCol w:w="1461"/>
              <w:gridCol w:w="1128"/>
              <w:gridCol w:w="1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6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序号</w:t>
                  </w:r>
                </w:p>
              </w:tc>
              <w:tc>
                <w:tcPr>
                  <w:tcW w:w="107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污染物</w:t>
                  </w:r>
                </w:p>
              </w:tc>
              <w:tc>
                <w:tcPr>
                  <w:tcW w:w="24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浓度限值</w:t>
                  </w:r>
                </w:p>
              </w:tc>
              <w:tc>
                <w:tcPr>
                  <w:tcW w:w="8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5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lang w:val="en-US" w:eastAsia="zh-CN"/>
                      <w14:textFill>
                        <w14:solidFill>
                          <w14:schemeClr w14:val="tx1"/>
                        </w14:solidFill>
                      </w14:textFill>
                    </w:rPr>
                  </w:pPr>
                </w:p>
              </w:tc>
              <w:tc>
                <w:tcPr>
                  <w:tcW w:w="107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lang w:val="en-US" w:eastAsia="zh-CN"/>
                      <w14:textFill>
                        <w14:solidFill>
                          <w14:schemeClr w14:val="tx1"/>
                        </w14:solidFill>
                      </w14:textFill>
                    </w:rPr>
                  </w:pPr>
                </w:p>
              </w:tc>
              <w:tc>
                <w:tcPr>
                  <w:tcW w:w="85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小时平均</w:t>
                  </w:r>
                </w:p>
              </w:tc>
              <w:tc>
                <w:tcPr>
                  <w:tcW w:w="89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24</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小时平均</w:t>
                  </w:r>
                </w:p>
              </w:tc>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年平均</w:t>
                  </w:r>
                </w:p>
              </w:tc>
              <w:tc>
                <w:tcPr>
                  <w:tcW w:w="8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5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1</w:t>
                  </w:r>
                </w:p>
              </w:tc>
              <w:tc>
                <w:tcPr>
                  <w:tcW w:w="107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总悬浮颗粒物</w:t>
                  </w:r>
                </w:p>
              </w:tc>
              <w:tc>
                <w:tcPr>
                  <w:tcW w:w="85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w:t>
                  </w:r>
                </w:p>
              </w:tc>
              <w:tc>
                <w:tcPr>
                  <w:tcW w:w="89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0.3</w:t>
                  </w:r>
                </w:p>
              </w:tc>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w:t>
                  </w:r>
                </w:p>
              </w:tc>
              <w:tc>
                <w:tcPr>
                  <w:tcW w:w="83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g/m³</w:t>
                  </w:r>
                </w:p>
              </w:tc>
            </w:tr>
          </w:tbl>
          <w:p>
            <w:pPr>
              <w:keepNext w:val="0"/>
              <w:keepLines w:val="0"/>
              <w:widowControl w:val="0"/>
              <w:suppressLineNumbers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3</w:t>
            </w:r>
            <w:r>
              <w:rPr>
                <w:rFonts w:hint="eastAsia" w:ascii="宋体" w:hAnsi="宋体" w:eastAsia="宋体" w:cs="宋体"/>
                <w:color w:val="000000" w:themeColor="text1"/>
                <w:kern w:val="2"/>
                <w:sz w:val="21"/>
                <w:szCs w:val="21"/>
                <w:lang w:val="en-US" w:eastAsia="zh-CN" w:bidi="ar"/>
                <w14:textFill>
                  <w14:solidFill>
                    <w14:schemeClr w14:val="tx1"/>
                  </w14:solidFill>
                </w14:textFill>
              </w:rPr>
              <w:t>）现状监测及评价结果</w:t>
            </w:r>
          </w:p>
          <w:p>
            <w:pPr>
              <w:pStyle w:val="20"/>
              <w:keepNext w:val="0"/>
              <w:keepLines w:val="0"/>
              <w:widowControl w:val="0"/>
              <w:suppressLineNumbers w:val="0"/>
              <w:topLinePunct/>
              <w:spacing w:before="0" w:beforeAutospacing="0" w:after="0" w:afterAutospacing="0" w:line="360" w:lineRule="auto"/>
              <w:ind w:left="0" w:right="0" w:firstLine="420" w:firstLineChars="200"/>
              <w:jc w:val="both"/>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大气环境质量现状监测、评价结果见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表3-3</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b/>
                <w:bCs w:val="0"/>
                <w:color w:val="000000" w:themeColor="text1"/>
                <w:kern w:val="2"/>
                <w:sz w:val="21"/>
                <w:szCs w:val="21"/>
                <w:vertAlign w:val="superscript"/>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 xml:space="preserve">3-3  </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评价区特征污染物现状及评价结果</w:t>
            </w:r>
            <w:r>
              <w:rPr>
                <w:rFonts w:hint="eastAsia" w:ascii="宋体" w:hAnsi="宋体" w:cs="宋体"/>
                <w:b/>
                <w:bCs w:val="0"/>
                <w:color w:val="000000" w:themeColor="text1"/>
                <w:kern w:val="2"/>
                <w:sz w:val="21"/>
                <w:szCs w:val="21"/>
                <w:lang w:val="en-US" w:eastAsia="zh-CN" w:bidi="ar"/>
                <w14:textFill>
                  <w14:solidFill>
                    <w14:schemeClr w14:val="tx1"/>
                  </w14:solidFill>
                </w14:textFill>
              </w:rPr>
              <w:t xml:space="preserve">  单位</w:t>
            </w:r>
            <w:r>
              <w:rPr>
                <w:rFonts w:hint="default" w:ascii="Times New Roman" w:hAnsi="Times New Roman" w:cs="Times New Roman"/>
                <w:b/>
                <w:bCs w:val="0"/>
                <w:color w:val="000000" w:themeColor="text1"/>
                <w:kern w:val="2"/>
                <w:sz w:val="21"/>
                <w:szCs w:val="21"/>
                <w:lang w:val="en-US" w:eastAsia="zh-CN" w:bidi="ar"/>
                <w14:textFill>
                  <w14:solidFill>
                    <w14:schemeClr w14:val="tx1"/>
                  </w14:solidFill>
                </w14:textFill>
              </w:rPr>
              <w:t>：mg/m</w:t>
            </w:r>
            <w:r>
              <w:rPr>
                <w:rFonts w:hint="default" w:ascii="Times New Roman" w:hAnsi="Times New Roman" w:cs="Times New Roman"/>
                <w:b/>
                <w:bCs w:val="0"/>
                <w:color w:val="000000" w:themeColor="text1"/>
                <w:kern w:val="2"/>
                <w:sz w:val="21"/>
                <w:szCs w:val="21"/>
                <w:vertAlign w:val="superscript"/>
                <w:lang w:val="en-US" w:eastAsia="zh-CN" w:bidi="ar"/>
                <w14:textFill>
                  <w14:solidFill>
                    <w14:schemeClr w14:val="tx1"/>
                  </w14:solidFill>
                </w14:textFill>
              </w:rPr>
              <w:t>3</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932"/>
              <w:gridCol w:w="994"/>
              <w:gridCol w:w="1391"/>
              <w:gridCol w:w="1295"/>
              <w:gridCol w:w="1277"/>
              <w:gridCol w:w="1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184"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采样日期</w:t>
                  </w:r>
                </w:p>
              </w:tc>
              <w:tc>
                <w:tcPr>
                  <w:tcW w:w="609"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采样点</w:t>
                  </w:r>
                </w:p>
              </w:tc>
              <w:tc>
                <w:tcPr>
                  <w:tcW w:w="852"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eastAsia"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采样编号</w:t>
                  </w:r>
                </w:p>
              </w:tc>
              <w:tc>
                <w:tcPr>
                  <w:tcW w:w="793"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监测项目</w:t>
                  </w:r>
                </w:p>
              </w:tc>
              <w:tc>
                <w:tcPr>
                  <w:tcW w:w="782"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监测结果</w:t>
                  </w:r>
                </w:p>
              </w:tc>
              <w:tc>
                <w:tcPr>
                  <w:tcW w:w="777"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184"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bidi="ar"/>
                      <w14:textFill>
                        <w14:solidFill>
                          <w14:schemeClr w14:val="tx1"/>
                        </w14:solidFill>
                      </w14:textFill>
                    </w:rPr>
                    <w:t>2025年</w:t>
                  </w:r>
                  <w:r>
                    <w:rPr>
                      <w:rFonts w:hint="eastAsia" w:cs="Times New Roman"/>
                      <w:bCs/>
                      <w:color w:val="000000" w:themeColor="text1"/>
                      <w:kern w:val="2"/>
                      <w:sz w:val="21"/>
                      <w:szCs w:val="21"/>
                      <w:lang w:val="en-US" w:eastAsia="zh-CN" w:bidi="ar"/>
                      <w14:textFill>
                        <w14:solidFill>
                          <w14:schemeClr w14:val="tx1"/>
                        </w14:solidFill>
                      </w14:textFill>
                    </w:rPr>
                    <w:t>4</w:t>
                  </w:r>
                  <w:r>
                    <w:rPr>
                      <w:rFonts w:hint="eastAsia" w:ascii="Times New Roman" w:hAnsi="Times New Roman" w:eastAsia="宋体" w:cs="Times New Roman"/>
                      <w:bCs/>
                      <w:color w:val="000000" w:themeColor="text1"/>
                      <w:kern w:val="2"/>
                      <w:sz w:val="21"/>
                      <w:szCs w:val="21"/>
                      <w:lang w:val="en-US" w:eastAsia="zh-CN" w:bidi="ar"/>
                      <w14:textFill>
                        <w14:solidFill>
                          <w14:schemeClr w14:val="tx1"/>
                        </w14:solidFill>
                      </w14:textFill>
                    </w:rPr>
                    <w:t>月</w:t>
                  </w:r>
                  <w:r>
                    <w:rPr>
                      <w:rFonts w:hint="eastAsia" w:cs="Times New Roman"/>
                      <w:bCs/>
                      <w:color w:val="000000" w:themeColor="text1"/>
                      <w:kern w:val="2"/>
                      <w:sz w:val="21"/>
                      <w:szCs w:val="21"/>
                      <w:lang w:val="en-US" w:eastAsia="zh-CN" w:bidi="ar"/>
                      <w14:textFill>
                        <w14:solidFill>
                          <w14:schemeClr w14:val="tx1"/>
                        </w14:solidFill>
                      </w14:textFill>
                    </w:rPr>
                    <w:t>12</w:t>
                  </w:r>
                  <w:r>
                    <w:rPr>
                      <w:rFonts w:hint="eastAsia" w:ascii="Times New Roman" w:hAnsi="Times New Roman" w:eastAsia="宋体" w:cs="Times New Roman"/>
                      <w:bCs/>
                      <w:color w:val="000000" w:themeColor="text1"/>
                      <w:kern w:val="2"/>
                      <w:sz w:val="21"/>
                      <w:szCs w:val="21"/>
                      <w:lang w:val="en-US" w:eastAsia="zh-CN" w:bidi="ar"/>
                      <w14:textFill>
                        <w14:solidFill>
                          <w14:schemeClr w14:val="tx1"/>
                        </w14:solidFill>
                      </w14:textFill>
                    </w:rPr>
                    <w:t>日</w:t>
                  </w:r>
                </w:p>
              </w:tc>
              <w:tc>
                <w:tcPr>
                  <w:tcW w:w="609" w:type="pct"/>
                  <w:vMerge w:val="restar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项目区下风向</w:t>
                  </w:r>
                </w:p>
              </w:tc>
              <w:tc>
                <w:tcPr>
                  <w:tcW w:w="852"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1-1</w:t>
                  </w:r>
                </w:p>
              </w:tc>
              <w:tc>
                <w:tcPr>
                  <w:tcW w:w="793" w:type="pct"/>
                  <w:vMerge w:val="restar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TSP</w:t>
                  </w:r>
                </w:p>
              </w:tc>
              <w:tc>
                <w:tcPr>
                  <w:tcW w:w="782" w:type="pct"/>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w:t>
                  </w:r>
                  <w:r>
                    <w:rPr>
                      <w:rFonts w:hint="eastAsia" w:cs="Times New Roman"/>
                      <w:color w:val="000000" w:themeColor="text1"/>
                      <w:kern w:val="2"/>
                      <w:sz w:val="21"/>
                      <w:szCs w:val="21"/>
                      <w:lang w:val="en-US" w:eastAsia="zh-CN"/>
                      <w14:textFill>
                        <w14:solidFill>
                          <w14:schemeClr w14:val="tx1"/>
                        </w14:solidFill>
                      </w14:textFill>
                    </w:rPr>
                    <w:t>077</w:t>
                  </w:r>
                </w:p>
              </w:tc>
              <w:tc>
                <w:tcPr>
                  <w:tcW w:w="777" w:type="pct"/>
                  <w:vMerge w:val="restar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0.</w:t>
                  </w:r>
                  <w:r>
                    <w:rPr>
                      <w:rFonts w:hint="eastAsia" w:cs="Times New Roman"/>
                      <w:color w:val="000000" w:themeColor="text1"/>
                      <w:kern w:val="2"/>
                      <w:sz w:val="21"/>
                      <w:szCs w:val="21"/>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84"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2025年</w:t>
                  </w:r>
                  <w:r>
                    <w:rPr>
                      <w:rFonts w:hint="eastAsia" w:cs="Times New Roman"/>
                      <w:bCs/>
                      <w:color w:val="000000" w:themeColor="text1"/>
                      <w:kern w:val="2"/>
                      <w:sz w:val="21"/>
                      <w:szCs w:val="21"/>
                      <w:lang w:val="en-US" w:eastAsia="zh-CN" w:bidi="ar"/>
                      <w14:textFill>
                        <w14:solidFill>
                          <w14:schemeClr w14:val="tx1"/>
                        </w14:solidFill>
                      </w14:textFill>
                    </w:rPr>
                    <w:t>4</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月</w:t>
                  </w:r>
                  <w:r>
                    <w:rPr>
                      <w:rFonts w:hint="eastAsia" w:cs="Times New Roman"/>
                      <w:bCs/>
                      <w:color w:val="000000" w:themeColor="text1"/>
                      <w:kern w:val="2"/>
                      <w:sz w:val="21"/>
                      <w:szCs w:val="21"/>
                      <w:lang w:val="en-US" w:eastAsia="zh-CN" w:bidi="ar"/>
                      <w14:textFill>
                        <w14:solidFill>
                          <w14:schemeClr w14:val="tx1"/>
                        </w14:solidFill>
                      </w14:textFill>
                    </w:rPr>
                    <w:t>13</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日</w:t>
                  </w:r>
                </w:p>
              </w:tc>
              <w:tc>
                <w:tcPr>
                  <w:tcW w:w="609" w:type="pct"/>
                  <w:vMerge w:val="continue"/>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852"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cs="Times New Roman"/>
                      <w:color w:val="000000" w:themeColor="text1"/>
                      <w:kern w:val="2"/>
                      <w:sz w:val="21"/>
                      <w:szCs w:val="21"/>
                      <w:lang w:val="en-US" w:eastAsia="zh-CN" w:bidi="ar"/>
                      <w14:textFill>
                        <w14:solidFill>
                          <w14:schemeClr w14:val="tx1"/>
                        </w14:solidFill>
                      </w14:textFill>
                    </w:rPr>
                    <w:t>2</w:t>
                  </w:r>
                </w:p>
              </w:tc>
              <w:tc>
                <w:tcPr>
                  <w:tcW w:w="793" w:type="pct"/>
                  <w:vMerge w:val="continue"/>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782" w:type="pct"/>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w:t>
                  </w:r>
                  <w:r>
                    <w:rPr>
                      <w:rFonts w:hint="eastAsia" w:cs="Times New Roman"/>
                      <w:color w:val="000000" w:themeColor="text1"/>
                      <w:kern w:val="2"/>
                      <w:sz w:val="21"/>
                      <w:szCs w:val="21"/>
                      <w:lang w:val="en-US" w:eastAsia="zh-CN"/>
                      <w14:textFill>
                        <w14:solidFill>
                          <w14:schemeClr w14:val="tx1"/>
                        </w14:solidFill>
                      </w14:textFill>
                    </w:rPr>
                    <w:t>075</w:t>
                  </w:r>
                </w:p>
              </w:tc>
              <w:tc>
                <w:tcPr>
                  <w:tcW w:w="777" w:type="pct"/>
                  <w:vMerge w:val="continue"/>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184" w:type="pct"/>
                  <w:shd w:val="clear" w:color="auto" w:fill="auto"/>
                  <w:vAlign w:val="center"/>
                </w:tcPr>
                <w:p>
                  <w:pPr>
                    <w:keepNext w:val="0"/>
                    <w:keepLines w:val="0"/>
                    <w:widowControl w:val="0"/>
                    <w:suppressLineNumbers w:val="0"/>
                    <w:autoSpaceDE w:val="0"/>
                    <w:autoSpaceDN/>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2025年</w:t>
                  </w:r>
                  <w:r>
                    <w:rPr>
                      <w:rFonts w:hint="eastAsia" w:cs="Times New Roman"/>
                      <w:bCs/>
                      <w:color w:val="000000" w:themeColor="text1"/>
                      <w:kern w:val="2"/>
                      <w:sz w:val="21"/>
                      <w:szCs w:val="21"/>
                      <w:lang w:val="en-US" w:eastAsia="zh-CN" w:bidi="ar"/>
                      <w14:textFill>
                        <w14:solidFill>
                          <w14:schemeClr w14:val="tx1"/>
                        </w14:solidFill>
                      </w14:textFill>
                    </w:rPr>
                    <w:t>4</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月</w:t>
                  </w:r>
                  <w:r>
                    <w:rPr>
                      <w:rFonts w:hint="eastAsia" w:cs="Times New Roman"/>
                      <w:bCs/>
                      <w:color w:val="000000" w:themeColor="text1"/>
                      <w:kern w:val="2"/>
                      <w:sz w:val="21"/>
                      <w:szCs w:val="21"/>
                      <w:lang w:val="en-US" w:eastAsia="zh-CN" w:bidi="ar"/>
                      <w14:textFill>
                        <w14:solidFill>
                          <w14:schemeClr w14:val="tx1"/>
                        </w14:solidFill>
                      </w14:textFill>
                    </w:rPr>
                    <w:t>14</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日</w:t>
                  </w:r>
                </w:p>
              </w:tc>
              <w:tc>
                <w:tcPr>
                  <w:tcW w:w="609" w:type="pct"/>
                  <w:vMerge w:val="continue"/>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852" w:type="pct"/>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cs="Times New Roman"/>
                      <w:color w:val="000000" w:themeColor="text1"/>
                      <w:kern w:val="2"/>
                      <w:sz w:val="21"/>
                      <w:szCs w:val="21"/>
                      <w:lang w:val="en-US" w:eastAsia="zh-CN" w:bidi="ar"/>
                      <w14:textFill>
                        <w14:solidFill>
                          <w14:schemeClr w14:val="tx1"/>
                        </w14:solidFill>
                      </w14:textFill>
                    </w:rPr>
                    <w:t>3</w:t>
                  </w:r>
                </w:p>
              </w:tc>
              <w:tc>
                <w:tcPr>
                  <w:tcW w:w="793" w:type="pct"/>
                  <w:vMerge w:val="continue"/>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782" w:type="pct"/>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w:t>
                  </w:r>
                  <w:r>
                    <w:rPr>
                      <w:rFonts w:hint="eastAsia" w:cs="Times New Roman"/>
                      <w:color w:val="000000" w:themeColor="text1"/>
                      <w:kern w:val="2"/>
                      <w:sz w:val="21"/>
                      <w:szCs w:val="21"/>
                      <w:lang w:val="en-US" w:eastAsia="zh-CN"/>
                      <w14:textFill>
                        <w14:solidFill>
                          <w14:schemeClr w14:val="tx1"/>
                        </w14:solidFill>
                      </w14:textFill>
                    </w:rPr>
                    <w:t>074</w:t>
                  </w:r>
                </w:p>
              </w:tc>
              <w:tc>
                <w:tcPr>
                  <w:tcW w:w="777" w:type="pct"/>
                  <w:vMerge w:val="continue"/>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r>
          </w:tbl>
          <w:p>
            <w:pPr>
              <w:keepNext w:val="0"/>
              <w:keepLines w:val="0"/>
              <w:widowControl w:val="0"/>
              <w:suppressLineNumbers w:val="0"/>
              <w:kinsoku/>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由上</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表可知：根据监测结果，总悬浮颗粒物浓度满足《环境空气质量标准》（GB3095-2026）</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中</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二级标准要求</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
              <w:widowControl w:val="0"/>
              <w:suppressLineNumbers w:val="0"/>
              <w:kinsoku/>
              <w:wordWrap/>
              <w:autoSpaceDE/>
              <w:autoSpaceDN/>
              <w:bidi w:val="0"/>
              <w:adjustRightInd w:val="0"/>
              <w:snapToGrid w:val="0"/>
              <w:spacing w:before="0" w:beforeLines="0" w:after="0" w:afterLines="0" w:line="360" w:lineRule="auto"/>
              <w:ind w:left="0" w:right="0"/>
              <w:rPr>
                <w:rFonts w:hint="default" w:ascii="Times New Roman" w:hAnsi="Times New Roman" w:eastAsia="宋体" w:cs="Times New Roman"/>
                <w:color w:val="000000" w:themeColor="text1"/>
                <w:sz w:val="21"/>
                <w:szCs w:val="21"/>
                <w14:textFill>
                  <w14:solidFill>
                    <w14:schemeClr w14:val="tx1"/>
                  </w14:solidFill>
                </w14:textFill>
              </w:rPr>
            </w:pPr>
            <w:bookmarkStart w:id="18" w:name="_Toc762"/>
            <w:r>
              <w:rPr>
                <w:rFonts w:hint="default" w:ascii="Times New Roman" w:hAnsi="Times New Roman" w:eastAsia="宋体" w:cs="Times New Roman"/>
                <w:color w:val="000000" w:themeColor="text1"/>
                <w:sz w:val="21"/>
                <w:szCs w:val="21"/>
                <w:lang w:val="en-US" w:eastAsia="zh-CN"/>
                <w14:textFill>
                  <w14:solidFill>
                    <w14:schemeClr w14:val="tx1"/>
                  </w14:solidFill>
                </w14:textFill>
              </w:rPr>
              <w:t>2地表水质量现状调查与评价</w:t>
            </w:r>
            <w:bookmarkEnd w:id="18"/>
          </w:p>
          <w:p>
            <w:pPr>
              <w:keepNext w:val="0"/>
              <w:keepLines w:val="0"/>
              <w:widowControl w:val="0"/>
              <w:suppressLineNumbers w:val="0"/>
              <w:kinsoku/>
              <w:autoSpaceDE/>
              <w:autoSpaceDN/>
              <w:bidi w:val="0"/>
              <w:adjustRightInd w:val="0"/>
              <w:snapToGrid w:val="0"/>
              <w:spacing w:before="0" w:beforeAutospacing="0" w:after="0" w:afterAutospacing="0" w:line="360" w:lineRule="auto"/>
              <w:ind w:left="0" w:right="0" w:firstLine="420" w:firstLineChars="200"/>
              <w:jc w:val="both"/>
              <w:rPr>
                <w:rFonts w:hint="eastAsia" w:asciiTheme="minorEastAsia" w:hAnsiTheme="minorEastAsia" w:eastAsiaTheme="minorEastAsia" w:cstheme="minorEastAsia"/>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根据《建设项目环境影响报告表编制技术指南（污染影响类）（试行）》的要求，</w:t>
            </w:r>
            <w:r>
              <w:rPr>
                <w:rFonts w:hint="eastAsia" w:asciiTheme="minorEastAsia" w:hAnsiTheme="minorEastAsia" w:eastAsiaTheme="minorEastAsia" w:cstheme="minorEastAsia"/>
                <w:color w:val="000000" w:themeColor="text1"/>
                <w:kern w:val="2"/>
                <w:sz w:val="21"/>
                <w:szCs w:val="21"/>
                <w:lang w:val="en-US" w:eastAsia="zh-CN" w:bidi="ar"/>
                <w14:textFill>
                  <w14:solidFill>
                    <w14:schemeClr w14:val="tx1"/>
                  </w14:solidFill>
                </w14:textFill>
              </w:rPr>
              <w:t>“地表水环境质量现状引用与建设项目距离近的有</w:t>
            </w:r>
            <w:r>
              <w:rPr>
                <w:rFonts w:hint="eastAsia" w:ascii="宋体" w:hAnsi="宋体" w:eastAsia="宋体" w:cs="宋体"/>
                <w:color w:val="000000" w:themeColor="text1"/>
                <w:kern w:val="2"/>
                <w:sz w:val="21"/>
                <w:szCs w:val="21"/>
                <w:lang w:val="en-US" w:eastAsia="zh-CN" w:bidi="ar"/>
                <w14:textFill>
                  <w14:solidFill>
                    <w14:schemeClr w14:val="tx1"/>
                  </w14:solidFill>
                </w14:textFill>
              </w:rPr>
              <w:t>效数据，包括近</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w:t>
            </w:r>
            <w:r>
              <w:rPr>
                <w:rFonts w:hint="eastAsia" w:ascii="宋体" w:hAnsi="宋体" w:eastAsia="宋体" w:cs="宋体"/>
                <w:color w:val="000000" w:themeColor="text1"/>
                <w:kern w:val="2"/>
                <w:sz w:val="21"/>
                <w:szCs w:val="21"/>
                <w:lang w:val="en-US" w:eastAsia="zh-CN" w:bidi="ar"/>
                <w14:textFill>
                  <w14:solidFill>
                    <w14:schemeClr w14:val="tx1"/>
                  </w14:solidFill>
                </w14:textFill>
              </w:rPr>
              <w:t>年的规划环境影响评价的监测数据，所在流域控制单元内国家、地方控制断面监测数据，生态环境主管部门发布的水环境质量数据或地表水达标情况</w:t>
            </w:r>
            <w:r>
              <w:rPr>
                <w:rFonts w:hint="eastAsia" w:asciiTheme="minorEastAsia" w:hAnsiTheme="minorEastAsia" w:eastAsiaTheme="minorEastAsia" w:cstheme="minorEastAsia"/>
                <w:color w:val="000000" w:themeColor="text1"/>
                <w:kern w:val="2"/>
                <w:sz w:val="21"/>
                <w:szCs w:val="21"/>
                <w:lang w:val="en-US" w:eastAsia="zh-CN" w:bidi="ar"/>
                <w14:textFill>
                  <w14:solidFill>
                    <w14:schemeClr w14:val="tx1"/>
                  </w14:solidFill>
                </w14:textFill>
              </w:rPr>
              <w:t>的结论”。</w:t>
            </w:r>
          </w:p>
          <w:p>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本次地表水现状评价引用昌吉</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回族自治州人民政府官网（https://www.cj.gov.cn/p122/zdwrfz/20250925/375915.html）发布的《202</w:t>
            </w:r>
            <w:r>
              <w:rPr>
                <w:rFonts w:hint="eastAsia" w:cs="Times New Roman"/>
                <w:color w:val="000000" w:themeColor="text1"/>
                <w:kern w:val="2"/>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年</w:t>
            </w:r>
            <w:r>
              <w:rPr>
                <w:rFonts w:hint="eastAsia" w:cs="Times New Roman"/>
                <w:color w:val="000000" w:themeColor="text1"/>
                <w:kern w:val="2"/>
                <w:sz w:val="21"/>
                <w:szCs w:val="21"/>
                <w:lang w:val="en-US" w:eastAsia="zh-CN" w:bidi="ar"/>
                <w14:textFill>
                  <w14:solidFill>
                    <w14:schemeClr w14:val="tx1"/>
                  </w14:solidFill>
                </w14:textFill>
              </w:rPr>
              <w:t>8</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月水环境污染防治进展情况》中的水环境质量情况：按照《地表水环境质量标准》（GB3838-2002）评价，2025年8月，全州共监测9条河流17个断面，除化工厂断面水质类别达到Ⅱ类标准，其余断面均达到Ⅰ类标准；与去年同期相比，三工河闸门、孙庄村断面水质变好，其余无变化。</w:t>
            </w:r>
          </w:p>
          <w:p>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本项目位于昌吉市高新技术产业开发区</w:t>
            </w:r>
            <w:r>
              <w:rPr>
                <w:rFonts w:hint="eastAsia" w:cs="Times New Roman"/>
                <w:color w:val="000000" w:themeColor="text1"/>
                <w:kern w:val="2"/>
                <w:sz w:val="21"/>
                <w:szCs w:val="21"/>
                <w:lang w:val="en-US" w:eastAsia="zh-CN" w:bidi="ar"/>
                <w14:textFill>
                  <w14:solidFill>
                    <w14:schemeClr w14:val="tx1"/>
                  </w14:solidFill>
                </w14:textFill>
              </w:rPr>
              <w:t>锦绣路26号</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，距离最近的地表水监测断面为三屯河首国控地表水监测断面，根据2025年8月地表水监测数据，三屯河地表水环境质量满足《地表水环境质量标准》（GB3838-2002）中Ⅰ类标准</w:t>
            </w:r>
            <w:r>
              <w:rPr>
                <w:rFonts w:hint="eastAsia" w:ascii="Times New Roman" w:hAnsi="Times New Roman" w:cs="Times New Roman"/>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kinsoku/>
              <w:wordWrap/>
              <w:autoSpaceDE/>
              <w:autoSpaceDN/>
              <w:bidi w:val="0"/>
              <w:adjustRightInd w:val="0"/>
              <w:snapToGrid w:val="0"/>
              <w:spacing w:before="0" w:beforeAutospacing="0" w:after="0" w:afterAutospacing="0" w:line="360" w:lineRule="auto"/>
              <w:ind w:left="0" w:right="0"/>
              <w:jc w:val="both"/>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3</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地下水环境质量现状监测及评价</w:t>
            </w:r>
          </w:p>
          <w:p>
            <w:pPr>
              <w:keepNext w:val="0"/>
              <w:keepLines w:val="0"/>
              <w:widowControl w:val="0"/>
              <w:suppressLineNumbers w:val="0"/>
              <w:kinsoku/>
              <w:wordWrap/>
              <w:autoSpaceDE/>
              <w:autoSpaceDN/>
              <w:bidi w:val="0"/>
              <w:adjustRightInd w:val="0"/>
              <w:snapToGrid w:val="0"/>
              <w:spacing w:before="0" w:beforeAutospacing="0" w:after="0" w:afterAutospacing="0" w:line="360" w:lineRule="auto"/>
              <w:ind w:left="0" w:right="0" w:firstLine="480"/>
              <w:jc w:val="both"/>
              <w:rPr>
                <w:rFonts w:hint="eastAsia" w:ascii="Times New Roman" w:hAnsi="Times New Roman" w:eastAsia="宋体" w:cs="Times New Roman"/>
                <w:b/>
                <w:bCs w:val="0"/>
                <w:color w:val="FF0000"/>
                <w:kern w:val="0"/>
                <w:sz w:val="21"/>
                <w:szCs w:val="21"/>
              </w:rPr>
            </w:pPr>
            <w:r>
              <w:rPr>
                <w:rFonts w:hint="eastAsia" w:ascii="宋体" w:hAnsi="宋体" w:eastAsia="宋体" w:cs="宋体"/>
                <w:color w:val="FF0000"/>
                <w:kern w:val="2"/>
                <w:sz w:val="21"/>
                <w:szCs w:val="21"/>
                <w:lang w:val="en-US" w:eastAsia="zh-CN" w:bidi="ar"/>
              </w:rPr>
              <w:t>根据《建设项目环境影响报告表编制技术指南（污染影响类）（试行）》建设项目存在地下水环境污染途径的，应结合污染源、保护目标分布情况开展现状调查以留作背景值。本项目为粉煤灰暂存项目，主要为生活污水管道破损状态下造成</w:t>
            </w:r>
            <w:r>
              <w:rPr>
                <w:rFonts w:hint="eastAsia" w:ascii="宋体" w:hAnsi="宋体" w:cs="宋体"/>
                <w:color w:val="FF0000"/>
                <w:kern w:val="2"/>
                <w:sz w:val="21"/>
                <w:szCs w:val="21"/>
                <w:lang w:val="en-US" w:eastAsia="zh-CN" w:bidi="ar"/>
              </w:rPr>
              <w:t>地下水</w:t>
            </w:r>
            <w:r>
              <w:rPr>
                <w:rFonts w:hint="eastAsia" w:ascii="宋体" w:hAnsi="宋体" w:eastAsia="宋体" w:cs="宋体"/>
                <w:color w:val="FF0000"/>
                <w:kern w:val="2"/>
                <w:sz w:val="21"/>
                <w:szCs w:val="21"/>
                <w:lang w:val="en-US" w:eastAsia="zh-CN" w:bidi="ar"/>
              </w:rPr>
              <w:t>污染，由于项目区地面均按照不同要求进行了防渗处理，在事故状态可及时发现，可避免污染事故的扩大，污水进入地下水环境的入渗量很小，对地下水环境的影响不大，所以项目建设对区域地下水环境影响可接受，，故不开展地下水环境质量现状调查。</w:t>
            </w:r>
          </w:p>
          <w:p>
            <w:pPr>
              <w:keepNext w:val="0"/>
              <w:keepLines w:val="0"/>
              <w:widowControl w:val="0"/>
              <w:numPr>
                <w:ilvl w:val="0"/>
                <w:numId w:val="0"/>
              </w:numPr>
              <w:suppressLineNumbers w:val="0"/>
              <w:kinsoku/>
              <w:wordWrap/>
              <w:autoSpaceDE/>
              <w:autoSpaceDN/>
              <w:bidi w:val="0"/>
              <w:adjustRightInd w:val="0"/>
              <w:snapToGrid w:val="0"/>
              <w:spacing w:before="0" w:beforeAutospacing="0" w:after="0" w:afterAutospacing="0" w:line="360" w:lineRule="auto"/>
              <w:ind w:left="0" w:right="0" w:rightChars="0"/>
              <w:jc w:val="both"/>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pPr>
            <w:r>
              <w:rPr>
                <w:rFonts w:hint="eastAsia" w:cs="Times New Roman"/>
                <w:b/>
                <w:bCs w:val="0"/>
                <w:color w:val="000000" w:themeColor="text1"/>
                <w:kern w:val="2"/>
                <w:sz w:val="21"/>
                <w:szCs w:val="21"/>
                <w:lang w:val="en-US" w:eastAsia="zh-CN" w:bidi="ar"/>
                <w14:textFill>
                  <w14:solidFill>
                    <w14:schemeClr w14:val="tx1"/>
                  </w14:solidFill>
                </w14:textFill>
              </w:rPr>
              <w:t>4</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声环境质量现状调查与评价</w:t>
            </w:r>
          </w:p>
          <w:p>
            <w:pPr>
              <w:pStyle w:val="20"/>
              <w:keepNext w:val="0"/>
              <w:keepLines w:val="0"/>
              <w:widowControl w:val="0"/>
              <w:suppressLineNumbers w:val="0"/>
              <w:kinsoku/>
              <w:wordWrap/>
              <w:overflowPunct w:val="0"/>
              <w:autoSpaceDE/>
              <w:autoSpaceDN/>
              <w:bidi w:val="0"/>
              <w:adjustRightInd w:val="0"/>
              <w:snapToGrid w:val="0"/>
              <w:spacing w:before="0" w:beforeAutospacing="0" w:after="0" w:afterAutospacing="0" w:line="360" w:lineRule="auto"/>
              <w:ind w:left="0" w:right="0" w:firstLine="480"/>
              <w:jc w:val="both"/>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根据《建设项目环境影响报告表编制技术指南（污染影响类）（试行）》中要求，厂界外周边50米范围内存在声环境保护目标的建设项目，应监测保护目标声环境质量现状并评价达标情况。本项目厂界外周边50米范围内不存在声环境保护目标，故不进行声环境质量现状监测。</w:t>
            </w:r>
          </w:p>
          <w:p>
            <w:pPr>
              <w:pStyle w:val="20"/>
              <w:keepNext w:val="0"/>
              <w:keepLines w:val="0"/>
              <w:widowControl w:val="0"/>
              <w:suppressLineNumbers w:val="0"/>
              <w:kinsoku/>
              <w:wordWrap/>
              <w:overflowPunct w:val="0"/>
              <w:autoSpaceDE/>
              <w:autoSpaceDN/>
              <w:bidi w:val="0"/>
              <w:adjustRightInd w:val="0"/>
              <w:snapToGrid w:val="0"/>
              <w:spacing w:before="0" w:beforeAutospacing="0" w:after="0" w:afterAutospacing="0" w:line="360" w:lineRule="auto"/>
              <w:ind w:left="0" w:right="0" w:firstLine="480"/>
              <w:jc w:val="both"/>
              <w:rPr>
                <w:rFonts w:hint="default" w:ascii="Times New Roman" w:hAnsi="Times New Roman" w:eastAsia="Arial Unicode MS"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位于产业园区内，根据《声环境质量标准》（GB3096-2008）中声环境功能区划分，属于3类声环境功能区，声环境应满足3类标准要求。本项目的建设应确保本项目四周边界声环境质量符合《声环境质量标准》（GB3096-2008）中3类标准要求</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kinsoku/>
              <w:wordWrap/>
              <w:autoSpaceDE/>
              <w:autoSpaceDN/>
              <w:bidi w:val="0"/>
              <w:adjustRightInd w:val="0"/>
              <w:snapToGrid w:val="0"/>
              <w:spacing w:before="0" w:beforeAutospacing="0" w:after="0" w:afterAutospacing="0" w:line="360" w:lineRule="auto"/>
              <w:ind w:left="0" w:right="0"/>
              <w:jc w:val="both"/>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5</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土壤环境质量现状调查及评价</w:t>
            </w:r>
          </w:p>
          <w:p>
            <w:pPr>
              <w:keepNext w:val="0"/>
              <w:keepLines w:val="0"/>
              <w:widowControl w:val="0"/>
              <w:suppressLineNumbers w:val="0"/>
              <w:kinsoku/>
              <w:wordWrap/>
              <w:topLinePunct/>
              <w:autoSpaceDE/>
              <w:autoSpaceDN/>
              <w:bidi w:val="0"/>
              <w:adjustRightInd w:val="0"/>
              <w:snapToGrid w:val="0"/>
              <w:spacing w:before="0" w:beforeAutospacing="0" w:after="0" w:afterAutospacing="0" w:line="360" w:lineRule="auto"/>
              <w:ind w:left="0" w:right="0" w:firstLine="420" w:firstLineChars="200"/>
              <w:jc w:val="both"/>
              <w:rPr>
                <w:rFonts w:hint="eastAsia" w:cs="Times New Roman"/>
                <w:b/>
                <w:bCs w:val="0"/>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FF0000"/>
                <w:sz w:val="21"/>
                <w:szCs w:val="21"/>
              </w:rPr>
              <w:t>根据《建设项目环境影响报告表编制技术指南（污染影响类）（试行）》中建设项目存在土壤环境污染途径的，应结合污染源、保护目标分布情况开展现状调查以留作背景值。</w:t>
            </w:r>
            <w:r>
              <w:rPr>
                <w:rFonts w:hint="eastAsia" w:ascii="Times New Roman" w:hAnsi="Times New Roman" w:eastAsia="宋体" w:cs="Times New Roman"/>
                <w:color w:val="FF0000"/>
                <w:sz w:val="21"/>
                <w:szCs w:val="21"/>
                <w:lang w:val="en-US" w:eastAsia="zh-CN"/>
              </w:rPr>
              <w:t>本项目</w:t>
            </w:r>
            <w:r>
              <w:rPr>
                <w:rFonts w:hint="eastAsia" w:cs="Times New Roman"/>
                <w:color w:val="FF0000"/>
                <w:sz w:val="21"/>
                <w:szCs w:val="21"/>
                <w:lang w:val="en-US" w:eastAsia="zh-CN"/>
              </w:rPr>
              <w:t>为粉煤灰暂存项目，</w:t>
            </w:r>
            <w:r>
              <w:rPr>
                <w:rFonts w:hint="eastAsia" w:ascii="Times New Roman" w:hAnsi="Times New Roman" w:eastAsia="宋体" w:cs="Times New Roman"/>
                <w:color w:val="FF0000"/>
                <w:sz w:val="21"/>
                <w:szCs w:val="21"/>
                <w:lang w:val="en-US" w:eastAsia="zh-CN"/>
              </w:rPr>
              <w:t>主要为</w:t>
            </w:r>
            <w:r>
              <w:rPr>
                <w:rFonts w:hint="eastAsia" w:cs="Times New Roman"/>
                <w:color w:val="FF0000"/>
                <w:sz w:val="21"/>
                <w:szCs w:val="21"/>
                <w:lang w:val="en-US" w:eastAsia="zh-CN"/>
              </w:rPr>
              <w:t>生活</w:t>
            </w:r>
            <w:r>
              <w:rPr>
                <w:rFonts w:hint="eastAsia" w:ascii="Times New Roman" w:hAnsi="Times New Roman" w:eastAsia="宋体" w:cs="Times New Roman"/>
                <w:color w:val="FF0000"/>
                <w:sz w:val="21"/>
                <w:szCs w:val="21"/>
                <w:lang w:val="en-US" w:eastAsia="zh-CN"/>
              </w:rPr>
              <w:t>污水管道破损状态下造成土壤污染，由于项目区地面均按照不同要求进行了防渗处理，在事故状态可及时发现，可避免污染事故的扩大，污水进入土壤的入渗量很小，对土壤的影响不大，所以项目建设对区域土壤环境影响可接受，故不进行土壤质量现状调查及评价。</w:t>
            </w:r>
          </w:p>
          <w:p>
            <w:pPr>
              <w:keepNext w:val="0"/>
              <w:keepLines w:val="0"/>
              <w:widowControl w:val="0"/>
              <w:suppressLineNumbers w:val="0"/>
              <w:kinsoku/>
              <w:wordWrap/>
              <w:topLinePunct/>
              <w:autoSpaceDE/>
              <w:autoSpaceDN/>
              <w:bidi w:val="0"/>
              <w:adjustRightInd w:val="0"/>
              <w:snapToGrid w:val="0"/>
              <w:spacing w:before="0" w:beforeAutospacing="0" w:after="0" w:afterAutospacing="0" w:line="360" w:lineRule="auto"/>
              <w:ind w:left="0" w:right="0"/>
              <w:jc w:val="both"/>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cs="Times New Roman"/>
                <w:b/>
                <w:bCs w:val="0"/>
                <w:color w:val="000000" w:themeColor="text1"/>
                <w:kern w:val="2"/>
                <w:sz w:val="21"/>
                <w:szCs w:val="21"/>
                <w:lang w:val="en-US" w:eastAsia="zh-CN" w:bidi="ar"/>
                <w14:textFill>
                  <w14:solidFill>
                    <w14:schemeClr w14:val="tx1"/>
                  </w14:solidFill>
                </w14:textFill>
              </w:rPr>
              <w:t>6</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生态环境质量现状调查</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根据《建设项目环境影响报告表编制技术指南（污染影响类）（试行）》中要求，</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产业园区外建设项目新增用地且用地范围内含有生态环境保护目标时，应进行生态现状调查</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本项目位于产业园区内，用地范围</w:t>
            </w:r>
            <w:r>
              <w:rPr>
                <w:rFonts w:hint="eastAsia" w:cs="Times New Roman"/>
                <w:color w:val="000000" w:themeColor="text1"/>
                <w:sz w:val="21"/>
                <w:szCs w:val="21"/>
                <w:lang w:val="en-US" w:eastAsia="zh-CN"/>
                <w14:textFill>
                  <w14:solidFill>
                    <w14:schemeClr w14:val="tx1"/>
                  </w14:solidFill>
                </w14:textFill>
              </w:rPr>
              <w:t>内</w:t>
            </w:r>
            <w:r>
              <w:rPr>
                <w:rFonts w:hint="default" w:ascii="Times New Roman" w:hAnsi="Times New Roman" w:eastAsia="宋体" w:cs="Times New Roman"/>
                <w:color w:val="000000" w:themeColor="text1"/>
                <w:sz w:val="21"/>
                <w:szCs w:val="21"/>
                <w14:textFill>
                  <w14:solidFill>
                    <w14:schemeClr w14:val="tx1"/>
                  </w14:solidFill>
                </w14:textFill>
              </w:rPr>
              <w:t>不含有生态环境保护目标，故不进行生态环境质量现状调查及评价</w:t>
            </w:r>
            <w:r>
              <w:rPr>
                <w:rFonts w:hint="eastAsia" w:cs="Times New Roman"/>
                <w:color w:val="000000" w:themeColor="text1"/>
                <w:sz w:val="21"/>
                <w:szCs w:val="21"/>
                <w:lang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26" w:type="dxa"/>
            <w:noWrap w:val="0"/>
            <w:vAlign w:val="center"/>
          </w:tcPr>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环境</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保护</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目标</w:t>
            </w:r>
          </w:p>
        </w:tc>
        <w:tc>
          <w:tcPr>
            <w:tcW w:w="8387" w:type="dxa"/>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bCs/>
                <w:color w:val="000000" w:themeColor="text1"/>
                <w:kern w:val="2"/>
                <w:sz w:val="21"/>
                <w:szCs w:val="21"/>
                <w:lang w:val="en-US"/>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本项目位于昌吉市高新技术产业开发区</w:t>
            </w:r>
            <w:r>
              <w:rPr>
                <w:rFonts w:hint="eastAsia" w:ascii="宋体" w:hAnsi="宋体" w:cs="宋体"/>
                <w:bCs/>
                <w:color w:val="000000" w:themeColor="text1"/>
                <w:kern w:val="2"/>
                <w:sz w:val="21"/>
                <w:szCs w:val="21"/>
                <w:lang w:val="en-US" w:eastAsia="zh-CN" w:bidi="ar"/>
                <w14:textFill>
                  <w14:solidFill>
                    <w14:schemeClr w14:val="tx1"/>
                  </w14:solidFill>
                </w14:textFill>
              </w:rPr>
              <w:t>锦绣</w:t>
            </w:r>
            <w:r>
              <w:rPr>
                <w:rFonts w:hint="default" w:ascii="Times New Roman" w:hAnsi="Times New Roman" w:cs="Times New Roman"/>
                <w:bCs/>
                <w:color w:val="000000" w:themeColor="text1"/>
                <w:kern w:val="2"/>
                <w:sz w:val="21"/>
                <w:szCs w:val="21"/>
                <w:lang w:val="en-US" w:eastAsia="zh-CN" w:bidi="ar"/>
                <w14:textFill>
                  <w14:solidFill>
                    <w14:schemeClr w14:val="tx1"/>
                  </w14:solidFill>
                </w14:textFill>
              </w:rPr>
              <w:t>路26号，</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项目区东侧为建设路，南侧为河源路，西侧为锦绣路，北侧为和顺路</w:t>
            </w:r>
            <w:r>
              <w:rPr>
                <w:rFonts w:hint="eastAsia" w:ascii="宋体" w:hAnsi="宋体" w:cs="宋体"/>
                <w:color w:val="000000" w:themeColor="text1"/>
                <w:kern w:val="2"/>
                <w:sz w:val="21"/>
                <w:szCs w:val="21"/>
                <w:lang w:val="en-US" w:eastAsia="zh-CN" w:bidi="ar"/>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both"/>
              <w:textAlignment w:val="auto"/>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1环境空气保护目标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w:t>
            </w:r>
            <w:r>
              <w:rPr>
                <w:rFonts w:hint="eastAsia"/>
                <w:color w:val="000000" w:themeColor="text1"/>
                <w:lang w:val="en-US" w:eastAsia="zh-CN"/>
                <w14:textFill>
                  <w14:solidFill>
                    <w14:schemeClr w14:val="tx1"/>
                  </w14:solidFill>
                </w14:textFill>
              </w:rPr>
              <w:t>现场勘查</w:t>
            </w:r>
            <w:r>
              <w:rPr>
                <w:rFonts w:hint="default"/>
                <w:color w:val="000000" w:themeColor="text1"/>
                <w:lang w:val="en-US" w:eastAsia="zh-CN"/>
                <w14:textFill>
                  <w14:solidFill>
                    <w14:schemeClr w14:val="tx1"/>
                  </w14:solidFill>
                </w14:textFill>
              </w:rPr>
              <w:t>，项目厂界外500m范围内</w:t>
            </w:r>
            <w:r>
              <w:rPr>
                <w:rFonts w:hint="eastAsia"/>
                <w:color w:val="000000" w:themeColor="text1"/>
                <w:lang w:val="en-US" w:eastAsia="zh-CN"/>
                <w14:textFill>
                  <w14:solidFill>
                    <w14:schemeClr w14:val="tx1"/>
                  </w14:solidFill>
                </w14:textFill>
              </w:rPr>
              <w:t>无自然保护区、风景名胜区、居住区、文化区和农村地区中人群较集中的区域等</w:t>
            </w:r>
            <w:r>
              <w:rPr>
                <w:rFonts w:hint="default"/>
                <w:color w:val="000000" w:themeColor="text1"/>
                <w:lang w:val="en-US" w:eastAsia="zh-CN"/>
                <w14:textFill>
                  <w14:solidFill>
                    <w14:schemeClr w14:val="tx1"/>
                  </w14:solidFill>
                </w14:textFill>
              </w:rPr>
              <w:t>环境空气保护</w:t>
            </w:r>
            <w:r>
              <w:rPr>
                <w:rFonts w:hint="eastAsia"/>
                <w:color w:val="000000" w:themeColor="text1"/>
                <w:lang w:val="en-US" w:eastAsia="zh-CN"/>
                <w14:textFill>
                  <w14:solidFill>
                    <w14:schemeClr w14:val="tx1"/>
                  </w14:solidFill>
                </w14:textFill>
              </w:rPr>
              <w:t>目标</w:t>
            </w:r>
            <w:r>
              <w:rPr>
                <w:rFonts w:hint="default"/>
                <w:color w:val="000000" w:themeColor="text1"/>
                <w:lang w:val="en-US" w:eastAsia="zh-CN"/>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both"/>
              <w:textAlignment w:val="auto"/>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2地下水环境保护目标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本项目厂界外500</w:t>
            </w:r>
            <w:r>
              <w:rPr>
                <w:rFonts w:hint="eastAsia"/>
                <w:color w:val="000000" w:themeColor="text1"/>
                <w:lang w:val="en-US" w:eastAsia="zh-CN"/>
                <w14:textFill>
                  <w14:solidFill>
                    <w14:schemeClr w14:val="tx1"/>
                  </w14:solidFill>
                </w14:textFill>
              </w:rPr>
              <w:t>m</w:t>
            </w:r>
            <w:r>
              <w:rPr>
                <w:rFonts w:hint="default"/>
                <w:color w:val="000000" w:themeColor="text1"/>
                <w:lang w:val="en-US" w:eastAsia="zh-CN"/>
                <w14:textFill>
                  <w14:solidFill>
                    <w14:schemeClr w14:val="tx1"/>
                  </w14:solidFill>
                </w14:textFill>
              </w:rPr>
              <w:t>范围内无地下水集中式饮用水水源和热水、矿泉水、温泉等特殊地下水资源。</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both"/>
              <w:textAlignment w:val="auto"/>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3声环境保护目标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确保本项目四周边界声环境质量符合《声环境质量标准》（GB3096-2008）中</w:t>
            </w: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类标准要求。根据现场勘察，项目区周边50m范围内没有声环境保护目标。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both"/>
              <w:textAlignment w:val="auto"/>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4生态环境保护目标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color w:val="000000" w:themeColor="text1"/>
                <w:lang w:val="en-US" w:eastAsia="zh-CN"/>
                <w14:textFill>
                  <w14:solidFill>
                    <w14:schemeClr w14:val="tx1"/>
                  </w14:solidFill>
                </w14:textFill>
              </w:rPr>
              <w:t>根据现场调查，项目区周边无生态环境保护目标。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0" w:hRule="atLeast"/>
          <w:jc w:val="center"/>
        </w:trPr>
        <w:tc>
          <w:tcPr>
            <w:tcW w:w="426" w:type="dxa"/>
            <w:noWrap w:val="0"/>
            <w:vAlign w:val="center"/>
          </w:tcPr>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污染</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物排</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放控</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制标</w:t>
            </w:r>
          </w:p>
          <w:p>
            <w:pPr>
              <w:keepNext w:val="0"/>
              <w:keepLines w:val="0"/>
              <w:suppressLineNumbers w:val="0"/>
              <w:kinsoku/>
              <w:wordWrap/>
              <w:bidi w:val="0"/>
              <w:adjustRightInd/>
              <w:snapToGrid/>
              <w:spacing w:before="0" w:beforeAutospacing="0" w:after="0" w:afterAutospacing="0" w:line="360" w:lineRule="auto"/>
              <w:ind w:left="0" w:leftChars="0" w:right="0" w:rightChars="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准</w:t>
            </w:r>
          </w:p>
        </w:tc>
        <w:tc>
          <w:tcPr>
            <w:tcW w:w="8387"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1运营期废气</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本项目运营期产生的</w:t>
            </w:r>
            <w:r>
              <w:rPr>
                <w:rFonts w:hint="eastAsia" w:ascii="宋体" w:hAnsi="宋体" w:cs="宋体"/>
                <w:color w:val="000000" w:themeColor="text1"/>
                <w:kern w:val="2"/>
                <w:sz w:val="21"/>
                <w:szCs w:val="21"/>
                <w:lang w:val="en-US" w:eastAsia="zh-CN" w:bidi="ar"/>
                <w14:textFill>
                  <w14:solidFill>
                    <w14:schemeClr w14:val="tx1"/>
                  </w14:solidFill>
                </w14:textFill>
              </w:rPr>
              <w:t>有组</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织</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颗粒物排放执行《大气污染物综合排放标准》（GB16297-1996）表2中有组织最高允许排放浓度</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；无组织颗粒物排放执行《大气污染物综合排放标准》（GB16297-1996）表2中无组织排放监控浓度限值</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本项目废气排放标准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见表3-4</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0"/>
              <w:keepNext w:val="0"/>
              <w:keepLines w:val="0"/>
              <w:widowControl/>
              <w:suppressLineNumbers w:val="0"/>
              <w:autoSpaceDE w:val="0"/>
              <w:autoSpaceDN/>
              <w:snapToGrid w:val="0"/>
              <w:spacing w:before="0" w:beforeAutospacing="0" w:after="0" w:afterAutospacing="0" w:line="240" w:lineRule="atLeast"/>
              <w:ind w:left="0" w:right="0"/>
              <w:jc w:val="center"/>
              <w:rPr>
                <w:rFonts w:hint="eastAsia" w:ascii="宋体" w:hAnsi="宋体" w:eastAsia="宋体" w:cs="宋体"/>
                <w:b/>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3-</w:t>
            </w: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废气排放标准</w:t>
            </w:r>
          </w:p>
          <w:tbl>
            <w:tblPr>
              <w:tblStyle w:val="23"/>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63"/>
              <w:gridCol w:w="837"/>
              <w:gridCol w:w="1613"/>
              <w:gridCol w:w="4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41" w:hRule="atLeast"/>
                <w:jc w:val="center"/>
              </w:trPr>
              <w:tc>
                <w:tcPr>
                  <w:tcW w:w="65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b/>
                      <w:bCs/>
                      <w:kern w:val="0"/>
                      <w:sz w:val="21"/>
                      <w:szCs w:val="21"/>
                      <w:lang w:val="en-US" w:eastAsia="zh-CN" w:bidi="ar"/>
                    </w:rPr>
                    <w:t>排放方式</w:t>
                  </w:r>
                </w:p>
              </w:tc>
              <w:tc>
                <w:tcPr>
                  <w:tcW w:w="5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b/>
                      <w:bCs/>
                      <w:kern w:val="0"/>
                      <w:sz w:val="21"/>
                      <w:szCs w:val="21"/>
                      <w:lang w:val="en-US" w:eastAsia="zh-CN" w:bidi="ar"/>
                    </w:rPr>
                    <w:t>污染物</w:t>
                  </w:r>
                </w:p>
              </w:tc>
              <w:tc>
                <w:tcPr>
                  <w:tcW w:w="991"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b/>
                      <w:bCs/>
                      <w:kern w:val="0"/>
                      <w:sz w:val="21"/>
                      <w:szCs w:val="21"/>
                      <w:lang w:val="en-US" w:eastAsia="zh-CN" w:bidi="ar"/>
                    </w:rPr>
                    <w:t>排放限值</w:t>
                  </w:r>
                </w:p>
              </w:tc>
              <w:tc>
                <w:tcPr>
                  <w:tcW w:w="2840"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kern w:val="2"/>
                      <w:sz w:val="21"/>
                      <w:szCs w:val="21"/>
                    </w:rPr>
                  </w:pPr>
                  <w:r>
                    <w:rPr>
                      <w:rFonts w:hint="eastAsia" w:ascii="宋体" w:hAnsi="宋体" w:eastAsia="宋体" w:cs="宋体"/>
                      <w:b/>
                      <w:bCs/>
                      <w:kern w:val="0"/>
                      <w:sz w:val="21"/>
                      <w:szCs w:val="21"/>
                      <w:lang w:val="en-US" w:eastAsia="zh-CN" w:bidi="ar"/>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1" w:hRule="atLeast"/>
                <w:jc w:val="center"/>
              </w:trPr>
              <w:tc>
                <w:tcPr>
                  <w:tcW w:w="653" w:type="pc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0"/>
                      <w:sz w:val="21"/>
                      <w:szCs w:val="21"/>
                      <w:lang w:val="en-US" w:eastAsia="zh-CN" w:bidi="ar"/>
                    </w:rPr>
                    <w:t>有组织</w:t>
                  </w:r>
                </w:p>
              </w:tc>
              <w:tc>
                <w:tcPr>
                  <w:tcW w:w="514" w:type="pct"/>
                  <w:tcBorders>
                    <w:top w:val="single" w:color="auto" w:sz="4" w:space="0"/>
                    <w:left w:val="nil"/>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颗粒物</w:t>
                  </w:r>
                </w:p>
              </w:tc>
              <w:tc>
                <w:tcPr>
                  <w:tcW w:w="991" w:type="pct"/>
                  <w:tcBorders>
                    <w:top w:val="single" w:color="auto" w:sz="4" w:space="0"/>
                    <w:left w:val="nil"/>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lang w:val="en-US" w:eastAsia="zh-CN" w:bidi="ar"/>
                    </w:rPr>
                    <w:t>120mg/m</w:t>
                  </w:r>
                  <w:r>
                    <w:rPr>
                      <w:rFonts w:hint="default" w:ascii="Times New Roman" w:hAnsi="Times New Roman" w:eastAsia="宋体" w:cs="Times New Roman"/>
                      <w:kern w:val="0"/>
                      <w:sz w:val="21"/>
                      <w:szCs w:val="21"/>
                      <w:vertAlign w:val="superscript"/>
                      <w:lang w:val="en-US" w:eastAsia="zh-CN" w:bidi="ar"/>
                    </w:rPr>
                    <w:t>3</w:t>
                  </w:r>
                </w:p>
              </w:tc>
              <w:tc>
                <w:tcPr>
                  <w:tcW w:w="2840" w:type="pct"/>
                  <w:tcBorders>
                    <w:top w:val="single" w:color="auto" w:sz="4" w:space="0"/>
                    <w:left w:val="nil"/>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0"/>
                      <w:sz w:val="21"/>
                      <w:szCs w:val="21"/>
                    </w:rPr>
                  </w:pPr>
                  <w:r>
                    <w:rPr>
                      <w:rFonts w:hint="eastAsia" w:ascii="宋体" w:hAnsi="宋体" w:eastAsia="宋体" w:cs="宋体"/>
                      <w:kern w:val="0"/>
                      <w:sz w:val="21"/>
                      <w:szCs w:val="21"/>
                      <w:lang w:val="en-US" w:eastAsia="zh-CN" w:bidi="ar"/>
                    </w:rPr>
                    <w:t>《大气污染物综合排放标准》（</w:t>
                  </w:r>
                  <w:r>
                    <w:rPr>
                      <w:rFonts w:hint="default" w:ascii="Times New Roman" w:hAnsi="Times New Roman" w:eastAsia="宋体" w:cs="Times New Roman"/>
                      <w:kern w:val="0"/>
                      <w:sz w:val="21"/>
                      <w:szCs w:val="21"/>
                      <w:lang w:val="en-US" w:eastAsia="zh-CN" w:bidi="ar"/>
                    </w:rPr>
                    <w:t>GB16297-1996</w:t>
                  </w:r>
                  <w:r>
                    <w:rPr>
                      <w:rFonts w:hint="eastAsia" w:ascii="宋体" w:hAnsi="宋体" w:eastAsia="宋体" w:cs="宋体"/>
                      <w:kern w:val="0"/>
                      <w:sz w:val="21"/>
                      <w:szCs w:val="21"/>
                      <w:lang w:val="en-US" w:eastAsia="zh-CN" w:bidi="ar"/>
                    </w:rPr>
                    <w:t>）表</w:t>
                  </w:r>
                  <w:r>
                    <w:rPr>
                      <w:rFonts w:hint="default" w:ascii="Times New Roman" w:hAnsi="Times New Roman" w:eastAsia="宋体" w:cs="Times New Roman"/>
                      <w:kern w:val="0"/>
                      <w:sz w:val="21"/>
                      <w:szCs w:val="21"/>
                      <w:lang w:val="en-US" w:eastAsia="zh-CN" w:bidi="ar"/>
                    </w:rPr>
                    <w:t>2</w:t>
                  </w:r>
                  <w:r>
                    <w:rPr>
                      <w:rFonts w:hint="eastAsia" w:ascii="宋体" w:hAnsi="宋体" w:eastAsia="宋体" w:cs="宋体"/>
                      <w:kern w:val="0"/>
                      <w:sz w:val="21"/>
                      <w:szCs w:val="21"/>
                      <w:lang w:val="en-US" w:eastAsia="zh-CN" w:bidi="ar"/>
                    </w:rPr>
                    <w:t>中有组织最高允许排放浓度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3" w:hRule="atLeast"/>
                <w:jc w:val="center"/>
              </w:trPr>
              <w:tc>
                <w:tcPr>
                  <w:tcW w:w="653" w:type="pc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0"/>
                      <w:sz w:val="21"/>
                      <w:szCs w:val="21"/>
                      <w:lang w:val="en-US" w:eastAsia="zh-CN" w:bidi="ar"/>
                    </w:rPr>
                    <w:t>无组织</w:t>
                  </w:r>
                </w:p>
              </w:tc>
              <w:tc>
                <w:tcPr>
                  <w:tcW w:w="5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0"/>
                      <w:sz w:val="21"/>
                      <w:szCs w:val="21"/>
                      <w:lang w:val="en-US" w:eastAsia="zh-CN" w:bidi="ar"/>
                    </w:rPr>
                    <w:t>颗粒物</w:t>
                  </w:r>
                </w:p>
              </w:tc>
              <w:tc>
                <w:tcPr>
                  <w:tcW w:w="991"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0"/>
                      <w:sz w:val="21"/>
                      <w:szCs w:val="21"/>
                      <w:lang w:val="en-US" w:eastAsia="zh-CN" w:bidi="ar"/>
                    </w:rPr>
                    <w:t>1mg/m</w:t>
                  </w:r>
                  <w:r>
                    <w:rPr>
                      <w:rFonts w:hint="default" w:ascii="Times New Roman" w:hAnsi="Times New Roman" w:eastAsia="宋体" w:cs="Times New Roman"/>
                      <w:kern w:val="0"/>
                      <w:sz w:val="21"/>
                      <w:szCs w:val="21"/>
                      <w:vertAlign w:val="superscript"/>
                      <w:lang w:val="en-US" w:eastAsia="zh-CN" w:bidi="ar"/>
                    </w:rPr>
                    <w:t>3</w:t>
                  </w:r>
                </w:p>
              </w:tc>
              <w:tc>
                <w:tcPr>
                  <w:tcW w:w="2840"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0"/>
                      <w:sz w:val="21"/>
                      <w:szCs w:val="21"/>
                      <w:lang w:val="en-US" w:eastAsia="zh-CN" w:bidi="ar"/>
                    </w:rPr>
                    <w:t>《大气污染物综合排放标准》（</w:t>
                  </w:r>
                  <w:r>
                    <w:rPr>
                      <w:rFonts w:hint="default" w:ascii="Times New Roman" w:hAnsi="Times New Roman" w:eastAsia="宋体" w:cs="Times New Roman"/>
                      <w:kern w:val="0"/>
                      <w:sz w:val="21"/>
                      <w:szCs w:val="21"/>
                      <w:lang w:val="en-US" w:eastAsia="zh-CN" w:bidi="ar"/>
                    </w:rPr>
                    <w:t>GB16297-1996</w:t>
                  </w:r>
                  <w:r>
                    <w:rPr>
                      <w:rFonts w:hint="eastAsia" w:ascii="宋体" w:hAnsi="宋体" w:eastAsia="宋体" w:cs="宋体"/>
                      <w:kern w:val="0"/>
                      <w:sz w:val="21"/>
                      <w:szCs w:val="21"/>
                      <w:lang w:val="en-US" w:eastAsia="zh-CN" w:bidi="ar"/>
                    </w:rPr>
                    <w:t>）表</w:t>
                  </w:r>
                  <w:r>
                    <w:rPr>
                      <w:rFonts w:hint="default" w:ascii="Times New Roman" w:hAnsi="Times New Roman" w:eastAsia="宋体" w:cs="Times New Roman"/>
                      <w:kern w:val="0"/>
                      <w:sz w:val="21"/>
                      <w:szCs w:val="21"/>
                      <w:lang w:val="en-US" w:eastAsia="zh-CN" w:bidi="ar"/>
                    </w:rPr>
                    <w:t>2</w:t>
                  </w:r>
                  <w:r>
                    <w:rPr>
                      <w:rFonts w:hint="eastAsia" w:ascii="宋体" w:hAnsi="宋体" w:eastAsia="宋体" w:cs="宋体"/>
                      <w:kern w:val="0"/>
                      <w:sz w:val="21"/>
                      <w:szCs w:val="21"/>
                      <w:lang w:val="en-US" w:eastAsia="zh-CN" w:bidi="ar"/>
                    </w:rPr>
                    <w:t>中无组织排放监控浓度限值</w:t>
                  </w:r>
                </w:p>
              </w:tc>
            </w:tr>
          </w:tbl>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jc w:val="both"/>
              <w:textAlignment w:val="auto"/>
              <w:rPr>
                <w:rFonts w:hint="eastAsia" w:ascii="宋体" w:hAnsi="宋体" w:eastAsia="宋体" w:cs="宋体"/>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2</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运营期废水</w:t>
            </w:r>
          </w:p>
          <w:p>
            <w:pPr>
              <w:keepNext/>
              <w:keepLines/>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textAlignment w:val="auto"/>
              <w:rPr>
                <w:rFonts w:hint="default" w:ascii="宋体"/>
                <w:color w:val="000000" w:themeColor="text1"/>
                <w:sz w:val="21"/>
                <w:szCs w:val="21"/>
                <w14:textFill>
                  <w14:solidFill>
                    <w14:schemeClr w14:val="tx1"/>
                  </w14:solidFill>
                </w14:textFill>
              </w:rPr>
            </w:pPr>
            <w:r>
              <w:rPr>
                <w:rFonts w:hint="default" w:ascii="宋体" w:hAnsi="宋体" w:cs="宋体"/>
                <w:color w:val="000000" w:themeColor="text1"/>
                <w:sz w:val="21"/>
                <w:szCs w:val="21"/>
                <w:lang w:bidi="ar"/>
                <w14:textFill>
                  <w14:solidFill>
                    <w14:schemeClr w14:val="tx1"/>
                  </w14:solidFill>
                </w14:textFill>
              </w:rPr>
              <w:t>本项目运营期生活污水执行《污水综合排放标准》（</w:t>
            </w:r>
            <w:r>
              <w:rPr>
                <w:rFonts w:hint="default"/>
                <w:color w:val="000000" w:themeColor="text1"/>
                <w:sz w:val="21"/>
                <w:szCs w:val="21"/>
                <w:lang w:bidi="ar"/>
                <w14:textFill>
                  <w14:solidFill>
                    <w14:schemeClr w14:val="tx1"/>
                  </w14:solidFill>
                </w14:textFill>
              </w:rPr>
              <w:t>GB8978-1996</w:t>
            </w:r>
            <w:r>
              <w:rPr>
                <w:rFonts w:hint="default" w:ascii="宋体" w:hAnsi="宋体" w:cs="宋体"/>
                <w:color w:val="000000" w:themeColor="text1"/>
                <w:sz w:val="21"/>
                <w:szCs w:val="21"/>
                <w:lang w:bidi="ar"/>
                <w14:textFill>
                  <w14:solidFill>
                    <w14:schemeClr w14:val="tx1"/>
                  </w14:solidFill>
                </w14:textFill>
              </w:rPr>
              <w:t>）中三级排放标准，氨氮执行《污水排入城镇下水道水质标准》（</w:t>
            </w:r>
            <w:r>
              <w:rPr>
                <w:rFonts w:hint="default"/>
                <w:color w:val="000000" w:themeColor="text1"/>
                <w:sz w:val="21"/>
                <w:szCs w:val="21"/>
                <w:lang w:bidi="ar"/>
                <w14:textFill>
                  <w14:solidFill>
                    <w14:schemeClr w14:val="tx1"/>
                  </w14:solidFill>
                </w14:textFill>
              </w:rPr>
              <w:t>GB/T31962-2015</w:t>
            </w:r>
            <w:r>
              <w:rPr>
                <w:rFonts w:hint="default" w:ascii="宋体" w:hAnsi="宋体" w:cs="宋体"/>
                <w:color w:val="000000" w:themeColor="text1"/>
                <w:sz w:val="21"/>
                <w:szCs w:val="21"/>
                <w:lang w:bidi="ar"/>
                <w14:textFill>
                  <w14:solidFill>
                    <w14:schemeClr w14:val="tx1"/>
                  </w14:solidFill>
                </w14:textFill>
              </w:rPr>
              <w:t>）中最高允许值</w:t>
            </w:r>
            <w:r>
              <w:rPr>
                <w:rFonts w:hint="default" w:ascii="Times New Roman" w:hAnsi="Times New Roman" w:cs="Times New Roman"/>
                <w:color w:val="000000" w:themeColor="text1"/>
                <w:sz w:val="21"/>
                <w:szCs w:val="21"/>
                <w:lang w:bidi="ar"/>
                <w14:textFill>
                  <w14:solidFill>
                    <w14:schemeClr w14:val="tx1"/>
                  </w14:solidFill>
                </w14:textFill>
              </w:rPr>
              <w:t>中B级标</w:t>
            </w:r>
            <w:r>
              <w:rPr>
                <w:rFonts w:hint="default" w:ascii="宋体" w:hAnsi="宋体" w:cs="宋体"/>
                <w:color w:val="000000" w:themeColor="text1"/>
                <w:sz w:val="21"/>
                <w:szCs w:val="21"/>
                <w:lang w:bidi="ar"/>
                <w14:textFill>
                  <w14:solidFill>
                    <w14:schemeClr w14:val="tx1"/>
                  </w14:solidFill>
                </w14:textFill>
              </w:rPr>
              <w:t>准，具体数值见表</w:t>
            </w:r>
            <w:r>
              <w:rPr>
                <w:rFonts w:hint="default" w:ascii="Times New Roman" w:hAnsi="Times New Roman" w:cs="Times New Roman"/>
                <w:color w:val="000000" w:themeColor="text1"/>
                <w:sz w:val="21"/>
                <w:szCs w:val="21"/>
                <w:lang w:bidi="ar"/>
                <w14:textFill>
                  <w14:solidFill>
                    <w14:schemeClr w14:val="tx1"/>
                  </w14:solidFill>
                </w14:textFill>
              </w:rPr>
              <w:t>3-5</w:t>
            </w:r>
            <w:r>
              <w:rPr>
                <w:rFonts w:hint="default" w:ascii="宋体" w:hAnsi="宋体" w:cs="宋体"/>
                <w:color w:val="000000" w:themeColor="text1"/>
                <w:sz w:val="21"/>
                <w:szCs w:val="21"/>
                <w:lang w:bidi="ar"/>
                <w14:textFill>
                  <w14:solidFill>
                    <w14:schemeClr w14:val="tx1"/>
                  </w14:solidFill>
                </w14:textFill>
              </w:rPr>
              <w:t>。</w:t>
            </w:r>
          </w:p>
          <w:p>
            <w:pPr>
              <w:keepNext w:val="0"/>
              <w:keepLines w:val="0"/>
              <w:suppressLineNumbers w:val="0"/>
              <w:spacing w:before="0" w:beforeLines="0" w:beforeAutospacing="0" w:after="0" w:afterLines="0" w:afterAutospacing="0"/>
              <w:ind w:left="0" w:right="0"/>
              <w:jc w:val="center"/>
              <w:rPr>
                <w:rFonts w:hint="default" w:ascii="宋体" w:hAnsi="宋体" w:cs="宋体"/>
                <w:b/>
                <w:color w:val="000000" w:themeColor="text1"/>
                <w:sz w:val="21"/>
                <w:szCs w:val="21"/>
                <w14:textFill>
                  <w14:solidFill>
                    <w14:schemeClr w14:val="tx1"/>
                  </w14:solidFill>
                </w14:textFill>
              </w:rPr>
            </w:pPr>
            <w:r>
              <w:rPr>
                <w:rFonts w:hint="default" w:ascii="宋体" w:hAnsi="宋体" w:cs="宋体"/>
                <w:b/>
                <w:color w:val="000000" w:themeColor="text1"/>
                <w:sz w:val="21"/>
                <w:szCs w:val="21"/>
                <w:lang w:bidi="ar"/>
                <w14:textFill>
                  <w14:solidFill>
                    <w14:schemeClr w14:val="tx1"/>
                  </w14:solidFill>
                </w14:textFill>
              </w:rPr>
              <w:t>表</w:t>
            </w:r>
            <w:r>
              <w:rPr>
                <w:rFonts w:hint="default" w:ascii="Times New Roman" w:hAnsi="Times New Roman" w:cs="Times New Roman"/>
                <w:b/>
                <w:color w:val="000000" w:themeColor="text1"/>
                <w:sz w:val="21"/>
                <w:szCs w:val="21"/>
                <w:lang w:bidi="ar"/>
                <w14:textFill>
                  <w14:solidFill>
                    <w14:schemeClr w14:val="tx1"/>
                  </w14:solidFill>
                </w14:textFill>
              </w:rPr>
              <w:t>3-</w:t>
            </w:r>
            <w:r>
              <w:rPr>
                <w:rFonts w:hint="eastAsia" w:cs="Times New Roman"/>
                <w:b/>
                <w:color w:val="000000" w:themeColor="text1"/>
                <w:sz w:val="21"/>
                <w:szCs w:val="21"/>
                <w:lang w:val="en-US" w:eastAsia="zh-CN" w:bidi="ar"/>
                <w14:textFill>
                  <w14:solidFill>
                    <w14:schemeClr w14:val="tx1"/>
                  </w14:solidFill>
                </w14:textFill>
              </w:rPr>
              <w:t>5</w:t>
            </w:r>
            <w:r>
              <w:rPr>
                <w:rFonts w:hint="default" w:ascii="Times New Roman" w:hAnsi="Times New Roman" w:cs="Times New Roman"/>
                <w:b/>
                <w:color w:val="000000" w:themeColor="text1"/>
                <w:sz w:val="21"/>
                <w:szCs w:val="21"/>
                <w:lang w:bidi="ar"/>
                <w14:textFill>
                  <w14:solidFill>
                    <w14:schemeClr w14:val="tx1"/>
                  </w14:solidFill>
                </w14:textFill>
              </w:rPr>
              <w:t xml:space="preserve"> </w:t>
            </w:r>
            <w:r>
              <w:rPr>
                <w:rFonts w:hint="default"/>
                <w:b/>
                <w:color w:val="000000" w:themeColor="text1"/>
                <w:sz w:val="21"/>
                <w:szCs w:val="21"/>
                <w:lang w:bidi="ar"/>
                <w14:textFill>
                  <w14:solidFill>
                    <w14:schemeClr w14:val="tx1"/>
                  </w14:solidFill>
                </w14:textFill>
              </w:rPr>
              <w:t xml:space="preserve"> </w:t>
            </w:r>
            <w:r>
              <w:rPr>
                <w:rFonts w:hint="eastAsia" w:ascii="宋体" w:hAnsi="宋体" w:cs="宋体"/>
                <w:b/>
                <w:color w:val="000000" w:themeColor="text1"/>
                <w:sz w:val="21"/>
                <w:szCs w:val="21"/>
                <w:lang w:val="en-US" w:eastAsia="zh-CN" w:bidi="ar"/>
                <w14:textFill>
                  <w14:solidFill>
                    <w14:schemeClr w14:val="tx1"/>
                  </w14:solidFill>
                </w14:textFill>
              </w:rPr>
              <w:t>废水</w:t>
            </w:r>
            <w:r>
              <w:rPr>
                <w:rFonts w:hint="default" w:ascii="宋体" w:hAnsi="宋体" w:cs="宋体"/>
                <w:b/>
                <w:color w:val="000000" w:themeColor="text1"/>
                <w:sz w:val="21"/>
                <w:szCs w:val="21"/>
                <w:lang w:bidi="ar"/>
                <w14:textFill>
                  <w14:solidFill>
                    <w14:schemeClr w14:val="tx1"/>
                  </w14:solidFill>
                </w14:textFill>
              </w:rPr>
              <w:t>排放标准</w:t>
            </w:r>
          </w:p>
          <w:tbl>
            <w:tblPr>
              <w:tblStyle w:val="23"/>
              <w:tblW w:w="8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1199"/>
              <w:gridCol w:w="1515"/>
              <w:gridCol w:w="4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5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autoSpaceDE w:val="0"/>
                    <w:spacing w:before="0" w:beforeLines="0" w:after="0" w:afterLines="0"/>
                    <w:ind w:left="0" w:right="0"/>
                    <w:rPr>
                      <w:rFonts w:hint="default" w:ascii="Times New Roman" w:hAnsi="Times New Roman" w:eastAsia="宋体"/>
                      <w:b/>
                      <w:color w:val="000000" w:themeColor="text1"/>
                      <w:kern w:val="2"/>
                      <w:sz w:val="21"/>
                      <w:szCs w:val="21"/>
                      <w14:textFill>
                        <w14:solidFill>
                          <w14:schemeClr w14:val="tx1"/>
                        </w14:solidFill>
                      </w14:textFill>
                    </w:rPr>
                  </w:pPr>
                  <w:r>
                    <w:rPr>
                      <w:rFonts w:hint="default" w:eastAsia="宋体" w:cs="宋体"/>
                      <w:b/>
                      <w:color w:val="000000" w:themeColor="text1"/>
                      <w:kern w:val="2"/>
                      <w:sz w:val="21"/>
                      <w:szCs w:val="21"/>
                      <w:lang w:bidi="ar"/>
                      <w14:textFill>
                        <w14:solidFill>
                          <w14:schemeClr w14:val="tx1"/>
                        </w14:solidFill>
                      </w14:textFill>
                    </w:rPr>
                    <w:t>污染物</w:t>
                  </w:r>
                </w:p>
              </w:tc>
              <w:tc>
                <w:tcPr>
                  <w:tcW w:w="119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pageBreakBefore/>
                    <w:widowControl w:val="0"/>
                    <w:suppressLineNumbers w:val="0"/>
                    <w:kinsoku/>
                    <w:wordWrap/>
                    <w:overflowPunct/>
                    <w:topLinePunct w:val="0"/>
                    <w:autoSpaceDE/>
                    <w:autoSpaceDN/>
                    <w:bidi w:val="0"/>
                    <w:adjustRightInd w:val="0"/>
                    <w:snapToGrid w:val="0"/>
                    <w:spacing w:before="0" w:beforeLines="0" w:after="0" w:afterLines="0"/>
                    <w:ind w:left="0" w:right="0"/>
                    <w:textAlignment w:val="center"/>
                    <w:rPr>
                      <w:rFonts w:hint="default" w:ascii="Times New Roman" w:hAnsi="Times New Roman" w:eastAsia="宋体"/>
                      <w:b/>
                      <w:color w:val="000000" w:themeColor="text1"/>
                      <w:kern w:val="2"/>
                      <w:sz w:val="21"/>
                      <w:szCs w:val="21"/>
                      <w14:textFill>
                        <w14:solidFill>
                          <w14:schemeClr w14:val="tx1"/>
                        </w14:solidFill>
                      </w14:textFill>
                    </w:rPr>
                  </w:pPr>
                  <w:r>
                    <w:rPr>
                      <w:rFonts w:hint="default" w:eastAsia="宋体" w:cs="宋体"/>
                      <w:b/>
                      <w:color w:val="000000" w:themeColor="text1"/>
                      <w:kern w:val="2"/>
                      <w:sz w:val="21"/>
                      <w:szCs w:val="21"/>
                      <w:lang w:bidi="ar"/>
                      <w14:textFill>
                        <w14:solidFill>
                          <w14:schemeClr w14:val="tx1"/>
                        </w14:solidFill>
                      </w14:textFill>
                    </w:rPr>
                    <w:t>排放限值</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29" w:beforeLines="0" w:after="0" w:afterLines="0"/>
                    <w:ind w:left="108" w:right="90"/>
                    <w:rPr>
                      <w:rFonts w:hint="eastAsia" w:ascii="Times New Roman" w:hAnsi="Times New Roman" w:eastAsia="宋体"/>
                      <w:b/>
                      <w:color w:val="000000" w:themeColor="text1"/>
                      <w:kern w:val="2"/>
                      <w:sz w:val="21"/>
                      <w:szCs w:val="21"/>
                      <w:lang w:val="en-US" w:eastAsia="zh-CN"/>
                      <w14:textFill>
                        <w14:solidFill>
                          <w14:schemeClr w14:val="tx1"/>
                        </w14:solidFill>
                      </w14:textFill>
                    </w:rPr>
                  </w:pPr>
                  <w:r>
                    <w:rPr>
                      <w:rFonts w:hint="default" w:eastAsia="宋体" w:cs="宋体"/>
                      <w:b/>
                      <w:color w:val="000000" w:themeColor="text1"/>
                      <w:kern w:val="2"/>
                      <w:sz w:val="21"/>
                      <w:szCs w:val="21"/>
                      <w:lang w:bidi="ar"/>
                      <w14:textFill>
                        <w14:solidFill>
                          <w14:schemeClr w14:val="tx1"/>
                        </w14:solidFill>
                      </w14:textFill>
                    </w:rPr>
                    <w:t>污染物单</w:t>
                  </w:r>
                  <w:r>
                    <w:rPr>
                      <w:rFonts w:hint="eastAsia" w:eastAsia="宋体" w:cs="宋体"/>
                      <w:b/>
                      <w:color w:val="000000" w:themeColor="text1"/>
                      <w:kern w:val="2"/>
                      <w:sz w:val="21"/>
                      <w:szCs w:val="21"/>
                      <w:lang w:val="en-US" w:eastAsia="zh-CN" w:bidi="ar"/>
                      <w14:textFill>
                        <w14:solidFill>
                          <w14:schemeClr w14:val="tx1"/>
                        </w14:solidFill>
                      </w14:textFill>
                    </w:rPr>
                    <w:t>位</w:t>
                  </w:r>
                </w:p>
              </w:tc>
              <w:tc>
                <w:tcPr>
                  <w:tcW w:w="4381"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29" w:beforeLines="0" w:after="0" w:afterLines="0"/>
                    <w:ind w:left="166" w:right="152"/>
                    <w:rPr>
                      <w:rFonts w:hint="default" w:ascii="Times New Roman" w:hAnsi="Times New Roman" w:eastAsia="宋体"/>
                      <w:b/>
                      <w:color w:val="000000" w:themeColor="text1"/>
                      <w:kern w:val="2"/>
                      <w:sz w:val="21"/>
                      <w:szCs w:val="21"/>
                      <w14:textFill>
                        <w14:solidFill>
                          <w14:schemeClr w14:val="tx1"/>
                        </w14:solidFill>
                      </w14:textFill>
                    </w:rPr>
                  </w:pPr>
                  <w:r>
                    <w:rPr>
                      <w:rFonts w:hint="default" w:eastAsia="宋体" w:cs="宋体"/>
                      <w:b/>
                      <w:color w:val="000000" w:themeColor="text1"/>
                      <w:kern w:val="2"/>
                      <w:sz w:val="21"/>
                      <w:szCs w:val="21"/>
                      <w:lang w:bidi="ar"/>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05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autoSpaceDE w:val="0"/>
                    <w:spacing w:before="0" w:beforeLines="0" w:after="0" w:afterLines="0"/>
                    <w:ind w:left="0" w:right="0"/>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pH</w:t>
                  </w:r>
                </w:p>
              </w:tc>
              <w:tc>
                <w:tcPr>
                  <w:tcW w:w="119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46" w:beforeLines="0" w:after="0" w:afterLines="0"/>
                    <w:ind w:left="141" w:right="123"/>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6~9</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32" w:beforeLines="0" w:after="0" w:afterLines="0"/>
                    <w:ind w:left="105" w:right="90"/>
                    <w:rPr>
                      <w:rFonts w:hint="default" w:ascii="Times New Roman" w:hAnsi="Times New Roman" w:eastAsia="宋体"/>
                      <w:color w:val="000000" w:themeColor="text1"/>
                      <w:kern w:val="2"/>
                      <w:sz w:val="21"/>
                      <w:szCs w:val="21"/>
                      <w14:textFill>
                        <w14:solidFill>
                          <w14:schemeClr w14:val="tx1"/>
                        </w14:solidFill>
                      </w14:textFill>
                    </w:rPr>
                  </w:pPr>
                  <w:r>
                    <w:rPr>
                      <w:rFonts w:hint="default" w:eastAsia="宋体" w:cs="宋体"/>
                      <w:color w:val="000000" w:themeColor="text1"/>
                      <w:kern w:val="2"/>
                      <w:sz w:val="21"/>
                      <w:szCs w:val="21"/>
                      <w:lang w:bidi="ar"/>
                      <w14:textFill>
                        <w14:solidFill>
                          <w14:schemeClr w14:val="tx1"/>
                        </w14:solidFill>
                      </w14:textFill>
                    </w:rPr>
                    <w:t>无量纲</w:t>
                  </w:r>
                </w:p>
              </w:tc>
              <w:tc>
                <w:tcPr>
                  <w:tcW w:w="4381" w:type="dxa"/>
                  <w:vMerge w:val="restart"/>
                  <w:tcBorders>
                    <w:top w:val="nil"/>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default"/>
                      <w:color w:val="000000" w:themeColor="text1"/>
                      <w:sz w:val="21"/>
                      <w:szCs w:val="21"/>
                      <w14:textFill>
                        <w14:solidFill>
                          <w14:schemeClr w14:val="tx1"/>
                        </w14:solidFill>
                      </w14:textFill>
                    </w:rPr>
                  </w:pPr>
                  <w:r>
                    <w:rPr>
                      <w:rFonts w:hint="default" w:ascii="宋体" w:hAnsi="宋体" w:cs="宋体"/>
                      <w:color w:val="000000" w:themeColor="text1"/>
                      <w:sz w:val="21"/>
                      <w:szCs w:val="21"/>
                      <w:lang w:bidi="ar"/>
                      <w14:textFill>
                        <w14:solidFill>
                          <w14:schemeClr w14:val="tx1"/>
                        </w14:solidFill>
                      </w14:textFill>
                    </w:rPr>
                    <w:t>《污水综合排放标准》（</w:t>
                  </w:r>
                  <w:r>
                    <w:rPr>
                      <w:rFonts w:hint="default"/>
                      <w:color w:val="000000" w:themeColor="text1"/>
                      <w:sz w:val="21"/>
                      <w:szCs w:val="21"/>
                      <w:lang w:bidi="ar"/>
                      <w14:textFill>
                        <w14:solidFill>
                          <w14:schemeClr w14:val="tx1"/>
                        </w14:solidFill>
                      </w14:textFill>
                    </w:rPr>
                    <w:t>GB8978-1996</w:t>
                  </w:r>
                  <w:r>
                    <w:rPr>
                      <w:rFonts w:hint="default" w:ascii="宋体" w:hAnsi="宋体" w:cs="宋体"/>
                      <w:color w:val="000000" w:themeColor="text1"/>
                      <w:sz w:val="21"/>
                      <w:szCs w:val="21"/>
                      <w:lang w:bidi="ar"/>
                      <w14:textFill>
                        <w14:solidFill>
                          <w14:schemeClr w14:val="tx1"/>
                        </w14:solidFill>
                      </w14:textFill>
                    </w:rPr>
                    <w:t>）中三级排放标准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05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autoSpaceDE w:val="0"/>
                    <w:spacing w:before="0" w:beforeLines="0" w:after="0" w:afterLines="0"/>
                    <w:ind w:left="0" w:right="0"/>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position w:val="2"/>
                      <w:sz w:val="21"/>
                      <w:szCs w:val="21"/>
                      <w:lang w:bidi="ar"/>
                      <w14:textFill>
                        <w14:solidFill>
                          <w14:schemeClr w14:val="tx1"/>
                        </w14:solidFill>
                      </w14:textFill>
                    </w:rPr>
                    <w:t>COD</w:t>
                  </w:r>
                  <w:r>
                    <w:rPr>
                      <w:rFonts w:hint="default" w:ascii="Times New Roman" w:hAnsi="Times New Roman" w:eastAsia="宋体"/>
                      <w:color w:val="000000" w:themeColor="text1"/>
                      <w:kern w:val="2"/>
                      <w:sz w:val="21"/>
                      <w:szCs w:val="21"/>
                      <w:vertAlign w:val="subscript"/>
                      <w:lang w:bidi="ar"/>
                      <w14:textFill>
                        <w14:solidFill>
                          <w14:schemeClr w14:val="tx1"/>
                        </w14:solidFill>
                      </w14:textFill>
                    </w:rPr>
                    <w:t>Cr</w:t>
                  </w:r>
                </w:p>
              </w:tc>
              <w:tc>
                <w:tcPr>
                  <w:tcW w:w="119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41" w:beforeLines="0" w:after="0" w:afterLines="0"/>
                    <w:ind w:left="141" w:right="123"/>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500</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41" w:beforeLines="0" w:after="0" w:afterLines="0"/>
                    <w:ind w:left="105" w:right="90"/>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mg/L</w:t>
                  </w:r>
                </w:p>
              </w:tc>
              <w:tc>
                <w:tcPr>
                  <w:tcW w:w="438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rPr>
                      <w:rFonts w:hint="default" w:ascii="Calibri" w:hAnsi="Calibri"/>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autoSpaceDE w:val="0"/>
                    <w:spacing w:before="0" w:beforeLines="0" w:after="0" w:afterLines="0"/>
                    <w:ind w:left="0" w:right="0"/>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position w:val="2"/>
                      <w:sz w:val="21"/>
                      <w:szCs w:val="21"/>
                      <w:lang w:bidi="ar"/>
                      <w14:textFill>
                        <w14:solidFill>
                          <w14:schemeClr w14:val="tx1"/>
                        </w14:solidFill>
                      </w14:textFill>
                    </w:rPr>
                    <w:t>BOD</w:t>
                  </w:r>
                  <w:r>
                    <w:rPr>
                      <w:rFonts w:hint="default" w:ascii="Times New Roman" w:hAnsi="Times New Roman" w:eastAsia="宋体"/>
                      <w:color w:val="000000" w:themeColor="text1"/>
                      <w:kern w:val="2"/>
                      <w:sz w:val="21"/>
                      <w:szCs w:val="21"/>
                      <w:vertAlign w:val="subscript"/>
                      <w:lang w:bidi="ar"/>
                      <w14:textFill>
                        <w14:solidFill>
                          <w14:schemeClr w14:val="tx1"/>
                        </w14:solidFill>
                      </w14:textFill>
                    </w:rPr>
                    <w:t>5</w:t>
                  </w:r>
                </w:p>
              </w:tc>
              <w:tc>
                <w:tcPr>
                  <w:tcW w:w="119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38" w:beforeLines="0" w:after="0" w:afterLines="0"/>
                    <w:ind w:left="141" w:right="123"/>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300</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38" w:beforeLines="0" w:after="0" w:afterLines="0"/>
                    <w:ind w:left="105" w:right="90"/>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mg/L</w:t>
                  </w:r>
                </w:p>
              </w:tc>
              <w:tc>
                <w:tcPr>
                  <w:tcW w:w="438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rPr>
                      <w:rFonts w:hint="default" w:ascii="Calibri" w:hAnsi="Calibri"/>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autoSpaceDE w:val="0"/>
                    <w:spacing w:before="0" w:beforeLines="0" w:after="0" w:afterLines="0"/>
                    <w:ind w:left="0" w:right="0"/>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SS</w:t>
                  </w:r>
                </w:p>
              </w:tc>
              <w:tc>
                <w:tcPr>
                  <w:tcW w:w="119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38" w:beforeLines="0" w:after="0" w:afterLines="0"/>
                    <w:ind w:left="141" w:right="123"/>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400</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38" w:beforeLines="0" w:after="0" w:afterLines="0"/>
                    <w:ind w:left="105" w:right="90"/>
                    <w:rPr>
                      <w:rFonts w:hint="default" w:ascii="Times New Roman" w:hAnsi="Times New Roman" w:eastAsia="宋体"/>
                      <w:color w:val="000000" w:themeColor="text1"/>
                      <w:kern w:val="2"/>
                      <w:sz w:val="21"/>
                      <w:szCs w:val="21"/>
                      <w14:textFill>
                        <w14:solidFill>
                          <w14:schemeClr w14:val="tx1"/>
                        </w14:solidFill>
                      </w14:textFill>
                    </w:rPr>
                  </w:pPr>
                  <w:r>
                    <w:rPr>
                      <w:rFonts w:hint="default" w:ascii="Times New Roman" w:hAnsi="Times New Roman" w:eastAsia="宋体"/>
                      <w:color w:val="000000" w:themeColor="text1"/>
                      <w:kern w:val="2"/>
                      <w:sz w:val="21"/>
                      <w:szCs w:val="21"/>
                      <w:lang w:bidi="ar"/>
                      <w14:textFill>
                        <w14:solidFill>
                          <w14:schemeClr w14:val="tx1"/>
                        </w14:solidFill>
                      </w14:textFill>
                    </w:rPr>
                    <w:t>mg/L</w:t>
                  </w:r>
                </w:p>
              </w:tc>
              <w:tc>
                <w:tcPr>
                  <w:tcW w:w="438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rPr>
                      <w:rFonts w:hint="default" w:ascii="Calibri" w:hAnsi="Calibri"/>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05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autoSpaceDE w:val="0"/>
                    <w:spacing w:before="0" w:after="0"/>
                    <w:ind w:left="0" w:right="0"/>
                    <w:rPr>
                      <w:rFonts w:hint="default" w:ascii="Times New Roman" w:hAnsi="Times New Roman"/>
                      <w:color w:val="000000" w:themeColor="text1"/>
                      <w:kern w:val="2"/>
                      <w:sz w:val="21"/>
                      <w:szCs w:val="21"/>
                      <w14:textFill>
                        <w14:solidFill>
                          <w14:schemeClr w14:val="tx1"/>
                        </w14:solidFill>
                      </w14:textFill>
                    </w:rPr>
                  </w:pPr>
                  <w:r>
                    <w:rPr>
                      <w:rFonts w:hint="default" w:ascii="Times New Roman" w:hAnsi="Times New Roman"/>
                      <w:color w:val="000000" w:themeColor="text1"/>
                      <w:kern w:val="2"/>
                      <w:position w:val="2"/>
                      <w:sz w:val="21"/>
                      <w:szCs w:val="21"/>
                      <w:lang w:bidi="ar"/>
                      <w14:textFill>
                        <w14:solidFill>
                          <w14:schemeClr w14:val="tx1"/>
                        </w14:solidFill>
                      </w14:textFill>
                    </w:rPr>
                    <w:t>NH</w:t>
                  </w:r>
                  <w:r>
                    <w:rPr>
                      <w:rFonts w:hint="default" w:ascii="Times New Roman" w:hAnsi="Times New Roman"/>
                      <w:color w:val="000000" w:themeColor="text1"/>
                      <w:kern w:val="2"/>
                      <w:sz w:val="21"/>
                      <w:szCs w:val="21"/>
                      <w:vertAlign w:val="subscript"/>
                      <w:lang w:bidi="ar"/>
                      <w14:textFill>
                        <w14:solidFill>
                          <w14:schemeClr w14:val="tx1"/>
                        </w14:solidFill>
                      </w14:textFill>
                    </w:rPr>
                    <w:t>3</w:t>
                  </w:r>
                  <w:r>
                    <w:rPr>
                      <w:rFonts w:hint="default" w:ascii="Times New Roman" w:hAnsi="Times New Roman"/>
                      <w:color w:val="000000" w:themeColor="text1"/>
                      <w:kern w:val="2"/>
                      <w:position w:val="2"/>
                      <w:sz w:val="21"/>
                      <w:szCs w:val="21"/>
                      <w:lang w:bidi="ar"/>
                      <w14:textFill>
                        <w14:solidFill>
                          <w14:schemeClr w14:val="tx1"/>
                        </w14:solidFill>
                      </w14:textFill>
                    </w:rPr>
                    <w:t>-N</w:t>
                  </w:r>
                </w:p>
              </w:tc>
              <w:tc>
                <w:tcPr>
                  <w:tcW w:w="119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38" w:after="0"/>
                    <w:ind w:left="139" w:right="125"/>
                    <w:rPr>
                      <w:rFonts w:hint="default" w:ascii="Times New Roman" w:hAnsi="Times New Roman"/>
                      <w:color w:val="000000" w:themeColor="text1"/>
                      <w:kern w:val="2"/>
                      <w:sz w:val="21"/>
                      <w:szCs w:val="21"/>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45</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widowControl w:val="0"/>
                    <w:suppressLineNumbers w:val="0"/>
                    <w:spacing w:before="38" w:after="0"/>
                    <w:ind w:left="105" w:right="90"/>
                    <w:rPr>
                      <w:rFonts w:hint="default" w:ascii="Times New Roman" w:hAnsi="Times New Roman"/>
                      <w:color w:val="000000" w:themeColor="text1"/>
                      <w:kern w:val="2"/>
                      <w:sz w:val="21"/>
                      <w:szCs w:val="21"/>
                      <w14:textFill>
                        <w14:solidFill>
                          <w14:schemeClr w14:val="tx1"/>
                        </w14:solidFill>
                      </w14:textFill>
                    </w:rPr>
                  </w:pPr>
                  <w:r>
                    <w:rPr>
                      <w:rFonts w:hint="default" w:ascii="Times New Roman" w:hAnsi="Times New Roman"/>
                      <w:color w:val="000000" w:themeColor="text1"/>
                      <w:kern w:val="2"/>
                      <w:sz w:val="21"/>
                      <w:szCs w:val="21"/>
                      <w:lang w:bidi="ar"/>
                      <w14:textFill>
                        <w14:solidFill>
                          <w14:schemeClr w14:val="tx1"/>
                        </w14:solidFill>
                      </w14:textFill>
                    </w:rPr>
                    <w:t>mg/L</w:t>
                  </w:r>
                </w:p>
              </w:tc>
              <w:tc>
                <w:tcPr>
                  <w:tcW w:w="4381" w:type="dxa"/>
                  <w:tcBorders>
                    <w:top w:val="nil"/>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Lines="0" w:beforeAutospacing="0" w:after="0" w:afterLines="0" w:afterAutospacing="0"/>
                    <w:ind w:left="0" w:right="0"/>
                    <w:jc w:val="center"/>
                    <w:rPr>
                      <w:rFonts w:hint="default" w:ascii="Calibri" w:hAnsi="Calibri"/>
                      <w:color w:val="000000" w:themeColor="text1"/>
                      <w:sz w:val="21"/>
                      <w:szCs w:val="21"/>
                      <w14:textFill>
                        <w14:solidFill>
                          <w14:schemeClr w14:val="tx1"/>
                        </w14:solidFill>
                      </w14:textFill>
                    </w:rPr>
                  </w:pPr>
                  <w:r>
                    <w:rPr>
                      <w:rFonts w:hint="default" w:ascii="宋体" w:hAnsi="Calibri"/>
                      <w:color w:val="000000" w:themeColor="text1"/>
                      <w:sz w:val="21"/>
                      <w:szCs w:val="21"/>
                      <w14:textFill>
                        <w14:solidFill>
                          <w14:schemeClr w14:val="tx1"/>
                        </w14:solidFill>
                      </w14:textFill>
                    </w:rPr>
                    <w:t>《污水排入城镇下水道水质标准》（</w:t>
                  </w:r>
                  <w:r>
                    <w:rPr>
                      <w:rFonts w:hint="default"/>
                      <w:color w:val="000000" w:themeColor="text1"/>
                      <w:sz w:val="21"/>
                      <w:szCs w:val="21"/>
                      <w14:textFill>
                        <w14:solidFill>
                          <w14:schemeClr w14:val="tx1"/>
                        </w14:solidFill>
                      </w14:textFill>
                    </w:rPr>
                    <w:t>GB/T31962-2015</w:t>
                  </w:r>
                  <w:r>
                    <w:rPr>
                      <w:rFonts w:hint="default" w:ascii="宋体" w:hAnsi="Calibri"/>
                      <w:color w:val="000000" w:themeColor="text1"/>
                      <w:sz w:val="21"/>
                      <w:szCs w:val="21"/>
                      <w14:textFill>
                        <w14:solidFill>
                          <w14:schemeClr w14:val="tx1"/>
                        </w14:solidFill>
                      </w14:textFill>
                    </w:rPr>
                    <w:t>）中最高允许值</w:t>
                  </w:r>
                  <w:r>
                    <w:rPr>
                      <w:rFonts w:hint="default" w:ascii="Times New Roman" w:hAnsi="Times New Roman" w:cs="Times New Roman"/>
                      <w:color w:val="000000" w:themeColor="text1"/>
                      <w:sz w:val="21"/>
                      <w:szCs w:val="21"/>
                      <w14:textFill>
                        <w14:solidFill>
                          <w14:schemeClr w14:val="tx1"/>
                        </w14:solidFill>
                      </w14:textFill>
                    </w:rPr>
                    <w:t>中B级</w:t>
                  </w:r>
                  <w:r>
                    <w:rPr>
                      <w:rFonts w:hint="default" w:ascii="宋体" w:hAnsi="Calibri"/>
                      <w:color w:val="000000" w:themeColor="text1"/>
                      <w:sz w:val="21"/>
                      <w:szCs w:val="21"/>
                      <w14:textFill>
                        <w14:solidFill>
                          <w14:schemeClr w14:val="tx1"/>
                        </w14:solidFill>
                      </w14:textFill>
                    </w:rPr>
                    <w:t>标准</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eastAsia" w:cs="Times New Roman"/>
                <w:b/>
                <w:bCs/>
                <w:color w:val="000000" w:themeColor="text1"/>
                <w:kern w:val="2"/>
                <w:sz w:val="21"/>
                <w:szCs w:val="21"/>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运营期噪声</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本项目运营期</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噪声执行《工业企业厂界环境噪声排放标准》（GB12348-2008）中</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类标准；即昼间6</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dB（A），夜间5</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dB（A）。</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eastAsia" w:cs="Times New Roman"/>
                <w:b/>
                <w:bCs/>
                <w:color w:val="000000" w:themeColor="text1"/>
                <w:kern w:val="2"/>
                <w:sz w:val="21"/>
                <w:szCs w:val="21"/>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运营期固废</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firstLine="420" w:firstLineChars="200"/>
              <w:jc w:val="both"/>
              <w:textAlignment w:val="auto"/>
              <w:rPr>
                <w:rFonts w:hint="default"/>
                <w:color w:val="000000" w:themeColor="text1"/>
                <w:lang w:val="en-US" w:eastAsia="zh-CN"/>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本项目运营期一</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般固废执行《一般工业固体废物贮存和填埋污染控制标准》</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GB18599-2020</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中相关</w:t>
            </w:r>
            <w:r>
              <w:rPr>
                <w:rFonts w:hint="eastAsia" w:cs="Times New Roman"/>
                <w:color w:val="000000" w:themeColor="text1"/>
                <w:kern w:val="2"/>
                <w:sz w:val="21"/>
                <w:szCs w:val="21"/>
                <w:lang w:val="en-US" w:eastAsia="zh-CN" w:bidi="ar"/>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26" w:type="dxa"/>
            <w:noWrap w:val="0"/>
            <w:vAlign w:val="center"/>
          </w:tcPr>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总量</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控制</w:t>
            </w:r>
          </w:p>
          <w:p>
            <w:pPr>
              <w:keepNext w:val="0"/>
              <w:keepLines w:val="0"/>
              <w:suppressLineNumbers w:val="0"/>
              <w:kinsoku/>
              <w:wordWrap/>
              <w:bidi w:val="0"/>
              <w:adjustRightInd/>
              <w:snapToGrid/>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指标</w:t>
            </w:r>
          </w:p>
        </w:tc>
        <w:tc>
          <w:tcPr>
            <w:tcW w:w="8387" w:type="dxa"/>
            <w:noWrap w:val="0"/>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both"/>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eastAsia="宋体"/>
                <w:b w:val="0"/>
                <w:bCs w:val="0"/>
                <w:color w:val="000000" w:themeColor="text1"/>
                <w:sz w:val="21"/>
                <w:szCs w:val="21"/>
                <w:lang w:val="en-US" w:eastAsia="zh-CN"/>
                <w14:textFill>
                  <w14:solidFill>
                    <w14:schemeClr w14:val="tx1"/>
                  </w14:solidFill>
                </w14:textFill>
              </w:rPr>
              <w:t>本项目主要污染物颗粒物0</w:t>
            </w:r>
            <w:r>
              <w:rPr>
                <w:rFonts w:hint="eastAsia"/>
                <w:b w:val="0"/>
                <w:bCs w:val="0"/>
                <w:color w:val="000000" w:themeColor="text1"/>
                <w:sz w:val="21"/>
                <w:szCs w:val="21"/>
                <w:lang w:val="en-US" w:eastAsia="zh-CN"/>
                <w14:textFill>
                  <w14:solidFill>
                    <w14:schemeClr w14:val="tx1"/>
                  </w14:solidFill>
                </w14:textFill>
              </w:rPr>
              <w:t>.14</w:t>
            </w:r>
            <w:r>
              <w:rPr>
                <w:rFonts w:hint="eastAsia" w:eastAsia="宋体"/>
                <w:b w:val="0"/>
                <w:bCs w:val="0"/>
                <w:color w:val="000000" w:themeColor="text1"/>
                <w:sz w:val="21"/>
                <w:szCs w:val="21"/>
                <w:lang w:val="en-US" w:eastAsia="zh-CN"/>
                <w14:textFill>
                  <w14:solidFill>
                    <w14:schemeClr w14:val="tx1"/>
                  </w14:solidFill>
                </w14:textFill>
              </w:rPr>
              <w:t>t/a，本项目提出总量控制指标，由当地</w:t>
            </w:r>
            <w:r>
              <w:rPr>
                <w:rFonts w:hint="eastAsia"/>
                <w:b w:val="0"/>
                <w:bCs w:val="0"/>
                <w:color w:val="000000" w:themeColor="text1"/>
                <w:sz w:val="21"/>
                <w:szCs w:val="21"/>
                <w:lang w:val="en-US" w:eastAsia="zh-CN"/>
                <w14:textFill>
                  <w14:solidFill>
                    <w14:schemeClr w14:val="tx1"/>
                  </w14:solidFill>
                </w14:textFill>
              </w:rPr>
              <w:t>生态环境</w:t>
            </w:r>
            <w:r>
              <w:rPr>
                <w:rFonts w:hint="eastAsia" w:eastAsia="宋体"/>
                <w:b w:val="0"/>
                <w:bCs w:val="0"/>
                <w:color w:val="000000" w:themeColor="text1"/>
                <w:sz w:val="21"/>
                <w:szCs w:val="21"/>
                <w:lang w:val="en-US" w:eastAsia="zh-CN"/>
                <w14:textFill>
                  <w14:solidFill>
                    <w14:schemeClr w14:val="tx1"/>
                  </w14:solidFill>
                </w14:textFill>
              </w:rPr>
              <w:t>部门调控进行倍量替代，替代总量为颗粒物0.</w:t>
            </w:r>
            <w:r>
              <w:rPr>
                <w:rFonts w:hint="eastAsia"/>
                <w:b w:val="0"/>
                <w:bCs w:val="0"/>
                <w:color w:val="000000" w:themeColor="text1"/>
                <w:sz w:val="21"/>
                <w:szCs w:val="21"/>
                <w:lang w:val="en-US" w:eastAsia="zh-CN"/>
                <w14:textFill>
                  <w14:solidFill>
                    <w14:schemeClr w14:val="tx1"/>
                  </w14:solidFill>
                </w14:textFill>
              </w:rPr>
              <w:t>28</w:t>
            </w:r>
            <w:r>
              <w:rPr>
                <w:rFonts w:hint="eastAsia" w:eastAsia="宋体"/>
                <w:b w:val="0"/>
                <w:bCs w:val="0"/>
                <w:color w:val="000000" w:themeColor="text1"/>
                <w:sz w:val="21"/>
                <w:szCs w:val="21"/>
                <w:lang w:val="en-US" w:eastAsia="zh-CN"/>
                <w14:textFill>
                  <w14:solidFill>
                    <w14:schemeClr w14:val="tx1"/>
                  </w14:solidFill>
                </w14:textFill>
              </w:rPr>
              <w:t>t/a</w:t>
            </w:r>
            <w:r>
              <w:rPr>
                <w:rFonts w:hint="eastAsia" w:eastAsia="宋体" w:cs="Times New Roman"/>
                <w:b w:val="0"/>
                <w:bCs w:val="0"/>
                <w:color w:val="000000" w:themeColor="text1"/>
                <w:sz w:val="21"/>
                <w:szCs w:val="21"/>
                <w:lang w:val="en-US" w:eastAsia="zh-CN"/>
                <w14:textFill>
                  <w14:solidFill>
                    <w14:schemeClr w14:val="tx1"/>
                  </w14:solidFill>
                </w14:textFill>
              </w:rPr>
              <w:t>。</w:t>
            </w:r>
          </w:p>
        </w:tc>
      </w:tr>
    </w:tbl>
    <w:p>
      <w:pPr>
        <w:pStyle w:val="20"/>
        <w:keepNext w:val="0"/>
        <w:keepLines w:val="0"/>
        <w:pageBreakBefore/>
        <w:widowControl/>
        <w:kinsoku/>
        <w:wordWrap/>
        <w:overflowPunct/>
        <w:topLinePunct w:val="0"/>
        <w:autoSpaceDE/>
        <w:autoSpaceDN/>
        <w:bidi w:val="0"/>
        <w:adjustRightInd w:val="0"/>
        <w:snapToGrid w:val="0"/>
        <w:spacing w:line="240" w:lineRule="auto"/>
        <w:textAlignment w:val="center"/>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四、主要环境影响和保护措施</w:t>
      </w:r>
    </w:p>
    <w:tbl>
      <w:tblPr>
        <w:tblStyle w:val="23"/>
        <w:tblW w:w="89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7"/>
        <w:gridCol w:w="85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47" w:type="dxa"/>
            <w:noWrap w:val="0"/>
            <w:tcMar>
              <w:left w:w="28" w:type="dxa"/>
              <w:right w:w="28" w:type="dxa"/>
            </w:tcMar>
            <w:vAlign w:val="center"/>
          </w:tcPr>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施工</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期环</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境保</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护措</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施</w:t>
            </w:r>
          </w:p>
        </w:tc>
        <w:tc>
          <w:tcPr>
            <w:tcW w:w="8533" w:type="dxa"/>
            <w:noWrap w:val="0"/>
            <w:vAlign w:val="center"/>
          </w:tcPr>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8"/>
                <w:sz w:val="21"/>
                <w:szCs w:val="21"/>
              </w:rPr>
            </w:pPr>
            <w:r>
              <w:rPr>
                <w:rFonts w:hint="eastAsia" w:ascii="宋体" w:hAnsi="宋体" w:eastAsia="宋体" w:cs="宋体"/>
                <w:color w:val="000000"/>
                <w:kern w:val="2"/>
                <w:sz w:val="21"/>
                <w:szCs w:val="21"/>
                <w:lang w:val="en-US" w:eastAsia="zh-CN" w:bidi="ar"/>
              </w:rPr>
              <w:t>本项目施工期间产生的大气污染主要为扬尘和汽车尾气；废水污染主要为建筑施工废水；噪声污染主要为</w:t>
            </w:r>
            <w:r>
              <w:rPr>
                <w:rFonts w:hint="eastAsia" w:ascii="宋体" w:hAnsi="宋体" w:eastAsia="宋体" w:cs="宋体"/>
                <w:color w:val="000000"/>
                <w:kern w:val="28"/>
                <w:sz w:val="21"/>
                <w:szCs w:val="21"/>
                <w:lang w:val="en-US" w:eastAsia="zh-CN" w:bidi="ar"/>
              </w:rPr>
              <w:t>各类高噪声施工机械产生的噪声；生态影响主要为施工期间的水土流失。总体来说，施工期的环境影响是暂时的，随着施工期的结束其污染将随之消失。</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jc w:val="both"/>
              <w:rPr>
                <w:rFonts w:hint="default" w:ascii="Times New Roman" w:hAnsi="Times New Roman" w:eastAsia="宋体" w:cs="Times New Roman"/>
                <w:b/>
                <w:bCs w:val="0"/>
                <w:color w:val="000000"/>
                <w:kern w:val="2"/>
                <w:sz w:val="21"/>
                <w:szCs w:val="21"/>
              </w:rPr>
            </w:pPr>
            <w:r>
              <w:rPr>
                <w:rFonts w:hint="default" w:ascii="Times New Roman" w:hAnsi="Times New Roman" w:eastAsia="宋体" w:cs="Times New Roman"/>
                <w:b/>
                <w:bCs w:val="0"/>
                <w:color w:val="000000"/>
                <w:kern w:val="2"/>
                <w:sz w:val="21"/>
                <w:szCs w:val="21"/>
                <w:lang w:val="en-US" w:eastAsia="zh-CN" w:bidi="ar"/>
              </w:rPr>
              <w:t>1</w:t>
            </w:r>
            <w:r>
              <w:rPr>
                <w:rFonts w:hint="eastAsia" w:ascii="宋体" w:hAnsi="宋体" w:eastAsia="宋体" w:cs="宋体"/>
                <w:b/>
                <w:bCs w:val="0"/>
                <w:color w:val="000000"/>
                <w:kern w:val="2"/>
                <w:sz w:val="21"/>
                <w:szCs w:val="21"/>
                <w:lang w:val="en-US" w:eastAsia="zh-CN" w:bidi="ar"/>
              </w:rPr>
              <w:t>施工期大气污染防治措施</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为有效防治本项目施工可能产生的环境空气污染，建议采取以下防治措施。</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1</w:t>
            </w:r>
            <w:r>
              <w:rPr>
                <w:rFonts w:hint="eastAsia" w:ascii="宋体" w:hAnsi="宋体" w:eastAsia="宋体" w:cs="宋体"/>
                <w:color w:val="000000"/>
                <w:kern w:val="2"/>
                <w:sz w:val="21"/>
                <w:szCs w:val="21"/>
                <w:lang w:val="en-US" w:eastAsia="zh-CN" w:bidi="ar"/>
              </w:rPr>
              <w:t>）施工过程中，应洒水使作业面保持一定的湿度；对施工场地内松散、干涸的表土，也应经常洒水防止粉尘；回填土方时，在表层土质干燥时应适当洒水，防止粉尘飞扬。</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2</w:t>
            </w:r>
            <w:r>
              <w:rPr>
                <w:rFonts w:hint="eastAsia" w:ascii="宋体" w:hAnsi="宋体" w:eastAsia="宋体" w:cs="宋体"/>
                <w:color w:val="000000"/>
                <w:kern w:val="2"/>
                <w:sz w:val="21"/>
                <w:szCs w:val="21"/>
                <w:lang w:val="en-US" w:eastAsia="zh-CN" w:bidi="ar"/>
              </w:rPr>
              <w:t>）建筑材料的防尘管理措施：施工过程中使用水泥、石灰、砂石、钢筋、铺装材料等易产生扬尘的建筑材料，应采取下列措施之一：</w:t>
            </w:r>
            <w:r>
              <w:rPr>
                <w:rFonts w:hint="default" w:ascii="Times New Roman" w:hAnsi="Times New Roman" w:eastAsia="宋体" w:cs="Times New Roman"/>
                <w:color w:val="000000"/>
                <w:kern w:val="2"/>
                <w:sz w:val="21"/>
                <w:szCs w:val="21"/>
                <w:lang w:val="en-US" w:eastAsia="zh-CN" w:bidi="ar"/>
              </w:rPr>
              <w:t>a.</w:t>
            </w:r>
            <w:r>
              <w:rPr>
                <w:rFonts w:hint="eastAsia" w:ascii="宋体" w:hAnsi="宋体" w:eastAsia="宋体" w:cs="宋体"/>
                <w:color w:val="000000"/>
                <w:kern w:val="2"/>
                <w:sz w:val="21"/>
                <w:szCs w:val="21"/>
                <w:lang w:val="en-US" w:eastAsia="zh-CN" w:bidi="ar"/>
              </w:rPr>
              <w:t>密闭存储；</w:t>
            </w:r>
            <w:r>
              <w:rPr>
                <w:rFonts w:hint="default" w:ascii="Times New Roman" w:hAnsi="Times New Roman" w:eastAsia="宋体" w:cs="Times New Roman"/>
                <w:color w:val="000000"/>
                <w:kern w:val="2"/>
                <w:sz w:val="21"/>
                <w:szCs w:val="21"/>
                <w:lang w:val="en-US" w:eastAsia="zh-CN" w:bidi="ar"/>
              </w:rPr>
              <w:t>b.</w:t>
            </w:r>
            <w:r>
              <w:rPr>
                <w:rFonts w:hint="eastAsia" w:ascii="宋体" w:hAnsi="宋体" w:eastAsia="宋体" w:cs="宋体"/>
                <w:color w:val="000000"/>
                <w:kern w:val="2"/>
                <w:sz w:val="21"/>
                <w:szCs w:val="21"/>
                <w:lang w:val="en-US" w:eastAsia="zh-CN" w:bidi="ar"/>
              </w:rPr>
              <w:t>设置围挡或堆砌围墙；</w:t>
            </w:r>
            <w:r>
              <w:rPr>
                <w:rFonts w:hint="default" w:ascii="Times New Roman" w:hAnsi="Times New Roman" w:eastAsia="宋体" w:cs="Times New Roman"/>
                <w:color w:val="000000"/>
                <w:kern w:val="2"/>
                <w:sz w:val="21"/>
                <w:szCs w:val="21"/>
                <w:lang w:val="en-US" w:eastAsia="zh-CN" w:bidi="ar"/>
              </w:rPr>
              <w:t>c.</w:t>
            </w:r>
            <w:r>
              <w:rPr>
                <w:rFonts w:hint="eastAsia" w:ascii="宋体" w:hAnsi="宋体" w:eastAsia="宋体" w:cs="宋体"/>
                <w:color w:val="000000"/>
                <w:kern w:val="2"/>
                <w:sz w:val="21"/>
                <w:szCs w:val="21"/>
                <w:lang w:val="en-US" w:eastAsia="zh-CN" w:bidi="ar"/>
              </w:rPr>
              <w:t>采用防尘布苫盖。</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3</w:t>
            </w:r>
            <w:r>
              <w:rPr>
                <w:rFonts w:hint="eastAsia" w:ascii="宋体" w:hAnsi="宋体" w:eastAsia="宋体" w:cs="宋体"/>
                <w:color w:val="000000"/>
                <w:kern w:val="2"/>
                <w:sz w:val="21"/>
                <w:szCs w:val="21"/>
                <w:lang w:val="en-US" w:eastAsia="zh-CN" w:bidi="ar"/>
              </w:rPr>
              <w:t>）建筑垃圾的防尘管理措施：施工工程中产生的弃料及其他建筑垃圾，应及时清运。若在工地内堆置超过一周的，则应采取下列措施之一：</w:t>
            </w:r>
            <w:r>
              <w:rPr>
                <w:rFonts w:hint="default" w:ascii="Times New Roman" w:hAnsi="Times New Roman" w:eastAsia="宋体" w:cs="Times New Roman"/>
                <w:color w:val="000000"/>
                <w:kern w:val="2"/>
                <w:sz w:val="21"/>
                <w:szCs w:val="21"/>
                <w:lang w:val="en-US" w:eastAsia="zh-CN" w:bidi="ar"/>
              </w:rPr>
              <w:t>a.</w:t>
            </w:r>
            <w:r>
              <w:rPr>
                <w:rFonts w:hint="eastAsia" w:ascii="宋体" w:hAnsi="宋体" w:eastAsia="宋体" w:cs="宋体"/>
                <w:color w:val="000000"/>
                <w:kern w:val="2"/>
                <w:sz w:val="21"/>
                <w:szCs w:val="21"/>
                <w:lang w:val="en-US" w:eastAsia="zh-CN" w:bidi="ar"/>
              </w:rPr>
              <w:t>覆盖防尘布、防尘网；</w:t>
            </w:r>
            <w:r>
              <w:rPr>
                <w:rFonts w:hint="default" w:ascii="Times New Roman" w:hAnsi="Times New Roman" w:eastAsia="宋体" w:cs="Times New Roman"/>
                <w:color w:val="000000"/>
                <w:kern w:val="2"/>
                <w:sz w:val="21"/>
                <w:szCs w:val="21"/>
                <w:lang w:val="en-US" w:eastAsia="zh-CN" w:bidi="ar"/>
              </w:rPr>
              <w:t>b.</w:t>
            </w:r>
            <w:r>
              <w:rPr>
                <w:rFonts w:hint="eastAsia" w:ascii="宋体" w:hAnsi="宋体" w:eastAsia="宋体" w:cs="宋体"/>
                <w:color w:val="000000"/>
                <w:kern w:val="2"/>
                <w:sz w:val="21"/>
                <w:szCs w:val="21"/>
                <w:lang w:val="en-US" w:eastAsia="zh-CN" w:bidi="ar"/>
              </w:rPr>
              <w:t>定期喷水压尘。</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4</w:t>
            </w:r>
            <w:r>
              <w:rPr>
                <w:rFonts w:hint="eastAsia" w:ascii="宋体" w:hAnsi="宋体" w:eastAsia="宋体" w:cs="宋体"/>
                <w:color w:val="000000"/>
                <w:kern w:val="2"/>
                <w:sz w:val="21"/>
                <w:szCs w:val="21"/>
                <w:lang w:val="en-US" w:eastAsia="zh-CN" w:bidi="ar"/>
              </w:rPr>
              <w:t>）进出工地的物料、垃圾运输车辆的防尘措施、运输路线和时间：进出工地的物料、垃圾运输车辆，应尽可能采用密闭车斗，并保证物料不遗撒外漏。若无密闭车斗，物料、垃圾、渣土的装载高度不得超过车辆槽帮上沿，车斗应用苫布遮盖严实。苫布边缘至少要遮住槽帮上沿以下</w:t>
            </w:r>
            <w:r>
              <w:rPr>
                <w:rFonts w:hint="default" w:ascii="Times New Roman" w:hAnsi="Times New Roman" w:eastAsia="宋体" w:cs="Times New Roman"/>
                <w:color w:val="000000"/>
                <w:kern w:val="2"/>
                <w:sz w:val="21"/>
                <w:szCs w:val="21"/>
                <w:lang w:val="en-US" w:eastAsia="zh-CN" w:bidi="ar"/>
              </w:rPr>
              <w:t>15cm</w:t>
            </w:r>
            <w:r>
              <w:rPr>
                <w:rFonts w:hint="eastAsia" w:ascii="宋体" w:hAnsi="宋体" w:eastAsia="宋体" w:cs="宋体"/>
                <w:color w:val="000000"/>
                <w:kern w:val="2"/>
                <w:sz w:val="21"/>
                <w:szCs w:val="21"/>
                <w:lang w:val="en-US" w:eastAsia="zh-CN" w:bidi="ar"/>
              </w:rPr>
              <w:t>，保证物料、垃圾等不露出。车辆应按照批准的路线和时间进行物料、垃圾的运输。</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5</w:t>
            </w:r>
            <w:r>
              <w:rPr>
                <w:rFonts w:hint="eastAsia" w:ascii="宋体" w:hAnsi="宋体" w:eastAsia="宋体" w:cs="宋体"/>
                <w:color w:val="000000"/>
                <w:kern w:val="2"/>
                <w:sz w:val="21"/>
                <w:szCs w:val="21"/>
                <w:lang w:val="en-US" w:eastAsia="zh-CN" w:bidi="ar"/>
              </w:rPr>
              <w:t>）对于工地内裸露地面，应采取下列防尘措施之一：</w:t>
            </w:r>
            <w:r>
              <w:rPr>
                <w:rFonts w:hint="default" w:ascii="Times New Roman" w:hAnsi="Times New Roman" w:eastAsia="宋体" w:cs="Times New Roman"/>
                <w:color w:val="000000"/>
                <w:kern w:val="2"/>
                <w:sz w:val="21"/>
                <w:szCs w:val="21"/>
                <w:lang w:val="en-US" w:eastAsia="zh-CN" w:bidi="ar"/>
              </w:rPr>
              <w:t>a.</w:t>
            </w:r>
            <w:r>
              <w:rPr>
                <w:rFonts w:hint="eastAsia" w:ascii="宋体" w:hAnsi="宋体" w:eastAsia="宋体" w:cs="宋体"/>
                <w:color w:val="000000"/>
                <w:kern w:val="2"/>
                <w:sz w:val="21"/>
                <w:szCs w:val="21"/>
                <w:lang w:val="en-US" w:eastAsia="zh-CN" w:bidi="ar"/>
              </w:rPr>
              <w:t>覆盖防尘布或防尘网；</w:t>
            </w:r>
            <w:r>
              <w:rPr>
                <w:rFonts w:hint="default" w:ascii="Times New Roman" w:hAnsi="Times New Roman" w:eastAsia="宋体" w:cs="Times New Roman"/>
                <w:color w:val="000000"/>
                <w:kern w:val="2"/>
                <w:sz w:val="21"/>
                <w:szCs w:val="21"/>
                <w:lang w:val="en-US" w:eastAsia="zh-CN" w:bidi="ar"/>
              </w:rPr>
              <w:t>b.</w:t>
            </w:r>
            <w:r>
              <w:rPr>
                <w:rFonts w:hint="eastAsia" w:ascii="宋体" w:hAnsi="宋体" w:eastAsia="宋体" w:cs="宋体"/>
                <w:color w:val="000000"/>
                <w:kern w:val="2"/>
                <w:sz w:val="21"/>
                <w:szCs w:val="21"/>
                <w:lang w:val="en-US" w:eastAsia="zh-CN" w:bidi="ar"/>
              </w:rPr>
              <w:t>铺设礁渣、细石或其他功能相当的材料；</w:t>
            </w:r>
            <w:r>
              <w:rPr>
                <w:rFonts w:hint="default" w:ascii="Times New Roman" w:hAnsi="Times New Roman" w:eastAsia="宋体" w:cs="Times New Roman"/>
                <w:color w:val="000000"/>
                <w:kern w:val="2"/>
                <w:sz w:val="21"/>
                <w:szCs w:val="21"/>
                <w:lang w:val="en-US" w:eastAsia="zh-CN" w:bidi="ar"/>
              </w:rPr>
              <w:t>c.</w:t>
            </w:r>
            <w:r>
              <w:rPr>
                <w:rFonts w:hint="eastAsia" w:ascii="宋体" w:hAnsi="宋体" w:eastAsia="宋体" w:cs="宋体"/>
                <w:color w:val="000000"/>
                <w:kern w:val="2"/>
                <w:sz w:val="21"/>
                <w:szCs w:val="21"/>
                <w:lang w:val="en-US" w:eastAsia="zh-CN" w:bidi="ar"/>
              </w:rPr>
              <w:t>做好绿化工作；</w:t>
            </w:r>
            <w:r>
              <w:rPr>
                <w:rFonts w:hint="default" w:ascii="Times New Roman" w:hAnsi="Times New Roman" w:eastAsia="宋体" w:cs="Times New Roman"/>
                <w:color w:val="000000"/>
                <w:kern w:val="2"/>
                <w:sz w:val="21"/>
                <w:szCs w:val="21"/>
                <w:lang w:val="en-US" w:eastAsia="zh-CN" w:bidi="ar"/>
              </w:rPr>
              <w:t>d.</w:t>
            </w:r>
            <w:r>
              <w:rPr>
                <w:rFonts w:hint="eastAsia" w:ascii="宋体" w:hAnsi="宋体" w:eastAsia="宋体" w:cs="宋体"/>
                <w:color w:val="000000"/>
                <w:kern w:val="2"/>
                <w:sz w:val="21"/>
                <w:szCs w:val="21"/>
                <w:lang w:val="en-US" w:eastAsia="zh-CN" w:bidi="ar"/>
              </w:rPr>
              <w:t>定时定量洒水。</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6</w:t>
            </w:r>
            <w:r>
              <w:rPr>
                <w:rFonts w:hint="eastAsia" w:ascii="宋体" w:hAnsi="宋体" w:eastAsia="宋体" w:cs="宋体"/>
                <w:color w:val="000000"/>
                <w:kern w:val="2"/>
                <w:sz w:val="21"/>
                <w:szCs w:val="21"/>
                <w:lang w:val="en-US" w:eastAsia="zh-CN" w:bidi="ar"/>
              </w:rPr>
              <w:t>）混凝土的防尘措施：施工期间需使用混凝土时，可使用预拌商品混凝土，不得现场露天搅拌混凝土、消化石灰及拌石灰土等。应尽量采用石材、木制等成品或半成品，实施装配式施工，减少因石材，木制品切割所造成的扬尘污染。</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7</w:t>
            </w:r>
            <w:r>
              <w:rPr>
                <w:rFonts w:hint="eastAsia" w:ascii="宋体" w:hAnsi="宋体" w:eastAsia="宋体" w:cs="宋体"/>
                <w:color w:val="000000"/>
                <w:kern w:val="2"/>
                <w:sz w:val="21"/>
                <w:szCs w:val="21"/>
                <w:lang w:val="en-US" w:eastAsia="zh-CN" w:bidi="ar"/>
              </w:rPr>
              <w:t>）物料、垃圾等纵向输送作业的防尘措施：施工期间，工地内从建筑上层将具有粉尘逸散性的物料、废弃物输送至地面建筑内部管道或密闭输送管道输送，或者打包装框搬运，不得凌空抛撒。</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8</w:t>
            </w:r>
            <w:r>
              <w:rPr>
                <w:rFonts w:hint="eastAsia" w:ascii="宋体" w:hAnsi="宋体" w:eastAsia="宋体" w:cs="宋体"/>
                <w:color w:val="000000"/>
                <w:kern w:val="2"/>
                <w:sz w:val="21"/>
                <w:szCs w:val="21"/>
                <w:lang w:val="en-US" w:eastAsia="zh-CN" w:bidi="ar"/>
              </w:rPr>
              <w:t>）工地应设专职人员负责扬尘控制措施的实施和监督。由专人负责逸散性材料、垃圾、渣土、裸地等密闭、覆盖、洒水作业以及车辆清洗作业等，并记录扬尘控制措施的实施情况。</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9</w:t>
            </w:r>
            <w:r>
              <w:rPr>
                <w:rFonts w:hint="eastAsia" w:ascii="宋体" w:hAnsi="宋体" w:eastAsia="宋体" w:cs="宋体"/>
                <w:color w:val="000000"/>
                <w:kern w:val="2"/>
                <w:sz w:val="21"/>
                <w:szCs w:val="21"/>
                <w:lang w:val="en-US" w:eastAsia="zh-CN" w:bidi="ar"/>
              </w:rPr>
              <w:t>）做好施工现场的清洁工作。施工后期采用机械清运，此时扬尘污染最重，应采取洒水抑尘措施，设置围挡，降低扬尘污染。</w:t>
            </w:r>
          </w:p>
          <w:p>
            <w:pPr>
              <w:keepNext w:val="0"/>
              <w:keepLines w:val="0"/>
              <w:widowControl w:val="0"/>
              <w:suppressLineNumbers w:val="0"/>
              <w:kinsoku/>
              <w:wordWrap/>
              <w:autoSpaceDE w:val="0"/>
              <w:autoSpaceDN w:val="0"/>
              <w:bidi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color w:val="000000"/>
                <w:kern w:val="2"/>
                <w:sz w:val="21"/>
                <w:szCs w:val="21"/>
                <w:vertAlign w:val="baseline"/>
              </w:rPr>
            </w:pPr>
            <w:r>
              <w:rPr>
                <w:rFonts w:hint="eastAsia" w:ascii="宋体" w:hAnsi="宋体" w:eastAsia="宋体" w:cs="宋体"/>
                <w:color w:val="000000"/>
                <w:kern w:val="2"/>
                <w:sz w:val="21"/>
                <w:szCs w:val="21"/>
                <w:vertAlign w:val="baseline"/>
                <w:lang w:val="en-US" w:eastAsia="zh-CN" w:bidi="ar"/>
              </w:rPr>
              <w:t>综上所述，在采取相应措施并严格按照本评价要求进行施工的前提下，本项目施工大气污染物对周围大气环境影响不大，且随施工结束而消除。</w:t>
            </w:r>
          </w:p>
          <w:p>
            <w:pPr>
              <w:keepNext w:val="0"/>
              <w:keepLines w:val="0"/>
              <w:widowControl w:val="0"/>
              <w:suppressLineNumbers w:val="0"/>
              <w:kinsoku/>
              <w:wordWrap/>
              <w:overflowPunct w:val="0"/>
              <w:topLinePunct/>
              <w:bidi w:val="0"/>
              <w:adjustRightInd w:val="0"/>
              <w:snapToGrid w:val="0"/>
              <w:spacing w:before="0" w:beforeAutospacing="0" w:after="0" w:afterAutospacing="0" w:line="360" w:lineRule="auto"/>
              <w:ind w:left="0" w:right="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b/>
                <w:bCs w:val="0"/>
                <w:color w:val="000000"/>
                <w:kern w:val="2"/>
                <w:sz w:val="21"/>
                <w:szCs w:val="21"/>
                <w:lang w:val="en-US" w:eastAsia="zh-CN" w:bidi="ar"/>
              </w:rPr>
              <w:t>2</w:t>
            </w:r>
            <w:r>
              <w:rPr>
                <w:rFonts w:hint="eastAsia" w:ascii="宋体" w:hAnsi="宋体" w:eastAsia="宋体" w:cs="宋体"/>
                <w:b/>
                <w:bCs w:val="0"/>
                <w:color w:val="000000"/>
                <w:kern w:val="2"/>
                <w:sz w:val="21"/>
                <w:szCs w:val="21"/>
                <w:lang w:val="en-US" w:eastAsia="zh-CN" w:bidi="ar"/>
              </w:rPr>
              <w:t>施工期废水影响治理措施</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1</w:t>
            </w:r>
            <w:r>
              <w:rPr>
                <w:rFonts w:hint="eastAsia" w:ascii="宋体" w:hAnsi="宋体" w:eastAsia="宋体" w:cs="宋体"/>
                <w:color w:val="000000"/>
                <w:kern w:val="2"/>
                <w:sz w:val="21"/>
                <w:szCs w:val="21"/>
                <w:lang w:val="en-US" w:eastAsia="zh-CN" w:bidi="ar"/>
              </w:rPr>
              <w:t>）工程施工期间，施工单位应严格执行《建设工程施工场地文明施工及环境管理暂行规定》，对排水进行组织设计，严禁乱排、乱流污染环境。</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2</w:t>
            </w:r>
            <w:r>
              <w:rPr>
                <w:rFonts w:hint="eastAsia" w:ascii="宋体" w:hAnsi="宋体" w:eastAsia="宋体" w:cs="宋体"/>
                <w:color w:val="000000"/>
                <w:kern w:val="2"/>
                <w:sz w:val="21"/>
                <w:szCs w:val="21"/>
                <w:lang w:val="en-US" w:eastAsia="zh-CN" w:bidi="ar"/>
              </w:rPr>
              <w:t>）在施工场地混凝土养护废水产生点应设置临时沉淀池，含泥沙雨水、泥浆水经沉淀后回用到生产中去。</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3</w:t>
            </w:r>
            <w:r>
              <w:rPr>
                <w:rFonts w:hint="eastAsia" w:ascii="宋体" w:hAnsi="宋体" w:eastAsia="宋体" w:cs="宋体"/>
                <w:color w:val="000000"/>
                <w:kern w:val="2"/>
                <w:sz w:val="21"/>
                <w:szCs w:val="21"/>
                <w:lang w:val="en-US" w:eastAsia="zh-CN" w:bidi="ar"/>
              </w:rPr>
              <w:t>）加强施工机械设备的维修保养，避免在施工过程中燃料油的跑、冒、滴、漏。</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4</w:t>
            </w:r>
            <w:r>
              <w:rPr>
                <w:rFonts w:hint="eastAsia" w:ascii="宋体" w:hAnsi="宋体" w:eastAsia="宋体" w:cs="宋体"/>
                <w:color w:val="000000"/>
                <w:kern w:val="2"/>
                <w:sz w:val="21"/>
                <w:szCs w:val="21"/>
                <w:lang w:val="en-US" w:eastAsia="zh-CN" w:bidi="ar"/>
              </w:rPr>
              <w:t>）不得随意在施工区域内冲洗汽车，对施工机械进行检修和清洗时必须定点，检修和清洗场地必须经水泥硬化，清洗污水应根据废水性质进行沉淀处理，用于道路的洒水降尘。</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5</w:t>
            </w:r>
            <w:r>
              <w:rPr>
                <w:rFonts w:hint="eastAsia" w:ascii="宋体" w:hAnsi="宋体" w:eastAsia="宋体" w:cs="宋体"/>
                <w:color w:val="000000"/>
                <w:kern w:val="2"/>
                <w:sz w:val="21"/>
                <w:szCs w:val="21"/>
                <w:lang w:val="en-US" w:eastAsia="zh-CN" w:bidi="ar"/>
              </w:rPr>
              <w:t>）施工单位对施工场地用水应严格管理，贯彻“一水多用、重复利用、节约用水”的原则，尽量减少废水的排放量，减轻废水排放对周围环境的影响。</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综上所述，只要加强管理，把以上措施落到实处，施工废水对项目所在区域水环境影响很小。</w:t>
            </w:r>
          </w:p>
          <w:p>
            <w:pPr>
              <w:pStyle w:val="20"/>
              <w:keepNext w:val="0"/>
              <w:keepLines w:val="0"/>
              <w:widowControl w:val="0"/>
              <w:suppressLineNumbers w:val="0"/>
              <w:kinsoku/>
              <w:wordWrap/>
              <w:overflowPunct w:val="0"/>
              <w:topLinePunct/>
              <w:bidi w:val="0"/>
              <w:adjustRightInd w:val="0"/>
              <w:snapToGrid w:val="0"/>
              <w:spacing w:before="0" w:beforeAutospacing="0" w:after="0" w:afterAutospacing="0" w:line="360" w:lineRule="auto"/>
              <w:ind w:left="0" w:right="0"/>
              <w:jc w:val="both"/>
              <w:rPr>
                <w:rFonts w:hint="default" w:ascii="Times New Roman" w:hAnsi="Times New Roman" w:eastAsia="宋体" w:cs="Times New Roman"/>
                <w:b/>
                <w:bCs w:val="0"/>
                <w:color w:val="000000"/>
                <w:kern w:val="0"/>
                <w:sz w:val="21"/>
                <w:szCs w:val="21"/>
              </w:rPr>
            </w:pPr>
            <w:r>
              <w:rPr>
                <w:rFonts w:hint="default" w:ascii="Times New Roman" w:hAnsi="Times New Roman" w:eastAsia="宋体" w:cs="Times New Roman"/>
                <w:b/>
                <w:bCs w:val="0"/>
                <w:color w:val="000000"/>
                <w:kern w:val="0"/>
                <w:sz w:val="21"/>
                <w:szCs w:val="21"/>
                <w:lang w:val="en-US" w:eastAsia="zh-CN" w:bidi="ar"/>
              </w:rPr>
              <w:t>3</w:t>
            </w:r>
            <w:r>
              <w:rPr>
                <w:rFonts w:hint="eastAsia" w:ascii="宋体" w:hAnsi="宋体" w:eastAsia="宋体" w:cs="宋体"/>
                <w:b/>
                <w:bCs w:val="0"/>
                <w:color w:val="000000"/>
                <w:kern w:val="0"/>
                <w:sz w:val="21"/>
                <w:szCs w:val="21"/>
                <w:lang w:val="en-US" w:eastAsia="zh-CN" w:bidi="ar"/>
              </w:rPr>
              <w:t>施工期噪声治理措施</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8"/>
                <w:sz w:val="21"/>
                <w:szCs w:val="21"/>
              </w:rPr>
            </w:pPr>
            <w:r>
              <w:rPr>
                <w:rFonts w:hint="eastAsia" w:ascii="宋体" w:hAnsi="宋体" w:eastAsia="宋体" w:cs="宋体"/>
                <w:color w:val="000000"/>
                <w:kern w:val="28"/>
                <w:sz w:val="21"/>
                <w:szCs w:val="21"/>
                <w:lang w:val="en-US" w:eastAsia="zh-CN" w:bidi="ar"/>
              </w:rPr>
              <w:t>施工场地噪声主要是施工机械设备噪声，物料装卸碰撞噪声及施工人员的活动噪声。</w:t>
            </w:r>
          </w:p>
          <w:p>
            <w:pPr>
              <w:pStyle w:val="20"/>
              <w:keepNext w:val="0"/>
              <w:keepLines w:val="0"/>
              <w:widowControl w:val="0"/>
              <w:suppressLineNumbers w:val="0"/>
              <w:kinsoku/>
              <w:wordWrap/>
              <w:overflowPunct w:val="0"/>
              <w:topLinePunct/>
              <w:bidi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color w:val="000000"/>
                <w:kern w:val="0"/>
                <w:sz w:val="21"/>
                <w:szCs w:val="21"/>
                <w:vertAlign w:val="baseline"/>
              </w:rPr>
            </w:pPr>
            <w:r>
              <w:rPr>
                <w:rFonts w:hint="eastAsia" w:ascii="宋体" w:hAnsi="宋体" w:eastAsia="宋体" w:cs="宋体"/>
                <w:color w:val="000000"/>
                <w:kern w:val="0"/>
                <w:sz w:val="21"/>
                <w:szCs w:val="21"/>
                <w:vertAlign w:val="baseline"/>
                <w:lang w:val="en-US" w:eastAsia="zh-CN" w:bidi="ar"/>
              </w:rPr>
              <w:t>本项目施工期产生的噪声会对周边环境产生不利影响，影响正常的生产生活。故为了消除和克服不利影响，将对项目区内外近距离的影响减少到最低，本项目应采取减少产生和个人防护等多种措施来共同治理噪声。具体治理措施如下。</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）合理安排好施工时间，尽量缩短施工期。</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施工设备选型时，在满足施工需要的前提下，尽可能选取噪声低、振动小、能耗小的先进设备，并避免长时间使用高噪声设备，加强施工机械的维护保养，高噪声设备设置在施工场地中部并修建临时隔声棚，并加强对现场工作人员进行培训，严格按操作规范使用各类机械设备。</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）尽量将相对固定的机械设备入棚操作。</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4</w:t>
            </w:r>
            <w:r>
              <w:rPr>
                <w:rFonts w:hint="eastAsia" w:ascii="宋体" w:hAnsi="宋体" w:eastAsia="宋体" w:cs="宋体"/>
                <w:color w:val="000000"/>
                <w:kern w:val="0"/>
                <w:sz w:val="21"/>
                <w:szCs w:val="21"/>
                <w:lang w:val="en-US" w:eastAsia="zh-CN" w:bidi="ar"/>
              </w:rPr>
              <w:t>）将现场噪声源尽可能集中，缩小噪声范围。</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5</w:t>
            </w:r>
            <w:r>
              <w:rPr>
                <w:rFonts w:hint="eastAsia" w:ascii="宋体" w:hAnsi="宋体" w:eastAsia="宋体" w:cs="宋体"/>
                <w:color w:val="000000"/>
                <w:kern w:val="0"/>
                <w:sz w:val="21"/>
                <w:szCs w:val="21"/>
                <w:lang w:val="en-US" w:eastAsia="zh-CN" w:bidi="ar"/>
              </w:rPr>
              <w:t>）施工车辆的运行路线应尽量避开噪声敏感区域，严禁夜间装卸物料，材料运输车辆进入场地需安排专人指挥，场内禁止汽车鸣笛，材料装卸采用人工传递，严禁抛掷或汽车一次性下料。</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6</w:t>
            </w:r>
            <w:r>
              <w:rPr>
                <w:rFonts w:hint="eastAsia" w:ascii="宋体" w:hAnsi="宋体" w:eastAsia="宋体" w:cs="宋体"/>
                <w:color w:val="000000"/>
                <w:kern w:val="0"/>
                <w:sz w:val="21"/>
                <w:szCs w:val="21"/>
                <w:lang w:val="en-US" w:eastAsia="zh-CN" w:bidi="ar"/>
              </w:rPr>
              <w:t>）施工现场使用降噪安全围帘遮挡，做好施工人员噪声防护措施，如佩戴耳罩等防噪装备，降低对施工人员不利影响。</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7</w:t>
            </w:r>
            <w:r>
              <w:rPr>
                <w:rFonts w:hint="eastAsia" w:ascii="宋体" w:hAnsi="宋体" w:eastAsia="宋体" w:cs="宋体"/>
                <w:color w:val="000000"/>
                <w:kern w:val="0"/>
                <w:sz w:val="21"/>
                <w:szCs w:val="21"/>
                <w:lang w:val="en-US" w:eastAsia="zh-CN" w:bidi="ar"/>
              </w:rPr>
              <w:t>）使用商品混凝土，杜绝现场混凝土拌合噪声，尽量选用低噪声混凝土输送泵。</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综上所述，在采取相应措施并严格按照本评价要求进行施工的前提下，本项目施工噪声对周围声环境影响可大大减轻，且随施工结束而消除。</w:t>
            </w:r>
          </w:p>
          <w:p>
            <w:pPr>
              <w:pStyle w:val="20"/>
              <w:keepNext w:val="0"/>
              <w:keepLines w:val="0"/>
              <w:widowControl w:val="0"/>
              <w:suppressLineNumbers w:val="0"/>
              <w:kinsoku/>
              <w:wordWrap/>
              <w:topLinePunct/>
              <w:bidi w:val="0"/>
              <w:adjustRightInd w:val="0"/>
              <w:snapToGrid w:val="0"/>
              <w:spacing w:before="0" w:beforeAutospacing="0" w:after="0" w:afterAutospacing="0" w:line="360" w:lineRule="auto"/>
              <w:ind w:left="0" w:right="0"/>
              <w:jc w:val="left"/>
              <w:rPr>
                <w:rFonts w:hint="default" w:ascii="Times New Roman" w:hAnsi="Times New Roman" w:eastAsia="宋体" w:cs="Times New Roman"/>
                <w:b/>
                <w:bCs w:val="0"/>
                <w:color w:val="000000"/>
                <w:kern w:val="0"/>
                <w:sz w:val="21"/>
                <w:szCs w:val="21"/>
              </w:rPr>
            </w:pPr>
            <w:r>
              <w:rPr>
                <w:rFonts w:hint="default" w:ascii="Times New Roman" w:hAnsi="Times New Roman" w:eastAsia="宋体" w:cs="Times New Roman"/>
                <w:b/>
                <w:bCs w:val="0"/>
                <w:color w:val="000000"/>
                <w:kern w:val="0"/>
                <w:sz w:val="21"/>
                <w:szCs w:val="21"/>
                <w:lang w:val="en-US" w:eastAsia="zh-CN" w:bidi="ar"/>
              </w:rPr>
              <w:t>4</w:t>
            </w:r>
            <w:r>
              <w:rPr>
                <w:rFonts w:hint="eastAsia" w:ascii="宋体" w:hAnsi="宋体" w:eastAsia="宋体" w:cs="宋体"/>
                <w:b/>
                <w:bCs w:val="0"/>
                <w:color w:val="000000"/>
                <w:kern w:val="0"/>
                <w:sz w:val="21"/>
                <w:szCs w:val="21"/>
                <w:lang w:val="en-US" w:eastAsia="zh-CN" w:bidi="ar"/>
              </w:rPr>
              <w:t>施工期固体废弃物处置措施</w:t>
            </w:r>
          </w:p>
          <w:p>
            <w:pPr>
              <w:keepNext w:val="0"/>
              <w:keepLines w:val="0"/>
              <w:widowControl w:val="0"/>
              <w:suppressLineNumbers w:val="0"/>
              <w:kinsoku/>
              <w:wordWrap/>
              <w:overflowPunct w:val="0"/>
              <w:topLinePunct/>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施工期间固体废弃物主要为施工垃圾和施工人员的生活垃圾。</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为减少固体废物在堆放和运输过程中对环境的影响，建议进一步采取如下措施。</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1</w:t>
            </w:r>
            <w:r>
              <w:rPr>
                <w:rFonts w:hint="eastAsia" w:ascii="宋体" w:hAnsi="宋体" w:eastAsia="宋体" w:cs="宋体"/>
                <w:color w:val="000000"/>
                <w:kern w:val="2"/>
                <w:sz w:val="21"/>
                <w:szCs w:val="21"/>
                <w:lang w:val="en-US" w:eastAsia="zh-CN" w:bidi="ar"/>
              </w:rPr>
              <w:t>）施工期间有部分施工垃圾如废砖、废钢铁等，这些建筑垃圾应分类收集，集中处理，回收利用，以实现固体废料的“减量化、资源化、无害化”。</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2</w:t>
            </w:r>
            <w:r>
              <w:rPr>
                <w:rFonts w:hint="eastAsia" w:ascii="宋体" w:hAnsi="宋体" w:eastAsia="宋体" w:cs="宋体"/>
                <w:color w:val="000000"/>
                <w:kern w:val="2"/>
                <w:sz w:val="21"/>
                <w:szCs w:val="21"/>
                <w:lang w:val="en-US" w:eastAsia="zh-CN" w:bidi="ar"/>
              </w:rPr>
              <w:t>）车辆运输散体物料和废弃物时，必须密闭、包扎、覆盖，不得沿途漏撒；运载土方的车辆必须在规定的时间内，按指定路段行驶。</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3</w:t>
            </w:r>
            <w:r>
              <w:rPr>
                <w:rFonts w:hint="eastAsia" w:ascii="宋体" w:hAnsi="宋体" w:eastAsia="宋体" w:cs="宋体"/>
                <w:color w:val="000000"/>
                <w:kern w:val="2"/>
                <w:sz w:val="21"/>
                <w:szCs w:val="21"/>
                <w:lang w:val="en-US" w:eastAsia="zh-CN" w:bidi="ar"/>
              </w:rPr>
              <w:t>）施工期应尽量集中并避开雨期，要边弃土边压实，弃土完毕后应尽快复垦利用。</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4</w:t>
            </w:r>
            <w:r>
              <w:rPr>
                <w:rFonts w:hint="eastAsia" w:ascii="宋体" w:hAnsi="宋体" w:eastAsia="宋体" w:cs="宋体"/>
                <w:color w:val="000000"/>
                <w:kern w:val="2"/>
                <w:sz w:val="21"/>
                <w:szCs w:val="21"/>
                <w:lang w:val="en-US" w:eastAsia="zh-CN" w:bidi="ar"/>
              </w:rPr>
              <w:t>）施工单位应该在施工前</w:t>
            </w:r>
            <w:r>
              <w:rPr>
                <w:rFonts w:hint="default" w:ascii="Times New Roman" w:hAnsi="Times New Roman" w:eastAsia="宋体" w:cs="Times New Roman"/>
                <w:color w:val="000000"/>
                <w:kern w:val="2"/>
                <w:sz w:val="21"/>
                <w:szCs w:val="21"/>
                <w:lang w:val="en-US" w:eastAsia="zh-CN" w:bidi="ar"/>
              </w:rPr>
              <w:t>5</w:t>
            </w:r>
            <w:r>
              <w:rPr>
                <w:rFonts w:hint="eastAsia" w:ascii="宋体" w:hAnsi="宋体" w:eastAsia="宋体" w:cs="宋体"/>
                <w:color w:val="000000"/>
                <w:kern w:val="2"/>
                <w:sz w:val="21"/>
                <w:szCs w:val="21"/>
                <w:lang w:val="en-US" w:eastAsia="zh-CN" w:bidi="ar"/>
              </w:rPr>
              <w:t>日向渣土管理部门申报建筑垃圾、工程渣土处置计划，如实填报建筑垃圾和渣土的种类、数量、运输路线及处置场地等事项，并与渣土管理部门签订环境卫生责任书。</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5</w:t>
            </w:r>
            <w:r>
              <w:rPr>
                <w:rFonts w:hint="eastAsia" w:ascii="宋体" w:hAnsi="宋体" w:eastAsia="宋体" w:cs="宋体"/>
                <w:color w:val="000000"/>
                <w:kern w:val="2"/>
                <w:sz w:val="21"/>
                <w:szCs w:val="21"/>
                <w:lang w:val="en-US" w:eastAsia="zh-CN" w:bidi="ar"/>
              </w:rPr>
              <w:t>）施工部门应当持渣土管理部门核发的处置证明，向运输单位办理建筑垃圾、工程渣土托运手续。运输车辆在运输工程弃土、建筑垃圾时应随车携带处置证明，接受渣土管理部门的检查，运输路线应按渣土管理部门会同交通管理部门规定的线路运输。</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6</w:t>
            </w:r>
            <w:r>
              <w:rPr>
                <w:rFonts w:hint="eastAsia" w:ascii="宋体" w:hAnsi="宋体" w:eastAsia="宋体" w:cs="宋体"/>
                <w:color w:val="000000"/>
                <w:kern w:val="2"/>
                <w:sz w:val="21"/>
                <w:szCs w:val="21"/>
                <w:lang w:val="en-US" w:eastAsia="zh-CN" w:bidi="ar"/>
              </w:rPr>
              <w:t>）在工程完工后，应当立即将工地的剩余建筑垃圾、工程渣土处置干净，不得占用道路来堆放建筑垃圾和工程渣土。</w:t>
            </w:r>
          </w:p>
          <w:p>
            <w:pPr>
              <w:keepNext w:val="0"/>
              <w:keepLines w:val="0"/>
              <w:widowControl w:val="0"/>
              <w:suppressLineNumbers w:val="0"/>
              <w:kinsoku/>
              <w:wordWrap/>
              <w:topLinePunct/>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综上所述，项目建设将会对项目所在区域的大气环境、水环境、声环境产生一定程度的影响，但均属局部，短期不利影响，通过采取有效的预防和治理措施后，其影响程度将会大大降低，其影响范围也将减小，且随施工结束消失。</w:t>
            </w:r>
          </w:p>
          <w:p>
            <w:pPr>
              <w:pStyle w:val="20"/>
              <w:keepNext w:val="0"/>
              <w:keepLines w:val="0"/>
              <w:widowControl w:val="0"/>
              <w:suppressLineNumbers w:val="0"/>
              <w:kinsoku/>
              <w:wordWrap/>
              <w:overflowPunct w:val="0"/>
              <w:bidi w:val="0"/>
              <w:adjustRightInd w:val="0"/>
              <w:snapToGrid w:val="0"/>
              <w:spacing w:before="0" w:beforeAutospacing="0" w:after="0" w:afterAutospacing="0" w:line="360" w:lineRule="auto"/>
              <w:ind w:left="0" w:right="0"/>
              <w:jc w:val="both"/>
              <w:textAlignment w:val="baseline"/>
              <w:rPr>
                <w:rFonts w:hint="default" w:ascii="Times New Roman" w:hAnsi="Times New Roman" w:eastAsia="宋体" w:cs="Times New Roman"/>
                <w:b/>
                <w:bCs w:val="0"/>
                <w:color w:val="000000"/>
                <w:kern w:val="0"/>
                <w:sz w:val="21"/>
                <w:szCs w:val="21"/>
                <w:vertAlign w:val="baseline"/>
              </w:rPr>
            </w:pPr>
            <w:r>
              <w:rPr>
                <w:rFonts w:hint="default" w:ascii="Times New Roman" w:hAnsi="Times New Roman" w:eastAsia="宋体" w:cs="Times New Roman"/>
                <w:b/>
                <w:bCs w:val="0"/>
                <w:color w:val="000000"/>
                <w:kern w:val="0"/>
                <w:sz w:val="21"/>
                <w:szCs w:val="21"/>
                <w:vertAlign w:val="baseline"/>
                <w:lang w:val="en-US" w:eastAsia="zh-CN" w:bidi="ar"/>
              </w:rPr>
              <w:t>5</w:t>
            </w:r>
            <w:r>
              <w:rPr>
                <w:rFonts w:hint="eastAsia" w:ascii="宋体" w:hAnsi="宋体" w:eastAsia="宋体" w:cs="宋体"/>
                <w:b/>
                <w:bCs w:val="0"/>
                <w:color w:val="000000"/>
                <w:kern w:val="0"/>
                <w:sz w:val="21"/>
                <w:szCs w:val="21"/>
                <w:vertAlign w:val="baseline"/>
                <w:lang w:val="en-US" w:eastAsia="zh-CN" w:bidi="ar"/>
              </w:rPr>
              <w:t>施工期生态环境保护措施</w:t>
            </w:r>
          </w:p>
          <w:p>
            <w:pPr>
              <w:keepNext w:val="0"/>
              <w:keepLines w:val="0"/>
              <w:widowControl/>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0"/>
                <w:sz w:val="21"/>
                <w:szCs w:val="21"/>
              </w:rPr>
            </w:pPr>
            <w:r>
              <w:rPr>
                <w:rFonts w:hint="eastAsia" w:ascii="宋体" w:hAnsi="宋体" w:eastAsia="宋体" w:cs="宋体"/>
                <w:color w:val="000000"/>
                <w:kern w:val="0"/>
                <w:sz w:val="21"/>
                <w:szCs w:val="21"/>
                <w:lang w:val="en-US" w:eastAsia="zh-CN" w:bidi="ar"/>
              </w:rPr>
              <w:t>施工期对项目区土壤生态环境的影响主要是永久性占用土地，使土地使用功能发生改变，对土壤的机械扰动造成土壤物理特征和结构的改变。</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各类管线（给排水管道、通讯和电力线路）的开挖敷设等基础设施建设的临时用地，也将对土壤环境造成影响，主要表现在地基开挖，设施修筑及地面的平整紧压等对土壤的扰动和堆积覆盖。</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本评价要求建设方采取以下生态环境影响减缓措施。</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1</w:t>
            </w:r>
            <w:r>
              <w:rPr>
                <w:rFonts w:hint="eastAsia" w:ascii="宋体" w:hAnsi="宋体" w:eastAsia="宋体" w:cs="宋体"/>
                <w:color w:val="000000"/>
                <w:kern w:val="2"/>
                <w:sz w:val="21"/>
                <w:szCs w:val="21"/>
                <w:lang w:val="en-US" w:eastAsia="zh-CN" w:bidi="ar"/>
              </w:rPr>
              <w:t>）施工前划定施工界限，严禁破坏项目区范围外的植被。</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2</w:t>
            </w:r>
            <w:r>
              <w:rPr>
                <w:rFonts w:hint="eastAsia" w:ascii="宋体" w:hAnsi="宋体" w:eastAsia="宋体" w:cs="宋体"/>
                <w:color w:val="000000"/>
                <w:kern w:val="2"/>
                <w:sz w:val="21"/>
                <w:szCs w:val="21"/>
                <w:lang w:val="en-US" w:eastAsia="zh-CN" w:bidi="ar"/>
              </w:rPr>
              <w:t>）加强教育和管理，禁止施工人员砍伐项目区范围以外的林木，尽量减少对作业区以外的地表植被的损坏。</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3</w:t>
            </w:r>
            <w:r>
              <w:rPr>
                <w:rFonts w:hint="eastAsia" w:ascii="宋体" w:hAnsi="宋体" w:eastAsia="宋体" w:cs="宋体"/>
                <w:color w:val="000000"/>
                <w:kern w:val="2"/>
                <w:sz w:val="21"/>
                <w:szCs w:val="21"/>
                <w:lang w:val="en-US" w:eastAsia="zh-CN" w:bidi="ar"/>
              </w:rPr>
              <w:t>）施工开挖、填方，应严格按照批准的施工方案进行，避免任意取土和弃土。</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b/>
                <w:bCs w:val="0"/>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4</w:t>
            </w:r>
            <w:r>
              <w:rPr>
                <w:rFonts w:hint="eastAsia" w:ascii="宋体" w:hAnsi="宋体" w:eastAsia="宋体" w:cs="宋体"/>
                <w:color w:val="000000"/>
                <w:kern w:val="2"/>
                <w:sz w:val="21"/>
                <w:szCs w:val="21"/>
                <w:lang w:val="en-US" w:eastAsia="zh-CN" w:bidi="ar"/>
              </w:rPr>
              <w:t>）施工完毕后使项目区绿化达到设计要求，改善项目区局部生态环境。</w:t>
            </w:r>
          </w:p>
          <w:p>
            <w:pPr>
              <w:keepNext w:val="0"/>
              <w:keepLines w:val="0"/>
              <w:widowControl w:val="0"/>
              <w:suppressLineNumbers w:val="0"/>
              <w:kinsoku/>
              <w:wordWrap/>
              <w:bidi w:val="0"/>
              <w:adjustRightInd w:val="0"/>
              <w:snapToGrid w:val="0"/>
              <w:spacing w:before="0" w:beforeAutospacing="0" w:after="0" w:afterAutospacing="0" w:line="360" w:lineRule="auto"/>
              <w:ind w:left="0" w:right="0"/>
              <w:jc w:val="both"/>
              <w:rPr>
                <w:rFonts w:hint="default" w:ascii="Times New Roman" w:hAnsi="Times New Roman" w:eastAsia="宋体" w:cs="Times New Roman"/>
                <w:b/>
                <w:bCs w:val="0"/>
                <w:color w:val="000000"/>
                <w:kern w:val="2"/>
                <w:sz w:val="21"/>
                <w:szCs w:val="21"/>
              </w:rPr>
            </w:pPr>
            <w:r>
              <w:rPr>
                <w:rFonts w:hint="default" w:ascii="Times New Roman" w:hAnsi="Times New Roman" w:eastAsia="宋体" w:cs="Times New Roman"/>
                <w:b/>
                <w:bCs w:val="0"/>
                <w:color w:val="000000"/>
                <w:kern w:val="2"/>
                <w:sz w:val="21"/>
                <w:szCs w:val="21"/>
                <w:lang w:val="en-US" w:eastAsia="zh-CN" w:bidi="ar"/>
              </w:rPr>
              <w:t>6</w:t>
            </w:r>
            <w:r>
              <w:rPr>
                <w:rFonts w:hint="eastAsia" w:ascii="宋体" w:hAnsi="宋体" w:eastAsia="宋体" w:cs="宋体"/>
                <w:b/>
                <w:bCs w:val="0"/>
                <w:color w:val="000000"/>
                <w:kern w:val="2"/>
                <w:sz w:val="21"/>
                <w:szCs w:val="21"/>
                <w:lang w:val="en-US" w:eastAsia="zh-CN" w:bidi="ar"/>
              </w:rPr>
              <w:t>施工期的环境管理</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施工承包商在进行工程承包时，应将施工期的环境污染控制列入承包内容，并在工程开工前和施工过程中制定相应的污染防治措施和工程计划，施工工地做到“六个百分之百”。</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1</w:t>
            </w:r>
            <w:r>
              <w:rPr>
                <w:rFonts w:hint="eastAsia" w:ascii="宋体" w:hAnsi="宋体" w:eastAsia="宋体" w:cs="宋体"/>
                <w:color w:val="000000"/>
                <w:kern w:val="2"/>
                <w:sz w:val="21"/>
                <w:szCs w:val="21"/>
                <w:lang w:val="en-US" w:eastAsia="zh-CN" w:bidi="ar"/>
              </w:rPr>
              <w:t>）现场封闭管理百分之百。施工现场硬质围挡应连续设置，城区主要路段工地围挡高度不低于</w:t>
            </w:r>
            <w:r>
              <w:rPr>
                <w:rFonts w:hint="default" w:ascii="Times New Roman" w:hAnsi="Times New Roman" w:eastAsia="宋体" w:cs="Times New Roman"/>
                <w:color w:val="000000"/>
                <w:kern w:val="2"/>
                <w:sz w:val="21"/>
                <w:szCs w:val="21"/>
                <w:lang w:val="en-US" w:eastAsia="zh-CN" w:bidi="ar"/>
              </w:rPr>
              <w:t>2.5m</w:t>
            </w:r>
            <w:r>
              <w:rPr>
                <w:rFonts w:hint="eastAsia" w:ascii="宋体" w:hAnsi="宋体" w:eastAsia="宋体" w:cs="宋体"/>
                <w:color w:val="000000"/>
                <w:kern w:val="2"/>
                <w:sz w:val="21"/>
                <w:szCs w:val="21"/>
                <w:lang w:val="en-US" w:eastAsia="zh-CN" w:bidi="ar"/>
              </w:rPr>
              <w:t>，一般路段的工地不低于</w:t>
            </w:r>
            <w:r>
              <w:rPr>
                <w:rFonts w:hint="default" w:ascii="Times New Roman" w:hAnsi="Times New Roman" w:eastAsia="宋体" w:cs="Times New Roman"/>
                <w:color w:val="000000"/>
                <w:kern w:val="2"/>
                <w:sz w:val="21"/>
                <w:szCs w:val="21"/>
                <w:lang w:val="en-US" w:eastAsia="zh-CN" w:bidi="ar"/>
              </w:rPr>
              <w:t>1.8m</w:t>
            </w:r>
            <w:r>
              <w:rPr>
                <w:rFonts w:hint="eastAsia" w:ascii="宋体" w:hAnsi="宋体" w:eastAsia="宋体" w:cs="宋体"/>
                <w:color w:val="000000"/>
                <w:kern w:val="2"/>
                <w:sz w:val="21"/>
                <w:szCs w:val="21"/>
                <w:lang w:val="en-US" w:eastAsia="zh-CN" w:bidi="ar"/>
              </w:rPr>
              <w:t>，做到坚固、平稳、整洁、美观。在建工程外立面应用安全网实现全封闭围护。</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2</w:t>
            </w:r>
            <w:r>
              <w:rPr>
                <w:rFonts w:hint="eastAsia" w:ascii="宋体" w:hAnsi="宋体" w:eastAsia="宋体" w:cs="宋体"/>
                <w:color w:val="000000"/>
                <w:kern w:val="2"/>
                <w:sz w:val="21"/>
                <w:szCs w:val="21"/>
                <w:lang w:val="en-US" w:eastAsia="zh-CN" w:bidi="ar"/>
              </w:rPr>
              <w:t>）场区道路硬化百分之百。主要通道、进出道路、材料加工区及办公生活区地面进行硬化处理。</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3</w:t>
            </w:r>
            <w:r>
              <w:rPr>
                <w:rFonts w:hint="eastAsia" w:ascii="宋体" w:hAnsi="宋体" w:eastAsia="宋体" w:cs="宋体"/>
                <w:color w:val="000000"/>
                <w:kern w:val="2"/>
                <w:sz w:val="21"/>
                <w:szCs w:val="21"/>
                <w:lang w:val="en-US" w:eastAsia="zh-CN" w:bidi="ar"/>
              </w:rPr>
              <w:t>）物料篷布遮盖百分之百。施工现场内裸露的场地和集中堆放的土方应采取覆盖、固化或绿化等防尘措施。</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4</w:t>
            </w:r>
            <w:r>
              <w:rPr>
                <w:rFonts w:hint="eastAsia" w:ascii="宋体" w:hAnsi="宋体" w:eastAsia="宋体" w:cs="宋体"/>
                <w:color w:val="000000"/>
                <w:kern w:val="2"/>
                <w:sz w:val="21"/>
                <w:szCs w:val="21"/>
                <w:lang w:val="en-US" w:eastAsia="zh-CN" w:bidi="ar"/>
              </w:rPr>
              <w:t>）洒水清扫保洁百分之百。施工现场设专人负责卫生保洁，每天上午、下午各进行两次洒水降尘，遇到干旱和大风天气时，应增加洒水降尘次数，确保无浮土扬尘。开挖、回填等土方作业时，要辅以洒水压尘等措施。工程竣工后，施工现场的临设、围挡、垃圾等必须及时清理完毕，清理时必须采取有效的降尘措施。</w:t>
            </w:r>
          </w:p>
          <w:p>
            <w:pPr>
              <w:keepNext w:val="0"/>
              <w:keepLines w:val="0"/>
              <w:widowControl w:val="0"/>
              <w:suppressLineNumbers w:val="0"/>
              <w:kinsoku/>
              <w:wordWrap/>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5</w:t>
            </w:r>
            <w:r>
              <w:rPr>
                <w:rFonts w:hint="eastAsia" w:ascii="宋体" w:hAnsi="宋体" w:eastAsia="宋体" w:cs="宋体"/>
                <w:color w:val="000000"/>
                <w:kern w:val="2"/>
                <w:sz w:val="21"/>
                <w:szCs w:val="21"/>
                <w:lang w:val="en-US" w:eastAsia="zh-CN" w:bidi="ar"/>
              </w:rPr>
              <w:t>）物料密闭运输百分之百。易产生扬尘的建筑材料、渣土应采取密闭搬运、存储或采用防尘布苫盖等防尘措施。严禁熔融沥青、焚烧垃圾等有毒有害物质，禁止无牌无证车辆进入施工现场。</w:t>
            </w:r>
          </w:p>
          <w:p>
            <w:pPr>
              <w:keepNext w:val="0"/>
              <w:keepLines w:val="0"/>
              <w:widowControl w:val="0"/>
              <w:suppressLineNumbers w:val="0"/>
              <w:kinsoku/>
              <w:wordWrap/>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6</w:t>
            </w:r>
            <w:r>
              <w:rPr>
                <w:rFonts w:hint="eastAsia" w:ascii="宋体" w:hAnsi="宋体" w:eastAsia="宋体" w:cs="宋体"/>
                <w:color w:val="000000"/>
                <w:kern w:val="2"/>
                <w:sz w:val="21"/>
                <w:szCs w:val="21"/>
                <w:lang w:val="en-US" w:eastAsia="zh-CN" w:bidi="ar"/>
              </w:rPr>
              <w:t>）出入车辆清洗百分之百。施工现场出入口处设置自动车辆冲洗装置和沉淀池，运输车辆底盘和车轮冲洗干净后方可驶离施工现场。</w:t>
            </w:r>
          </w:p>
          <w:p>
            <w:pPr>
              <w:keepNext w:val="0"/>
              <w:keepLines w:val="0"/>
              <w:widowControl w:val="0"/>
              <w:suppressLineNumbers w:val="0"/>
              <w:kinsoku/>
              <w:wordWrap/>
              <w:bidi w:val="0"/>
              <w:adjustRightInd w:val="0"/>
              <w:snapToGrid w:val="0"/>
              <w:spacing w:before="0" w:beforeAutospacing="0" w:after="0" w:afterAutospacing="0" w:line="360" w:lineRule="auto"/>
              <w:ind w:left="0" w:leftChars="0" w:right="0" w:firstLine="420" w:firstLineChars="200"/>
              <w:jc w:val="both"/>
              <w:rPr>
                <w:rFonts w:hint="eastAsia" w:eastAsia="宋体"/>
                <w:color w:val="000000" w:themeColor="text1"/>
                <w:lang w:val="en-US" w:eastAsia="zh-CN"/>
                <w14:textFill>
                  <w14:solidFill>
                    <w14:schemeClr w14:val="tx1"/>
                  </w14:solidFill>
                </w14:textFill>
              </w:rPr>
            </w:pPr>
            <w:r>
              <w:rPr>
                <w:rFonts w:hint="eastAsia" w:ascii="宋体" w:hAnsi="宋体" w:eastAsia="宋体" w:cs="宋体"/>
                <w:color w:val="000000"/>
                <w:kern w:val="2"/>
                <w:sz w:val="21"/>
                <w:szCs w:val="21"/>
              </w:rPr>
              <w:t>项目施工时应向当地生态环境主管部门及其他有关主管部门申报；设专人负责管理并培训施工人员，以正确的工作方法控制施工过程中产生的不利环境影响；必要时，还需对施工人员进行环境保护知识培训，以确保项目施工期各项环保控制措施的落实</w:t>
            </w:r>
            <w:r>
              <w:rPr>
                <w:rFonts w:hint="default" w:ascii="Times New Roman" w:hAnsi="Times New Roman" w:cs="Times New Roman"/>
                <w:color w:val="000000" w:themeColor="text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7" w:type="dxa"/>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运营</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期环</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境影</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响和</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保护</w:t>
            </w:r>
          </w:p>
          <w:p>
            <w:pPr>
              <w:pStyle w:val="20"/>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措施</w:t>
            </w:r>
          </w:p>
        </w:tc>
        <w:tc>
          <w:tcPr>
            <w:tcW w:w="8533" w:type="dxa"/>
            <w:noWrap w:val="0"/>
            <w:vAlign w:val="center"/>
          </w:tcPr>
          <w:p>
            <w:pPr>
              <w:pStyle w:val="2"/>
              <w:pageBreakBefore w:val="0"/>
              <w:widowControl w:val="0"/>
              <w:suppressLineNumbers w:val="0"/>
              <w:kinsoku/>
              <w:wordWrap/>
              <w:overflowPunct/>
              <w:autoSpaceDE/>
              <w:autoSpaceDN/>
              <w:bidi w:val="0"/>
              <w:adjustRightInd w:val="0"/>
              <w:snapToGrid w:val="0"/>
              <w:spacing w:before="0" w:beforeLines="0" w:after="0" w:afterLines="0"/>
              <w:ind w:left="0" w:right="0"/>
              <w:rPr>
                <w:rFonts w:hint="eastAsia" w:ascii="Times New Roman" w:hAnsi="Times New Roman" w:eastAsia="宋体" w:cs="Times New Roman"/>
                <w:color w:val="000000" w:themeColor="text1"/>
                <w:sz w:val="21"/>
                <w:szCs w:val="21"/>
                <w:lang w:val="en-US" w:eastAsia="zh-CN"/>
                <w14:textFill>
                  <w14:solidFill>
                    <w14:schemeClr w14:val="tx1"/>
                  </w14:solidFill>
                </w14:textFill>
              </w:rPr>
            </w:pPr>
            <w:bookmarkStart w:id="19" w:name="_Toc2597"/>
            <w:r>
              <w:rPr>
                <w:rFonts w:hint="default" w:ascii="Times New Roman" w:hAnsi="Times New Roman" w:eastAsia="宋体" w:cs="Times New Roman"/>
                <w:color w:val="000000" w:themeColor="text1"/>
                <w:sz w:val="21"/>
                <w:szCs w:val="21"/>
                <w:lang w:val="en-US" w:eastAsia="zh-CN"/>
                <w14:textFill>
                  <w14:solidFill>
                    <w14:schemeClr w14:val="tx1"/>
                  </w14:solidFill>
                </w14:textFill>
              </w:rPr>
              <w:t>1大气环境影响分析</w:t>
            </w:r>
            <w:bookmarkEnd w:id="19"/>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jc w:val="both"/>
              <w:textAlignment w:val="baseline"/>
              <w:rPr>
                <w:rFonts w:hint="eastAsia"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1.1废气污染物排</w:t>
            </w:r>
            <w:r>
              <w:rPr>
                <w:rFonts w:hint="eastAsia" w:cs="Times New Roman"/>
                <w:b/>
                <w:bCs/>
                <w:color w:val="000000" w:themeColor="text1"/>
                <w:sz w:val="21"/>
                <w:szCs w:val="21"/>
                <w:lang w:val="en-US" w:eastAsia="zh-CN"/>
                <w14:textFill>
                  <w14:solidFill>
                    <w14:schemeClr w14:val="tx1"/>
                  </w14:solidFill>
                </w14:textFill>
              </w:rPr>
              <w:t>放情况</w:t>
            </w:r>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20" w:firstLineChars="200"/>
              <w:jc w:val="both"/>
              <w:textAlignment w:val="baseline"/>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本项目运营期废气主要为粉煤灰贮存粉尘和车辆运输扬尘。</w:t>
            </w:r>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20" w:firstLineChars="200"/>
              <w:jc w:val="both"/>
              <w:textAlignment w:val="baseline"/>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（1）粉煤灰贮存粉尘</w:t>
            </w:r>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20" w:firstLineChars="200"/>
              <w:jc w:val="both"/>
              <w:textAlignment w:val="baseline"/>
              <w:rPr>
                <w:rFonts w:hint="eastAsia" w:cs="Times New Roman"/>
                <w:color w:val="FF0000"/>
                <w:sz w:val="21"/>
                <w:szCs w:val="21"/>
                <w:lang w:val="en-US" w:eastAsia="zh-CN"/>
              </w:rPr>
            </w:pPr>
            <w:r>
              <w:rPr>
                <w:rFonts w:hint="eastAsia" w:cs="Times New Roman"/>
                <w:color w:val="FF0000"/>
                <w:sz w:val="21"/>
                <w:szCs w:val="21"/>
                <w:lang w:val="en-US" w:eastAsia="zh-CN"/>
              </w:rPr>
              <w:t>本项目设有2座粉煤灰密闭球形网架储备库，为防止粉煤灰产生堆场扬尘，储备库只设置进、出料口和排气口，其中进、出料口通过管道与罐车连接，密闭状态良好。储备库顶部设有排气口，使库内外压力平衡，便于粉煤灰装卸。每个储备库顶部排气口会产生粉尘，参照《逸散性工业粉尘控制技术》中贮仓排气粉尘产生系数为0.12kg/t，该系数是保守估算，并在计算中考虑粉煤灰的粒径、湿度等因素对起尘的影响。本项目年周转粉煤灰约12万吨，则项目贮存粉尘总产生量为14.4t/a，单座储备库贮存粉尘产生量为7.2t/a。</w:t>
            </w:r>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20" w:firstLineChars="200"/>
              <w:jc w:val="both"/>
              <w:textAlignment w:val="baseline"/>
              <w:rPr>
                <w:rFonts w:hint="eastAsia" w:cs="Times New Roman"/>
                <w:color w:val="FF0000"/>
                <w:sz w:val="21"/>
                <w:szCs w:val="21"/>
                <w:lang w:val="en-US" w:eastAsia="zh-CN"/>
              </w:rPr>
            </w:pPr>
            <w:r>
              <w:rPr>
                <w:rFonts w:hint="eastAsia" w:cs="Times New Roman"/>
                <w:color w:val="FF0000"/>
                <w:sz w:val="21"/>
                <w:szCs w:val="21"/>
                <w:lang w:val="en-US" w:eastAsia="zh-CN"/>
              </w:rPr>
              <w:t>本项目2座粉煤灰储备库顶部排气口分别通过密闭管道连接至脉冲布袋除尘器（收集效率100%，配套风机风量5000m</w:t>
            </w:r>
            <w:r>
              <w:rPr>
                <w:rFonts w:hint="eastAsia" w:cs="Times New Roman"/>
                <w:color w:val="FF0000"/>
                <w:sz w:val="21"/>
                <w:szCs w:val="21"/>
                <w:vertAlign w:val="superscript"/>
                <w:lang w:val="en-US" w:eastAsia="zh-CN"/>
              </w:rPr>
              <w:t>3</w:t>
            </w:r>
            <w:r>
              <w:rPr>
                <w:rFonts w:hint="eastAsia" w:cs="Times New Roman"/>
                <w:color w:val="FF0000"/>
                <w:sz w:val="21"/>
                <w:szCs w:val="21"/>
                <w:lang w:val="en-US" w:eastAsia="zh-CN"/>
              </w:rPr>
              <w:t>/h），用于收集处理粉煤灰贮存时产生的粉尘，经处理后的粉尘分别通过15m高排气筒（DA001-DA002）排放。参照《逸散性工业粉尘控制技术》中表13-3，建筑物封闭并将空气（与尘）抽至纤维过滤系统对颗粒物的控制效率能达99%，本项目取99%。每个粉煤灰储备库颗粒物有组织排放量为0.07t/a，排放速率为0.03kg/h，排放浓度为5mg/m</w:t>
            </w:r>
            <w:r>
              <w:rPr>
                <w:rFonts w:hint="eastAsia" w:cs="Times New Roman"/>
                <w:color w:val="FF0000"/>
                <w:sz w:val="21"/>
                <w:szCs w:val="21"/>
                <w:vertAlign w:val="superscript"/>
                <w:lang w:val="en-US" w:eastAsia="zh-CN"/>
              </w:rPr>
              <w:t>3</w:t>
            </w:r>
            <w:r>
              <w:rPr>
                <w:rFonts w:hint="eastAsia" w:cs="Times New Roman"/>
                <w:color w:val="FF0000"/>
                <w:sz w:val="21"/>
                <w:szCs w:val="21"/>
                <w:lang w:val="en-US" w:eastAsia="zh-CN"/>
              </w:rPr>
              <w:t>。本项目有组织颗粒物排放浓度满足《大气污染物综合排放标准》（GB16297-1996）表2中有组织最高允许排放浓度（颗粒物120mg/m</w:t>
            </w:r>
            <w:r>
              <w:rPr>
                <w:rFonts w:hint="eastAsia" w:cs="Times New Roman"/>
                <w:color w:val="FF0000"/>
                <w:sz w:val="21"/>
                <w:szCs w:val="21"/>
                <w:vertAlign w:val="superscript"/>
                <w:lang w:val="en-US" w:eastAsia="zh-CN"/>
              </w:rPr>
              <w:t>3</w:t>
            </w:r>
            <w:r>
              <w:rPr>
                <w:rFonts w:hint="eastAsia" w:cs="Times New Roman"/>
                <w:color w:val="FF0000"/>
                <w:sz w:val="21"/>
                <w:szCs w:val="21"/>
                <w:lang w:val="en-US" w:eastAsia="zh-CN"/>
              </w:rPr>
              <w:t>、3.5kg/h）。</w:t>
            </w:r>
          </w:p>
          <w:p>
            <w:pPr>
              <w:keepNext w:val="0"/>
              <w:keepLines w:val="0"/>
              <w:pageBreakBefore w:val="0"/>
              <w:widowControl w:val="0"/>
              <w:suppressLineNumbers w:val="0"/>
              <w:kinsoku/>
              <w:wordWrap/>
              <w:overflowPunct/>
              <w:autoSpaceDE w:val="0"/>
              <w:autoSpaceDN/>
              <w:bidi w:val="0"/>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kern w:val="2"/>
                <w:sz w:val="21"/>
                <w:szCs w:val="21"/>
                <w:lang w:val="en-US" w:eastAsia="zh-CN" w:bidi="ar"/>
              </w:rPr>
            </w:pPr>
            <w:r>
              <w:rPr>
                <w:rFonts w:hint="default" w:ascii="Times New Roman" w:hAnsi="Times New Roman" w:eastAsia="宋体" w:cs="Times New Roman"/>
                <w:color w:val="000000"/>
                <w:kern w:val="2"/>
                <w:sz w:val="21"/>
                <w:szCs w:val="21"/>
                <w:lang w:val="en-US" w:eastAsia="zh-CN" w:bidi="ar"/>
              </w:rPr>
              <w:t>（</w:t>
            </w:r>
            <w:r>
              <w:rPr>
                <w:rFonts w:hint="eastAsia" w:cs="Times New Roman"/>
                <w:color w:val="000000"/>
                <w:kern w:val="2"/>
                <w:sz w:val="21"/>
                <w:szCs w:val="21"/>
                <w:lang w:val="en-US" w:eastAsia="zh-CN" w:bidi="ar"/>
              </w:rPr>
              <w:t>2</w:t>
            </w:r>
            <w:r>
              <w:rPr>
                <w:rFonts w:hint="default" w:ascii="Times New Roman" w:hAnsi="Times New Roman" w:eastAsia="宋体" w:cs="Times New Roman"/>
                <w:color w:val="000000"/>
                <w:kern w:val="2"/>
                <w:sz w:val="21"/>
                <w:szCs w:val="21"/>
                <w:lang w:val="en-US" w:eastAsia="zh-CN" w:bidi="ar"/>
              </w:rPr>
              <w:t>）汽车运输扬尘</w:t>
            </w:r>
          </w:p>
          <w:p>
            <w:pPr>
              <w:keepNext w:val="0"/>
              <w:keepLines w:val="0"/>
              <w:pageBreakBefore w:val="0"/>
              <w:widowControl w:val="0"/>
              <w:suppressLineNumbers w:val="0"/>
              <w:kinsoku/>
              <w:wordWrap/>
              <w:overflowPunct/>
              <w:autoSpaceDE w:val="0"/>
              <w:autoSpaceDN/>
              <w:bidi w:val="0"/>
              <w:adjustRightInd w:val="0"/>
              <w:snapToGrid w:val="0"/>
              <w:spacing w:before="0" w:beforeAutospacing="0" w:after="0" w:afterAutospacing="0" w:line="360" w:lineRule="auto"/>
              <w:ind w:left="0" w:leftChars="0" w:right="0" w:firstLine="420" w:firstLineChars="200"/>
              <w:jc w:val="both"/>
              <w:rPr>
                <w:rFonts w:hint="eastAsia" w:ascii="宋体" w:hAnsi="宋体" w:eastAsia="宋体" w:cs="宋体"/>
                <w:color w:val="000000"/>
                <w:kern w:val="2"/>
                <w:sz w:val="21"/>
                <w:szCs w:val="21"/>
                <w:lang w:val="en-US" w:eastAsia="zh-CN" w:bidi="ar"/>
              </w:rPr>
            </w:pPr>
            <w:r>
              <w:rPr>
                <w:rFonts w:hint="eastAsia" w:ascii="宋体" w:hAnsi="宋体" w:eastAsia="宋体" w:cs="宋体"/>
                <w:color w:val="000000"/>
                <w:kern w:val="2"/>
                <w:sz w:val="21"/>
                <w:szCs w:val="21"/>
                <w:lang w:val="en-US" w:eastAsia="zh-CN" w:bidi="ar"/>
              </w:rPr>
              <w:t>本项目建成运行后，粉煤灰由公路运入，汽车运输过程会产生运输扬尘，选用上海港环境保护中心和武汉水运工程学院提出的经验公式估算，经验公式为：</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1260" w:firstLineChars="60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Q=0.123·</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V/5</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W/6.8</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vertAlign w:val="superscript"/>
                <w:lang w:val="en-US" w:eastAsia="zh-CN" w:bidi="ar"/>
              </w:rPr>
              <w:t>0.85</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P/0.5</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·0.72·L</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式中：</w:t>
            </w:r>
            <w:r>
              <w:rPr>
                <w:rFonts w:hint="default" w:ascii="Times New Roman" w:hAnsi="Times New Roman" w:eastAsia="宋体" w:cs="Times New Roman"/>
                <w:color w:val="000000"/>
                <w:kern w:val="2"/>
                <w:sz w:val="21"/>
                <w:szCs w:val="21"/>
                <w:lang w:val="en-US" w:eastAsia="zh-CN" w:bidi="ar"/>
              </w:rPr>
              <w:t>Q——</w:t>
            </w:r>
            <w:r>
              <w:rPr>
                <w:rFonts w:hint="eastAsia" w:ascii="宋体" w:hAnsi="宋体" w:eastAsia="宋体" w:cs="宋体"/>
                <w:color w:val="000000"/>
                <w:kern w:val="2"/>
                <w:sz w:val="21"/>
                <w:szCs w:val="21"/>
                <w:lang w:val="en-US" w:eastAsia="zh-CN" w:bidi="ar"/>
              </w:rPr>
              <w:t>汽车行驶的起尘量，</w:t>
            </w:r>
            <w:r>
              <w:rPr>
                <w:rFonts w:hint="default" w:ascii="Times New Roman" w:hAnsi="Times New Roman" w:eastAsia="宋体" w:cs="Times New Roman"/>
                <w:color w:val="000000"/>
                <w:kern w:val="2"/>
                <w:sz w:val="21"/>
                <w:szCs w:val="21"/>
                <w:lang w:val="en-US" w:eastAsia="zh-CN" w:bidi="ar"/>
              </w:rPr>
              <w:t>kg/</w:t>
            </w:r>
            <w:r>
              <w:rPr>
                <w:rFonts w:hint="eastAsia" w:ascii="宋体" w:hAnsi="宋体" w:eastAsia="宋体" w:cs="宋体"/>
                <w:color w:val="000000"/>
                <w:kern w:val="2"/>
                <w:sz w:val="21"/>
                <w:szCs w:val="21"/>
                <w:lang w:val="en-US" w:eastAsia="zh-CN" w:bidi="ar"/>
              </w:rPr>
              <w:t>辆；</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 xml:space="preserve">      V——</w:t>
            </w:r>
            <w:r>
              <w:rPr>
                <w:rFonts w:hint="eastAsia" w:ascii="宋体" w:hAnsi="宋体" w:eastAsia="宋体" w:cs="宋体"/>
                <w:color w:val="000000"/>
                <w:kern w:val="2"/>
                <w:sz w:val="21"/>
                <w:szCs w:val="21"/>
                <w:lang w:val="en-US" w:eastAsia="zh-CN" w:bidi="ar"/>
              </w:rPr>
              <w:t>汽车速度，</w:t>
            </w:r>
            <w:r>
              <w:rPr>
                <w:rFonts w:hint="default" w:ascii="Times New Roman" w:hAnsi="Times New Roman" w:eastAsia="宋体" w:cs="Times New Roman"/>
                <w:color w:val="000000"/>
                <w:kern w:val="2"/>
                <w:sz w:val="21"/>
                <w:szCs w:val="21"/>
                <w:lang w:val="en-US" w:eastAsia="zh-CN" w:bidi="ar"/>
              </w:rPr>
              <w:t>km/h</w:t>
            </w:r>
            <w:r>
              <w:rPr>
                <w:rFonts w:hint="eastAsia" w:ascii="宋体" w:hAnsi="宋体" w:eastAsia="宋体" w:cs="宋体"/>
                <w:color w:val="000000"/>
                <w:kern w:val="2"/>
                <w:sz w:val="21"/>
                <w:szCs w:val="21"/>
                <w:lang w:val="en-US" w:eastAsia="zh-CN" w:bidi="ar"/>
              </w:rPr>
              <w:t>，按</w:t>
            </w:r>
            <w:r>
              <w:rPr>
                <w:rFonts w:hint="default" w:ascii="Times New Roman" w:hAnsi="Times New Roman" w:eastAsia="宋体" w:cs="Times New Roman"/>
                <w:color w:val="000000"/>
                <w:kern w:val="2"/>
                <w:sz w:val="21"/>
                <w:szCs w:val="21"/>
                <w:lang w:val="en-US" w:eastAsia="zh-CN" w:bidi="ar"/>
              </w:rPr>
              <w:t>10km/h</w:t>
            </w:r>
            <w:r>
              <w:rPr>
                <w:rFonts w:hint="eastAsia" w:ascii="宋体" w:hAnsi="宋体" w:eastAsia="宋体" w:cs="宋体"/>
                <w:color w:val="000000"/>
                <w:kern w:val="2"/>
                <w:sz w:val="21"/>
                <w:szCs w:val="21"/>
                <w:lang w:val="en-US" w:eastAsia="zh-CN" w:bidi="ar"/>
              </w:rPr>
              <w:t>计；</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 xml:space="preserve">      W——</w:t>
            </w:r>
            <w:r>
              <w:rPr>
                <w:rFonts w:hint="eastAsia" w:ascii="宋体" w:hAnsi="宋体" w:eastAsia="宋体" w:cs="宋体"/>
                <w:color w:val="000000"/>
                <w:kern w:val="2"/>
                <w:sz w:val="21"/>
                <w:szCs w:val="21"/>
                <w:lang w:val="en-US" w:eastAsia="zh-CN" w:bidi="ar"/>
              </w:rPr>
              <w:t>汽车载重量，</w:t>
            </w:r>
            <w:r>
              <w:rPr>
                <w:rFonts w:hint="default" w:ascii="Times New Roman" w:hAnsi="Times New Roman" w:eastAsia="宋体" w:cs="Times New Roman"/>
                <w:color w:val="000000"/>
                <w:kern w:val="2"/>
                <w:sz w:val="21"/>
                <w:szCs w:val="21"/>
                <w:lang w:val="en-US" w:eastAsia="zh-CN" w:bidi="ar"/>
              </w:rPr>
              <w:t>t</w:t>
            </w:r>
            <w:r>
              <w:rPr>
                <w:rFonts w:hint="eastAsia" w:ascii="宋体" w:hAnsi="宋体" w:eastAsia="宋体" w:cs="宋体"/>
                <w:color w:val="000000"/>
                <w:kern w:val="2"/>
                <w:sz w:val="21"/>
                <w:szCs w:val="21"/>
                <w:lang w:val="en-US" w:eastAsia="zh-CN" w:bidi="ar"/>
              </w:rPr>
              <w:t>，空车重约</w:t>
            </w:r>
            <w:r>
              <w:rPr>
                <w:rFonts w:hint="default" w:ascii="Times New Roman" w:hAnsi="Times New Roman" w:eastAsia="宋体" w:cs="Times New Roman"/>
                <w:color w:val="000000"/>
                <w:kern w:val="2"/>
                <w:sz w:val="21"/>
                <w:szCs w:val="21"/>
                <w:lang w:val="en-US" w:eastAsia="zh-CN" w:bidi="ar"/>
              </w:rPr>
              <w:t>10t</w:t>
            </w:r>
            <w:r>
              <w:rPr>
                <w:rFonts w:hint="eastAsia" w:ascii="宋体" w:hAnsi="宋体" w:eastAsia="宋体" w:cs="宋体"/>
                <w:color w:val="000000"/>
                <w:kern w:val="2"/>
                <w:sz w:val="21"/>
                <w:szCs w:val="21"/>
                <w:lang w:val="en-US" w:eastAsia="zh-CN" w:bidi="ar"/>
              </w:rPr>
              <w:t>，重车重约</w:t>
            </w:r>
            <w:r>
              <w:rPr>
                <w:rFonts w:hint="default" w:ascii="Times New Roman" w:hAnsi="Times New Roman" w:eastAsia="宋体" w:cs="Times New Roman"/>
                <w:color w:val="000000"/>
                <w:kern w:val="2"/>
                <w:sz w:val="21"/>
                <w:szCs w:val="21"/>
                <w:lang w:val="en-US" w:eastAsia="zh-CN" w:bidi="ar"/>
              </w:rPr>
              <w:t>40t</w:t>
            </w:r>
            <w:r>
              <w:rPr>
                <w:rFonts w:hint="eastAsia" w:ascii="宋体" w:hAnsi="宋体" w:eastAsia="宋体" w:cs="宋体"/>
                <w:color w:val="000000"/>
                <w:kern w:val="2"/>
                <w:sz w:val="21"/>
                <w:szCs w:val="21"/>
                <w:lang w:val="en-US" w:eastAsia="zh-CN" w:bidi="ar"/>
              </w:rPr>
              <w:t>；</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 xml:space="preserve">      P——</w:t>
            </w:r>
            <w:r>
              <w:rPr>
                <w:rFonts w:hint="eastAsia" w:ascii="宋体" w:hAnsi="宋体" w:eastAsia="宋体" w:cs="宋体"/>
                <w:color w:val="000000"/>
                <w:kern w:val="2"/>
                <w:sz w:val="21"/>
                <w:szCs w:val="21"/>
                <w:lang w:val="en-US" w:eastAsia="zh-CN" w:bidi="ar"/>
              </w:rPr>
              <w:t>道路表面物料量，</w:t>
            </w:r>
            <w:r>
              <w:rPr>
                <w:rFonts w:hint="default" w:ascii="Times New Roman" w:hAnsi="Times New Roman" w:eastAsia="宋体" w:cs="Times New Roman"/>
                <w:color w:val="000000"/>
                <w:kern w:val="2"/>
                <w:sz w:val="21"/>
                <w:szCs w:val="21"/>
                <w:lang w:val="en-US" w:eastAsia="zh-CN" w:bidi="ar"/>
              </w:rPr>
              <w:t>kg/m</w:t>
            </w:r>
            <w:r>
              <w:rPr>
                <w:rFonts w:hint="default" w:ascii="Times New Roman" w:hAnsi="Times New Roman" w:eastAsia="宋体" w:cs="Times New Roman"/>
                <w:color w:val="000000"/>
                <w:kern w:val="2"/>
                <w:sz w:val="21"/>
                <w:szCs w:val="21"/>
                <w:vertAlign w:val="superscript"/>
                <w:lang w:val="en-US" w:eastAsia="zh-CN" w:bidi="ar"/>
              </w:rPr>
              <w:t>2</w:t>
            </w:r>
            <w:r>
              <w:rPr>
                <w:rFonts w:hint="eastAsia" w:ascii="宋体" w:hAnsi="宋体" w:eastAsia="宋体" w:cs="宋体"/>
                <w:color w:val="000000"/>
                <w:kern w:val="2"/>
                <w:sz w:val="21"/>
                <w:szCs w:val="21"/>
                <w:lang w:val="en-US" w:eastAsia="zh-CN" w:bidi="ar"/>
              </w:rPr>
              <w:t>，本项目道路硬化，较为洁净，其</w:t>
            </w:r>
            <w:r>
              <w:rPr>
                <w:rFonts w:hint="default" w:ascii="Times New Roman" w:hAnsi="Times New Roman" w:eastAsia="宋体" w:cs="Times New Roman"/>
                <w:color w:val="000000"/>
                <w:kern w:val="2"/>
                <w:sz w:val="21"/>
                <w:szCs w:val="21"/>
                <w:lang w:val="en-US" w:eastAsia="zh-CN" w:bidi="ar"/>
              </w:rPr>
              <w:t>P</w:t>
            </w:r>
            <w:r>
              <w:rPr>
                <w:rFonts w:hint="eastAsia" w:ascii="宋体" w:hAnsi="宋体" w:eastAsia="宋体" w:cs="宋体"/>
                <w:color w:val="000000"/>
                <w:kern w:val="2"/>
                <w:sz w:val="21"/>
                <w:szCs w:val="21"/>
                <w:lang w:val="en-US" w:eastAsia="zh-CN" w:bidi="ar"/>
              </w:rPr>
              <w:t>值可取</w:t>
            </w:r>
            <w:r>
              <w:rPr>
                <w:rFonts w:hint="default" w:ascii="Times New Roman" w:hAnsi="Times New Roman" w:eastAsia="宋体" w:cs="Times New Roman"/>
                <w:color w:val="000000"/>
                <w:kern w:val="2"/>
                <w:sz w:val="21"/>
                <w:szCs w:val="21"/>
                <w:lang w:val="en-US" w:eastAsia="zh-CN" w:bidi="ar"/>
              </w:rPr>
              <w:t>0.2kg/m</w:t>
            </w:r>
            <w:r>
              <w:rPr>
                <w:rFonts w:hint="default" w:ascii="Times New Roman" w:hAnsi="Times New Roman" w:eastAsia="宋体" w:cs="Times New Roman"/>
                <w:color w:val="000000"/>
                <w:kern w:val="2"/>
                <w:sz w:val="21"/>
                <w:szCs w:val="21"/>
                <w:vertAlign w:val="superscript"/>
                <w:lang w:val="en-US" w:eastAsia="zh-CN" w:bidi="ar"/>
              </w:rPr>
              <w:t>2</w:t>
            </w:r>
            <w:r>
              <w:rPr>
                <w:rFonts w:hint="eastAsia" w:ascii="宋体" w:hAnsi="宋体" w:eastAsia="宋体" w:cs="宋体"/>
                <w:color w:val="000000"/>
                <w:kern w:val="2"/>
                <w:sz w:val="21"/>
                <w:szCs w:val="21"/>
                <w:lang w:val="en-US" w:eastAsia="zh-CN" w:bidi="ar"/>
              </w:rPr>
              <w:t>；</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1050" w:firstLineChars="500"/>
              <w:jc w:val="both"/>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L——</w:t>
            </w:r>
            <w:r>
              <w:rPr>
                <w:rFonts w:hint="eastAsia" w:ascii="宋体" w:hAnsi="宋体" w:eastAsia="宋体" w:cs="宋体"/>
                <w:color w:val="000000"/>
                <w:kern w:val="2"/>
                <w:sz w:val="21"/>
                <w:szCs w:val="21"/>
                <w:lang w:val="en-US" w:eastAsia="zh-CN" w:bidi="ar"/>
              </w:rPr>
              <w:t>道路长度，</w:t>
            </w:r>
            <w:r>
              <w:rPr>
                <w:rFonts w:hint="default" w:ascii="Times New Roman" w:hAnsi="Times New Roman" w:eastAsia="宋体" w:cs="Times New Roman"/>
                <w:color w:val="000000"/>
                <w:kern w:val="2"/>
                <w:sz w:val="21"/>
                <w:szCs w:val="21"/>
                <w:lang w:val="en-US" w:eastAsia="zh-CN" w:bidi="ar"/>
              </w:rPr>
              <w:t>km</w:t>
            </w:r>
            <w:r>
              <w:rPr>
                <w:rFonts w:hint="eastAsia" w:ascii="宋体" w:hAnsi="宋体" w:eastAsia="宋体" w:cs="宋体"/>
                <w:color w:val="000000"/>
                <w:kern w:val="2"/>
                <w:sz w:val="21"/>
                <w:szCs w:val="21"/>
                <w:lang w:val="en-US" w:eastAsia="zh-CN" w:bidi="ar"/>
              </w:rPr>
              <w:t>，按</w:t>
            </w:r>
            <w:r>
              <w:rPr>
                <w:rFonts w:hint="default" w:ascii="Times New Roman" w:hAnsi="Times New Roman" w:eastAsia="宋体" w:cs="Times New Roman"/>
                <w:color w:val="000000"/>
                <w:kern w:val="2"/>
                <w:sz w:val="21"/>
                <w:szCs w:val="21"/>
                <w:lang w:val="en-US" w:eastAsia="zh-CN" w:bidi="ar"/>
              </w:rPr>
              <w:t>0.1</w:t>
            </w:r>
            <w:r>
              <w:rPr>
                <w:rFonts w:hint="eastAsia" w:ascii="宋体" w:hAnsi="宋体" w:eastAsia="宋体" w:cs="宋体"/>
                <w:color w:val="000000"/>
                <w:kern w:val="2"/>
                <w:sz w:val="21"/>
                <w:szCs w:val="21"/>
                <w:lang w:val="en-US" w:eastAsia="zh-CN" w:bidi="ar"/>
              </w:rPr>
              <w:t>计。</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本项目车辆在厂区行驶距离按</w:t>
            </w:r>
            <w:r>
              <w:rPr>
                <w:rFonts w:hint="default" w:ascii="Times New Roman" w:hAnsi="Times New Roman" w:eastAsia="宋体" w:cs="Times New Roman"/>
                <w:color w:val="000000"/>
                <w:kern w:val="2"/>
                <w:sz w:val="21"/>
                <w:szCs w:val="21"/>
                <w:lang w:val="en-US" w:eastAsia="zh-CN" w:bidi="ar"/>
              </w:rPr>
              <w:t>100m</w:t>
            </w:r>
            <w:r>
              <w:rPr>
                <w:rFonts w:hint="eastAsia" w:ascii="宋体" w:hAnsi="宋体" w:eastAsia="宋体" w:cs="宋体"/>
                <w:color w:val="000000"/>
                <w:kern w:val="2"/>
                <w:sz w:val="21"/>
                <w:szCs w:val="21"/>
                <w:lang w:val="en-US" w:eastAsia="zh-CN" w:bidi="ar"/>
              </w:rPr>
              <w:t>计，平均每天发车空、重载各约</w:t>
            </w:r>
            <w:r>
              <w:rPr>
                <w:rFonts w:hint="eastAsia" w:ascii="Times New Roman" w:hAnsi="Times New Roman" w:eastAsia="宋体" w:cs="Times New Roman"/>
                <w:color w:val="000000"/>
                <w:kern w:val="2"/>
                <w:sz w:val="21"/>
                <w:szCs w:val="21"/>
                <w:lang w:val="en-US" w:eastAsia="zh-CN" w:bidi="ar"/>
              </w:rPr>
              <w:t>12</w:t>
            </w:r>
            <w:r>
              <w:rPr>
                <w:rFonts w:hint="eastAsia" w:ascii="宋体" w:hAnsi="宋体" w:eastAsia="宋体" w:cs="宋体"/>
                <w:color w:val="000000"/>
                <w:kern w:val="2"/>
                <w:sz w:val="21"/>
                <w:szCs w:val="21"/>
                <w:lang w:val="en-US" w:eastAsia="zh-CN" w:bidi="ar"/>
              </w:rPr>
              <w:t>辆</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次；空车重约</w:t>
            </w:r>
            <w:r>
              <w:rPr>
                <w:rFonts w:hint="default" w:ascii="Times New Roman" w:hAnsi="Times New Roman" w:eastAsia="宋体" w:cs="Times New Roman"/>
                <w:color w:val="000000"/>
                <w:kern w:val="2"/>
                <w:sz w:val="21"/>
                <w:szCs w:val="21"/>
                <w:lang w:val="en-US" w:eastAsia="zh-CN" w:bidi="ar"/>
              </w:rPr>
              <w:t>10t</w:t>
            </w:r>
            <w:r>
              <w:rPr>
                <w:rFonts w:hint="eastAsia" w:ascii="宋体" w:hAnsi="宋体" w:eastAsia="宋体" w:cs="宋体"/>
                <w:color w:val="000000"/>
                <w:kern w:val="2"/>
                <w:sz w:val="21"/>
                <w:szCs w:val="21"/>
                <w:lang w:val="en-US" w:eastAsia="zh-CN" w:bidi="ar"/>
              </w:rPr>
              <w:t>，重车重约</w:t>
            </w:r>
            <w:r>
              <w:rPr>
                <w:rFonts w:hint="default" w:ascii="Times New Roman" w:hAnsi="Times New Roman" w:eastAsia="宋体" w:cs="Times New Roman"/>
                <w:color w:val="000000"/>
                <w:kern w:val="2"/>
                <w:sz w:val="21"/>
                <w:szCs w:val="21"/>
                <w:lang w:val="en-US" w:eastAsia="zh-CN" w:bidi="ar"/>
              </w:rPr>
              <w:t>40t</w:t>
            </w:r>
            <w:r>
              <w:rPr>
                <w:rFonts w:hint="eastAsia" w:ascii="宋体" w:hAnsi="宋体" w:eastAsia="宋体" w:cs="宋体"/>
                <w:color w:val="000000"/>
                <w:kern w:val="2"/>
                <w:sz w:val="21"/>
                <w:szCs w:val="21"/>
                <w:lang w:val="en-US" w:eastAsia="zh-CN" w:bidi="ar"/>
              </w:rPr>
              <w:t>，以速度</w:t>
            </w:r>
            <w:r>
              <w:rPr>
                <w:rFonts w:hint="default" w:ascii="Times New Roman" w:hAnsi="Times New Roman" w:eastAsia="宋体" w:cs="Times New Roman"/>
                <w:color w:val="000000"/>
                <w:kern w:val="2"/>
                <w:sz w:val="21"/>
                <w:szCs w:val="21"/>
                <w:lang w:val="en-US" w:eastAsia="zh-CN" w:bidi="ar"/>
              </w:rPr>
              <w:t>10km/h</w:t>
            </w:r>
            <w:r>
              <w:rPr>
                <w:rFonts w:hint="eastAsia" w:ascii="宋体" w:hAnsi="宋体" w:eastAsia="宋体" w:cs="宋体"/>
                <w:color w:val="000000"/>
                <w:kern w:val="2"/>
                <w:sz w:val="21"/>
                <w:szCs w:val="21"/>
                <w:lang w:val="en-US" w:eastAsia="zh-CN" w:bidi="ar"/>
              </w:rPr>
              <w:t>行驶。基于这种情况，本环评对道路路况以</w:t>
            </w:r>
            <w:r>
              <w:rPr>
                <w:rFonts w:hint="default" w:ascii="Times New Roman" w:hAnsi="Times New Roman" w:eastAsia="宋体" w:cs="Times New Roman"/>
                <w:color w:val="000000"/>
                <w:kern w:val="2"/>
                <w:sz w:val="21"/>
                <w:szCs w:val="21"/>
                <w:lang w:val="en-US" w:eastAsia="zh-CN" w:bidi="ar"/>
              </w:rPr>
              <w:t>0.2kg/m</w:t>
            </w:r>
            <w:r>
              <w:rPr>
                <w:rFonts w:hint="default" w:ascii="Times New Roman" w:hAnsi="Times New Roman" w:eastAsia="宋体" w:cs="Times New Roman"/>
                <w:color w:val="000000"/>
                <w:kern w:val="2"/>
                <w:sz w:val="21"/>
                <w:szCs w:val="21"/>
                <w:vertAlign w:val="superscript"/>
                <w:lang w:val="en-US" w:eastAsia="zh-CN" w:bidi="ar"/>
              </w:rPr>
              <w:t>2</w:t>
            </w:r>
            <w:r>
              <w:rPr>
                <w:rFonts w:hint="eastAsia" w:ascii="宋体" w:hAnsi="宋体" w:eastAsia="宋体" w:cs="宋体"/>
                <w:color w:val="000000"/>
                <w:kern w:val="2"/>
                <w:sz w:val="21"/>
                <w:szCs w:val="21"/>
                <w:lang w:val="en-US" w:eastAsia="zh-CN" w:bidi="ar"/>
              </w:rPr>
              <w:t>计，</w:t>
            </w:r>
            <w:r>
              <w:rPr>
                <w:rFonts w:hint="default" w:ascii="Times New Roman" w:hAnsi="Times New Roman" w:eastAsia="宋体" w:cs="Times New Roman"/>
                <w:color w:val="000000"/>
                <w:kern w:val="2"/>
                <w:sz w:val="21"/>
                <w:szCs w:val="21"/>
                <w:lang w:val="en-US" w:eastAsia="zh-CN" w:bidi="ar"/>
              </w:rPr>
              <w:t>Q</w:t>
            </w:r>
            <w:r>
              <w:rPr>
                <w:rFonts w:hint="eastAsia" w:ascii="宋体" w:hAnsi="宋体" w:eastAsia="宋体" w:cs="宋体"/>
                <w:color w:val="000000"/>
                <w:kern w:val="2"/>
                <w:sz w:val="21"/>
                <w:szCs w:val="21"/>
                <w:lang w:val="en-US" w:eastAsia="zh-CN" w:bidi="ar"/>
              </w:rPr>
              <w:t>空车</w:t>
            </w:r>
            <w:r>
              <w:rPr>
                <w:rFonts w:hint="default" w:ascii="Times New Roman" w:hAnsi="Times New Roman" w:eastAsia="宋体" w:cs="Times New Roman"/>
                <w:color w:val="000000"/>
                <w:kern w:val="2"/>
                <w:sz w:val="21"/>
                <w:szCs w:val="21"/>
                <w:lang w:val="en-US" w:eastAsia="zh-CN" w:bidi="ar"/>
              </w:rPr>
              <w:t>0.010kg/</w:t>
            </w:r>
            <w:r>
              <w:rPr>
                <w:rFonts w:hint="eastAsia" w:ascii="宋体" w:hAnsi="宋体" w:eastAsia="宋体" w:cs="宋体"/>
                <w:color w:val="000000"/>
                <w:kern w:val="2"/>
                <w:sz w:val="21"/>
                <w:szCs w:val="21"/>
                <w:lang w:val="en-US" w:eastAsia="zh-CN" w:bidi="ar"/>
              </w:rPr>
              <w:t>辆，</w:t>
            </w:r>
            <w:r>
              <w:rPr>
                <w:rFonts w:hint="default" w:ascii="Times New Roman" w:hAnsi="Times New Roman" w:eastAsia="宋体" w:cs="Times New Roman"/>
                <w:color w:val="000000"/>
                <w:kern w:val="2"/>
                <w:sz w:val="21"/>
                <w:szCs w:val="21"/>
                <w:lang w:val="en-US" w:eastAsia="zh-CN" w:bidi="ar"/>
              </w:rPr>
              <w:t>Q</w:t>
            </w:r>
            <w:r>
              <w:rPr>
                <w:rFonts w:hint="eastAsia" w:ascii="宋体" w:hAnsi="宋体" w:eastAsia="宋体" w:cs="宋体"/>
                <w:color w:val="000000"/>
                <w:kern w:val="2"/>
                <w:sz w:val="21"/>
                <w:szCs w:val="21"/>
                <w:lang w:val="en-US" w:eastAsia="zh-CN" w:bidi="ar"/>
              </w:rPr>
              <w:t>重车</w:t>
            </w:r>
            <w:r>
              <w:rPr>
                <w:rFonts w:hint="default" w:ascii="Times New Roman" w:hAnsi="Times New Roman" w:eastAsia="宋体" w:cs="Times New Roman"/>
                <w:color w:val="000000"/>
                <w:kern w:val="2"/>
                <w:sz w:val="21"/>
                <w:szCs w:val="21"/>
                <w:lang w:val="en-US" w:eastAsia="zh-CN" w:bidi="ar"/>
              </w:rPr>
              <w:t>0.032kg/</w:t>
            </w:r>
            <w:r>
              <w:rPr>
                <w:rFonts w:hint="eastAsia" w:ascii="宋体" w:hAnsi="宋体" w:eastAsia="宋体" w:cs="宋体"/>
                <w:color w:val="000000"/>
                <w:kern w:val="2"/>
                <w:sz w:val="21"/>
                <w:szCs w:val="21"/>
                <w:lang w:val="en-US" w:eastAsia="zh-CN" w:bidi="ar"/>
              </w:rPr>
              <w:t>辆，则汽车动力起尘量为空车</w:t>
            </w:r>
            <w:r>
              <w:rPr>
                <w:rFonts w:hint="eastAsia" w:ascii="Times New Roman" w:hAnsi="Times New Roman" w:eastAsia="宋体" w:cs="Times New Roman"/>
                <w:color w:val="000000"/>
                <w:kern w:val="2"/>
                <w:sz w:val="21"/>
                <w:szCs w:val="21"/>
                <w:lang w:val="en-US" w:eastAsia="zh-CN" w:bidi="ar"/>
              </w:rPr>
              <w:t>0.12</w:t>
            </w:r>
            <w:r>
              <w:rPr>
                <w:rFonts w:hint="default" w:ascii="Times New Roman" w:hAnsi="Times New Roman" w:eastAsia="宋体" w:cs="Times New Roman"/>
                <w:color w:val="000000"/>
                <w:kern w:val="2"/>
                <w:sz w:val="21"/>
                <w:szCs w:val="21"/>
                <w:lang w:val="en-US" w:eastAsia="zh-CN" w:bidi="ar"/>
              </w:rPr>
              <w:t>kg/d</w:t>
            </w:r>
            <w:r>
              <w:rPr>
                <w:rFonts w:hint="eastAsia" w:ascii="宋体" w:hAnsi="宋体" w:eastAsia="宋体" w:cs="宋体"/>
                <w:color w:val="000000"/>
                <w:kern w:val="2"/>
                <w:sz w:val="21"/>
                <w:szCs w:val="21"/>
                <w:lang w:val="en-US" w:eastAsia="zh-CN" w:bidi="ar"/>
              </w:rPr>
              <w:t>，重车</w:t>
            </w:r>
            <w:r>
              <w:rPr>
                <w:rFonts w:hint="eastAsia" w:ascii="Times New Roman" w:hAnsi="Times New Roman" w:eastAsia="宋体" w:cs="Times New Roman"/>
                <w:color w:val="000000"/>
                <w:kern w:val="2"/>
                <w:sz w:val="21"/>
                <w:szCs w:val="21"/>
                <w:lang w:val="en-US" w:eastAsia="zh-CN" w:bidi="ar"/>
              </w:rPr>
              <w:t>0.38</w:t>
            </w:r>
            <w:r>
              <w:rPr>
                <w:rFonts w:hint="default" w:ascii="Times New Roman" w:hAnsi="Times New Roman" w:eastAsia="宋体" w:cs="Times New Roman"/>
                <w:color w:val="000000"/>
                <w:kern w:val="2"/>
                <w:sz w:val="21"/>
                <w:szCs w:val="21"/>
                <w:lang w:val="en-US" w:eastAsia="zh-CN" w:bidi="ar"/>
              </w:rPr>
              <w:t>kg/d</w:t>
            </w:r>
            <w:r>
              <w:rPr>
                <w:rFonts w:hint="eastAsia" w:ascii="宋体" w:hAnsi="宋体" w:eastAsia="宋体" w:cs="宋体"/>
                <w:color w:val="000000"/>
                <w:kern w:val="2"/>
                <w:sz w:val="21"/>
                <w:szCs w:val="21"/>
                <w:lang w:val="en-US" w:eastAsia="zh-CN" w:bidi="ar"/>
              </w:rPr>
              <w:t>，合计</w:t>
            </w:r>
            <w:r>
              <w:rPr>
                <w:rFonts w:hint="eastAsia" w:ascii="Times New Roman" w:hAnsi="Times New Roman" w:eastAsia="宋体" w:cs="Times New Roman"/>
                <w:color w:val="000000"/>
                <w:kern w:val="2"/>
                <w:sz w:val="21"/>
                <w:szCs w:val="21"/>
                <w:lang w:val="en-US" w:eastAsia="zh-CN" w:bidi="ar"/>
              </w:rPr>
              <w:t>0.5</w:t>
            </w:r>
            <w:r>
              <w:rPr>
                <w:rFonts w:hint="default" w:ascii="Times New Roman" w:hAnsi="Times New Roman" w:eastAsia="宋体" w:cs="Times New Roman"/>
                <w:color w:val="000000"/>
                <w:kern w:val="2"/>
                <w:sz w:val="21"/>
                <w:szCs w:val="21"/>
                <w:lang w:val="en-US" w:eastAsia="zh-CN" w:bidi="ar"/>
              </w:rPr>
              <w:t>kg/d</w:t>
            </w:r>
            <w:r>
              <w:rPr>
                <w:rFonts w:hint="eastAsia" w:ascii="宋体" w:hAnsi="宋体" w:eastAsia="宋体" w:cs="宋体"/>
                <w:color w:val="000000"/>
                <w:kern w:val="2"/>
                <w:sz w:val="21"/>
                <w:szCs w:val="21"/>
                <w:lang w:val="en-US" w:eastAsia="zh-CN" w:bidi="ar"/>
              </w:rPr>
              <w:t>（</w:t>
            </w:r>
            <w:r>
              <w:rPr>
                <w:rFonts w:hint="eastAsia" w:ascii="Times New Roman" w:hAnsi="Times New Roman" w:eastAsia="宋体" w:cs="Times New Roman"/>
                <w:color w:val="000000"/>
                <w:kern w:val="2"/>
                <w:sz w:val="21"/>
                <w:szCs w:val="21"/>
                <w:lang w:val="en-US" w:eastAsia="zh-CN" w:bidi="ar"/>
              </w:rPr>
              <w:t>0.18</w:t>
            </w:r>
            <w:r>
              <w:rPr>
                <w:rFonts w:hint="default" w:ascii="Times New Roman" w:hAnsi="Times New Roman" w:eastAsia="宋体" w:cs="Times New Roman"/>
                <w:color w:val="000000"/>
                <w:kern w:val="2"/>
                <w:sz w:val="21"/>
                <w:szCs w:val="21"/>
                <w:lang w:val="en-US" w:eastAsia="zh-CN" w:bidi="ar"/>
              </w:rPr>
              <w:t>t/a</w:t>
            </w:r>
            <w:r>
              <w:rPr>
                <w:rFonts w:hint="eastAsia" w:ascii="宋体" w:hAnsi="宋体" w:eastAsia="宋体" w:cs="宋体"/>
                <w:color w:val="000000"/>
                <w:kern w:val="2"/>
                <w:sz w:val="21"/>
                <w:szCs w:val="21"/>
                <w:lang w:val="en-US" w:eastAsia="zh-CN" w:bidi="ar"/>
              </w:rPr>
              <w:t>）。</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kern w:val="2"/>
                <w:sz w:val="21"/>
                <w:szCs w:val="21"/>
              </w:rPr>
              <w:t>对厂区道路进行硬化，定时对厂区道路洒水降尘，保持道路湿润、清洁；同时在厂区内降低车辆行驶速度。通过采取以上措施后，可使无组织排放量减少</w:t>
            </w:r>
            <w:r>
              <w:rPr>
                <w:rFonts w:hint="default" w:ascii="Times New Roman" w:hAnsi="Times New Roman" w:eastAsia="宋体" w:cs="Times New Roman"/>
                <w:color w:val="000000"/>
                <w:kern w:val="2"/>
                <w:sz w:val="21"/>
                <w:szCs w:val="21"/>
              </w:rPr>
              <w:t>80%</w:t>
            </w:r>
            <w:r>
              <w:rPr>
                <w:rFonts w:hint="eastAsia" w:ascii="宋体" w:hAnsi="宋体" w:eastAsia="宋体" w:cs="宋体"/>
                <w:color w:val="000000"/>
                <w:kern w:val="2"/>
                <w:sz w:val="21"/>
                <w:szCs w:val="21"/>
              </w:rPr>
              <w:t>，汽车运输扬尘排放量为</w:t>
            </w:r>
            <w:r>
              <w:rPr>
                <w:rFonts w:hint="default" w:ascii="Times New Roman" w:hAnsi="Times New Roman" w:eastAsia="宋体" w:cs="Times New Roman"/>
                <w:color w:val="000000"/>
                <w:kern w:val="2"/>
                <w:sz w:val="21"/>
                <w:szCs w:val="21"/>
              </w:rPr>
              <w:t>0.</w:t>
            </w:r>
            <w:r>
              <w:rPr>
                <w:rFonts w:hint="eastAsia" w:ascii="Times New Roman" w:hAnsi="Times New Roman" w:eastAsia="宋体" w:cs="Times New Roman"/>
                <w:color w:val="000000"/>
                <w:kern w:val="2"/>
                <w:sz w:val="21"/>
                <w:szCs w:val="21"/>
                <w:lang w:val="en-US" w:eastAsia="zh-CN"/>
              </w:rPr>
              <w:t>0</w:t>
            </w:r>
            <w:r>
              <w:rPr>
                <w:rFonts w:hint="default" w:ascii="Times New Roman" w:hAnsi="Times New Roman" w:eastAsia="宋体" w:cs="Times New Roman"/>
                <w:color w:val="000000"/>
                <w:kern w:val="2"/>
                <w:sz w:val="21"/>
                <w:szCs w:val="21"/>
              </w:rPr>
              <w:t>4t/a</w:t>
            </w:r>
            <w:r>
              <w:rPr>
                <w:rFonts w:hint="eastAsia" w:ascii="宋体" w:hAnsi="宋体" w:eastAsia="宋体" w:cs="宋体"/>
                <w:color w:val="000000"/>
                <w:kern w:val="2"/>
                <w:sz w:val="21"/>
                <w:szCs w:val="21"/>
              </w:rPr>
              <w:t>，对周围人员及大气环境影响较小</w:t>
            </w:r>
            <w:r>
              <w:rPr>
                <w:rFonts w:hint="eastAsia" w:ascii="宋体" w:hAnsi="宋体" w:eastAsia="宋体" w:cs="宋体"/>
                <w:color w:val="000000"/>
                <w:kern w:val="2"/>
                <w:sz w:val="21"/>
                <w:szCs w:val="21"/>
                <w:lang w:eastAsia="zh-CN"/>
              </w:rPr>
              <w:t>。</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厂界颗粒物</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满足《大气污染物综合排放标准》（GB16297-1996）表2中无组织排放监控浓度限值</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eastAsia" w:cs="Times New Roman"/>
                <w:color w:val="000000" w:themeColor="text1"/>
                <w:kern w:val="2"/>
                <w:sz w:val="21"/>
                <w:szCs w:val="21"/>
                <w:lang w:val="en-US" w:eastAsia="zh-CN" w:bidi="ar"/>
                <w14:textFill>
                  <w14:solidFill>
                    <w14:schemeClr w14:val="tx1"/>
                  </w14:solidFill>
                </w14:textFill>
              </w:rPr>
              <w:t>3</w:t>
            </w:r>
            <w:r>
              <w:rPr>
                <w:rFonts w:hint="eastAsia" w:ascii="宋体" w:hAnsi="宋体" w:eastAsia="宋体" w:cs="宋体"/>
                <w:color w:val="000000" w:themeColor="text1"/>
                <w:kern w:val="2"/>
                <w:sz w:val="21"/>
                <w:szCs w:val="21"/>
                <w:lang w:val="en-US" w:eastAsia="zh-CN" w:bidi="ar"/>
                <w14:textFill>
                  <w14:solidFill>
                    <w14:schemeClr w14:val="tx1"/>
                  </w14:solidFill>
                </w14:textFill>
              </w:rPr>
              <w:t>）车辆</w:t>
            </w:r>
            <w:r>
              <w:rPr>
                <w:rFonts w:hint="eastAsia" w:ascii="宋体" w:hAnsi="宋体" w:cs="宋体"/>
                <w:color w:val="000000" w:themeColor="text1"/>
                <w:kern w:val="2"/>
                <w:sz w:val="21"/>
                <w:szCs w:val="21"/>
                <w:lang w:val="en-US" w:eastAsia="zh-CN" w:bidi="ar"/>
                <w14:textFill>
                  <w14:solidFill>
                    <w14:schemeClr w14:val="tx1"/>
                  </w14:solidFill>
                </w14:textFill>
              </w:rPr>
              <w:t>尾气</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firstLine="420" w:firstLineChars="200"/>
              <w:jc w:val="both"/>
              <w:textAlignment w:val="auto"/>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本项目</w:t>
            </w:r>
            <w:r>
              <w:rPr>
                <w:rFonts w:hint="eastAsia" w:cs="Times New Roman"/>
                <w:color w:val="000000" w:themeColor="text1"/>
                <w:kern w:val="2"/>
                <w:sz w:val="21"/>
                <w:szCs w:val="21"/>
                <w:lang w:val="en-US" w:eastAsia="zh-CN"/>
                <w14:textFill>
                  <w14:solidFill>
                    <w14:schemeClr w14:val="tx1"/>
                  </w14:solidFill>
                </w14:textFill>
              </w:rPr>
              <w:t>厂区内</w:t>
            </w:r>
            <w:r>
              <w:rPr>
                <w:rFonts w:hint="default" w:ascii="Times New Roman" w:hAnsi="Times New Roman" w:eastAsia="宋体" w:cs="Times New Roman"/>
                <w:color w:val="000000" w:themeColor="text1"/>
                <w:kern w:val="2"/>
                <w:sz w:val="21"/>
                <w:szCs w:val="21"/>
                <w14:textFill>
                  <w14:solidFill>
                    <w14:schemeClr w14:val="tx1"/>
                  </w14:solidFill>
                </w14:textFill>
              </w:rPr>
              <w:t>运输车、装载机等</w:t>
            </w:r>
            <w:r>
              <w:rPr>
                <w:rFonts w:hint="eastAsia" w:cs="Times New Roman"/>
                <w:color w:val="000000" w:themeColor="text1"/>
                <w:kern w:val="2"/>
                <w:sz w:val="21"/>
                <w:szCs w:val="21"/>
                <w:lang w:val="en-US" w:eastAsia="zh-CN"/>
                <w14:textFill>
                  <w14:solidFill>
                    <w14:schemeClr w14:val="tx1"/>
                  </w14:solidFill>
                </w14:textFill>
              </w:rPr>
              <w:t>车辆</w:t>
            </w:r>
            <w:r>
              <w:rPr>
                <w:rFonts w:hint="default" w:ascii="Times New Roman" w:hAnsi="Times New Roman" w:eastAsia="宋体" w:cs="Times New Roman"/>
                <w:color w:val="000000" w:themeColor="text1"/>
                <w:kern w:val="2"/>
                <w:sz w:val="21"/>
                <w:szCs w:val="21"/>
                <w14:textFill>
                  <w14:solidFill>
                    <w14:schemeClr w14:val="tx1"/>
                  </w14:solidFill>
                </w14:textFill>
              </w:rPr>
              <w:t>设备采用柴油作为燃料，燃烧废气中主要污染物为颗粒物、NO</w:t>
            </w:r>
            <w:r>
              <w:rPr>
                <w:rFonts w:hint="default" w:ascii="Times New Roman" w:hAnsi="Times New Roman" w:eastAsia="宋体" w:cs="Times New Roman"/>
                <w:color w:val="000000" w:themeColor="text1"/>
                <w:kern w:val="2"/>
                <w:sz w:val="21"/>
                <w:szCs w:val="21"/>
                <w:vertAlign w:val="subscript"/>
                <w14:textFill>
                  <w14:solidFill>
                    <w14:schemeClr w14:val="tx1"/>
                  </w14:solidFill>
                </w14:textFill>
              </w:rPr>
              <w:t>x</w:t>
            </w:r>
            <w:r>
              <w:rPr>
                <w:rFonts w:hint="default" w:ascii="Times New Roman" w:hAnsi="Times New Roman" w:eastAsia="宋体" w:cs="Times New Roman"/>
                <w:color w:val="000000" w:themeColor="text1"/>
                <w:kern w:val="2"/>
                <w:sz w:val="21"/>
                <w:szCs w:val="21"/>
                <w14:textFill>
                  <w14:solidFill>
                    <w14:schemeClr w14:val="tx1"/>
                  </w14:solidFill>
                </w14:textFill>
              </w:rPr>
              <w:t>、SO</w:t>
            </w:r>
            <w:r>
              <w:rPr>
                <w:rFonts w:hint="default" w:ascii="Times New Roman" w:hAnsi="Times New Roman" w:eastAsia="宋体" w:cs="Times New Roman"/>
                <w:color w:val="000000" w:themeColor="text1"/>
                <w:kern w:val="2"/>
                <w:sz w:val="21"/>
                <w:szCs w:val="21"/>
                <w:vertAlign w:val="subscript"/>
                <w14:textFill>
                  <w14:solidFill>
                    <w14:schemeClr w14:val="tx1"/>
                  </w14:solidFill>
                </w14:textFill>
              </w:rPr>
              <w:t>2</w:t>
            </w:r>
            <w:r>
              <w:rPr>
                <w:rFonts w:hint="default" w:ascii="Times New Roman" w:hAnsi="Times New Roman" w:eastAsia="宋体" w:cs="Times New Roman"/>
                <w:color w:val="000000" w:themeColor="text1"/>
                <w:kern w:val="2"/>
                <w:sz w:val="21"/>
                <w:szCs w:val="21"/>
                <w14:textFill>
                  <w14:solidFill>
                    <w14:schemeClr w14:val="tx1"/>
                  </w14:solidFill>
                </w14:textFill>
              </w:rPr>
              <w:t>、烃类等，属于阶段性排放源，柴油机排放废气达到了《非道路移动机械用柴油机排气污染物排放限</w:t>
            </w:r>
            <w:r>
              <w:rPr>
                <w:rFonts w:hint="eastAsia" w:cs="Times New Roman"/>
                <w:color w:val="000000" w:themeColor="text1"/>
                <w:kern w:val="2"/>
                <w:sz w:val="21"/>
                <w:szCs w:val="21"/>
                <w:lang w:val="en-US" w:eastAsia="zh-CN"/>
                <w14:textFill>
                  <w14:solidFill>
                    <w14:schemeClr w14:val="tx1"/>
                  </w14:solidFill>
                </w14:textFill>
              </w:rPr>
              <w:t>值</w:t>
            </w:r>
            <w:r>
              <w:rPr>
                <w:rFonts w:hint="default" w:ascii="Times New Roman" w:hAnsi="Times New Roman" w:eastAsia="宋体" w:cs="Times New Roman"/>
                <w:color w:val="000000" w:themeColor="text1"/>
                <w:kern w:val="2"/>
                <w:sz w:val="21"/>
                <w:szCs w:val="21"/>
                <w14:textFill>
                  <w14:solidFill>
                    <w14:schemeClr w14:val="tx1"/>
                  </w14:solidFill>
                </w14:textFill>
              </w:rPr>
              <w:t>及测量方法（中国第三、四阶段》（GB20891-2014）中第三阶段限值要求。</w:t>
            </w:r>
            <w:r>
              <w:rPr>
                <w:rFonts w:hint="eastAsia" w:cs="Times New Roman"/>
                <w:color w:val="000000" w:themeColor="text1"/>
                <w:kern w:val="2"/>
                <w:sz w:val="21"/>
                <w:szCs w:val="21"/>
                <w:lang w:val="en-US" w:eastAsia="zh-CN"/>
                <w14:textFill>
                  <w14:solidFill>
                    <w14:schemeClr w14:val="tx1"/>
                  </w14:solidFill>
                </w14:textFill>
              </w:rPr>
              <w:t>厂</w:t>
            </w:r>
            <w:r>
              <w:rPr>
                <w:rFonts w:hint="default" w:ascii="Times New Roman" w:hAnsi="Times New Roman" w:eastAsia="宋体" w:cs="Times New Roman"/>
                <w:color w:val="000000" w:themeColor="text1"/>
                <w:kern w:val="2"/>
                <w:sz w:val="21"/>
                <w:szCs w:val="21"/>
                <w14:textFill>
                  <w14:solidFill>
                    <w14:schemeClr w14:val="tx1"/>
                  </w14:solidFill>
                </w14:textFill>
              </w:rPr>
              <w:t>区场地开阔，地域辽阔扩散条件较好，经自然扩散，柴油机烟气排放及总烃挥发对周围环境影响较小</w:t>
            </w:r>
            <w:r>
              <w:rPr>
                <w:rFonts w:hint="eastAsia" w:cs="Times New Roman"/>
                <w:color w:val="000000" w:themeColor="text1"/>
                <w:kern w:val="2"/>
                <w:sz w:val="21"/>
                <w:szCs w:val="21"/>
                <w:lang w:eastAsia="zh-CN"/>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b w:val="0"/>
                <w:bCs w:val="0"/>
                <w:color w:val="000000"/>
                <w:kern w:val="2"/>
                <w:sz w:val="21"/>
                <w:szCs w:val="21"/>
              </w:rPr>
            </w:pPr>
            <w:r>
              <w:rPr>
                <w:rFonts w:hint="eastAsia" w:ascii="宋体" w:hAnsi="宋体" w:eastAsia="宋体" w:cs="宋体"/>
                <w:b w:val="0"/>
                <w:bCs w:val="0"/>
                <w:color w:val="000000"/>
                <w:kern w:val="2"/>
                <w:sz w:val="21"/>
                <w:szCs w:val="21"/>
                <w:lang w:val="en-US" w:eastAsia="zh-CN" w:bidi="ar"/>
              </w:rPr>
              <w:t>本项目运营期废气产生及排放情况见表</w:t>
            </w:r>
            <w:r>
              <w:rPr>
                <w:rFonts w:hint="default" w:ascii="Times New Roman" w:hAnsi="Times New Roman" w:eastAsia="宋体" w:cs="Times New Roman"/>
                <w:b w:val="0"/>
                <w:bCs w:val="0"/>
                <w:color w:val="000000"/>
                <w:kern w:val="2"/>
                <w:sz w:val="21"/>
                <w:szCs w:val="21"/>
                <w:lang w:val="en-US" w:eastAsia="zh-CN" w:bidi="ar"/>
              </w:rPr>
              <w:t>4-1</w:t>
            </w:r>
            <w:r>
              <w:rPr>
                <w:rFonts w:hint="eastAsia" w:ascii="宋体" w:hAnsi="宋体" w:eastAsia="宋体" w:cs="宋体"/>
                <w:b w:val="0"/>
                <w:bCs w:val="0"/>
                <w:color w:val="000000"/>
                <w:kern w:val="2"/>
                <w:sz w:val="21"/>
                <w:szCs w:val="21"/>
                <w:lang w:val="en-US" w:eastAsia="zh-CN" w:bidi="ar"/>
              </w:rPr>
              <w:t>。</w:t>
            </w:r>
          </w:p>
          <w:p>
            <w:pPr>
              <w:pStyle w:val="20"/>
              <w:keepNext w:val="0"/>
              <w:keepLines w:val="0"/>
              <w:widowControl/>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0"/>
                <w:sz w:val="21"/>
                <w:szCs w:val="21"/>
              </w:rPr>
            </w:pPr>
            <w:r>
              <w:rPr>
                <w:rFonts w:hint="eastAsia" w:ascii="宋体" w:hAnsi="宋体" w:eastAsia="宋体" w:cs="宋体"/>
                <w:b/>
                <w:bCs w:val="0"/>
                <w:color w:val="000000"/>
                <w:kern w:val="0"/>
                <w:sz w:val="21"/>
                <w:szCs w:val="21"/>
                <w:lang w:val="en-US" w:eastAsia="zh-CN" w:bidi="ar"/>
              </w:rPr>
              <w:t>表</w:t>
            </w:r>
            <w:r>
              <w:rPr>
                <w:rFonts w:hint="default" w:ascii="Times New Roman" w:hAnsi="Times New Roman" w:eastAsia="宋体" w:cs="Times New Roman"/>
                <w:b/>
                <w:bCs w:val="0"/>
                <w:color w:val="000000"/>
                <w:kern w:val="0"/>
                <w:sz w:val="21"/>
                <w:szCs w:val="21"/>
                <w:lang w:val="en-US" w:eastAsia="zh-CN" w:bidi="ar"/>
              </w:rPr>
              <w:t xml:space="preserve">4-1  </w:t>
            </w:r>
            <w:r>
              <w:rPr>
                <w:rFonts w:hint="eastAsia" w:ascii="宋体" w:hAnsi="宋体" w:eastAsia="宋体" w:cs="宋体"/>
                <w:b/>
                <w:bCs w:val="0"/>
                <w:color w:val="000000"/>
                <w:kern w:val="0"/>
                <w:sz w:val="21"/>
                <w:szCs w:val="21"/>
                <w:lang w:val="en-US" w:eastAsia="zh-CN" w:bidi="ar"/>
              </w:rPr>
              <w:t>废气污染物产生和排放情况表</w:t>
            </w:r>
          </w:p>
          <w:tbl>
            <w:tblPr>
              <w:tblStyle w:val="23"/>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24"/>
              <w:gridCol w:w="657"/>
              <w:gridCol w:w="1282"/>
              <w:gridCol w:w="1076"/>
              <w:gridCol w:w="1236"/>
              <w:gridCol w:w="927"/>
              <w:gridCol w:w="1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9" w:hRule="atLeast"/>
                <w:jc w:val="center"/>
              </w:trPr>
              <w:tc>
                <w:tcPr>
                  <w:tcW w:w="12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000000"/>
                      <w:kern w:val="2"/>
                      <w:sz w:val="21"/>
                      <w:szCs w:val="21"/>
                    </w:rPr>
                  </w:pPr>
                </w:p>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000000"/>
                      <w:kern w:val="2"/>
                      <w:sz w:val="21"/>
                      <w:szCs w:val="21"/>
                    </w:rPr>
                  </w:pPr>
                  <w:r>
                    <w:rPr>
                      <w:rFonts w:hint="eastAsia" w:ascii="宋体" w:hAnsi="宋体" w:eastAsia="宋体" w:cs="宋体"/>
                      <w:b/>
                      <w:bCs/>
                      <w:color w:val="000000"/>
                      <w:kern w:val="2"/>
                      <w:sz w:val="21"/>
                      <w:szCs w:val="21"/>
                      <w:lang w:val="en-US" w:eastAsia="zh-CN" w:bidi="ar"/>
                    </w:rPr>
                    <w:t>排放源</w:t>
                  </w:r>
                </w:p>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000000"/>
                      <w:kern w:val="2"/>
                      <w:sz w:val="21"/>
                      <w:szCs w:val="21"/>
                    </w:rPr>
                  </w:pPr>
                </w:p>
              </w:tc>
              <w:tc>
                <w:tcPr>
                  <w:tcW w:w="65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000000"/>
                      <w:kern w:val="2"/>
                      <w:sz w:val="21"/>
                      <w:szCs w:val="21"/>
                    </w:rPr>
                  </w:pPr>
                  <w:r>
                    <w:rPr>
                      <w:rFonts w:hint="eastAsia" w:ascii="宋体" w:hAnsi="宋体" w:eastAsia="宋体" w:cs="宋体"/>
                      <w:b/>
                      <w:bCs/>
                      <w:color w:val="000000"/>
                      <w:kern w:val="2"/>
                      <w:sz w:val="21"/>
                      <w:szCs w:val="21"/>
                      <w:lang w:val="en-US" w:eastAsia="zh-CN" w:bidi="ar"/>
                    </w:rPr>
                    <w:t>污染物名称</w:t>
                  </w:r>
                </w:p>
              </w:tc>
              <w:tc>
                <w:tcPr>
                  <w:tcW w:w="128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000000"/>
                      <w:kern w:val="2"/>
                      <w:sz w:val="21"/>
                      <w:szCs w:val="21"/>
                    </w:rPr>
                  </w:pPr>
                  <w:r>
                    <w:rPr>
                      <w:rFonts w:hint="eastAsia" w:ascii="宋体" w:hAnsi="宋体" w:eastAsia="宋体" w:cs="宋体"/>
                      <w:b/>
                      <w:bCs/>
                      <w:color w:val="000000"/>
                      <w:kern w:val="2"/>
                      <w:sz w:val="21"/>
                      <w:szCs w:val="21"/>
                      <w:lang w:val="en-US" w:eastAsia="zh-CN" w:bidi="ar"/>
                    </w:rPr>
                    <w:t>产生量及产生浓度</w:t>
                  </w:r>
                </w:p>
              </w:tc>
              <w:tc>
                <w:tcPr>
                  <w:tcW w:w="10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000000"/>
                      <w:kern w:val="2"/>
                      <w:sz w:val="21"/>
                      <w:szCs w:val="21"/>
                    </w:rPr>
                  </w:pPr>
                  <w:r>
                    <w:rPr>
                      <w:rFonts w:hint="eastAsia" w:ascii="宋体" w:hAnsi="宋体" w:eastAsia="宋体" w:cs="宋体"/>
                      <w:b/>
                      <w:bCs/>
                      <w:color w:val="000000"/>
                      <w:kern w:val="2"/>
                      <w:sz w:val="21"/>
                      <w:szCs w:val="21"/>
                      <w:lang w:val="en-US" w:eastAsia="zh-CN" w:bidi="ar"/>
                    </w:rPr>
                    <w:t>排放量及排放浓度</w:t>
                  </w:r>
                </w:p>
              </w:tc>
              <w:tc>
                <w:tcPr>
                  <w:tcW w:w="123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color w:val="000000"/>
                      <w:kern w:val="2"/>
                      <w:sz w:val="21"/>
                      <w:szCs w:val="21"/>
                    </w:rPr>
                  </w:pPr>
                  <w:r>
                    <w:rPr>
                      <w:rFonts w:hint="eastAsia" w:ascii="宋体" w:hAnsi="宋体" w:eastAsia="宋体" w:cs="宋体"/>
                      <w:b/>
                      <w:bCs/>
                      <w:color w:val="000000"/>
                      <w:kern w:val="2"/>
                      <w:sz w:val="21"/>
                      <w:szCs w:val="21"/>
                      <w:lang w:val="en-US" w:eastAsia="zh-CN" w:bidi="ar"/>
                    </w:rPr>
                    <w:t>处理措施</w:t>
                  </w:r>
                </w:p>
              </w:tc>
              <w:tc>
                <w:tcPr>
                  <w:tcW w:w="9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color w:val="000000"/>
                      <w:kern w:val="2"/>
                      <w:sz w:val="21"/>
                      <w:szCs w:val="21"/>
                    </w:rPr>
                  </w:pPr>
                  <w:r>
                    <w:rPr>
                      <w:rFonts w:hint="eastAsia" w:ascii="宋体" w:hAnsi="宋体" w:eastAsia="宋体" w:cs="宋体"/>
                      <w:b/>
                      <w:bCs/>
                      <w:color w:val="000000"/>
                      <w:kern w:val="2"/>
                      <w:sz w:val="21"/>
                      <w:szCs w:val="21"/>
                      <w:lang w:val="en-US" w:eastAsia="zh-CN" w:bidi="ar"/>
                    </w:rPr>
                    <w:t>是否为可行性技术</w:t>
                  </w:r>
                </w:p>
              </w:tc>
              <w:tc>
                <w:tcPr>
                  <w:tcW w:w="188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color w:val="000000"/>
                      <w:kern w:val="2"/>
                      <w:sz w:val="21"/>
                      <w:szCs w:val="21"/>
                    </w:rPr>
                  </w:pPr>
                  <w:r>
                    <w:rPr>
                      <w:rFonts w:hint="eastAsia" w:ascii="宋体" w:hAnsi="宋体" w:eastAsia="宋体" w:cs="宋体"/>
                      <w:b/>
                      <w:bCs/>
                      <w:color w:val="000000"/>
                      <w:kern w:val="2"/>
                      <w:sz w:val="21"/>
                      <w:szCs w:val="21"/>
                      <w:lang w:val="en-US" w:eastAsia="zh-CN" w:bidi="ar"/>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2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贮存</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粉尘（DA001）</w:t>
                  </w:r>
                </w:p>
              </w:tc>
              <w:tc>
                <w:tcPr>
                  <w:tcW w:w="65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颗粒物</w:t>
                  </w:r>
                </w:p>
              </w:tc>
              <w:tc>
                <w:tcPr>
                  <w:tcW w:w="128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7.2t/a；500mg/m</w:t>
                  </w:r>
                  <w:r>
                    <w:rPr>
                      <w:rFonts w:hint="default" w:ascii="Times New Roman" w:hAnsi="Times New Roman" w:eastAsia="宋体" w:cs="Times New Roman"/>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；2.5kg/h</w:t>
                  </w:r>
                </w:p>
              </w:tc>
              <w:tc>
                <w:tcPr>
                  <w:tcW w:w="10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0.07t/a；5mg/m</w:t>
                  </w:r>
                  <w:r>
                    <w:rPr>
                      <w:rFonts w:hint="default" w:ascii="Times New Roman" w:hAnsi="Times New Roman" w:eastAsia="宋体" w:cs="Times New Roman"/>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；0.03kg/h</w:t>
                  </w:r>
                </w:p>
              </w:tc>
              <w:tc>
                <w:tcPr>
                  <w:tcW w:w="123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布袋除尘器+15m高排气筒</w:t>
                  </w:r>
                </w:p>
              </w:tc>
              <w:tc>
                <w:tcPr>
                  <w:tcW w:w="9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是</w:t>
                  </w:r>
                </w:p>
              </w:tc>
              <w:tc>
                <w:tcPr>
                  <w:tcW w:w="1885"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《大气污染物综合排放标准》（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GB16297-1996</w:t>
                  </w:r>
                  <w:r>
                    <w:rPr>
                      <w:rFonts w:hint="eastAsia" w:ascii="宋体" w:hAnsi="宋体" w:eastAsia="宋体" w:cs="宋体"/>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r>
                    <w:rPr>
                      <w:rFonts w:hint="eastAsia" w:ascii="宋体" w:hAnsi="宋体" w:eastAsia="宋体" w:cs="宋体"/>
                      <w:color w:val="000000" w:themeColor="text1"/>
                      <w:kern w:val="2"/>
                      <w:sz w:val="21"/>
                      <w:szCs w:val="21"/>
                      <w:lang w:val="en-US" w:eastAsia="zh-CN" w:bidi="ar"/>
                      <w14:textFill>
                        <w14:solidFill>
                          <w14:schemeClr w14:val="tx1"/>
                        </w14:solidFill>
                      </w14:textFill>
                    </w:rPr>
                    <w:t>颗粒物排放标准限值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6" w:hRule="atLeast"/>
                <w:jc w:val="center"/>
              </w:trPr>
              <w:tc>
                <w:tcPr>
                  <w:tcW w:w="12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贮存粉尘（DA00</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2</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p>
              </w:tc>
              <w:tc>
                <w:tcPr>
                  <w:tcW w:w="65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颗粒物</w:t>
                  </w:r>
                </w:p>
              </w:tc>
              <w:tc>
                <w:tcPr>
                  <w:tcW w:w="128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7.2t/a；500mg/m</w:t>
                  </w:r>
                  <w:r>
                    <w:rPr>
                      <w:rFonts w:hint="default" w:ascii="Times New Roman" w:hAnsi="Times New Roman" w:eastAsia="宋体" w:cs="Times New Roman"/>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；2.5kg/h</w:t>
                  </w:r>
                </w:p>
              </w:tc>
              <w:tc>
                <w:tcPr>
                  <w:tcW w:w="10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0.07t/a；5mg/m</w:t>
                  </w:r>
                  <w:r>
                    <w:rPr>
                      <w:rFonts w:hint="default" w:ascii="Times New Roman" w:hAnsi="Times New Roman" w:eastAsia="宋体" w:cs="Times New Roman"/>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；0.03kg/h</w:t>
                  </w:r>
                </w:p>
              </w:tc>
              <w:tc>
                <w:tcPr>
                  <w:tcW w:w="123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布袋除尘器+15m高排气筒</w:t>
                  </w:r>
                </w:p>
              </w:tc>
              <w:tc>
                <w:tcPr>
                  <w:tcW w:w="9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是</w:t>
                  </w:r>
                </w:p>
              </w:tc>
              <w:tc>
                <w:tcPr>
                  <w:tcW w:w="1885" w:type="dxa"/>
                  <w:vMerge w:val="continue"/>
                  <w:tcBorders>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themeColor="text1"/>
                      <w:kern w:val="2"/>
                      <w:sz w:val="21"/>
                      <w:szCs w:val="21"/>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224" w:type="dxa"/>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道路运输扬尘</w:t>
                  </w:r>
                </w:p>
              </w:tc>
              <w:tc>
                <w:tcPr>
                  <w:tcW w:w="657" w:type="dxa"/>
                  <w:tcBorders>
                    <w:top w:val="single" w:color="auto" w:sz="4" w:space="0"/>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ind w:left="-105" w:leftChars="-50" w:right="-105" w:rightChars="-5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颗粒物</w:t>
                  </w:r>
                </w:p>
              </w:tc>
              <w:tc>
                <w:tcPr>
                  <w:tcW w:w="1282" w:type="dxa"/>
                  <w:tcBorders>
                    <w:top w:val="single" w:color="auto" w:sz="4" w:space="0"/>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lang w:val="en-US" w:eastAsia="zh-CN" w:bidi="ar"/>
                    </w:rPr>
                    <w:t>0.18</w:t>
                  </w:r>
                  <w:r>
                    <w:rPr>
                      <w:rFonts w:hint="default" w:ascii="Times New Roman" w:hAnsi="Times New Roman" w:eastAsia="宋体" w:cs="Times New Roman"/>
                      <w:color w:val="000000"/>
                      <w:kern w:val="0"/>
                      <w:sz w:val="21"/>
                      <w:szCs w:val="21"/>
                      <w:lang w:val="en-US" w:eastAsia="zh-CN" w:bidi="ar"/>
                    </w:rPr>
                    <w:t>t/a</w:t>
                  </w:r>
                </w:p>
              </w:tc>
              <w:tc>
                <w:tcPr>
                  <w:tcW w:w="1076" w:type="dxa"/>
                  <w:tcBorders>
                    <w:top w:val="single" w:color="auto" w:sz="4" w:space="0"/>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0.</w:t>
                  </w:r>
                  <w:r>
                    <w:rPr>
                      <w:rFonts w:hint="eastAsia" w:ascii="Times New Roman" w:hAnsi="Times New Roman" w:eastAsia="宋体" w:cs="Times New Roman"/>
                      <w:color w:val="000000"/>
                      <w:kern w:val="0"/>
                      <w:sz w:val="21"/>
                      <w:szCs w:val="21"/>
                      <w:lang w:val="en-US" w:eastAsia="zh-CN" w:bidi="ar"/>
                    </w:rPr>
                    <w:t>04</w:t>
                  </w:r>
                  <w:r>
                    <w:rPr>
                      <w:rFonts w:hint="default" w:ascii="Times New Roman" w:hAnsi="Times New Roman" w:eastAsia="宋体" w:cs="Times New Roman"/>
                      <w:color w:val="000000"/>
                      <w:kern w:val="0"/>
                      <w:sz w:val="21"/>
                      <w:szCs w:val="21"/>
                      <w:lang w:val="en-US" w:eastAsia="zh-CN" w:bidi="ar"/>
                    </w:rPr>
                    <w:t>t/a</w:t>
                  </w:r>
                </w:p>
              </w:tc>
              <w:tc>
                <w:tcPr>
                  <w:tcW w:w="1236" w:type="dxa"/>
                  <w:tcBorders>
                    <w:top w:val="single" w:color="auto" w:sz="4" w:space="0"/>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道路硬化、洒水降尘</w:t>
                  </w:r>
                </w:p>
              </w:tc>
              <w:tc>
                <w:tcPr>
                  <w:tcW w:w="9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是</w:t>
                  </w:r>
                </w:p>
              </w:tc>
              <w:tc>
                <w:tcPr>
                  <w:tcW w:w="1885" w:type="dxa"/>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《大气污染物综合排放标准》（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GB16297-1996</w:t>
                  </w:r>
                  <w:r>
                    <w:rPr>
                      <w:rFonts w:hint="eastAsia" w:ascii="宋体" w:hAnsi="宋体" w:eastAsia="宋体" w:cs="宋体"/>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r>
                    <w:rPr>
                      <w:rFonts w:hint="eastAsia" w:ascii="宋体" w:hAnsi="宋体" w:eastAsia="宋体" w:cs="宋体"/>
                      <w:color w:val="000000" w:themeColor="text1"/>
                      <w:kern w:val="2"/>
                      <w:sz w:val="21"/>
                      <w:szCs w:val="21"/>
                      <w:lang w:val="en-US" w:eastAsia="zh-CN" w:bidi="ar"/>
                      <w14:textFill>
                        <w14:solidFill>
                          <w14:schemeClr w14:val="tx1"/>
                        </w14:solidFill>
                      </w14:textFill>
                    </w:rPr>
                    <w:t>中无组织排放监控浓度限值</w:t>
                  </w:r>
                </w:p>
              </w:tc>
            </w:tr>
          </w:tbl>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b/>
                <w:bCs/>
                <w:color w:val="FF0000"/>
                <w:kern w:val="0"/>
                <w:sz w:val="21"/>
                <w:szCs w:val="21"/>
                <w:lang w:val="en-US" w:eastAsia="zh-CN" w:bidi="ar"/>
              </w:rPr>
            </w:pPr>
            <w:r>
              <w:rPr>
                <w:rFonts w:hint="default" w:ascii="Times New Roman" w:hAnsi="Times New Roman" w:eastAsia="宋体" w:cs="Times New Roman"/>
                <w:b/>
                <w:bCs/>
                <w:color w:val="FF0000"/>
                <w:kern w:val="0"/>
                <w:sz w:val="21"/>
                <w:szCs w:val="21"/>
                <w:lang w:val="en-US" w:eastAsia="zh-CN" w:bidi="ar"/>
              </w:rPr>
              <w:t>1.2排放口情况</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left"/>
              <w:textAlignment w:val="auto"/>
              <w:rPr>
                <w:rFonts w:hint="eastAsia" w:ascii="宋体" w:hAnsi="宋体" w:eastAsia="宋体" w:cs="宋体"/>
                <w:color w:val="FF0000"/>
                <w:kern w:val="0"/>
                <w:sz w:val="21"/>
                <w:szCs w:val="21"/>
              </w:rPr>
            </w:pPr>
            <w:r>
              <w:rPr>
                <w:rFonts w:hint="eastAsia" w:ascii="宋体" w:hAnsi="宋体" w:eastAsia="宋体" w:cs="宋体"/>
                <w:color w:val="FF0000"/>
                <w:kern w:val="0"/>
                <w:sz w:val="21"/>
                <w:szCs w:val="21"/>
                <w:lang w:val="en-US" w:eastAsia="zh-CN" w:bidi="ar"/>
              </w:rPr>
              <w:t>本项目运营期大气排放口基本情况统计见表</w:t>
            </w:r>
            <w:r>
              <w:rPr>
                <w:rFonts w:hint="default" w:ascii="Times New Roman" w:hAnsi="Times New Roman" w:eastAsia="宋体" w:cs="Times New Roman"/>
                <w:color w:val="FF0000"/>
                <w:kern w:val="0"/>
                <w:sz w:val="21"/>
                <w:szCs w:val="21"/>
                <w:lang w:val="en-US" w:eastAsia="zh-CN" w:bidi="ar"/>
              </w:rPr>
              <w:t>4-2</w:t>
            </w:r>
            <w:r>
              <w:rPr>
                <w:rFonts w:hint="eastAsia" w:ascii="宋体" w:hAnsi="宋体" w:eastAsia="宋体" w:cs="宋体"/>
                <w:color w:val="FF0000"/>
                <w:kern w:val="0"/>
                <w:sz w:val="21"/>
                <w:szCs w:val="21"/>
                <w:lang w:val="en-US" w:eastAsia="zh-CN" w:bidi="ar"/>
              </w:rPr>
              <w:t>。</w:t>
            </w:r>
          </w:p>
          <w:p>
            <w:pPr>
              <w:pStyle w:val="20"/>
              <w:keepNext w:val="0"/>
              <w:keepLines w:val="0"/>
              <w:widowControl/>
              <w:suppressLineNumbers w:val="0"/>
              <w:adjustRightInd w:val="0"/>
              <w:snapToGrid w:val="0"/>
              <w:spacing w:before="0" w:beforeAutospacing="0" w:after="0" w:afterAutospacing="0"/>
              <w:ind w:left="0" w:right="0"/>
              <w:jc w:val="center"/>
              <w:rPr>
                <w:rFonts w:hint="eastAsia" w:ascii="宋体" w:hAnsi="宋体" w:eastAsia="宋体" w:cs="宋体"/>
                <w:b/>
                <w:bCs w:val="0"/>
                <w:color w:val="FF0000"/>
                <w:kern w:val="0"/>
                <w:sz w:val="21"/>
                <w:szCs w:val="21"/>
                <w:lang w:val="en-US" w:eastAsia="zh-CN" w:bidi="ar"/>
              </w:rPr>
            </w:pPr>
            <w:r>
              <w:rPr>
                <w:rFonts w:hint="eastAsia" w:ascii="宋体" w:hAnsi="宋体" w:eastAsia="宋体" w:cs="宋体"/>
                <w:b/>
                <w:bCs w:val="0"/>
                <w:color w:val="FF0000"/>
                <w:kern w:val="0"/>
                <w:sz w:val="21"/>
                <w:szCs w:val="21"/>
                <w:lang w:val="en-US" w:eastAsia="zh-CN" w:bidi="ar"/>
              </w:rPr>
              <w:t>表</w:t>
            </w:r>
            <w:r>
              <w:rPr>
                <w:rFonts w:hint="default" w:ascii="Times New Roman" w:hAnsi="Times New Roman" w:eastAsia="宋体" w:cs="Times New Roman"/>
                <w:b/>
                <w:bCs w:val="0"/>
                <w:color w:val="FF0000"/>
                <w:kern w:val="0"/>
                <w:sz w:val="21"/>
                <w:szCs w:val="21"/>
                <w:lang w:val="en-US" w:eastAsia="zh-CN" w:bidi="ar"/>
              </w:rPr>
              <w:t>4-</w:t>
            </w:r>
            <w:r>
              <w:rPr>
                <w:rFonts w:hint="eastAsia" w:ascii="Times New Roman" w:hAnsi="Times New Roman" w:eastAsia="宋体" w:cs="Times New Roman"/>
                <w:b/>
                <w:bCs w:val="0"/>
                <w:color w:val="FF0000"/>
                <w:kern w:val="0"/>
                <w:sz w:val="21"/>
                <w:szCs w:val="21"/>
                <w:lang w:val="en-US" w:eastAsia="zh-CN" w:bidi="ar"/>
              </w:rPr>
              <w:t>2</w:t>
            </w:r>
            <w:r>
              <w:rPr>
                <w:rFonts w:hint="default" w:ascii="Times New Roman" w:hAnsi="Times New Roman" w:eastAsia="宋体" w:cs="Times New Roman"/>
                <w:b/>
                <w:bCs w:val="0"/>
                <w:color w:val="FF0000"/>
                <w:kern w:val="0"/>
                <w:sz w:val="21"/>
                <w:szCs w:val="21"/>
                <w:lang w:val="en-US" w:eastAsia="zh-CN" w:bidi="ar"/>
              </w:rPr>
              <w:t xml:space="preserve">  </w:t>
            </w:r>
            <w:r>
              <w:rPr>
                <w:rFonts w:hint="eastAsia" w:ascii="宋体" w:hAnsi="宋体" w:eastAsia="宋体" w:cs="宋体"/>
                <w:b/>
                <w:bCs w:val="0"/>
                <w:color w:val="FF0000"/>
                <w:kern w:val="0"/>
                <w:sz w:val="21"/>
                <w:szCs w:val="21"/>
                <w:lang w:val="en-US" w:eastAsia="zh-CN" w:bidi="ar"/>
              </w:rPr>
              <w:t>废气排放口情况表</w:t>
            </w:r>
          </w:p>
          <w:tbl>
            <w:tblPr>
              <w:tblStyle w:val="23"/>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9"/>
              <w:gridCol w:w="859"/>
              <w:gridCol w:w="741"/>
              <w:gridCol w:w="1639"/>
              <w:gridCol w:w="753"/>
              <w:gridCol w:w="836"/>
              <w:gridCol w:w="511"/>
              <w:gridCol w:w="445"/>
              <w:gridCol w:w="1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5" w:hRule="atLeast"/>
                <w:jc w:val="center"/>
              </w:trPr>
              <w:tc>
                <w:tcPr>
                  <w:tcW w:w="69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排放口编号</w:t>
                  </w:r>
                </w:p>
              </w:tc>
              <w:tc>
                <w:tcPr>
                  <w:tcW w:w="85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排放口名称</w:t>
                  </w:r>
                </w:p>
              </w:tc>
              <w:tc>
                <w:tcPr>
                  <w:tcW w:w="741"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污染物类型</w:t>
                  </w:r>
                </w:p>
              </w:tc>
              <w:tc>
                <w:tcPr>
                  <w:tcW w:w="163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排气筒地理坐标</w:t>
                  </w:r>
                </w:p>
              </w:tc>
              <w:tc>
                <w:tcPr>
                  <w:tcW w:w="753"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排气筒高度/m</w:t>
                  </w:r>
                </w:p>
              </w:tc>
              <w:tc>
                <w:tcPr>
                  <w:tcW w:w="836"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排气筒出口</w:t>
                  </w:r>
                  <w:r>
                    <w:rPr>
                      <w:rFonts w:hint="eastAsia" w:ascii="Times New Roman" w:hAnsi="Times New Roman" w:eastAsia="宋体" w:cs="Times New Roman"/>
                      <w:b/>
                      <w:color w:val="FF0000"/>
                      <w:sz w:val="21"/>
                      <w:szCs w:val="21"/>
                      <w:lang w:val="en-US" w:eastAsia="zh-CN" w:bidi="ar"/>
                    </w:rPr>
                    <w:t>直接</w:t>
                  </w:r>
                  <w:r>
                    <w:rPr>
                      <w:rFonts w:hint="default" w:ascii="Times New Roman" w:hAnsi="Times New Roman" w:eastAsia="宋体" w:cs="Times New Roman"/>
                      <w:b/>
                      <w:color w:val="FF0000"/>
                      <w:sz w:val="21"/>
                      <w:szCs w:val="21"/>
                      <w:lang w:bidi="ar"/>
                    </w:rPr>
                    <w:t>/m</w:t>
                  </w:r>
                </w:p>
              </w:tc>
              <w:tc>
                <w:tcPr>
                  <w:tcW w:w="511"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排气温度/℃</w:t>
                  </w:r>
                </w:p>
              </w:tc>
              <w:tc>
                <w:tcPr>
                  <w:tcW w:w="44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排放类型</w:t>
                  </w:r>
                </w:p>
              </w:tc>
              <w:tc>
                <w:tcPr>
                  <w:tcW w:w="1812"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lang w:bidi="ar"/>
                    </w:rPr>
                    <w:t>排放标准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9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bidi="ar"/>
                    </w:rPr>
                    <w:t>DA001</w:t>
                  </w:r>
                </w:p>
              </w:tc>
              <w:tc>
                <w:tcPr>
                  <w:tcW w:w="85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bidi="ar"/>
                    </w:rPr>
                    <w:t>脉冲布袋除尘器排口</w:t>
                  </w:r>
                </w:p>
              </w:tc>
              <w:tc>
                <w:tcPr>
                  <w:tcW w:w="741"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bidi="ar"/>
                    </w:rPr>
                    <w:t>颗粒物</w:t>
                  </w:r>
                </w:p>
              </w:tc>
              <w:tc>
                <w:tcPr>
                  <w:tcW w:w="1639"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bidi="ar"/>
                    </w:rPr>
                    <w:t>87</w:t>
                  </w:r>
                  <w:r>
                    <w:rPr>
                      <w:rFonts w:hint="default" w:ascii="Times New Roman" w:hAnsi="Times New Roman" w:eastAsia="宋体" w:cs="Times New Roman"/>
                      <w:color w:val="FF0000"/>
                      <w:sz w:val="21"/>
                      <w:szCs w:val="21"/>
                      <w:lang w:bidi="ar"/>
                    </w:rPr>
                    <w:t>°</w:t>
                  </w:r>
                  <w:r>
                    <w:rPr>
                      <w:rFonts w:hint="default" w:ascii="Times New Roman" w:hAnsi="Times New Roman" w:eastAsia="宋体" w:cs="Times New Roman"/>
                      <w:color w:val="FF0000"/>
                      <w:sz w:val="21"/>
                      <w:szCs w:val="21"/>
                      <w:lang w:val="en-US" w:eastAsia="zh-CN" w:bidi="ar"/>
                    </w:rPr>
                    <w:t>8</w:t>
                  </w:r>
                  <w:r>
                    <w:rPr>
                      <w:rFonts w:hint="default" w:ascii="Times New Roman" w:hAnsi="Times New Roman" w:eastAsia="宋体" w:cs="Times New Roman"/>
                      <w:color w:val="FF0000"/>
                      <w:sz w:val="21"/>
                      <w:szCs w:val="21"/>
                      <w:lang w:bidi="ar"/>
                    </w:rPr>
                    <w:t>′</w:t>
                  </w:r>
                  <w:r>
                    <w:rPr>
                      <w:rFonts w:hint="default" w:ascii="Times New Roman" w:hAnsi="Times New Roman" w:eastAsia="宋体" w:cs="Times New Roman"/>
                      <w:color w:val="FF0000"/>
                      <w:sz w:val="21"/>
                      <w:szCs w:val="21"/>
                      <w:lang w:val="en-US" w:eastAsia="zh-CN" w:bidi="ar"/>
                    </w:rPr>
                    <w:t>16.37</w:t>
                  </w:r>
                  <w:r>
                    <w:rPr>
                      <w:rFonts w:hint="default" w:ascii="Times New Roman" w:hAnsi="Times New Roman" w:eastAsia="宋体" w:cs="Times New Roman"/>
                      <w:color w:val="FF0000"/>
                      <w:sz w:val="21"/>
                      <w:szCs w:val="21"/>
                      <w:lang w:bidi="ar"/>
                    </w:rPr>
                    <w:t>″E，</w:t>
                  </w:r>
                  <w:r>
                    <w:rPr>
                      <w:rFonts w:hint="default" w:ascii="Times New Roman" w:hAnsi="Times New Roman" w:eastAsia="宋体" w:cs="Times New Roman"/>
                      <w:color w:val="FF0000"/>
                      <w:sz w:val="21"/>
                      <w:szCs w:val="21"/>
                      <w:lang w:val="en-US" w:eastAsia="zh-CN" w:bidi="ar"/>
                    </w:rPr>
                    <w:t>44</w:t>
                  </w:r>
                  <w:r>
                    <w:rPr>
                      <w:rFonts w:hint="default" w:ascii="Times New Roman" w:hAnsi="Times New Roman" w:eastAsia="宋体" w:cs="Times New Roman"/>
                      <w:color w:val="FF0000"/>
                      <w:sz w:val="21"/>
                      <w:szCs w:val="21"/>
                      <w:lang w:bidi="ar"/>
                    </w:rPr>
                    <w:t>°</w:t>
                  </w:r>
                  <w:r>
                    <w:rPr>
                      <w:rFonts w:hint="default" w:ascii="Times New Roman" w:hAnsi="Times New Roman" w:eastAsia="宋体" w:cs="Times New Roman"/>
                      <w:color w:val="FF0000"/>
                      <w:sz w:val="21"/>
                      <w:szCs w:val="21"/>
                      <w:lang w:val="en-US" w:eastAsia="zh-CN" w:bidi="ar"/>
                    </w:rPr>
                    <w:t>4</w:t>
                  </w:r>
                  <w:r>
                    <w:rPr>
                      <w:rFonts w:hint="default" w:ascii="Times New Roman" w:hAnsi="Times New Roman" w:eastAsia="宋体" w:cs="Times New Roman"/>
                      <w:color w:val="FF0000"/>
                      <w:sz w:val="21"/>
                      <w:szCs w:val="21"/>
                      <w:lang w:bidi="ar"/>
                    </w:rPr>
                    <w:t>′</w:t>
                  </w:r>
                  <w:r>
                    <w:rPr>
                      <w:rFonts w:hint="default" w:ascii="Times New Roman" w:hAnsi="Times New Roman" w:eastAsia="宋体" w:cs="Times New Roman"/>
                      <w:color w:val="FF0000"/>
                      <w:sz w:val="21"/>
                      <w:szCs w:val="21"/>
                      <w:lang w:val="en-US" w:eastAsia="zh-CN" w:bidi="ar"/>
                    </w:rPr>
                    <w:t>37.36</w:t>
                  </w:r>
                  <w:r>
                    <w:rPr>
                      <w:rFonts w:hint="default" w:ascii="Times New Roman" w:hAnsi="Times New Roman" w:eastAsia="宋体" w:cs="Times New Roman"/>
                      <w:color w:val="FF0000"/>
                      <w:sz w:val="21"/>
                      <w:szCs w:val="21"/>
                      <w:lang w:bidi="ar"/>
                    </w:rPr>
                    <w:t>″N</w:t>
                  </w:r>
                </w:p>
              </w:tc>
              <w:tc>
                <w:tcPr>
                  <w:tcW w:w="753"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bidi="ar"/>
                    </w:rPr>
                    <w:t>15</w:t>
                  </w:r>
                </w:p>
              </w:tc>
              <w:tc>
                <w:tcPr>
                  <w:tcW w:w="836"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bidi="ar"/>
                    </w:rPr>
                    <w:t>0.</w:t>
                  </w:r>
                  <w:r>
                    <w:rPr>
                      <w:rFonts w:hint="eastAsia" w:ascii="Times New Roman" w:hAnsi="Times New Roman" w:eastAsia="宋体" w:cs="Times New Roman"/>
                      <w:color w:val="FF0000"/>
                      <w:sz w:val="21"/>
                      <w:szCs w:val="21"/>
                      <w:lang w:val="en-US" w:eastAsia="zh-CN" w:bidi="ar"/>
                    </w:rPr>
                    <w:t>3</w:t>
                  </w:r>
                </w:p>
              </w:tc>
              <w:tc>
                <w:tcPr>
                  <w:tcW w:w="511"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eastAsia" w:ascii="Times New Roman" w:hAnsi="Times New Roman" w:eastAsia="宋体" w:cs="Times New Roman"/>
                      <w:color w:val="FF0000"/>
                      <w:sz w:val="21"/>
                      <w:szCs w:val="21"/>
                      <w:lang w:eastAsia="zh-CN"/>
                    </w:rPr>
                  </w:pPr>
                  <w:r>
                    <w:rPr>
                      <w:rFonts w:hint="eastAsia" w:ascii="Times New Roman" w:hAnsi="Times New Roman" w:eastAsia="宋体" w:cs="Times New Roman"/>
                      <w:color w:val="FF0000"/>
                      <w:sz w:val="21"/>
                      <w:szCs w:val="21"/>
                      <w:lang w:val="en-US" w:eastAsia="zh-CN" w:bidi="ar"/>
                    </w:rPr>
                    <w:t>25</w:t>
                  </w:r>
                </w:p>
              </w:tc>
              <w:tc>
                <w:tcPr>
                  <w:tcW w:w="44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bidi="ar"/>
                    </w:rPr>
                    <w:t>有组织</w:t>
                  </w:r>
                </w:p>
              </w:tc>
              <w:tc>
                <w:tcPr>
                  <w:tcW w:w="1812" w:type="dxa"/>
                  <w:vMerge w:val="restart"/>
                  <w:tcBorders>
                    <w:top w:val="single" w:color="auto" w:sz="4" w:space="0"/>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rPr>
                  </w:pPr>
                  <w:r>
                    <w:rPr>
                      <w:rFonts w:hint="eastAsia" w:ascii="Times New Roman" w:hAnsi="Times New Roman" w:eastAsia="宋体" w:cs="Times New Roman"/>
                      <w:color w:val="FF0000"/>
                      <w:sz w:val="21"/>
                      <w:szCs w:val="21"/>
                      <w:lang w:eastAsia="zh-CN"/>
                    </w:rPr>
                    <w:t>《大气污染物综合排放标准》（GB16297-1996）表2中有组织最高允许排放浓度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99" w:type="dxa"/>
                  <w:tcBorders>
                    <w:top w:val="single" w:color="auto" w:sz="4" w:space="0"/>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eastAsia" w:ascii="Times New Roman" w:hAnsi="Times New Roman" w:eastAsia="宋体" w:cs="Times New Roman"/>
                      <w:color w:val="FF0000"/>
                      <w:sz w:val="21"/>
                      <w:szCs w:val="21"/>
                      <w:lang w:eastAsia="zh-CN" w:bidi="ar"/>
                    </w:rPr>
                  </w:pPr>
                  <w:r>
                    <w:rPr>
                      <w:rFonts w:hint="default" w:ascii="Times New Roman" w:hAnsi="Times New Roman" w:eastAsia="宋体" w:cs="Times New Roman"/>
                      <w:color w:val="FF0000"/>
                      <w:sz w:val="21"/>
                      <w:szCs w:val="21"/>
                      <w:lang w:bidi="ar"/>
                    </w:rPr>
                    <w:t>DA00</w:t>
                  </w:r>
                  <w:r>
                    <w:rPr>
                      <w:rFonts w:hint="eastAsia" w:ascii="Times New Roman" w:hAnsi="Times New Roman" w:eastAsia="宋体" w:cs="Times New Roman"/>
                      <w:color w:val="FF0000"/>
                      <w:sz w:val="21"/>
                      <w:szCs w:val="21"/>
                      <w:lang w:val="en-US" w:eastAsia="zh-CN" w:bidi="ar"/>
                    </w:rPr>
                    <w:t>2</w:t>
                  </w:r>
                </w:p>
              </w:tc>
              <w:tc>
                <w:tcPr>
                  <w:tcW w:w="859" w:type="dxa"/>
                  <w:tcBorders>
                    <w:top w:val="single" w:color="auto" w:sz="4" w:space="0"/>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lang w:bidi="ar"/>
                    </w:rPr>
                  </w:pPr>
                  <w:r>
                    <w:rPr>
                      <w:rFonts w:hint="default" w:ascii="Times New Roman" w:hAnsi="Times New Roman" w:eastAsia="宋体" w:cs="Times New Roman"/>
                      <w:color w:val="FF0000"/>
                      <w:sz w:val="21"/>
                      <w:szCs w:val="21"/>
                      <w:lang w:bidi="ar"/>
                    </w:rPr>
                    <w:t>脉冲布袋除尘器排口</w:t>
                  </w:r>
                </w:p>
              </w:tc>
              <w:tc>
                <w:tcPr>
                  <w:tcW w:w="741" w:type="dxa"/>
                  <w:tcBorders>
                    <w:top w:val="single" w:color="auto" w:sz="4" w:space="0"/>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lang w:bidi="ar"/>
                    </w:rPr>
                  </w:pPr>
                  <w:r>
                    <w:rPr>
                      <w:rFonts w:hint="default" w:ascii="Times New Roman" w:hAnsi="Times New Roman" w:eastAsia="宋体" w:cs="Times New Roman"/>
                      <w:color w:val="FF0000"/>
                      <w:sz w:val="21"/>
                      <w:szCs w:val="21"/>
                      <w:lang w:bidi="ar"/>
                    </w:rPr>
                    <w:t>颗粒物</w:t>
                  </w:r>
                </w:p>
              </w:tc>
              <w:tc>
                <w:tcPr>
                  <w:tcW w:w="1639" w:type="dxa"/>
                  <w:tcBorders>
                    <w:top w:val="single" w:color="auto" w:sz="4" w:space="0"/>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lang w:val="en-US" w:eastAsia="zh-CN" w:bidi="ar"/>
                    </w:rPr>
                  </w:pPr>
                  <w:r>
                    <w:rPr>
                      <w:rFonts w:hint="default" w:ascii="Times New Roman" w:hAnsi="Times New Roman" w:eastAsia="宋体" w:cs="Times New Roman"/>
                      <w:color w:val="FF0000"/>
                      <w:sz w:val="21"/>
                      <w:szCs w:val="21"/>
                      <w:lang w:val="en-US" w:eastAsia="zh-CN" w:bidi="ar"/>
                    </w:rPr>
                    <w:t>87°8′7.32″E，44°4′42.31″N</w:t>
                  </w:r>
                </w:p>
              </w:tc>
              <w:tc>
                <w:tcPr>
                  <w:tcW w:w="753" w:type="dxa"/>
                  <w:tcBorders>
                    <w:top w:val="single" w:color="auto" w:sz="4" w:space="0"/>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lang w:bidi="ar"/>
                    </w:rPr>
                  </w:pPr>
                  <w:r>
                    <w:rPr>
                      <w:rFonts w:hint="default" w:ascii="Times New Roman" w:hAnsi="Times New Roman" w:eastAsia="宋体" w:cs="Times New Roman"/>
                      <w:color w:val="FF0000"/>
                      <w:sz w:val="21"/>
                      <w:szCs w:val="21"/>
                      <w:lang w:bidi="ar"/>
                    </w:rPr>
                    <w:t>15</w:t>
                  </w:r>
                </w:p>
              </w:tc>
              <w:tc>
                <w:tcPr>
                  <w:tcW w:w="836" w:type="dxa"/>
                  <w:tcBorders>
                    <w:top w:val="single" w:color="auto" w:sz="4" w:space="0"/>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lang w:val="en-US" w:eastAsia="zh-CN" w:bidi="ar"/>
                    </w:rPr>
                  </w:pPr>
                  <w:r>
                    <w:rPr>
                      <w:rFonts w:hint="eastAsia" w:ascii="Times New Roman" w:hAnsi="Times New Roman" w:eastAsia="宋体" w:cs="Times New Roman"/>
                      <w:color w:val="FF0000"/>
                      <w:sz w:val="21"/>
                      <w:szCs w:val="21"/>
                      <w:lang w:val="en-US" w:eastAsia="zh-CN" w:bidi="ar"/>
                    </w:rPr>
                    <w:t>0.3</w:t>
                  </w:r>
                </w:p>
              </w:tc>
              <w:tc>
                <w:tcPr>
                  <w:tcW w:w="511" w:type="dxa"/>
                  <w:tcBorders>
                    <w:top w:val="single" w:color="auto" w:sz="4" w:space="0"/>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lang w:bidi="ar"/>
                    </w:rPr>
                  </w:pPr>
                  <w:r>
                    <w:rPr>
                      <w:rFonts w:hint="default" w:ascii="Times New Roman" w:hAnsi="Times New Roman" w:eastAsia="宋体" w:cs="Times New Roman"/>
                      <w:color w:val="FF0000"/>
                      <w:sz w:val="21"/>
                      <w:szCs w:val="21"/>
                      <w:lang w:bidi="ar"/>
                    </w:rPr>
                    <w:t>25</w:t>
                  </w:r>
                </w:p>
              </w:tc>
              <w:tc>
                <w:tcPr>
                  <w:tcW w:w="44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default" w:ascii="Times New Roman" w:hAnsi="Times New Roman" w:eastAsia="宋体" w:cs="Times New Roman"/>
                      <w:color w:val="FF0000"/>
                      <w:sz w:val="21"/>
                      <w:szCs w:val="21"/>
                      <w:lang w:bidi="ar"/>
                    </w:rPr>
                  </w:pPr>
                  <w:r>
                    <w:rPr>
                      <w:rFonts w:hint="default" w:ascii="Times New Roman" w:hAnsi="Times New Roman" w:eastAsia="宋体" w:cs="Times New Roman"/>
                      <w:color w:val="FF0000"/>
                      <w:sz w:val="21"/>
                      <w:szCs w:val="21"/>
                      <w:lang w:bidi="ar"/>
                    </w:rPr>
                    <w:t>有组织</w:t>
                  </w:r>
                </w:p>
              </w:tc>
              <w:tc>
                <w:tcPr>
                  <w:tcW w:w="1812" w:type="dxa"/>
                  <w:vMerge w:val="continue"/>
                  <w:tcBorders>
                    <w:left w:val="single" w:color="auto" w:sz="4" w:space="0"/>
                    <w:right w:val="single" w:color="auto" w:sz="4" w:space="0"/>
                    <w:tl2br w:val="nil"/>
                    <w:tr2bl w:val="nil"/>
                  </w:tcBorders>
                  <w:noWrap w:val="0"/>
                  <w:vAlign w:val="center"/>
                </w:tcPr>
                <w:p>
                  <w:pPr>
                    <w:pStyle w:val="20"/>
                    <w:keepNext w:val="0"/>
                    <w:keepLines w:val="0"/>
                    <w:suppressLineNumbers w:val="0"/>
                    <w:autoSpaceDE w:val="0"/>
                    <w:autoSpaceDN w:val="0"/>
                    <w:spacing w:before="0" w:beforeLines="0" w:beforeAutospacing="0" w:after="0" w:afterLines="0" w:afterAutospacing="0"/>
                    <w:ind w:left="0" w:right="0"/>
                    <w:jc w:val="center"/>
                    <w:rPr>
                      <w:rFonts w:hint="eastAsia" w:ascii="Times New Roman" w:hAnsi="Times New Roman" w:eastAsia="宋体" w:cs="Times New Roman"/>
                      <w:color w:val="FF0000"/>
                      <w:sz w:val="21"/>
                      <w:szCs w:val="21"/>
                      <w:lang w:eastAsia="zh-CN"/>
                    </w:rPr>
                  </w:pPr>
                </w:p>
              </w:tc>
            </w:tr>
          </w:tbl>
          <w:p>
            <w:pPr>
              <w:pStyle w:val="20"/>
              <w:keepNext w:val="0"/>
              <w:keepLines w:val="0"/>
              <w:pageBreakBefore/>
              <w:widowControl w:val="0"/>
              <w:suppressLineNumbers w:val="0"/>
              <w:kinsoku/>
              <w:wordWrap/>
              <w:overflowPunct/>
              <w:topLinePunct w:val="0"/>
              <w:autoSpaceDE/>
              <w:autoSpaceDN/>
              <w:bidi w:val="0"/>
              <w:adjustRightInd w:val="0"/>
              <w:snapToGrid w:val="0"/>
              <w:spacing w:before="0" w:beforeLines="0" w:beforeAutospacing="0" w:after="0" w:afterAutospacing="0" w:line="360" w:lineRule="auto"/>
              <w:ind w:left="0" w:right="0" w:firstLine="0" w:firstLineChars="0"/>
              <w:jc w:val="both"/>
              <w:textAlignment w:val="baseline"/>
              <w:rPr>
                <w:rFonts w:hint="eastAsia" w:ascii="Times New Roman" w:hAnsi="Times New Roman" w:eastAsia="宋体" w:cs="Times New Roman"/>
                <w:b/>
                <w:bCs/>
                <w:color w:val="FF0000"/>
                <w:kern w:val="2"/>
                <w:sz w:val="21"/>
                <w:szCs w:val="21"/>
              </w:rPr>
            </w:pPr>
            <w:r>
              <w:rPr>
                <w:rFonts w:hint="default" w:ascii="Times New Roman" w:hAnsi="Times New Roman" w:eastAsia="宋体" w:cs="Times New Roman"/>
                <w:b/>
                <w:bCs/>
                <w:color w:val="FF0000"/>
                <w:kern w:val="2"/>
                <w:sz w:val="21"/>
                <w:szCs w:val="21"/>
                <w:lang w:val="en-US" w:eastAsia="zh-CN" w:bidi="ar"/>
              </w:rPr>
              <w:t>1.3</w:t>
            </w:r>
            <w:r>
              <w:rPr>
                <w:rFonts w:hint="eastAsia" w:ascii="宋体" w:hAnsi="宋体" w:eastAsia="宋体" w:cs="宋体"/>
                <w:b/>
                <w:bCs/>
                <w:color w:val="FF0000"/>
                <w:kern w:val="2"/>
                <w:sz w:val="21"/>
                <w:szCs w:val="21"/>
                <w:lang w:val="en-US" w:eastAsia="zh-CN" w:bidi="ar"/>
              </w:rPr>
              <w:t>排气筒高度设置合理性分析</w:t>
            </w:r>
          </w:p>
          <w:p>
            <w:pPr>
              <w:pStyle w:val="20"/>
              <w:keepNext w:val="0"/>
              <w:keepLines w:val="0"/>
              <w:pageBreakBefore/>
              <w:widowControl w:val="0"/>
              <w:suppressLineNumbers w:val="0"/>
              <w:kinsoku/>
              <w:wordWrap/>
              <w:overflowPunct/>
              <w:topLinePunct w:val="0"/>
              <w:autoSpaceDE/>
              <w:autoSpaceDN/>
              <w:bidi w:val="0"/>
              <w:adjustRightInd w:val="0"/>
              <w:snapToGrid w:val="0"/>
              <w:spacing w:before="0" w:beforeLines="0" w:beforeAutospacing="0" w:after="0" w:afterAutospacing="0" w:line="360" w:lineRule="auto"/>
              <w:ind w:left="0" w:right="0" w:firstLine="420" w:firstLineChars="200"/>
              <w:jc w:val="both"/>
              <w:textAlignment w:val="baseline"/>
              <w:rPr>
                <w:rFonts w:hint="eastAsia" w:ascii="宋体" w:hAnsi="宋体" w:eastAsia="宋体" w:cs="宋体"/>
                <w:b w:val="0"/>
                <w:bCs w:val="0"/>
                <w:color w:val="FF0000"/>
                <w:kern w:val="2"/>
                <w:sz w:val="21"/>
                <w:szCs w:val="21"/>
                <w:lang w:val="en-US" w:eastAsia="zh-CN" w:bidi="ar"/>
              </w:rPr>
            </w:pPr>
            <w:r>
              <w:rPr>
                <w:rFonts w:hint="eastAsia" w:ascii="宋体" w:hAnsi="宋体" w:eastAsia="宋体" w:cs="宋体"/>
                <w:b w:val="0"/>
                <w:bCs w:val="0"/>
                <w:color w:val="FF0000"/>
                <w:kern w:val="2"/>
                <w:sz w:val="21"/>
                <w:szCs w:val="21"/>
                <w:lang w:val="en-US" w:eastAsia="zh-CN" w:bidi="ar"/>
              </w:rPr>
              <w:t>根据《大气污染物综合排放标准》（</w:t>
            </w:r>
            <w:r>
              <w:rPr>
                <w:rFonts w:hint="default" w:ascii="Times New Roman" w:hAnsi="Times New Roman" w:eastAsia="宋体" w:cs="Times New Roman"/>
                <w:b w:val="0"/>
                <w:bCs w:val="0"/>
                <w:color w:val="FF0000"/>
                <w:kern w:val="2"/>
                <w:sz w:val="21"/>
                <w:szCs w:val="21"/>
                <w:lang w:val="en-US" w:eastAsia="zh-CN" w:bidi="ar"/>
              </w:rPr>
              <w:t>GB16297-1996</w:t>
            </w:r>
            <w:r>
              <w:rPr>
                <w:rFonts w:hint="eastAsia" w:ascii="宋体" w:hAnsi="宋体" w:eastAsia="宋体" w:cs="宋体"/>
                <w:b w:val="0"/>
                <w:bCs w:val="0"/>
                <w:color w:val="FF0000"/>
                <w:kern w:val="2"/>
                <w:sz w:val="21"/>
                <w:szCs w:val="21"/>
                <w:lang w:val="en-US" w:eastAsia="zh-CN" w:bidi="ar"/>
              </w:rPr>
              <w:t>）中</w:t>
            </w:r>
            <w:r>
              <w:rPr>
                <w:rFonts w:hint="default" w:ascii="Times New Roman" w:hAnsi="Times New Roman" w:eastAsia="宋体" w:cs="Times New Roman"/>
                <w:b w:val="0"/>
                <w:bCs w:val="0"/>
                <w:color w:val="FF0000"/>
                <w:kern w:val="2"/>
                <w:sz w:val="21"/>
                <w:szCs w:val="21"/>
                <w:lang w:val="en-US" w:eastAsia="zh-CN" w:bidi="ar"/>
              </w:rPr>
              <w:t>7.1</w:t>
            </w:r>
            <w:r>
              <w:rPr>
                <w:rFonts w:hint="eastAsia" w:ascii="宋体" w:hAnsi="宋体" w:eastAsia="宋体" w:cs="宋体"/>
                <w:b w:val="0"/>
                <w:bCs w:val="0"/>
                <w:color w:val="FF0000"/>
                <w:kern w:val="2"/>
                <w:sz w:val="21"/>
                <w:szCs w:val="21"/>
                <w:lang w:val="en-US" w:eastAsia="zh-CN" w:bidi="ar"/>
              </w:rPr>
              <w:t>排气筒高度除须遵守表列排放速率标准值外，还应高出周围</w:t>
            </w:r>
            <w:r>
              <w:rPr>
                <w:rFonts w:hint="default" w:ascii="Times New Roman" w:hAnsi="Times New Roman" w:eastAsia="宋体" w:cs="Times New Roman"/>
                <w:b w:val="0"/>
                <w:bCs w:val="0"/>
                <w:color w:val="FF0000"/>
                <w:kern w:val="2"/>
                <w:sz w:val="21"/>
                <w:szCs w:val="21"/>
                <w:lang w:val="en-US" w:eastAsia="zh-CN" w:bidi="ar"/>
              </w:rPr>
              <w:t>200m</w:t>
            </w:r>
            <w:r>
              <w:rPr>
                <w:rFonts w:hint="eastAsia" w:ascii="宋体" w:hAnsi="宋体" w:eastAsia="宋体" w:cs="宋体"/>
                <w:b w:val="0"/>
                <w:bCs w:val="0"/>
                <w:color w:val="FF0000"/>
                <w:kern w:val="2"/>
                <w:sz w:val="21"/>
                <w:szCs w:val="21"/>
                <w:lang w:val="en-US" w:eastAsia="zh-CN" w:bidi="ar"/>
              </w:rPr>
              <w:t>半径范围的建筑</w:t>
            </w:r>
            <w:r>
              <w:rPr>
                <w:rFonts w:hint="default" w:ascii="Times New Roman" w:hAnsi="Times New Roman" w:eastAsia="宋体" w:cs="Times New Roman"/>
                <w:b w:val="0"/>
                <w:bCs w:val="0"/>
                <w:color w:val="FF0000"/>
                <w:kern w:val="2"/>
                <w:sz w:val="21"/>
                <w:szCs w:val="21"/>
                <w:lang w:val="en-US" w:eastAsia="zh-CN" w:bidi="ar"/>
              </w:rPr>
              <w:t>5m</w:t>
            </w:r>
            <w:r>
              <w:rPr>
                <w:rFonts w:hint="eastAsia" w:ascii="宋体" w:hAnsi="宋体" w:eastAsia="宋体" w:cs="宋体"/>
                <w:b w:val="0"/>
                <w:bCs w:val="0"/>
                <w:color w:val="FF0000"/>
                <w:kern w:val="2"/>
                <w:sz w:val="21"/>
                <w:szCs w:val="21"/>
                <w:lang w:val="en-US" w:eastAsia="zh-CN" w:bidi="ar"/>
              </w:rPr>
              <w:t>以上，不能达到该要求的排气筒，应按其高度对应的表列排放速率标准值严格</w:t>
            </w:r>
            <w:r>
              <w:rPr>
                <w:rFonts w:hint="default" w:ascii="Times New Roman" w:hAnsi="Times New Roman" w:eastAsia="宋体" w:cs="Times New Roman"/>
                <w:b w:val="0"/>
                <w:bCs w:val="0"/>
                <w:color w:val="FF0000"/>
                <w:kern w:val="2"/>
                <w:sz w:val="21"/>
                <w:szCs w:val="21"/>
                <w:lang w:val="en-US" w:eastAsia="zh-CN" w:bidi="ar"/>
              </w:rPr>
              <w:t>50%</w:t>
            </w:r>
            <w:r>
              <w:rPr>
                <w:rFonts w:hint="eastAsia" w:ascii="宋体" w:hAnsi="宋体" w:eastAsia="宋体" w:cs="宋体"/>
                <w:b w:val="0"/>
                <w:bCs w:val="0"/>
                <w:color w:val="FF0000"/>
                <w:kern w:val="2"/>
                <w:sz w:val="21"/>
                <w:szCs w:val="21"/>
                <w:lang w:val="en-US" w:eastAsia="zh-CN" w:bidi="ar"/>
              </w:rPr>
              <w:t>执行。</w:t>
            </w:r>
            <w:r>
              <w:rPr>
                <w:rFonts w:hint="default" w:ascii="Times New Roman" w:hAnsi="Times New Roman" w:eastAsia="宋体" w:cs="Times New Roman"/>
                <w:b w:val="0"/>
                <w:bCs w:val="0"/>
                <w:color w:val="FF0000"/>
                <w:kern w:val="2"/>
                <w:sz w:val="21"/>
                <w:szCs w:val="21"/>
                <w:lang w:val="en-US" w:eastAsia="zh-CN" w:bidi="ar"/>
              </w:rPr>
              <w:t>7.4</w:t>
            </w:r>
            <w:r>
              <w:rPr>
                <w:rFonts w:hint="eastAsia" w:ascii="宋体" w:hAnsi="宋体" w:eastAsia="宋体" w:cs="宋体"/>
                <w:b w:val="0"/>
                <w:bCs w:val="0"/>
                <w:color w:val="FF0000"/>
                <w:kern w:val="2"/>
                <w:sz w:val="21"/>
                <w:szCs w:val="21"/>
                <w:lang w:val="en-US" w:eastAsia="zh-CN" w:bidi="ar"/>
              </w:rPr>
              <w:t>新污染源的排气筒一般不低于</w:t>
            </w:r>
            <w:r>
              <w:rPr>
                <w:rFonts w:hint="default" w:ascii="Times New Roman" w:hAnsi="Times New Roman" w:eastAsia="宋体" w:cs="Times New Roman"/>
                <w:b w:val="0"/>
                <w:bCs w:val="0"/>
                <w:color w:val="FF0000"/>
                <w:kern w:val="2"/>
                <w:sz w:val="21"/>
                <w:szCs w:val="21"/>
                <w:lang w:val="en-US" w:eastAsia="zh-CN" w:bidi="ar"/>
              </w:rPr>
              <w:t>15m</w:t>
            </w:r>
            <w:r>
              <w:rPr>
                <w:rFonts w:hint="eastAsia" w:ascii="宋体" w:hAnsi="宋体" w:eastAsia="宋体" w:cs="宋体"/>
                <w:b w:val="0"/>
                <w:bCs w:val="0"/>
                <w:color w:val="FF0000"/>
                <w:kern w:val="2"/>
                <w:sz w:val="21"/>
                <w:szCs w:val="21"/>
                <w:lang w:val="en-US" w:eastAsia="zh-CN" w:bidi="ar"/>
              </w:rPr>
              <w:t>。若某新污染源的排气筒必须低于</w:t>
            </w:r>
            <w:r>
              <w:rPr>
                <w:rFonts w:hint="default" w:ascii="Times New Roman" w:hAnsi="Times New Roman" w:eastAsia="宋体" w:cs="Times New Roman"/>
                <w:b w:val="0"/>
                <w:bCs w:val="0"/>
                <w:color w:val="FF0000"/>
                <w:kern w:val="2"/>
                <w:sz w:val="21"/>
                <w:szCs w:val="21"/>
                <w:lang w:val="en-US" w:eastAsia="zh-CN" w:bidi="ar"/>
              </w:rPr>
              <w:t>15m</w:t>
            </w:r>
            <w:r>
              <w:rPr>
                <w:rFonts w:hint="eastAsia" w:ascii="宋体" w:hAnsi="宋体" w:eastAsia="宋体" w:cs="宋体"/>
                <w:b w:val="0"/>
                <w:bCs w:val="0"/>
                <w:color w:val="FF0000"/>
                <w:kern w:val="2"/>
                <w:sz w:val="21"/>
                <w:szCs w:val="21"/>
                <w:lang w:val="en-US" w:eastAsia="zh-CN" w:bidi="ar"/>
              </w:rPr>
              <w:t>时，其排放速率标准值按</w:t>
            </w:r>
            <w:r>
              <w:rPr>
                <w:rFonts w:hint="default" w:ascii="Times New Roman" w:hAnsi="Times New Roman" w:eastAsia="宋体" w:cs="Times New Roman"/>
                <w:b w:val="0"/>
                <w:bCs w:val="0"/>
                <w:color w:val="FF0000"/>
                <w:kern w:val="2"/>
                <w:sz w:val="21"/>
                <w:szCs w:val="21"/>
                <w:lang w:val="en-US" w:eastAsia="zh-CN" w:bidi="ar"/>
              </w:rPr>
              <w:t>7.3</w:t>
            </w:r>
            <w:r>
              <w:rPr>
                <w:rFonts w:hint="eastAsia" w:ascii="宋体" w:hAnsi="宋体" w:eastAsia="宋体" w:cs="宋体"/>
                <w:b w:val="0"/>
                <w:bCs w:val="0"/>
                <w:color w:val="FF0000"/>
                <w:kern w:val="2"/>
                <w:sz w:val="21"/>
                <w:szCs w:val="21"/>
                <w:lang w:val="en-US" w:eastAsia="zh-CN" w:bidi="ar"/>
              </w:rPr>
              <w:t>的外推计算结果再严格</w:t>
            </w:r>
            <w:r>
              <w:rPr>
                <w:rFonts w:hint="default" w:ascii="Times New Roman" w:hAnsi="Times New Roman" w:eastAsia="宋体" w:cs="Times New Roman"/>
                <w:b w:val="0"/>
                <w:bCs w:val="0"/>
                <w:color w:val="FF0000"/>
                <w:kern w:val="2"/>
                <w:sz w:val="21"/>
                <w:szCs w:val="21"/>
                <w:lang w:val="en-US" w:eastAsia="zh-CN" w:bidi="ar"/>
              </w:rPr>
              <w:t>50%</w:t>
            </w:r>
            <w:r>
              <w:rPr>
                <w:rFonts w:hint="eastAsia" w:ascii="宋体" w:hAnsi="宋体" w:eastAsia="宋体" w:cs="宋体"/>
                <w:b w:val="0"/>
                <w:bCs w:val="0"/>
                <w:color w:val="FF0000"/>
                <w:kern w:val="2"/>
                <w:sz w:val="21"/>
                <w:szCs w:val="21"/>
                <w:lang w:val="en-US" w:eastAsia="zh-CN" w:bidi="ar"/>
              </w:rPr>
              <w:t>执行。</w:t>
            </w:r>
          </w:p>
          <w:p>
            <w:pPr>
              <w:pStyle w:val="20"/>
              <w:keepNext w:val="0"/>
              <w:keepLines w:val="0"/>
              <w:pageBreakBefore/>
              <w:widowControl w:val="0"/>
              <w:suppressLineNumbers w:val="0"/>
              <w:kinsoku/>
              <w:wordWrap/>
              <w:overflowPunct/>
              <w:topLinePunct w:val="0"/>
              <w:autoSpaceDE/>
              <w:autoSpaceDN/>
              <w:bidi w:val="0"/>
              <w:adjustRightInd w:val="0"/>
              <w:snapToGrid w:val="0"/>
              <w:spacing w:before="0" w:beforeLines="0" w:beforeAutospacing="0" w:after="0" w:afterAutospacing="0" w:line="360" w:lineRule="auto"/>
              <w:ind w:left="0" w:right="0" w:firstLine="420" w:firstLineChars="200"/>
              <w:jc w:val="both"/>
              <w:textAlignment w:val="baseline"/>
              <w:rPr>
                <w:rFonts w:hint="eastAsia" w:ascii="Times New Roman" w:hAnsi="Times New Roman" w:eastAsia="宋体" w:cs="Times New Roman"/>
                <w:b w:val="0"/>
                <w:bCs w:val="0"/>
                <w:color w:val="FF0000"/>
                <w:kern w:val="2"/>
                <w:sz w:val="21"/>
                <w:szCs w:val="21"/>
              </w:rPr>
            </w:pPr>
            <w:r>
              <w:rPr>
                <w:rFonts w:hint="eastAsia" w:ascii="宋体" w:hAnsi="宋体" w:eastAsia="宋体" w:cs="宋体"/>
                <w:b w:val="0"/>
                <w:bCs w:val="0"/>
                <w:color w:val="FF0000"/>
                <w:kern w:val="2"/>
                <w:sz w:val="21"/>
                <w:szCs w:val="21"/>
                <w:lang w:val="en-US" w:eastAsia="zh-CN" w:bidi="ar"/>
              </w:rPr>
              <w:t>根据现场踏勘，项目区周</w:t>
            </w:r>
            <w:r>
              <w:rPr>
                <w:rFonts w:hint="default" w:ascii="Times New Roman" w:hAnsi="Times New Roman" w:eastAsia="宋体" w:cs="Times New Roman"/>
                <w:b w:val="0"/>
                <w:bCs w:val="0"/>
                <w:color w:val="FF0000"/>
                <w:kern w:val="2"/>
                <w:sz w:val="21"/>
                <w:szCs w:val="21"/>
                <w:lang w:val="en-US" w:eastAsia="zh-CN" w:bidi="ar"/>
              </w:rPr>
              <w:t>边200m半径范围建筑高度均不超过10m，本项目运营期每个粉煤灰储备库配备一套脉冲布袋除尘器和15m高排气筒，均在粉煤灰储备库附近地面设置，设置排气筒高度不低于15m，排气筒高度设置合理</w:t>
            </w:r>
            <w:r>
              <w:rPr>
                <w:rFonts w:hint="eastAsia" w:ascii="宋体" w:hAnsi="宋体" w:eastAsia="宋体" w:cs="宋体"/>
                <w:b w:val="0"/>
                <w:bCs w:val="0"/>
                <w:color w:val="FF0000"/>
                <w:kern w:val="2"/>
                <w:sz w:val="21"/>
                <w:szCs w:val="21"/>
                <w:lang w:val="en-US" w:eastAsia="zh-CN" w:bidi="ar"/>
              </w:rPr>
              <w:t>。</w:t>
            </w:r>
          </w:p>
          <w:p>
            <w:pPr>
              <w:keepNext w:val="0"/>
              <w:keepLines w:val="0"/>
              <w:widowControl/>
              <w:suppressLineNumbers w:val="0"/>
              <w:kinsoku/>
              <w:wordWrap/>
              <w:overflowPunct/>
              <w:topLinePunct w:val="0"/>
              <w:autoSpaceDN/>
              <w:bidi w:val="0"/>
              <w:adjustRightInd w:val="0"/>
              <w:snapToGrid w:val="0"/>
              <w:spacing w:before="0" w:beforeAutospacing="0" w:after="0" w:afterAutospacing="0" w:line="360" w:lineRule="auto"/>
              <w:ind w:left="0" w:leftChars="0" w:right="0"/>
              <w:jc w:val="both"/>
              <w:rPr>
                <w:rFonts w:hint="default" w:ascii="Times New Roman" w:hAnsi="Times New Roman"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1.</w:t>
            </w:r>
            <w:r>
              <w:rPr>
                <w:rFonts w:hint="eastAsia" w:cs="Times New Roman"/>
                <w:b/>
                <w:bCs/>
                <w:color w:val="000000" w:themeColor="text1"/>
                <w:kern w:val="2"/>
                <w:sz w:val="21"/>
                <w:szCs w:val="21"/>
                <w:lang w:val="en-US" w:eastAsia="zh-CN" w:bidi="ar"/>
                <w14:textFill>
                  <w14:solidFill>
                    <w14:schemeClr w14:val="tx1"/>
                  </w14:solidFill>
                </w14:textFill>
              </w:rPr>
              <w:t>4</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污染物防治措施达标可行性分析</w:t>
            </w:r>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firstLine="420" w:firstLineChars="200"/>
              <w:jc w:val="both"/>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本项目粉煤灰贮存粉尘收集后经脉冲布袋除尘器处理后通过15m高排气筒排放。物料输送采用密闭式提升机输送，厂区地面做好硬化处理，本项目采用的废气治理措施均为可行性技术。</w:t>
            </w:r>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firstLine="420" w:firstLineChars="200"/>
              <w:jc w:val="both"/>
              <w:rPr>
                <w:rFonts w:hint="default" w:ascii="宋体" w:hAnsi="宋体" w:cs="宋体"/>
                <w:color w:val="000000" w:themeColor="text1"/>
                <w:sz w:val="21"/>
                <w:szCs w:val="21"/>
                <w:lang w:bidi="ar"/>
                <w14:textFill>
                  <w14:solidFill>
                    <w14:schemeClr w14:val="tx1"/>
                  </w14:solidFill>
                </w14:textFill>
              </w:rPr>
            </w:pPr>
            <w:r>
              <w:rPr>
                <w:rFonts w:hint="eastAsia" w:ascii="宋体" w:hAnsi="宋体" w:cs="宋体"/>
                <w:color w:val="000000" w:themeColor="text1"/>
                <w:sz w:val="21"/>
                <w:szCs w:val="21"/>
                <w:lang w:val="en-US" w:eastAsia="zh-CN" w:bidi="ar"/>
                <w14:textFill>
                  <w14:solidFill>
                    <w14:schemeClr w14:val="tx1"/>
                  </w14:solidFill>
                </w14:textFill>
              </w:rPr>
              <w:t>脉冲布袋除尘器工作原理：当含尘气体由进风口进入除尘器，首先碰到进出风口中间的斜板及挡板，气流便转向流入灰斗，同时气流速度放慢，由于惯性作用，使气体中粗颗粒粉尘直接流入灰斗。起到预先收尘的作用，进入灰斗的气流随后折而向上通过内部装有金属骨架的布袋，粉尘被捕集在布袋的外表面，净化后的气体进入布袋室上部清洁室，汇集到出风口排出。含尘气体通过布袋净化的过程中，随着时间的增加而积附在布袋上的粉尘越来越多，从而增加布袋阻力，致使处理风量逐渐减少。为了使除尘器正常工作，必须经常对布袋进行清灰，清灰时由控制仪顺序触发各控制阀并开启阀，气箱内的压缩空气由喷吹管各孔经文氏管喷射到各相应的布袋内，布袋瞬间急剧膨胀，使积附在布袋表面的粉尘脱落，布袋得到再生。粉尘落入灰斗，经排灰系统排出机体，经处理后的颗粒物达标排放，处理措施可行。</w:t>
            </w:r>
          </w:p>
          <w:p>
            <w:pPr>
              <w:pStyle w:val="20"/>
              <w:keepNext w:val="0"/>
              <w:keepLines w:val="0"/>
              <w:pageBreakBefore/>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both"/>
              <w:textAlignment w:val="baseline"/>
              <w:rPr>
                <w:rFonts w:hint="default" w:ascii="Times New Roman" w:hAnsi="Times New Roman" w:cs="Times New Roman"/>
                <w:b/>
                <w:bCs/>
                <w:color w:val="000000" w:themeColor="text1"/>
                <w:kern w:val="2"/>
                <w:sz w:val="21"/>
                <w:szCs w:val="21"/>
                <w:vertAlign w:val="baseline"/>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
                <w14:textFill>
                  <w14:solidFill>
                    <w14:schemeClr w14:val="tx1"/>
                  </w14:solidFill>
                </w14:textFill>
              </w:rPr>
              <w:t>1.</w:t>
            </w:r>
            <w:r>
              <w:rPr>
                <w:rFonts w:hint="eastAsia" w:ascii="Times New Roman" w:hAnsi="Times New Roman" w:eastAsia="宋体" w:cs="Times New Roman"/>
                <w:b/>
                <w:bCs/>
                <w:color w:val="000000" w:themeColor="text1"/>
                <w:kern w:val="2"/>
                <w:sz w:val="21"/>
                <w:szCs w:val="21"/>
                <w:vertAlign w:val="baseline"/>
                <w:lang w:val="en-US" w:eastAsia="zh-CN" w:bidi="ar"/>
                <w14:textFill>
                  <w14:solidFill>
                    <w14:schemeClr w14:val="tx1"/>
                  </w14:solidFill>
                </w14:textFill>
              </w:rPr>
              <w:t>5</w:t>
            </w:r>
            <w:r>
              <w:rPr>
                <w:rFonts w:hint="eastAsia" w:ascii="宋体" w:hAnsi="宋体" w:eastAsia="宋体" w:cs="宋体"/>
                <w:b/>
                <w:bCs/>
                <w:color w:val="000000" w:themeColor="text1"/>
                <w:kern w:val="2"/>
                <w:sz w:val="21"/>
                <w:szCs w:val="21"/>
                <w:vertAlign w:val="baseline"/>
                <w:lang w:val="en-US" w:eastAsia="zh-CN" w:bidi="ar"/>
                <w14:textFill>
                  <w14:solidFill>
                    <w14:schemeClr w14:val="tx1"/>
                  </w14:solidFill>
                </w14:textFill>
              </w:rPr>
              <w:t>非正常工况下废气排放情况</w:t>
            </w:r>
          </w:p>
          <w:p>
            <w:pPr>
              <w:pStyle w:val="20"/>
              <w:keepNext w:val="0"/>
              <w:keepLines w:val="0"/>
              <w:pageBreakBefore/>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firstLine="420" w:firstLineChars="200"/>
              <w:jc w:val="both"/>
              <w:textAlignment w:val="baseline"/>
              <w:rPr>
                <w:rFonts w:hint="default" w:ascii="Times New Roman" w:hAnsi="Times New Roman" w:eastAsia="黑体" w:cs="Times New Roman"/>
                <w:color w:val="000000" w:themeColor="text1"/>
                <w:kern w:val="2"/>
                <w:sz w:val="21"/>
                <w:szCs w:val="21"/>
                <w:vertAlign w:val="baseline"/>
                <w14:textFill>
                  <w14:solidFill>
                    <w14:schemeClr w14:val="tx1"/>
                  </w14:solidFill>
                </w14:textFill>
              </w:rPr>
            </w:pP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《污染源源强核算技术指南</w:t>
            </w:r>
            <w:r>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 xml:space="preserve"> </w:t>
            </w: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准则》（</w:t>
            </w:r>
            <w:r>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HJ884-2018</w:t>
            </w: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）中指出生产设施非正常工况是指开停炉（机）、设备检修、工艺设备运转异常等工况，污染防治（控制）设施非正常状况达不到应有治理效率或同步运转率等情况。</w:t>
            </w:r>
          </w:p>
          <w:p>
            <w:pPr>
              <w:pStyle w:val="20"/>
              <w:keepNext w:val="0"/>
              <w:keepLines w:val="0"/>
              <w:pageBreakBefore/>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firstLine="420" w:firstLineChars="200"/>
              <w:jc w:val="both"/>
              <w:textAlignment w:val="baseline"/>
              <w:rPr>
                <w:rFonts w:hint="eastAsia" w:ascii="宋体" w:hAnsi="宋体" w:eastAsia="宋体" w:cs="宋体"/>
                <w:color w:val="000000" w:themeColor="text1"/>
                <w:kern w:val="2"/>
                <w:sz w:val="21"/>
                <w:szCs w:val="21"/>
                <w:vertAlign w:val="baseline"/>
                <w14:textFill>
                  <w14:solidFill>
                    <w14:schemeClr w14:val="tx1"/>
                  </w14:solidFill>
                </w14:textFill>
              </w:rPr>
            </w:pP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根据本项目实际情况，本项目废气排放的非正常工况主要发生在污染防治（控制）设施非正常状况，主要为废气治理措施故障，废气未经处理直接排放，其排放情况</w:t>
            </w:r>
            <w:r>
              <w:rPr>
                <w:rFonts w:hint="eastAsia" w:eastAsia="宋体" w:cs="宋体"/>
                <w:color w:val="000000" w:themeColor="text1"/>
                <w:kern w:val="2"/>
                <w:sz w:val="21"/>
                <w:szCs w:val="21"/>
                <w:vertAlign w:val="baseline"/>
                <w:lang w:val="en-US" w:eastAsia="zh-CN" w:bidi="ar"/>
                <w14:textFill>
                  <w14:solidFill>
                    <w14:schemeClr w14:val="tx1"/>
                  </w14:solidFill>
                </w14:textFill>
              </w:rPr>
              <w:t>详见</w:t>
            </w:r>
            <w:r>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表4-</w:t>
            </w:r>
            <w:r>
              <w:rPr>
                <w:rFonts w:hint="eastAsia"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3</w:t>
            </w: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w:t>
            </w:r>
          </w:p>
          <w:p>
            <w:pPr>
              <w:pStyle w:val="20"/>
              <w:keepNext w:val="0"/>
              <w:keepLines w:val="0"/>
              <w:pageBreakBefore/>
              <w:widowControl w:val="0"/>
              <w:suppressLineNumbers w:val="0"/>
              <w:autoSpaceDE w:val="0"/>
              <w:autoSpaceDN/>
              <w:adjustRightInd w:val="0"/>
              <w:spacing w:before="0" w:beforeAutospacing="0" w:after="0" w:afterAutospacing="0"/>
              <w:ind w:left="0" w:right="0" w:firstLine="422" w:firstLineChars="200"/>
              <w:jc w:val="center"/>
              <w:textAlignment w:val="baseline"/>
              <w:rPr>
                <w:rFonts w:hint="eastAsia" w:ascii="宋体" w:hAnsi="宋体" w:eastAsia="宋体" w:cs="宋体"/>
                <w:b/>
                <w:bCs/>
                <w:color w:val="000000" w:themeColor="text1"/>
                <w:kern w:val="2"/>
                <w:sz w:val="21"/>
                <w:szCs w:val="21"/>
                <w:vertAlign w:val="baseline"/>
                <w14:textFill>
                  <w14:solidFill>
                    <w14:schemeClr w14:val="tx1"/>
                  </w14:solidFill>
                </w14:textFill>
              </w:rPr>
            </w:pPr>
            <w:r>
              <w:rPr>
                <w:rFonts w:hint="eastAsia" w:ascii="宋体" w:hAnsi="宋体" w:eastAsia="宋体" w:cs="宋体"/>
                <w:b/>
                <w:bCs/>
                <w:color w:val="000000" w:themeColor="text1"/>
                <w:kern w:val="2"/>
                <w:sz w:val="21"/>
                <w:szCs w:val="21"/>
                <w:vertAlign w:val="baseline"/>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vertAlign w:val="baseline"/>
                <w:lang w:val="en-US" w:eastAsia="zh-CN" w:bidi="ar"/>
                <w14:textFill>
                  <w14:solidFill>
                    <w14:schemeClr w14:val="tx1"/>
                  </w14:solidFill>
                </w14:textFill>
              </w:rPr>
              <w:t>4-</w:t>
            </w:r>
            <w:r>
              <w:rPr>
                <w:rFonts w:hint="eastAsia" w:ascii="Times New Roman" w:hAnsi="Times New Roman" w:eastAsia="宋体" w:cs="Times New Roman"/>
                <w:b/>
                <w:bCs/>
                <w:color w:val="000000" w:themeColor="text1"/>
                <w:kern w:val="2"/>
                <w:sz w:val="21"/>
                <w:szCs w:val="21"/>
                <w:vertAlign w:val="baseline"/>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2"/>
                <w:sz w:val="21"/>
                <w:szCs w:val="21"/>
                <w:vertAlign w:val="baseline"/>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vertAlign w:val="baseline"/>
                <w:lang w:val="en-US" w:eastAsia="zh-CN" w:bidi="ar"/>
                <w14:textFill>
                  <w14:solidFill>
                    <w14:schemeClr w14:val="tx1"/>
                  </w14:solidFill>
                </w14:textFill>
              </w:rPr>
              <w:t>污染源非正常排放量一览表</w:t>
            </w:r>
          </w:p>
          <w:tbl>
            <w:tblPr>
              <w:tblStyle w:val="2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92"/>
              <w:gridCol w:w="910"/>
              <w:gridCol w:w="1359"/>
              <w:gridCol w:w="1271"/>
              <w:gridCol w:w="1089"/>
              <w:gridCol w:w="909"/>
              <w:gridCol w:w="1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非正常</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排放源</w:t>
                  </w:r>
                </w:p>
              </w:tc>
              <w:tc>
                <w:tcPr>
                  <w:tcW w:w="9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污染物</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名称</w:t>
                  </w:r>
                </w:p>
              </w:tc>
              <w:tc>
                <w:tcPr>
                  <w:tcW w:w="1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非正常排放浓度（</w:t>
                  </w: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mg/m</w:t>
                  </w:r>
                  <w:r>
                    <w:rPr>
                      <w:rFonts w:hint="default" w:ascii="Times New Roman" w:hAnsi="Times New Roman" w:eastAsia="宋体" w:cs="Times New Roman"/>
                      <w:b/>
                      <w:bCs/>
                      <w:color w:val="000000" w:themeColor="text1"/>
                      <w:kern w:val="0"/>
                      <w:sz w:val="18"/>
                      <w:szCs w:val="18"/>
                      <w:vertAlign w:val="superscript"/>
                      <w:lang w:val="en-US" w:eastAsia="zh-CN" w:bidi="ar"/>
                      <w14:textFill>
                        <w14:solidFill>
                          <w14:schemeClr w14:val="tx1"/>
                        </w14:solidFill>
                      </w14:textFill>
                    </w:rPr>
                    <w:t>3</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非正常排放速率（</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kg/h</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单次持续时间</w:t>
                  </w:r>
                </w:p>
              </w:tc>
              <w:tc>
                <w:tcPr>
                  <w:tcW w:w="9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年发生频次</w:t>
                  </w:r>
                </w:p>
              </w:tc>
              <w:tc>
                <w:tcPr>
                  <w:tcW w:w="16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000000" w:themeColor="text1"/>
                      <w:kern w:val="2"/>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DA001</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DA002</w:t>
                  </w:r>
                </w:p>
              </w:tc>
              <w:tc>
                <w:tcPr>
                  <w:tcW w:w="9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颗粒物</w:t>
                  </w:r>
                </w:p>
              </w:tc>
              <w:tc>
                <w:tcPr>
                  <w:tcW w:w="1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500</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2.50</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小时</w:t>
                  </w:r>
                </w:p>
              </w:tc>
              <w:tc>
                <w:tcPr>
                  <w:tcW w:w="9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次</w:t>
                  </w:r>
                </w:p>
              </w:tc>
              <w:tc>
                <w:tcPr>
                  <w:tcW w:w="167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000000" w:themeColor="text1"/>
                      <w:kern w:val="2"/>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停车检修，待治理设施正常运行后进行生产</w:t>
                  </w:r>
                </w:p>
              </w:tc>
            </w:tr>
          </w:tbl>
          <w:p>
            <w:pPr>
              <w:pStyle w:val="20"/>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jc w:val="both"/>
              <w:textAlignment w:val="baseline"/>
              <w:rPr>
                <w:rFonts w:hint="eastAsia" w:ascii="宋体" w:hAnsi="宋体" w:eastAsia="宋体" w:cs="宋体"/>
                <w:color w:val="000000" w:themeColor="text1"/>
                <w:kern w:val="2"/>
                <w:sz w:val="21"/>
                <w:szCs w:val="21"/>
                <w:vertAlign w:val="baseline"/>
                <w14:textFill>
                  <w14:solidFill>
                    <w14:schemeClr w14:val="tx1"/>
                  </w14:solidFill>
                </w14:textFill>
              </w:rPr>
            </w:pP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由上表可知，非正常工况下，废气污染物超标排放。为防止生产废气非正常工况排放，所以企业必须加强废气处理设施的管理，定期检修，确保环保设备正常运行，发生设备故障时及时维修，避免废气非正常排放污染环境。为杜绝废气非正常排放，应采取以下措施确保废气达标排放。</w:t>
            </w:r>
          </w:p>
          <w:p>
            <w:pPr>
              <w:pStyle w:val="20"/>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黑体" w:cs="Times New Roman"/>
                <w:color w:val="000000" w:themeColor="text1"/>
                <w:kern w:val="2"/>
                <w:sz w:val="21"/>
                <w:szCs w:val="21"/>
                <w:vertAlign w:val="baseline"/>
                <w14:textFill>
                  <w14:solidFill>
                    <w14:schemeClr w14:val="tx1"/>
                  </w14:solidFill>
                </w14:textFill>
              </w:rPr>
            </w:pP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1</w:t>
            </w: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）安排专人负责环保设备的日常维护和管理，每隔固定时间检查、汇报情况，及时发现废气处理设备的隐患，确保废气处理系统正常运行</w:t>
            </w:r>
            <w:r>
              <w:rPr>
                <w:rFonts w:hint="eastAsia" w:eastAsia="宋体" w:cs="宋体"/>
                <w:color w:val="000000" w:themeColor="text1"/>
                <w:kern w:val="2"/>
                <w:sz w:val="21"/>
                <w:szCs w:val="21"/>
                <w:vertAlign w:val="baseline"/>
                <w:lang w:val="en-US" w:eastAsia="zh-CN" w:bidi="ar"/>
                <w14:textFill>
                  <w14:solidFill>
                    <w14:schemeClr w14:val="tx1"/>
                  </w14:solidFill>
                </w14:textFill>
              </w:rPr>
              <w:t>。</w:t>
            </w:r>
          </w:p>
          <w:p>
            <w:pPr>
              <w:pStyle w:val="20"/>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（2）建立健全的环保管理机构，对环保管理人员和技术人员进行岗位培训，委托具有专业资质的环境检测单位对项目排放的污染物进行定期检测</w:t>
            </w:r>
            <w:r>
              <w:rPr>
                <w:rFonts w:hint="eastAsia"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w:t>
            </w:r>
          </w:p>
          <w:p>
            <w:pPr>
              <w:pStyle w:val="20"/>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vertAlign w:val="baseline"/>
                <w:lang w:val="en-US" w:eastAsia="zh-CN" w:bidi="ar"/>
                <w14:textFill>
                  <w14:solidFill>
                    <w14:schemeClr w14:val="tx1"/>
                  </w14:solidFill>
                </w14:textFill>
              </w:rPr>
              <w:t>（3）应定期维护、检修废气处理装置，以保持废气处理装置的处理能力。</w:t>
            </w:r>
          </w:p>
          <w:p>
            <w:pPr>
              <w:pStyle w:val="20"/>
              <w:keepNext w:val="0"/>
              <w:keepLines w:val="0"/>
              <w:widowControl w:val="0"/>
              <w:suppressLineNumbers w:val="0"/>
              <w:autoSpaceDE w:val="0"/>
              <w:autoSpaceDN/>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color w:val="FF0000"/>
                <w:kern w:val="2"/>
                <w:sz w:val="21"/>
                <w:szCs w:val="21"/>
                <w:vertAlign w:val="baseline"/>
                <w:lang w:val="en-US" w:eastAsia="zh-CN" w:bidi="ar"/>
              </w:rPr>
            </w:pPr>
            <w:r>
              <w:rPr>
                <w:rFonts w:hint="eastAsia" w:ascii="Times New Roman" w:hAnsi="Times New Roman" w:eastAsia="宋体" w:cs="Times New Roman"/>
                <w:color w:val="FF0000"/>
                <w:kern w:val="2"/>
                <w:sz w:val="21"/>
                <w:szCs w:val="21"/>
                <w:vertAlign w:val="baseline"/>
                <w:lang w:val="en-US" w:eastAsia="zh-CN" w:bidi="ar"/>
              </w:rPr>
              <w:t>（4）运营期装卸过程</w:t>
            </w:r>
            <w:r>
              <w:rPr>
                <w:rFonts w:hint="default" w:ascii="Times New Roman" w:hAnsi="Times New Roman" w:eastAsia="宋体" w:cs="Times New Roman"/>
                <w:color w:val="FF0000"/>
                <w:kern w:val="2"/>
                <w:sz w:val="21"/>
                <w:szCs w:val="21"/>
                <w:vertAlign w:val="baseline"/>
                <w:lang w:val="en-US" w:eastAsia="zh-CN" w:bidi="ar"/>
              </w:rPr>
              <w:t>因操作不当（如管道连接密封不严）</w:t>
            </w:r>
            <w:r>
              <w:rPr>
                <w:rFonts w:hint="eastAsia" w:ascii="Times New Roman" w:hAnsi="Times New Roman" w:eastAsia="宋体" w:cs="Times New Roman"/>
                <w:color w:val="FF0000"/>
                <w:kern w:val="2"/>
                <w:sz w:val="21"/>
                <w:szCs w:val="21"/>
                <w:vertAlign w:val="baseline"/>
                <w:lang w:val="en-US" w:eastAsia="zh-CN" w:bidi="ar"/>
              </w:rPr>
              <w:t>会</w:t>
            </w:r>
            <w:r>
              <w:rPr>
                <w:rFonts w:hint="default" w:ascii="Times New Roman" w:hAnsi="Times New Roman" w:eastAsia="宋体" w:cs="Times New Roman"/>
                <w:color w:val="FF0000"/>
                <w:kern w:val="2"/>
                <w:sz w:val="21"/>
                <w:szCs w:val="21"/>
                <w:vertAlign w:val="baseline"/>
                <w:lang w:val="en-US" w:eastAsia="zh-CN" w:bidi="ar"/>
              </w:rPr>
              <w:t>导致的瞬时无组织粉尘排放，</w:t>
            </w:r>
            <w:r>
              <w:rPr>
                <w:rFonts w:hint="eastAsia" w:ascii="Times New Roman" w:hAnsi="Times New Roman" w:eastAsia="宋体" w:cs="Times New Roman"/>
                <w:color w:val="FF0000"/>
                <w:kern w:val="2"/>
                <w:sz w:val="21"/>
                <w:szCs w:val="21"/>
                <w:vertAlign w:val="baseline"/>
                <w:lang w:val="en-US" w:eastAsia="zh-CN" w:bidi="ar"/>
              </w:rPr>
              <w:t>当出现这种非正常工况时，立即停止输送、装卸作业，启动场区洒水抑尘设备，快速沉降扩散粉尘。及时对泄漏点位进行紧固、更换密封配件，故障排除并验收合格后方可恢复生产作业。对粉尘泄漏沉降区域及时清扫、洒水保湿，避免残留粉尘二次起尘，消除累积污染隐患。</w:t>
            </w:r>
          </w:p>
          <w:p>
            <w:pPr>
              <w:keepNext w:val="0"/>
              <w:keepLines w:val="0"/>
              <w:widowControl w:val="0"/>
              <w:suppressLineNumbers w:val="0"/>
              <w:kinsoku/>
              <w:wordWrap/>
              <w:overflowPunct w:val="0"/>
              <w:topLinePunct w:val="0"/>
              <w:autoSpaceDE/>
              <w:autoSpaceDN/>
              <w:bidi w:val="0"/>
              <w:adjustRightInd w:val="0"/>
              <w:snapToGrid w:val="0"/>
              <w:spacing w:before="0" w:beforeAutospacing="0" w:after="0" w:afterAutospacing="0" w:line="360" w:lineRule="auto"/>
              <w:ind w:left="0" w:right="0"/>
              <w:jc w:val="both"/>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1.</w:t>
            </w:r>
            <w:r>
              <w:rPr>
                <w:rFonts w:hint="eastAsia" w:cs="Times New Roman"/>
                <w:b/>
                <w:bCs/>
                <w:color w:val="000000" w:themeColor="text1"/>
                <w:kern w:val="0"/>
                <w:sz w:val="21"/>
                <w:szCs w:val="21"/>
                <w:lang w:val="en-US" w:eastAsia="zh-CN" w:bidi="ar"/>
                <w14:textFill>
                  <w14:solidFill>
                    <w14:schemeClr w14:val="tx1"/>
                  </w14:solidFill>
                </w14:textFill>
              </w:rPr>
              <w:t>6</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废气监测计划</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在运营期存在大气污染物排放问题，会对局部环境造成潜在的影响。为把建设项目对周围环境的不利影响减到最小，除选择适当的工艺外，还必须加强日常监测和严格管理，制定环境监测计划，才能达到预期目的。</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宋体" w:hAnsi="宋体" w:eastAsia="宋体" w:cs="宋体"/>
                <w:color w:val="000000" w:themeColor="text1"/>
                <w:kern w:val="2"/>
                <w:sz w:val="21"/>
                <w:szCs w:val="21"/>
                <w:lang w:val="en-US" w:eastAsia="zh-CN" w:bidi="ar"/>
                <w14:textFill>
                  <w14:solidFill>
                    <w14:schemeClr w14:val="tx1"/>
                  </w14:solidFill>
                </w14:textFill>
              </w:rPr>
              <w:t>）监测目的</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①</w:t>
            </w:r>
            <w:r>
              <w:rPr>
                <w:rFonts w:hint="eastAsia" w:ascii="宋体" w:hAnsi="宋体" w:eastAsia="宋体" w:cs="宋体"/>
                <w:color w:val="000000" w:themeColor="text1"/>
                <w:kern w:val="2"/>
                <w:sz w:val="21"/>
                <w:szCs w:val="21"/>
                <w:lang w:val="en-US" w:eastAsia="zh-CN" w:bidi="ar"/>
                <w14:textFill>
                  <w14:solidFill>
                    <w14:schemeClr w14:val="tx1"/>
                  </w14:solidFill>
                </w14:textFill>
              </w:rPr>
              <w:t>检查、跟踪项目投产后运行过程中废气治理措施的实施情况和效果，掌握环境质量的变化动态；</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②</w:t>
            </w:r>
            <w:r>
              <w:rPr>
                <w:rFonts w:hint="eastAsia" w:ascii="宋体" w:hAnsi="宋体" w:eastAsia="宋体" w:cs="宋体"/>
                <w:color w:val="000000" w:themeColor="text1"/>
                <w:kern w:val="2"/>
                <w:sz w:val="21"/>
                <w:szCs w:val="21"/>
                <w:lang w:val="en-US" w:eastAsia="zh-CN" w:bidi="ar"/>
                <w14:textFill>
                  <w14:solidFill>
                    <w14:schemeClr w14:val="tx1"/>
                  </w14:solidFill>
                </w14:textFill>
              </w:rPr>
              <w:t>了解项目环境工程设施的运行状况，确保设施的正常运行；</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③</w:t>
            </w:r>
            <w:r>
              <w:rPr>
                <w:rFonts w:hint="eastAsia" w:ascii="宋体" w:hAnsi="宋体" w:eastAsia="宋体" w:cs="宋体"/>
                <w:color w:val="000000" w:themeColor="text1"/>
                <w:kern w:val="2"/>
                <w:sz w:val="21"/>
                <w:szCs w:val="21"/>
                <w:lang w:val="en-US" w:eastAsia="zh-CN" w:bidi="ar"/>
                <w14:textFill>
                  <w14:solidFill>
                    <w14:schemeClr w14:val="tx1"/>
                  </w14:solidFill>
                </w14:textFill>
              </w:rPr>
              <w:t>了解项目有关的环境质量监控实施情况；</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④</w:t>
            </w:r>
            <w:r>
              <w:rPr>
                <w:rFonts w:hint="eastAsia" w:ascii="宋体" w:hAnsi="宋体" w:eastAsia="宋体" w:cs="宋体"/>
                <w:color w:val="000000" w:themeColor="text1"/>
                <w:kern w:val="2"/>
                <w:sz w:val="21"/>
                <w:szCs w:val="21"/>
                <w:lang w:val="en-US" w:eastAsia="zh-CN" w:bidi="ar"/>
                <w14:textFill>
                  <w14:solidFill>
                    <w14:schemeClr w14:val="tx1"/>
                  </w14:solidFill>
                </w14:textFill>
              </w:rPr>
              <w:t>为改善项目周围区域环境质量提供技术支持。</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r>
              <w:rPr>
                <w:rFonts w:hint="eastAsia" w:ascii="宋体" w:hAnsi="宋体" w:eastAsia="宋体" w:cs="宋体"/>
                <w:color w:val="000000" w:themeColor="text1"/>
                <w:kern w:val="2"/>
                <w:sz w:val="21"/>
                <w:szCs w:val="21"/>
                <w:lang w:val="en-US" w:eastAsia="zh-CN" w:bidi="ar"/>
                <w14:textFill>
                  <w14:solidFill>
                    <w14:schemeClr w14:val="tx1"/>
                  </w14:solidFill>
                </w14:textFill>
              </w:rPr>
              <w:t>）监测内容</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对项目运营过程中产生的污染物进行监测，监测点的选取、监测项目确定均按《排污单位自行监测技术指南 总</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则》（HJ819-2017）执行。</w:t>
            </w:r>
            <w:r>
              <w:rPr>
                <w:rFonts w:hint="eastAsia" w:ascii="宋体" w:hAnsi="宋体" w:eastAsia="宋体" w:cs="宋体"/>
                <w:color w:val="000000" w:themeColor="text1"/>
                <w:kern w:val="2"/>
                <w:sz w:val="21"/>
                <w:szCs w:val="21"/>
                <w:lang w:val="en-US" w:eastAsia="zh-CN" w:bidi="ar"/>
                <w14:textFill>
                  <w14:solidFill>
                    <w14:schemeClr w14:val="tx1"/>
                  </w14:solidFill>
                </w14:textFill>
              </w:rPr>
              <w:t>建设单位</w:t>
            </w:r>
            <w:r>
              <w:rPr>
                <w:rFonts w:hint="eastAsia" w:ascii="宋体" w:hAnsi="宋体" w:cs="宋体"/>
                <w:color w:val="000000" w:themeColor="text1"/>
                <w:kern w:val="2"/>
                <w:sz w:val="21"/>
                <w:szCs w:val="21"/>
                <w:lang w:val="en-US" w:eastAsia="zh-CN" w:bidi="ar"/>
                <w14:textFill>
                  <w14:solidFill>
                    <w14:schemeClr w14:val="tx1"/>
                  </w14:solidFill>
                </w14:textFill>
              </w:rPr>
              <w:t>现在</w:t>
            </w:r>
            <w:r>
              <w:rPr>
                <w:rFonts w:hint="eastAsia" w:ascii="宋体" w:hAnsi="宋体" w:eastAsia="宋体" w:cs="宋体"/>
                <w:color w:val="000000" w:themeColor="text1"/>
                <w:kern w:val="2"/>
                <w:sz w:val="21"/>
                <w:szCs w:val="21"/>
                <w:lang w:val="en-US" w:eastAsia="zh-CN" w:bidi="ar"/>
                <w14:textFill>
                  <w14:solidFill>
                    <w14:schemeClr w14:val="tx1"/>
                  </w14:solidFill>
                </w14:textFill>
              </w:rPr>
              <w:t>不具备单独进行环境监测的能力，委托有资质的环境监测机构进行监测工作</w:t>
            </w:r>
            <w:r>
              <w:rPr>
                <w:rFonts w:hint="eastAsia" w:ascii="宋体" w:hAnsi="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kinsoku/>
              <w:wordWrap/>
              <w:topLinePunct w:val="0"/>
              <w:autoSpaceDE/>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根据</w:t>
            </w:r>
            <w:r>
              <w:rPr>
                <w:rFonts w:hint="eastAsia" w:ascii="宋体" w:hAnsi="宋体" w:eastAsia="宋体" w:cs="宋体"/>
                <w:color w:val="000000" w:themeColor="text1"/>
                <w:kern w:val="2"/>
                <w:sz w:val="21"/>
                <w:szCs w:val="21"/>
                <w:lang w:val="en-US" w:eastAsia="zh-CN" w:bidi="ar"/>
                <w14:textFill>
                  <w14:solidFill>
                    <w14:schemeClr w14:val="tx1"/>
                  </w14:solidFill>
                </w14:textFill>
              </w:rPr>
              <w:t>《排污单位自行监测技术指南 总则》（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HJ819-2017</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《排污许可证申请与核发技术规范 总则》（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HJ942-2018</w:t>
            </w:r>
            <w:r>
              <w:rPr>
                <w:rFonts w:hint="eastAsia" w:ascii="宋体" w:hAnsi="宋体" w:eastAsia="宋体" w:cs="宋体"/>
                <w:color w:val="000000" w:themeColor="text1"/>
                <w:kern w:val="2"/>
                <w:sz w:val="21"/>
                <w:szCs w:val="21"/>
                <w:lang w:val="en-US" w:eastAsia="zh-CN" w:bidi="ar"/>
                <w14:textFill>
                  <w14:solidFill>
                    <w14:schemeClr w14:val="tx1"/>
                  </w14:solidFill>
                </w14:textFill>
              </w:rPr>
              <w:t>）和项目内容、企业实际情况，制定相应的监测方案，废气监测计划具体</w:t>
            </w:r>
            <w:r>
              <w:rPr>
                <w:rFonts w:hint="eastAsia" w:cs="Times New Roman"/>
                <w:color w:val="000000" w:themeColor="text1"/>
                <w:kern w:val="2"/>
                <w:sz w:val="21"/>
                <w:szCs w:val="21"/>
                <w:lang w:val="en-US" w:eastAsia="zh-CN" w:bidi="ar"/>
                <w14:textFill>
                  <w14:solidFill>
                    <w14:schemeClr w14:val="tx1"/>
                  </w14:solidFill>
                </w14:textFill>
              </w:rPr>
              <w:t>详见</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表4-</w:t>
            </w:r>
            <w:r>
              <w:rPr>
                <w:rFonts w:hint="eastAsia" w:cs="Times New Roman"/>
                <w:color w:val="000000" w:themeColor="text1"/>
                <w:kern w:val="2"/>
                <w:sz w:val="21"/>
                <w:szCs w:val="21"/>
                <w:lang w:val="en-US" w:eastAsia="zh-CN" w:bidi="ar"/>
                <w14:textFill>
                  <w14:solidFill>
                    <w14:schemeClr w14:val="tx1"/>
                  </w14:solidFill>
                </w14:textFill>
              </w:rPr>
              <w:t>4</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napToGrid w:val="0"/>
              <w:spacing w:before="0" w:beforeAutospacing="0" w:after="0" w:afterAutospacing="0"/>
              <w:ind w:left="0" w:right="0"/>
              <w:jc w:val="center"/>
              <w:rPr>
                <w:rFonts w:hint="eastAsia" w:ascii="宋体" w:hAnsi="宋体" w:eastAsia="宋体" w:cs="宋体"/>
                <w:b/>
                <w:bCs/>
                <w:color w:val="000000" w:themeColor="text1"/>
                <w:kern w:val="2"/>
                <w:sz w:val="21"/>
                <w:szCs w:val="21"/>
                <w:lang w:val="en-US" w:eastAsia="zh-CN" w:bidi="ar"/>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4-</w:t>
            </w:r>
            <w:r>
              <w:rPr>
                <w:rFonts w:hint="eastAsia" w:cs="Times New Roman"/>
                <w:b/>
                <w:bCs/>
                <w:color w:val="000000" w:themeColor="text1"/>
                <w:kern w:val="2"/>
                <w:sz w:val="21"/>
                <w:szCs w:val="21"/>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运营期废气监测计划表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964"/>
              <w:gridCol w:w="1484"/>
              <w:gridCol w:w="1611"/>
              <w:gridCol w:w="4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41" w:hRule="atLeast"/>
                <w:jc w:val="center"/>
              </w:trPr>
              <w:tc>
                <w:tcPr>
                  <w:tcW w:w="580"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监测点位</w:t>
                  </w:r>
                </w:p>
              </w:tc>
              <w:tc>
                <w:tcPr>
                  <w:tcW w:w="893"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监测项目</w:t>
                  </w:r>
                </w:p>
              </w:tc>
              <w:tc>
                <w:tcPr>
                  <w:tcW w:w="970"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监测频次</w:t>
                  </w:r>
                </w:p>
              </w:tc>
              <w:tc>
                <w:tcPr>
                  <w:tcW w:w="2555"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2" w:hRule="atLeast"/>
                <w:jc w:val="center"/>
              </w:trPr>
              <w:tc>
                <w:tcPr>
                  <w:tcW w:w="580"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DA001</w:t>
                  </w:r>
                </w:p>
              </w:tc>
              <w:tc>
                <w:tcPr>
                  <w:tcW w:w="893"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lang w:val="en-US" w:eastAsia="zh-CN" w:bidi="ar"/>
                      <w14:textFill>
                        <w14:solidFill>
                          <w14:schemeClr w14:val="tx1"/>
                        </w14:solidFill>
                      </w14:textFill>
                    </w:rPr>
                    <w:t>颗粒物</w:t>
                  </w:r>
                </w:p>
              </w:tc>
              <w:tc>
                <w:tcPr>
                  <w:tcW w:w="970"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次</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/半</w:t>
                  </w:r>
                  <w:r>
                    <w:rPr>
                      <w:rFonts w:hint="eastAsia" w:ascii="宋体" w:hAnsi="宋体" w:eastAsia="宋体" w:cs="宋体"/>
                      <w:color w:val="000000" w:themeColor="text1"/>
                      <w:kern w:val="0"/>
                      <w:sz w:val="21"/>
                      <w:szCs w:val="21"/>
                      <w:lang w:val="en-US" w:eastAsia="zh-CN" w:bidi="ar"/>
                      <w14:textFill>
                        <w14:solidFill>
                          <w14:schemeClr w14:val="tx1"/>
                        </w14:solidFill>
                      </w14:textFill>
                    </w:rPr>
                    <w:t>年</w:t>
                  </w:r>
                </w:p>
              </w:tc>
              <w:tc>
                <w:tcPr>
                  <w:tcW w:w="2555" w:type="pct"/>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eastAsia="宋体" w:cs="宋体"/>
                      <w:kern w:val="0"/>
                      <w:sz w:val="21"/>
                      <w:szCs w:val="21"/>
                      <w:lang w:val="en-US" w:eastAsia="zh-CN" w:bidi="ar"/>
                    </w:rPr>
                    <w:t>《大气污染物综合排放标准》（</w:t>
                  </w:r>
                  <w:r>
                    <w:rPr>
                      <w:rFonts w:hint="default" w:ascii="Times New Roman" w:hAnsi="Times New Roman" w:eastAsia="宋体" w:cs="Times New Roman"/>
                      <w:kern w:val="0"/>
                      <w:sz w:val="21"/>
                      <w:szCs w:val="21"/>
                      <w:lang w:val="en-US" w:eastAsia="zh-CN" w:bidi="ar"/>
                    </w:rPr>
                    <w:t>GB16297-1996</w:t>
                  </w:r>
                  <w:r>
                    <w:rPr>
                      <w:rFonts w:hint="eastAsia" w:ascii="宋体" w:hAnsi="宋体" w:eastAsia="宋体" w:cs="宋体"/>
                      <w:kern w:val="0"/>
                      <w:sz w:val="21"/>
                      <w:szCs w:val="21"/>
                      <w:lang w:val="en-US" w:eastAsia="zh-CN" w:bidi="ar"/>
                    </w:rPr>
                    <w:t>）表</w:t>
                  </w:r>
                  <w:r>
                    <w:rPr>
                      <w:rFonts w:hint="default" w:ascii="Times New Roman" w:hAnsi="Times New Roman" w:eastAsia="宋体" w:cs="Times New Roman"/>
                      <w:kern w:val="0"/>
                      <w:sz w:val="21"/>
                      <w:szCs w:val="21"/>
                      <w:lang w:val="en-US" w:eastAsia="zh-CN" w:bidi="ar"/>
                    </w:rPr>
                    <w:t>2</w:t>
                  </w:r>
                  <w:r>
                    <w:rPr>
                      <w:rFonts w:hint="eastAsia" w:ascii="宋体" w:hAnsi="宋体" w:eastAsia="宋体" w:cs="宋体"/>
                      <w:kern w:val="0"/>
                      <w:sz w:val="21"/>
                      <w:szCs w:val="21"/>
                      <w:lang w:val="en-US" w:eastAsia="zh-CN" w:bidi="ar"/>
                    </w:rPr>
                    <w:t>中有组织最高允许排放浓度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5" w:hRule="atLeast"/>
                <w:jc w:val="center"/>
              </w:trPr>
              <w:tc>
                <w:tcPr>
                  <w:tcW w:w="580"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厂界</w:t>
                  </w:r>
                </w:p>
              </w:tc>
              <w:tc>
                <w:tcPr>
                  <w:tcW w:w="893"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颗粒物</w:t>
                  </w:r>
                </w:p>
              </w:tc>
              <w:tc>
                <w:tcPr>
                  <w:tcW w:w="970" w:type="pct"/>
                  <w:shd w:val="clear" w:color="auto" w:fill="auto"/>
                  <w:vAlign w:val="center"/>
                </w:tcPr>
                <w:p>
                  <w:pPr>
                    <w:keepNext w:val="0"/>
                    <w:keepLines w:val="0"/>
                    <w:widowControl/>
                    <w:suppressLineNumbers w:val="0"/>
                    <w:autoSpaceDE w:val="0"/>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次</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eastAsia" w:ascii="宋体" w:hAnsi="宋体" w:cs="宋体"/>
                      <w:color w:val="000000" w:themeColor="text1"/>
                      <w:kern w:val="0"/>
                      <w:sz w:val="21"/>
                      <w:szCs w:val="21"/>
                      <w:lang w:val="en-US" w:eastAsia="zh-CN" w:bidi="ar"/>
                      <w14:textFill>
                        <w14:solidFill>
                          <w14:schemeClr w14:val="tx1"/>
                        </w14:solidFill>
                      </w14:textFill>
                    </w:rPr>
                    <w:t>年</w:t>
                  </w:r>
                </w:p>
              </w:tc>
              <w:tc>
                <w:tcPr>
                  <w:tcW w:w="2555" w:type="pct"/>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kern w:val="0"/>
                      <w:sz w:val="21"/>
                      <w:szCs w:val="21"/>
                      <w:lang w:val="en-US" w:eastAsia="zh-CN" w:bidi="ar"/>
                    </w:rPr>
                    <w:t>《大气污染物综合排放标准》（</w:t>
                  </w:r>
                  <w:r>
                    <w:rPr>
                      <w:rFonts w:hint="default" w:ascii="Times New Roman" w:hAnsi="Times New Roman" w:eastAsia="宋体" w:cs="Times New Roman"/>
                      <w:kern w:val="0"/>
                      <w:sz w:val="21"/>
                      <w:szCs w:val="21"/>
                      <w:lang w:val="en-US" w:eastAsia="zh-CN" w:bidi="ar"/>
                    </w:rPr>
                    <w:t>GB16297-1996</w:t>
                  </w:r>
                  <w:r>
                    <w:rPr>
                      <w:rFonts w:hint="eastAsia" w:ascii="宋体" w:hAnsi="宋体" w:eastAsia="宋体" w:cs="宋体"/>
                      <w:kern w:val="0"/>
                      <w:sz w:val="21"/>
                      <w:szCs w:val="21"/>
                      <w:lang w:val="en-US" w:eastAsia="zh-CN" w:bidi="ar"/>
                    </w:rPr>
                    <w:t>）表</w:t>
                  </w:r>
                  <w:r>
                    <w:rPr>
                      <w:rFonts w:hint="default" w:ascii="Times New Roman" w:hAnsi="Times New Roman" w:eastAsia="宋体" w:cs="Times New Roman"/>
                      <w:kern w:val="0"/>
                      <w:sz w:val="21"/>
                      <w:szCs w:val="21"/>
                      <w:lang w:val="en-US" w:eastAsia="zh-CN" w:bidi="ar"/>
                    </w:rPr>
                    <w:t>2</w:t>
                  </w:r>
                  <w:r>
                    <w:rPr>
                      <w:rFonts w:hint="eastAsia" w:ascii="宋体" w:hAnsi="宋体" w:eastAsia="宋体" w:cs="宋体"/>
                      <w:kern w:val="0"/>
                      <w:sz w:val="21"/>
                      <w:szCs w:val="21"/>
                      <w:lang w:val="en-US" w:eastAsia="zh-CN" w:bidi="ar"/>
                    </w:rPr>
                    <w:t>中无组织排放监控浓度限值</w:t>
                  </w:r>
                </w:p>
              </w:tc>
            </w:tr>
          </w:tbl>
          <w:p>
            <w:pPr>
              <w:pStyle w:val="2"/>
              <w:widowControl w:val="0"/>
              <w:suppressLineNumbers w:val="0"/>
              <w:kinsoku/>
              <w:wordWrap/>
              <w:overflowPunct/>
              <w:topLinePunct w:val="0"/>
              <w:autoSpaceDN/>
              <w:bidi w:val="0"/>
              <w:adjustRightInd w:val="0"/>
              <w:snapToGrid w:val="0"/>
              <w:spacing w:before="0" w:beforeLines="0" w:after="0" w:afterLines="0"/>
              <w:ind w:left="0" w:right="0"/>
              <w:rPr>
                <w:rFonts w:hint="default" w:ascii="Times New Roman" w:hAnsi="Times New Roman" w:eastAsia="宋体" w:cs="Times New Roman"/>
                <w:color w:val="000000" w:themeColor="text1"/>
                <w:sz w:val="21"/>
                <w:szCs w:val="21"/>
                <w:lang w:val="en-US" w:eastAsia="zh-CN"/>
                <w14:textFill>
                  <w14:solidFill>
                    <w14:schemeClr w14:val="tx1"/>
                  </w14:solidFill>
                </w14:textFill>
              </w:rPr>
            </w:pPr>
            <w:bookmarkStart w:id="20" w:name="_Toc25192"/>
            <w:r>
              <w:rPr>
                <w:rFonts w:hint="default" w:ascii="Times New Roman" w:hAnsi="Times New Roman" w:eastAsia="宋体" w:cs="Times New Roman"/>
                <w:color w:val="000000" w:themeColor="text1"/>
                <w:sz w:val="21"/>
                <w:szCs w:val="21"/>
                <w:lang w:val="en-US" w:eastAsia="zh-CN"/>
                <w14:textFill>
                  <w14:solidFill>
                    <w14:schemeClr w14:val="tx1"/>
                  </w14:solidFill>
                </w14:textFill>
              </w:rPr>
              <w:t>2水环境影响分析</w:t>
            </w:r>
            <w:bookmarkEnd w:id="20"/>
          </w:p>
          <w:p>
            <w:pPr>
              <w:pStyle w:val="2"/>
              <w:widowControl w:val="0"/>
              <w:suppressLineNumbers w:val="0"/>
              <w:kinsoku/>
              <w:wordWrap/>
              <w:overflowPunct/>
              <w:topLinePunct w:val="0"/>
              <w:autoSpaceDN/>
              <w:bidi w:val="0"/>
              <w:adjustRightInd w:val="0"/>
              <w:snapToGrid w:val="0"/>
              <w:spacing w:before="0" w:beforeLines="0" w:after="0" w:afterLines="0"/>
              <w:ind w:left="0" w:right="0"/>
              <w:rPr>
                <w:rFonts w:hint="default" w:ascii="Times New Roman" w:hAnsi="Times New Roman" w:eastAsia="宋体" w:cs="Times New Roman"/>
                <w:color w:val="000000" w:themeColor="text1"/>
                <w:sz w:val="21"/>
                <w:szCs w:val="21"/>
                <w:lang w:val="en-US" w:eastAsia="zh-CN"/>
                <w14:textFill>
                  <w14:solidFill>
                    <w14:schemeClr w14:val="tx1"/>
                  </w14:solidFill>
                </w14:textFill>
              </w:rPr>
            </w:pPr>
            <w:bookmarkStart w:id="21" w:name="_Toc13708"/>
            <w:r>
              <w:rPr>
                <w:rFonts w:hint="default" w:ascii="Times New Roman" w:hAnsi="Times New Roman" w:eastAsia="宋体" w:cs="Times New Roman"/>
                <w:color w:val="000000" w:themeColor="text1"/>
                <w:sz w:val="21"/>
                <w:szCs w:val="21"/>
                <w:lang w:val="en-US" w:eastAsia="zh-CN"/>
                <w14:textFill>
                  <w14:solidFill>
                    <w14:schemeClr w14:val="tx1"/>
                  </w14:solidFill>
                </w14:textFill>
              </w:rPr>
              <w:t>2.1废水污染物排放情况</w:t>
            </w:r>
            <w:bookmarkEnd w:id="21"/>
          </w:p>
          <w:p>
            <w:pPr>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本项目运营期</w:t>
            </w:r>
            <w:r>
              <w:rPr>
                <w:rFonts w:hint="eastAsia" w:ascii="宋体" w:hAnsi="宋体" w:cs="宋体"/>
                <w:color w:val="000000" w:themeColor="text1"/>
                <w:kern w:val="2"/>
                <w:sz w:val="21"/>
                <w:szCs w:val="21"/>
                <w:lang w:val="en-US" w:eastAsia="zh-CN" w:bidi="ar"/>
                <w14:textFill>
                  <w14:solidFill>
                    <w14:schemeClr w14:val="tx1"/>
                  </w14:solidFill>
                </w14:textFill>
              </w:rPr>
              <w:t>不产生生产废水，运营期</w:t>
            </w:r>
            <w:r>
              <w:rPr>
                <w:rFonts w:hint="eastAsia" w:ascii="宋体" w:hAnsi="宋体" w:eastAsia="宋体" w:cs="宋体"/>
                <w:color w:val="000000" w:themeColor="text1"/>
                <w:kern w:val="2"/>
                <w:sz w:val="21"/>
                <w:szCs w:val="21"/>
                <w:lang w:val="en-US" w:eastAsia="zh-CN" w:bidi="ar"/>
                <w14:textFill>
                  <w14:solidFill>
                    <w14:schemeClr w14:val="tx1"/>
                  </w14:solidFill>
                </w14:textFill>
              </w:rPr>
              <w:t>产生的废水主要是少量生活污水。</w:t>
            </w:r>
          </w:p>
          <w:p>
            <w:pPr>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根据建设方提供资料可知，本项目劳动定员</w:t>
            </w:r>
            <w:r>
              <w:rPr>
                <w:rFonts w:hint="eastAsia" w:cs="Times New Roman"/>
                <w:color w:val="000000" w:themeColor="text1"/>
                <w:kern w:val="2"/>
                <w:sz w:val="21"/>
                <w:szCs w:val="21"/>
                <w:lang w:val="en-US" w:eastAsia="zh-CN" w:bidi="ar"/>
                <w14:textFill>
                  <w14:solidFill>
                    <w14:schemeClr w14:val="tx1"/>
                  </w14:solidFill>
                </w14:textFill>
              </w:rPr>
              <w:t>6</w:t>
            </w:r>
            <w:r>
              <w:rPr>
                <w:rFonts w:hint="eastAsia" w:ascii="宋体" w:hAnsi="宋体" w:eastAsia="宋体" w:cs="宋体"/>
                <w:color w:val="000000" w:themeColor="text1"/>
                <w:kern w:val="2"/>
                <w:sz w:val="21"/>
                <w:szCs w:val="21"/>
                <w:lang w:val="en-US" w:eastAsia="zh-CN" w:bidi="ar"/>
                <w14:textFill>
                  <w14:solidFill>
                    <w14:schemeClr w14:val="tx1"/>
                  </w14:solidFill>
                </w14:textFill>
              </w:rPr>
              <w:t>人，</w:t>
            </w:r>
            <w:r>
              <w:rPr>
                <w:rFonts w:hint="eastAsia" w:ascii="宋体" w:hAnsi="宋体" w:cs="宋体"/>
                <w:color w:val="000000" w:themeColor="text1"/>
                <w:kern w:val="2"/>
                <w:sz w:val="21"/>
                <w:szCs w:val="21"/>
                <w:lang w:val="en-US" w:eastAsia="zh-CN" w:bidi="ar"/>
                <w14:textFill>
                  <w14:solidFill>
                    <w14:schemeClr w14:val="tx1"/>
                  </w14:solidFill>
                </w14:textFill>
              </w:rPr>
              <w:t>不在</w:t>
            </w:r>
            <w:r>
              <w:rPr>
                <w:rFonts w:hint="eastAsia" w:ascii="宋体" w:hAnsi="宋体" w:eastAsia="宋体" w:cs="宋体"/>
                <w:color w:val="000000" w:themeColor="text1"/>
                <w:kern w:val="2"/>
                <w:sz w:val="21"/>
                <w:szCs w:val="21"/>
                <w:lang w:val="en-US" w:eastAsia="zh-CN" w:bidi="ar"/>
                <w14:textFill>
                  <w14:solidFill>
                    <w14:schemeClr w14:val="tx1"/>
                  </w14:solidFill>
                </w14:textFill>
              </w:rPr>
              <w:t>项目区内食宿，年工作</w:t>
            </w:r>
            <w:r>
              <w:rPr>
                <w:rFonts w:hint="eastAsia" w:cs="Times New Roman"/>
                <w:color w:val="000000" w:themeColor="text1"/>
                <w:kern w:val="2"/>
                <w:sz w:val="21"/>
                <w:szCs w:val="21"/>
                <w:lang w:val="en-US" w:eastAsia="zh-CN" w:bidi="ar"/>
                <w14:textFill>
                  <w14:solidFill>
                    <w14:schemeClr w14:val="tx1"/>
                  </w14:solidFill>
                </w14:textFill>
              </w:rPr>
              <w:t>360</w:t>
            </w:r>
            <w:r>
              <w:rPr>
                <w:rFonts w:hint="eastAsia" w:ascii="宋体" w:hAnsi="宋体" w:eastAsia="宋体" w:cs="宋体"/>
                <w:color w:val="000000" w:themeColor="text1"/>
                <w:kern w:val="2"/>
                <w:sz w:val="21"/>
                <w:szCs w:val="21"/>
                <w:lang w:val="en-US" w:eastAsia="zh-CN" w:bidi="ar"/>
                <w14:textFill>
                  <w14:solidFill>
                    <w14:schemeClr w14:val="tx1"/>
                  </w14:solidFill>
                </w14:textFill>
              </w:rPr>
              <w:t>天，职工生活</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用水以</w:t>
            </w:r>
            <w:r>
              <w:rPr>
                <w:rFonts w:hint="eastAsia" w:cs="Times New Roman"/>
                <w:color w:val="000000" w:themeColor="text1"/>
                <w:kern w:val="2"/>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0L/人·d计</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则生活用水量为</w:t>
            </w:r>
            <w:r>
              <w:rPr>
                <w:rFonts w:hint="eastAsia" w:cs="Times New Roman"/>
                <w:color w:val="000000" w:themeColor="text1"/>
                <w:kern w:val="2"/>
                <w:sz w:val="21"/>
                <w:szCs w:val="21"/>
                <w:lang w:val="en-US" w:eastAsia="zh-CN" w:bidi="ar"/>
                <w14:textFill>
                  <w14:solidFill>
                    <w14:schemeClr w14:val="tx1"/>
                  </w14:solidFill>
                </w14:textFill>
              </w:rPr>
              <w:t>108</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m</w:t>
            </w:r>
            <w:r>
              <w:rPr>
                <w:rFonts w:hint="default" w:ascii="Times New Roman" w:hAnsi="Times New Roman" w:eastAsia="宋体" w:cs="Times New Roman"/>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，废水产生量（按用水量的</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80%</w:t>
            </w:r>
            <w:r>
              <w:rPr>
                <w:rFonts w:hint="eastAsia" w:ascii="宋体" w:hAnsi="宋体" w:eastAsia="宋体" w:cs="宋体"/>
                <w:color w:val="000000" w:themeColor="text1"/>
                <w:kern w:val="2"/>
                <w:sz w:val="21"/>
                <w:szCs w:val="21"/>
                <w:lang w:val="en-US" w:eastAsia="zh-CN" w:bidi="ar"/>
                <w14:textFill>
                  <w14:solidFill>
                    <w14:schemeClr w14:val="tx1"/>
                  </w14:solidFill>
                </w14:textFill>
              </w:rPr>
              <w:t>计）为</w:t>
            </w:r>
            <w:r>
              <w:rPr>
                <w:rFonts w:hint="eastAsia" w:cs="Times New Roman"/>
                <w:color w:val="000000" w:themeColor="text1"/>
                <w:kern w:val="2"/>
                <w:sz w:val="21"/>
                <w:szCs w:val="21"/>
                <w:lang w:val="en-US" w:eastAsia="zh-CN" w:bidi="ar"/>
                <w14:textFill>
                  <w14:solidFill>
                    <w14:schemeClr w14:val="tx1"/>
                  </w14:solidFill>
                </w14:textFill>
              </w:rPr>
              <w:t>86.4</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m</w:t>
            </w:r>
            <w:r>
              <w:rPr>
                <w:rFonts w:hint="default" w:ascii="Times New Roman" w:hAnsi="Times New Roman" w:eastAsia="宋体" w:cs="Times New Roman"/>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cs="Times New Roman"/>
                <w:color w:val="000000" w:themeColor="text1"/>
                <w:kern w:val="2"/>
                <w:sz w:val="21"/>
                <w:szCs w:val="21"/>
                <w:lang w:val="en-US" w:eastAsia="zh-CN" w:bidi="ar"/>
                <w14:textFill>
                  <w14:solidFill>
                    <w14:schemeClr w14:val="tx1"/>
                  </w14:solidFill>
                </w14:textFill>
              </w:rPr>
              <w:t>，排入园区污水管网最终进入园区污水处理厂处理</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0"/>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b/>
                <w:bCs w:val="0"/>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本项目运营期生活污水主要污染物产生及排放情况详见</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表4-</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4-</w:t>
            </w:r>
            <w:r>
              <w:rPr>
                <w:rFonts w:hint="eastAsia" w:cs="Times New Roman"/>
                <w:b/>
                <w:bCs/>
                <w:color w:val="000000" w:themeColor="text1"/>
                <w:kern w:val="2"/>
                <w:sz w:val="21"/>
                <w:szCs w:val="21"/>
                <w:lang w:val="en-US" w:eastAsia="zh-CN" w:bidi="ar"/>
                <w14:textFill>
                  <w14:solidFill>
                    <w14:schemeClr w14:val="tx1"/>
                  </w14:solidFill>
                </w14:textFill>
              </w:rPr>
              <w:t>5</w:t>
            </w:r>
            <w:r>
              <w:rPr>
                <w:rFonts w:hint="default" w:ascii="Times New Roman" w:hAnsi="Times New Roman" w:eastAsia="宋体" w:cs="Times New Roman"/>
                <w:b/>
                <w:bCs w:val="0"/>
                <w:color w:val="000000" w:themeColor="text1"/>
                <w:kern w:val="0"/>
                <w:sz w:val="21"/>
                <w:szCs w:val="21"/>
                <w:lang w:val="en-US" w:eastAsia="zh-CN" w:bidi="ar"/>
                <w14:textFill>
                  <w14:solidFill>
                    <w14:schemeClr w14:val="tx1"/>
                  </w14:solidFill>
                </w14:textFill>
              </w:rPr>
              <w:t xml:space="preserve">  </w:t>
            </w:r>
            <w:r>
              <w:rPr>
                <w:rFonts w:hint="eastAsia" w:ascii="宋体" w:hAnsi="宋体" w:eastAsia="宋体" w:cs="宋体"/>
                <w:b/>
                <w:bCs w:val="0"/>
                <w:color w:val="000000" w:themeColor="text1"/>
                <w:kern w:val="0"/>
                <w:sz w:val="21"/>
                <w:szCs w:val="21"/>
                <w:lang w:val="en-US" w:eastAsia="zh-CN" w:bidi="ar"/>
                <w14:textFill>
                  <w14:solidFill>
                    <w14:schemeClr w14:val="tx1"/>
                  </w14:solidFill>
                </w14:textFill>
              </w:rPr>
              <w:t>项目区污水污染因子排放浓度及排放量</w:t>
            </w:r>
          </w:p>
          <w:tbl>
            <w:tblPr>
              <w:tblStyle w:val="23"/>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798"/>
              <w:gridCol w:w="1358"/>
              <w:gridCol w:w="1368"/>
              <w:gridCol w:w="1403"/>
              <w:gridCol w:w="1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42" w:hRule="atLeast"/>
                <w:jc w:val="center"/>
              </w:trPr>
              <w:tc>
                <w:tcPr>
                  <w:tcW w:w="168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标准</w:t>
                  </w:r>
                </w:p>
              </w:tc>
              <w:tc>
                <w:tcPr>
                  <w:tcW w:w="8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COD</w:t>
                  </w:r>
                  <w:r>
                    <w:rPr>
                      <w:rFonts w:hint="default" w:ascii="Times New Roman" w:hAnsi="Times New Roman" w:eastAsia="宋体" w:cs="Times New Roman"/>
                      <w:b/>
                      <w:bCs/>
                      <w:color w:val="000000" w:themeColor="text1"/>
                      <w:kern w:val="2"/>
                      <w:sz w:val="21"/>
                      <w:szCs w:val="21"/>
                      <w:vertAlign w:val="subscript"/>
                      <w:lang w:val="en-US" w:eastAsia="zh-CN" w:bidi="ar"/>
                      <w14:textFill>
                        <w14:solidFill>
                          <w14:schemeClr w14:val="tx1"/>
                        </w14:solidFill>
                      </w14:textFill>
                    </w:rPr>
                    <w:t>Cr</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BOD</w:t>
                  </w:r>
                  <w:r>
                    <w:rPr>
                      <w:rFonts w:hint="default" w:ascii="Times New Roman" w:hAnsi="Times New Roman" w:eastAsia="宋体" w:cs="Times New Roman"/>
                      <w:b/>
                      <w:bCs/>
                      <w:color w:val="000000" w:themeColor="text1"/>
                      <w:kern w:val="2"/>
                      <w:sz w:val="21"/>
                      <w:szCs w:val="21"/>
                      <w:vertAlign w:val="subscript"/>
                      <w:lang w:val="en-US" w:eastAsia="zh-CN" w:bidi="ar"/>
                      <w14:textFill>
                        <w14:solidFill>
                          <w14:schemeClr w14:val="tx1"/>
                        </w14:solidFill>
                      </w14:textFill>
                    </w:rPr>
                    <w:t>5</w:t>
                  </w:r>
                </w:p>
              </w:tc>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SS</w:t>
                  </w:r>
                </w:p>
              </w:tc>
              <w:tc>
                <w:tcPr>
                  <w:tcW w:w="8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NH</w:t>
                  </w:r>
                  <w:r>
                    <w:rPr>
                      <w:rFonts w:hint="default" w:ascii="Times New Roman" w:hAnsi="Times New Roman" w:eastAsia="宋体" w:cs="Times New Roman"/>
                      <w:b/>
                      <w:bCs/>
                      <w:color w:val="000000" w:themeColor="text1"/>
                      <w:kern w:val="2"/>
                      <w:sz w:val="21"/>
                      <w:szCs w:val="21"/>
                      <w:vertAlign w:val="sub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atLeast"/>
                <w:jc w:val="center"/>
              </w:trPr>
              <w:tc>
                <w:tcPr>
                  <w:tcW w:w="168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废水量（</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m</w:t>
                  </w:r>
                  <w:r>
                    <w:rPr>
                      <w:rFonts w:hint="default" w:ascii="Times New Roman" w:hAnsi="Times New Roman" w:eastAsia="宋体" w:cs="Times New Roman"/>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331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168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污染物产生浓度（</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mg/L</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8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Times New Roman"/>
                      <w:color w:val="000000" w:themeColor="text1"/>
                      <w:sz w:val="21"/>
                      <w:szCs w:val="24"/>
                      <w14:textFill>
                        <w14:solidFill>
                          <w14:schemeClr w14:val="tx1"/>
                        </w14:solidFill>
                      </w14:textFill>
                    </w:rPr>
                    <w:t>350</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Times New Roman"/>
                      <w:color w:val="000000" w:themeColor="text1"/>
                      <w:sz w:val="21"/>
                      <w:szCs w:val="24"/>
                      <w14:textFill>
                        <w14:solidFill>
                          <w14:schemeClr w14:val="tx1"/>
                        </w14:solidFill>
                      </w14:textFill>
                    </w:rPr>
                    <w:t>200</w:t>
                  </w:r>
                </w:p>
              </w:tc>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Times New Roman"/>
                      <w:color w:val="000000" w:themeColor="text1"/>
                      <w:sz w:val="21"/>
                      <w:szCs w:val="24"/>
                      <w14:textFill>
                        <w14:solidFill>
                          <w14:schemeClr w14:val="tx1"/>
                        </w14:solidFill>
                      </w14:textFill>
                    </w:rPr>
                    <w:t>220</w:t>
                  </w:r>
                </w:p>
              </w:tc>
              <w:tc>
                <w:tcPr>
                  <w:tcW w:w="8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olor w:val="000000" w:themeColor="text1"/>
                      <w:sz w:val="21"/>
                      <w:szCs w:val="24"/>
                      <w:lang w:val="en-US" w:eastAsia="zh-CN"/>
                      <w14:textFill>
                        <w14:solidFill>
                          <w14:schemeClr w14:val="tx1"/>
                        </w14:solidFill>
                      </w14:textFill>
                    </w:rPr>
                  </w:pPr>
                  <w:r>
                    <w:rPr>
                      <w:rFonts w:hint="default" w:ascii="Times New Roman" w:hAnsi="Times New Roman" w:eastAsia="Times New Roman"/>
                      <w:color w:val="000000" w:themeColor="text1"/>
                      <w:sz w:val="21"/>
                      <w:szCs w:val="24"/>
                      <w14:textFill>
                        <w14:solidFill>
                          <w14:schemeClr w14:val="tx1"/>
                        </w14:solidFill>
                      </w14:textFill>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168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污染物产生量（</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t/a</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8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Times New Roman"/>
                      <w:color w:val="000000"/>
                      <w:sz w:val="21"/>
                      <w:szCs w:val="24"/>
                    </w:rPr>
                    <w:t>0.030</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Times New Roman"/>
                      <w:color w:val="000000"/>
                      <w:sz w:val="21"/>
                      <w:szCs w:val="24"/>
                    </w:rPr>
                    <w:t>0.017</w:t>
                  </w:r>
                </w:p>
              </w:tc>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default" w:ascii="Times New Roman" w:hAnsi="Times New Roman" w:eastAsia="Times New Roman"/>
                      <w:color w:val="000000"/>
                      <w:sz w:val="21"/>
                      <w:szCs w:val="24"/>
                    </w:rPr>
                    <w:t>0.019</w:t>
                  </w:r>
                </w:p>
              </w:tc>
              <w:tc>
                <w:tcPr>
                  <w:tcW w:w="8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Times New Roman"/>
                      <w:color w:val="000000" w:themeColor="text1"/>
                      <w:sz w:val="21"/>
                      <w:szCs w:val="24"/>
                      <w14:textFill>
                        <w14:solidFill>
                          <w14:schemeClr w14:val="tx1"/>
                        </w14:solidFill>
                      </w14:textFill>
                    </w:rPr>
                  </w:pPr>
                  <w:r>
                    <w:rPr>
                      <w:rFonts w:hint="default" w:ascii="Times New Roman" w:hAnsi="Times New Roman" w:eastAsia="Times New Roman"/>
                      <w:color w:val="000000"/>
                      <w:sz w:val="21"/>
                      <w:szCs w:val="24"/>
                    </w:rPr>
                    <w:t>0.003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168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line="240" w:lineRule="atLeast"/>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《污水综合排放标准》（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GB8978-1996</w:t>
                  </w:r>
                  <w:r>
                    <w:rPr>
                      <w:rFonts w:hint="eastAsia" w:ascii="宋体" w:hAnsi="宋体" w:eastAsia="宋体" w:cs="宋体"/>
                      <w:color w:val="000000" w:themeColor="text1"/>
                      <w:kern w:val="2"/>
                      <w:sz w:val="21"/>
                      <w:szCs w:val="21"/>
                      <w:lang w:val="en-US" w:eastAsia="zh-CN" w:bidi="ar"/>
                      <w14:textFill>
                        <w14:solidFill>
                          <w14:schemeClr w14:val="tx1"/>
                        </w14:solidFill>
                      </w14:textFill>
                    </w:rPr>
                    <w:t>）中三级标准</w:t>
                  </w:r>
                </w:p>
              </w:tc>
              <w:tc>
                <w:tcPr>
                  <w:tcW w:w="8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500</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300</w:t>
                  </w:r>
                </w:p>
              </w:tc>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400</w:t>
                  </w:r>
                </w:p>
              </w:tc>
              <w:tc>
                <w:tcPr>
                  <w:tcW w:w="8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168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Lines="0" w:beforeAutospacing="0" w:after="0" w:afterLines="0" w:afterAutospacing="0" w:line="240" w:lineRule="atLeast"/>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cs="Times New Roman"/>
                      <w:color w:val="000000" w:themeColor="text1"/>
                      <w:sz w:val="21"/>
                      <w:szCs w:val="21"/>
                      <w:lang w:bidi="ar"/>
                      <w14:textFill>
                        <w14:solidFill>
                          <w14:schemeClr w14:val="tx1"/>
                        </w14:solidFill>
                      </w14:textFill>
                    </w:rPr>
                    <w:t>《污水排入城镇下水道水质标准》（GB/T31962-2015）中B级标准</w:t>
                  </w:r>
                </w:p>
              </w:tc>
              <w:tc>
                <w:tcPr>
                  <w:tcW w:w="81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w:t>
                  </w:r>
                </w:p>
              </w:tc>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w:t>
                  </w:r>
                </w:p>
              </w:tc>
              <w:tc>
                <w:tcPr>
                  <w:tcW w:w="8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cs="Times New Roman"/>
                      <w:color w:val="000000" w:themeColor="text1"/>
                      <w:sz w:val="21"/>
                      <w:szCs w:val="21"/>
                      <w:lang w:bidi="ar"/>
                      <w14:textFill>
                        <w14:solidFill>
                          <w14:schemeClr w14:val="tx1"/>
                        </w14:solidFill>
                      </w14:textFill>
                    </w:rPr>
                    <w:t>45</w:t>
                  </w:r>
                </w:p>
              </w:tc>
            </w:tr>
          </w:tbl>
          <w:p>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由上表可知，本项目生活污水排放浓度较低，可生化性高，污染物成分简单，不含有毒有害物质，污染物易于降解，且产生量较少。生活污水排入园区下水管网，最终排入园区污水处理厂，对周边水环境影响很小</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2"/>
              <w:pageBreakBefore w:val="0"/>
              <w:widowControl w:val="0"/>
              <w:kinsoku/>
              <w:wordWrap/>
              <w:overflowPunct/>
              <w:autoSpaceDE/>
              <w:autoSpaceDN/>
              <w:bidi w:val="0"/>
              <w:adjustRightInd w:val="0"/>
              <w:snapToGrid w:val="0"/>
              <w:spacing w:before="0" w:beforeAutospacing="0" w:after="0" w:afterAutospacing="0" w:line="360" w:lineRule="auto"/>
              <w:ind w:left="0" w:leftChars="0" w:right="0"/>
              <w:textAlignment w:val="auto"/>
              <w:rPr>
                <w:rFonts w:hint="default" w:ascii="Times New Roman" w:hAnsi="Times New Roman" w:eastAsia="宋体" w:cs="Times New Roman"/>
                <w:color w:val="FF0000"/>
                <w:kern w:val="2"/>
                <w:sz w:val="21"/>
                <w:szCs w:val="24"/>
              </w:rPr>
            </w:pPr>
            <w:r>
              <w:rPr>
                <w:rFonts w:hint="default" w:ascii="Times New Roman" w:hAnsi="Times New Roman" w:eastAsia="宋体" w:cs="Times New Roman"/>
                <w:color w:val="FF0000"/>
                <w:kern w:val="2"/>
                <w:sz w:val="21"/>
                <w:szCs w:val="24"/>
              </w:rPr>
              <w:t>昌吉高新技术产业开发区污水处理厂位于昌吉高新技术产业开发区西北角，该污水处理厂污水接纳范围主要包括昌吉高新技术产业开发区内各企业的工业污水、军户农场和榆树沟镇的生活污水，设计处理规模30000m</w:t>
            </w:r>
            <w:r>
              <w:rPr>
                <w:rFonts w:hint="eastAsia" w:ascii="Times New Roman" w:hAnsi="Times New Roman" w:eastAsia="宋体" w:cs="Times New Roman"/>
                <w:color w:val="FF0000"/>
                <w:kern w:val="2"/>
                <w:sz w:val="21"/>
                <w:szCs w:val="24"/>
                <w:vertAlign w:val="superscript"/>
                <w:lang w:val="en-US" w:eastAsia="zh-CN"/>
              </w:rPr>
              <w:t>3</w:t>
            </w:r>
            <w:r>
              <w:rPr>
                <w:rFonts w:hint="default" w:ascii="Times New Roman" w:hAnsi="Times New Roman" w:eastAsia="宋体" w:cs="Times New Roman"/>
                <w:color w:val="FF0000"/>
                <w:kern w:val="2"/>
                <w:sz w:val="21"/>
                <w:szCs w:val="24"/>
              </w:rPr>
              <w:t>/d，实际处理规模15000m</w:t>
            </w:r>
            <w:r>
              <w:rPr>
                <w:rFonts w:hint="eastAsia" w:ascii="Times New Roman" w:hAnsi="Times New Roman" w:eastAsia="宋体" w:cs="Times New Roman"/>
                <w:color w:val="FF0000"/>
                <w:kern w:val="2"/>
                <w:sz w:val="21"/>
                <w:szCs w:val="24"/>
                <w:vertAlign w:val="superscript"/>
                <w:lang w:val="en-US" w:eastAsia="zh-CN"/>
              </w:rPr>
              <w:t>3</w:t>
            </w:r>
            <w:r>
              <w:rPr>
                <w:rFonts w:hint="default" w:ascii="Times New Roman" w:hAnsi="Times New Roman" w:eastAsia="宋体" w:cs="Times New Roman"/>
                <w:color w:val="FF0000"/>
                <w:kern w:val="2"/>
                <w:sz w:val="21"/>
                <w:szCs w:val="24"/>
              </w:rPr>
              <w:t>/d，污水处理工艺采用污水→粗格栅及污水提升泵站→细格栅及曝气沉砂池→初沉池→MBR池→二沉池→Fenton反应池→絮凝沉淀池→纤维转盘滤池→紫外消毒，处理后污水可达到《城镇污水处理厂污染物排放标准》（GB18918-2002）中一级A标准，处理后尾水夏季排入污水处理厂西侧约70m处7000m</w:t>
            </w:r>
            <w:r>
              <w:rPr>
                <w:rFonts w:hint="eastAsia" w:ascii="Times New Roman" w:hAnsi="Times New Roman" w:eastAsia="宋体" w:cs="Times New Roman"/>
                <w:color w:val="FF0000"/>
                <w:kern w:val="2"/>
                <w:sz w:val="21"/>
                <w:szCs w:val="24"/>
                <w:vertAlign w:val="superscript"/>
                <w:lang w:val="en-US" w:eastAsia="zh-CN"/>
              </w:rPr>
              <w:t>3</w:t>
            </w:r>
            <w:r>
              <w:rPr>
                <w:rFonts w:hint="default" w:ascii="Times New Roman" w:hAnsi="Times New Roman" w:eastAsia="宋体" w:cs="Times New Roman"/>
                <w:color w:val="FF0000"/>
                <w:kern w:val="2"/>
                <w:sz w:val="21"/>
                <w:szCs w:val="24"/>
              </w:rPr>
              <w:t>的高新区生态灌溉项目蓄水池中，用于高新区工业冷却水、绿化、洗车、浇洒道路、景观用水，冬季尾水排入污水处理厂西南侧约2km处50万m</w:t>
            </w:r>
            <w:r>
              <w:rPr>
                <w:rFonts w:hint="eastAsia" w:cs="Times New Roman"/>
                <w:color w:val="FF0000"/>
                <w:kern w:val="2"/>
                <w:sz w:val="21"/>
                <w:szCs w:val="24"/>
                <w:vertAlign w:val="superscript"/>
                <w:lang w:val="en-US" w:eastAsia="zh-CN"/>
              </w:rPr>
              <w:t>3</w:t>
            </w:r>
            <w:r>
              <w:rPr>
                <w:rFonts w:hint="default" w:ascii="Times New Roman" w:hAnsi="Times New Roman" w:eastAsia="宋体" w:cs="Times New Roman"/>
                <w:color w:val="FF0000"/>
                <w:kern w:val="2"/>
                <w:sz w:val="21"/>
                <w:szCs w:val="24"/>
              </w:rPr>
              <w:t>的园区水库中</w:t>
            </w:r>
            <w:r>
              <w:rPr>
                <w:rFonts w:hint="eastAsia" w:cs="Times New Roman"/>
                <w:color w:val="FF0000"/>
                <w:kern w:val="2"/>
                <w:sz w:val="21"/>
                <w:szCs w:val="24"/>
                <w:lang w:eastAsia="zh-CN"/>
              </w:rPr>
              <w:t>。昌吉高新技术产业开发区污水处理厂</w:t>
            </w:r>
            <w:r>
              <w:rPr>
                <w:rFonts w:hint="eastAsia" w:cs="Times New Roman"/>
                <w:color w:val="FF0000"/>
                <w:kern w:val="2"/>
                <w:sz w:val="21"/>
                <w:szCs w:val="24"/>
                <w:lang w:val="en-US" w:eastAsia="zh-CN"/>
              </w:rPr>
              <w:t>环保手续齐全，项目区附近有园区下水管网，可接纳本项目产生的生活污水</w:t>
            </w:r>
            <w:r>
              <w:rPr>
                <w:rFonts w:hint="default" w:ascii="Times New Roman" w:hAnsi="Times New Roman" w:eastAsia="宋体" w:cs="Times New Roman"/>
                <w:color w:val="FF0000"/>
                <w:kern w:val="2"/>
                <w:sz w:val="21"/>
                <w:szCs w:val="24"/>
              </w:rPr>
              <w:t>。</w:t>
            </w:r>
          </w:p>
          <w:p>
            <w:pPr>
              <w:pStyle w:val="22"/>
              <w:pageBreakBefore w:val="0"/>
              <w:widowControl w:val="0"/>
              <w:kinsoku/>
              <w:wordWrap/>
              <w:overflowPunct/>
              <w:autoSpaceDE/>
              <w:autoSpaceDN/>
              <w:bidi w:val="0"/>
              <w:adjustRightInd w:val="0"/>
              <w:snapToGrid w:val="0"/>
              <w:spacing w:before="0" w:beforeAutospacing="0" w:after="0" w:afterAutospacing="0" w:line="360" w:lineRule="auto"/>
              <w:ind w:left="0" w:leftChars="0" w:right="0"/>
              <w:textAlignment w:val="auto"/>
              <w:rPr>
                <w:rFonts w:hint="default" w:ascii="Times New Roman" w:hAnsi="Times New Roman" w:eastAsia="宋体" w:cs="Times New Roman"/>
                <w:color w:val="FF0000"/>
                <w:kern w:val="2"/>
                <w:sz w:val="21"/>
                <w:szCs w:val="24"/>
              </w:rPr>
            </w:pPr>
            <w:r>
              <w:rPr>
                <w:rFonts w:hint="eastAsia" w:cs="Times New Roman"/>
                <w:color w:val="FF0000"/>
                <w:kern w:val="2"/>
                <w:sz w:val="21"/>
                <w:szCs w:val="24"/>
                <w:lang w:val="en-US" w:eastAsia="zh-CN"/>
              </w:rPr>
              <w:t>本</w:t>
            </w:r>
            <w:r>
              <w:rPr>
                <w:rFonts w:hint="default" w:ascii="Times New Roman" w:hAnsi="Times New Roman" w:eastAsia="宋体" w:cs="Times New Roman"/>
                <w:color w:val="FF0000"/>
                <w:kern w:val="2"/>
                <w:sz w:val="21"/>
                <w:szCs w:val="24"/>
              </w:rPr>
              <w:t>项目生活污水满足《污水综合排放标准》（GB8978-1996）中三级标准和《污水排入城镇下水道水质标准》（GB/T31962-2015）中NH</w:t>
            </w:r>
            <w:r>
              <w:rPr>
                <w:rFonts w:hint="default" w:ascii="Times New Roman" w:hAnsi="Times New Roman" w:eastAsia="宋体" w:cs="Times New Roman"/>
                <w:color w:val="FF0000"/>
                <w:kern w:val="2"/>
                <w:sz w:val="21"/>
                <w:szCs w:val="24"/>
                <w:vertAlign w:val="subscript"/>
              </w:rPr>
              <w:t>3</w:t>
            </w:r>
            <w:r>
              <w:rPr>
                <w:rFonts w:hint="default" w:ascii="Times New Roman" w:hAnsi="Times New Roman" w:eastAsia="宋体" w:cs="Times New Roman"/>
                <w:color w:val="FF0000"/>
                <w:kern w:val="2"/>
                <w:sz w:val="21"/>
                <w:szCs w:val="24"/>
              </w:rPr>
              <w:t>-N最高允许值中B级标准45mg/</w:t>
            </w:r>
            <w:r>
              <w:rPr>
                <w:rFonts w:hint="eastAsia" w:cs="Times New Roman"/>
                <w:color w:val="FF0000"/>
                <w:kern w:val="2"/>
                <w:sz w:val="21"/>
                <w:szCs w:val="24"/>
                <w:lang w:val="en-US" w:eastAsia="zh-CN"/>
              </w:rPr>
              <w:t>L</w:t>
            </w:r>
            <w:r>
              <w:rPr>
                <w:rFonts w:hint="default" w:ascii="Times New Roman" w:hAnsi="Times New Roman" w:eastAsia="宋体" w:cs="Times New Roman"/>
                <w:color w:val="FF0000"/>
                <w:kern w:val="2"/>
                <w:sz w:val="21"/>
                <w:szCs w:val="24"/>
              </w:rPr>
              <w:t>，能够符合昌吉国家高新技术产业开发区污水处理厂纳管要求。</w:t>
            </w:r>
          </w:p>
          <w:p>
            <w:pPr>
              <w:pStyle w:val="22"/>
              <w:pageBreakBefore w:val="0"/>
              <w:widowControl w:val="0"/>
              <w:kinsoku/>
              <w:wordWrap/>
              <w:overflowPunct/>
              <w:autoSpaceDE/>
              <w:autoSpaceDN/>
              <w:bidi w:val="0"/>
              <w:adjustRightInd w:val="0"/>
              <w:snapToGrid w:val="0"/>
              <w:spacing w:before="0" w:beforeAutospacing="0" w:after="0" w:afterAutospacing="0" w:line="360" w:lineRule="auto"/>
              <w:ind w:left="0" w:leftChars="0" w:right="0"/>
              <w:textAlignment w:val="auto"/>
              <w:rPr>
                <w:rFonts w:hint="default" w:ascii="Times New Roman" w:hAnsi="Times New Roman" w:eastAsia="宋体" w:cs="Times New Roman"/>
                <w:color w:val="FF0000"/>
                <w:kern w:val="2"/>
                <w:sz w:val="21"/>
                <w:szCs w:val="24"/>
              </w:rPr>
            </w:pPr>
            <w:r>
              <w:rPr>
                <w:rFonts w:hint="default" w:ascii="Times New Roman" w:hAnsi="Times New Roman" w:eastAsia="宋体" w:cs="Times New Roman"/>
                <w:color w:val="FF0000"/>
                <w:kern w:val="2"/>
                <w:sz w:val="21"/>
                <w:szCs w:val="24"/>
              </w:rPr>
              <w:t>本项目生活污水</w:t>
            </w:r>
            <w:r>
              <w:rPr>
                <w:rFonts w:hint="eastAsia" w:cs="Times New Roman"/>
                <w:color w:val="FF0000"/>
                <w:kern w:val="2"/>
                <w:sz w:val="21"/>
                <w:szCs w:val="24"/>
                <w:lang w:val="en-US" w:eastAsia="zh-CN"/>
              </w:rPr>
              <w:t>排放</w:t>
            </w:r>
            <w:r>
              <w:rPr>
                <w:rFonts w:hint="default" w:ascii="Times New Roman" w:hAnsi="Times New Roman" w:eastAsia="宋体" w:cs="Times New Roman"/>
                <w:color w:val="FF0000"/>
                <w:kern w:val="2"/>
                <w:sz w:val="21"/>
                <w:szCs w:val="24"/>
              </w:rPr>
              <w:t>量为</w:t>
            </w:r>
            <w:r>
              <w:rPr>
                <w:rFonts w:hint="eastAsia" w:cs="Times New Roman"/>
                <w:color w:val="FF0000"/>
                <w:kern w:val="2"/>
                <w:sz w:val="21"/>
                <w:szCs w:val="24"/>
                <w:lang w:val="en-US" w:eastAsia="zh-CN"/>
              </w:rPr>
              <w:t>0.24m</w:t>
            </w:r>
            <w:r>
              <w:rPr>
                <w:rFonts w:hint="eastAsia" w:cs="Times New Roman"/>
                <w:color w:val="FF0000"/>
                <w:kern w:val="2"/>
                <w:sz w:val="21"/>
                <w:szCs w:val="24"/>
                <w:vertAlign w:val="superscript"/>
                <w:lang w:val="en-US" w:eastAsia="zh-CN"/>
              </w:rPr>
              <w:t>3</w:t>
            </w:r>
            <w:r>
              <w:rPr>
                <w:rFonts w:hint="eastAsia" w:cs="Times New Roman"/>
                <w:color w:val="FF0000"/>
                <w:kern w:val="2"/>
                <w:sz w:val="21"/>
                <w:szCs w:val="24"/>
                <w:lang w:val="en-US" w:eastAsia="zh-CN"/>
              </w:rPr>
              <w:t>/d（86.4m</w:t>
            </w:r>
            <w:r>
              <w:rPr>
                <w:rFonts w:hint="eastAsia" w:cs="Times New Roman"/>
                <w:color w:val="FF0000"/>
                <w:kern w:val="2"/>
                <w:sz w:val="21"/>
                <w:szCs w:val="24"/>
                <w:vertAlign w:val="superscript"/>
                <w:lang w:val="en-US" w:eastAsia="zh-CN"/>
              </w:rPr>
              <w:t>3</w:t>
            </w:r>
            <w:r>
              <w:rPr>
                <w:rFonts w:hint="eastAsia" w:cs="Times New Roman"/>
                <w:color w:val="FF0000"/>
                <w:kern w:val="2"/>
                <w:sz w:val="21"/>
                <w:szCs w:val="24"/>
                <w:lang w:val="en-US" w:eastAsia="zh-CN"/>
              </w:rPr>
              <w:t>/a）</w:t>
            </w:r>
            <w:r>
              <w:rPr>
                <w:rFonts w:hint="eastAsia" w:cs="Times New Roman"/>
                <w:color w:val="FF0000"/>
                <w:kern w:val="2"/>
                <w:sz w:val="21"/>
                <w:szCs w:val="24"/>
                <w:lang w:eastAsia="zh-CN"/>
              </w:rPr>
              <w:t>，</w:t>
            </w:r>
            <w:r>
              <w:rPr>
                <w:rFonts w:hint="default" w:ascii="Times New Roman" w:hAnsi="Times New Roman" w:eastAsia="宋体" w:cs="Times New Roman"/>
                <w:color w:val="FF0000"/>
                <w:kern w:val="2"/>
                <w:sz w:val="21"/>
                <w:szCs w:val="24"/>
              </w:rPr>
              <w:t>昌吉高新技术产业开发区污水处理厂设计处理规模3万m</w:t>
            </w:r>
            <w:r>
              <w:rPr>
                <w:rFonts w:hint="eastAsia" w:ascii="Times New Roman" w:hAnsi="Times New Roman" w:eastAsia="宋体" w:cs="Times New Roman"/>
                <w:color w:val="FF0000"/>
                <w:kern w:val="2"/>
                <w:sz w:val="21"/>
                <w:szCs w:val="24"/>
                <w:vertAlign w:val="superscript"/>
                <w:lang w:val="en-US" w:eastAsia="zh-CN"/>
              </w:rPr>
              <w:t>3</w:t>
            </w:r>
            <w:r>
              <w:rPr>
                <w:rFonts w:hint="default" w:ascii="Times New Roman" w:hAnsi="Times New Roman" w:eastAsia="宋体" w:cs="Times New Roman"/>
                <w:color w:val="FF0000"/>
                <w:kern w:val="2"/>
                <w:sz w:val="21"/>
                <w:szCs w:val="24"/>
              </w:rPr>
              <w:t>/d，目前实际处理水量为1.5万m</w:t>
            </w:r>
            <w:r>
              <w:rPr>
                <w:rFonts w:hint="eastAsia" w:ascii="Times New Roman" w:hAnsi="Times New Roman" w:eastAsia="宋体" w:cs="Times New Roman"/>
                <w:color w:val="FF0000"/>
                <w:kern w:val="2"/>
                <w:sz w:val="21"/>
                <w:szCs w:val="24"/>
                <w:vertAlign w:val="superscript"/>
                <w:lang w:val="en-US" w:eastAsia="zh-CN"/>
              </w:rPr>
              <w:t>3</w:t>
            </w:r>
            <w:r>
              <w:rPr>
                <w:rFonts w:hint="default" w:ascii="Times New Roman" w:hAnsi="Times New Roman" w:eastAsia="宋体" w:cs="Times New Roman"/>
                <w:color w:val="FF0000"/>
                <w:kern w:val="2"/>
                <w:sz w:val="21"/>
                <w:szCs w:val="24"/>
              </w:rPr>
              <w:t>/d，尚有1.5万m</w:t>
            </w:r>
            <w:r>
              <w:rPr>
                <w:rFonts w:hint="eastAsia" w:ascii="Times New Roman" w:hAnsi="Times New Roman" w:eastAsia="宋体" w:cs="Times New Roman"/>
                <w:color w:val="FF0000"/>
                <w:kern w:val="2"/>
                <w:sz w:val="21"/>
                <w:szCs w:val="24"/>
                <w:vertAlign w:val="superscript"/>
                <w:lang w:val="en-US" w:eastAsia="zh-CN"/>
              </w:rPr>
              <w:t>3</w:t>
            </w:r>
            <w:r>
              <w:rPr>
                <w:rFonts w:hint="default" w:ascii="Times New Roman" w:hAnsi="Times New Roman" w:eastAsia="宋体" w:cs="Times New Roman"/>
                <w:color w:val="FF0000"/>
                <w:kern w:val="2"/>
                <w:sz w:val="21"/>
                <w:szCs w:val="24"/>
              </w:rPr>
              <w:t>/d富余量，因此本项目产生的生活污水完全能够纳入昌吉高新技术产业开发区污水处理厂</w:t>
            </w:r>
            <w:r>
              <w:rPr>
                <w:rFonts w:hint="eastAsia" w:cs="Times New Roman"/>
                <w:color w:val="FF0000"/>
                <w:kern w:val="2"/>
                <w:sz w:val="21"/>
                <w:szCs w:val="24"/>
                <w:lang w:val="en-US" w:eastAsia="zh-CN"/>
              </w:rPr>
              <w:t>处理</w:t>
            </w:r>
            <w:r>
              <w:rPr>
                <w:rFonts w:hint="default" w:ascii="Times New Roman" w:hAnsi="Times New Roman" w:eastAsia="宋体" w:cs="Times New Roman"/>
                <w:color w:val="FF0000"/>
                <w:kern w:val="2"/>
                <w:sz w:val="21"/>
                <w:szCs w:val="24"/>
              </w:rPr>
              <w:t>。</w:t>
            </w:r>
          </w:p>
          <w:p>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lang w:val="en-US" w:eastAsia="zh-CN" w:bidi="ar"/>
                <w14:textFill>
                  <w14:solidFill>
                    <w14:schemeClr w14:val="tx1"/>
                  </w14:solidFill>
                </w14:textFill>
              </w:rPr>
              <w:t>2</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废水监测计划</w:t>
            </w:r>
          </w:p>
          <w:p>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本项目运营期生活污水排入园区下水管网，最终进入昌吉高新技术产业开发区污水处理厂处理。生活污水属于生活源，环评建议无需进行运营期例行监测</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pStyle w:val="2"/>
              <w:pageBreakBefore w:val="0"/>
              <w:widowControl w:val="0"/>
              <w:suppressLineNumbers w:val="0"/>
              <w:kinsoku/>
              <w:wordWrap/>
              <w:overflowPunct/>
              <w:autoSpaceDE/>
              <w:autoSpaceDN/>
              <w:bidi w:val="0"/>
              <w:adjustRightInd w:val="0"/>
              <w:snapToGrid w:val="0"/>
              <w:spacing w:before="0" w:beforeLines="0" w:after="0" w:afterLines="0"/>
              <w:ind w:left="0" w:right="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bookmarkStart w:id="22" w:name="_Toc28661"/>
            <w:r>
              <w:rPr>
                <w:rFonts w:hint="default" w:ascii="Times New Roman" w:hAnsi="Times New Roman" w:eastAsia="宋体" w:cs="Times New Roman"/>
                <w:color w:val="000000" w:themeColor="text1"/>
                <w:sz w:val="21"/>
                <w:szCs w:val="21"/>
                <w:lang w:val="en-US" w:eastAsia="zh-CN"/>
                <w14:textFill>
                  <w14:solidFill>
                    <w14:schemeClr w14:val="tx1"/>
                  </w14:solidFill>
                </w14:textFill>
              </w:rPr>
              <w:t>3噪声环境影响分析</w:t>
            </w:r>
            <w:bookmarkEnd w:id="22"/>
          </w:p>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3.1</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噪声排放情况</w:t>
            </w:r>
          </w:p>
          <w:p>
            <w:pPr>
              <w:keepNext w:val="0"/>
              <w:keepLines w:val="0"/>
              <w:pageBreakBefore w:val="0"/>
              <w:widowControl w:val="0"/>
              <w:suppressLineNumbers w:val="0"/>
              <w:kinsoku/>
              <w:wordWrap/>
              <w:overflow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本项目噪声源主要为提升机、脉冲布袋除尘器、装载机等各类机械设备噪声，机械噪声源强约在</w:t>
            </w:r>
            <w:r>
              <w:rPr>
                <w:rFonts w:hint="eastAsia" w:ascii="Times New Roman" w:hAnsi="Times New Roman" w:cs="Times New Roman"/>
                <w:color w:val="000000" w:themeColor="text1"/>
                <w:kern w:val="2"/>
                <w:sz w:val="21"/>
                <w:szCs w:val="21"/>
                <w:lang w:val="en-US" w:eastAsia="zh-CN" w:bidi="ar"/>
                <w14:textFill>
                  <w14:solidFill>
                    <w14:schemeClr w14:val="tx1"/>
                  </w14:solidFill>
                </w14:textFill>
              </w:rPr>
              <w:t>70</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r>
              <w:rPr>
                <w:rFonts w:hint="eastAsia" w:ascii="Times New Roman" w:hAnsi="Times New Roman" w:cs="Times New Roman"/>
                <w:color w:val="000000" w:themeColor="text1"/>
                <w:kern w:val="2"/>
                <w:sz w:val="21"/>
                <w:szCs w:val="21"/>
                <w:lang w:val="en-US" w:eastAsia="zh-CN" w:bidi="ar"/>
                <w14:textFill>
                  <w14:solidFill>
                    <w14:schemeClr w14:val="tx1"/>
                  </w14:solidFill>
                </w14:textFill>
              </w:rPr>
              <w:t>85</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dB(A)</w:t>
            </w:r>
            <w:r>
              <w:rPr>
                <w:rFonts w:hint="eastAsia" w:ascii="宋体" w:hAnsi="宋体" w:eastAsia="宋体" w:cs="宋体"/>
                <w:color w:val="000000" w:themeColor="text1"/>
                <w:kern w:val="2"/>
                <w:sz w:val="21"/>
                <w:szCs w:val="21"/>
                <w:lang w:val="en-US" w:eastAsia="zh-CN" w:bidi="ar"/>
                <w14:textFill>
                  <w14:solidFill>
                    <w14:schemeClr w14:val="tx1"/>
                  </w14:solidFill>
                </w14:textFill>
              </w:rPr>
              <w:t>之间，多为连续性噪声源。这些噪声源主要对项目区内声环境和工作人员造成一定影响。主要噪声源强见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表4-</w:t>
            </w:r>
            <w:r>
              <w:rPr>
                <w:rFonts w:hint="eastAsia" w:cs="Times New Roman"/>
                <w:color w:val="000000" w:themeColor="text1"/>
                <w:kern w:val="2"/>
                <w:sz w:val="21"/>
                <w:szCs w:val="21"/>
                <w:lang w:val="en-US" w:eastAsia="zh-CN" w:bidi="ar"/>
                <w14:textFill>
                  <w14:solidFill>
                    <w14:schemeClr w14:val="tx1"/>
                  </w14:solidFill>
                </w14:textFill>
              </w:rPr>
              <w:t>6</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4-</w:t>
            </w:r>
            <w:r>
              <w:rPr>
                <w:rFonts w:hint="eastAsia" w:cs="Times New Roman"/>
                <w:b/>
                <w:bCs/>
                <w:color w:val="000000" w:themeColor="text1"/>
                <w:kern w:val="0"/>
                <w:sz w:val="21"/>
                <w:szCs w:val="21"/>
                <w:lang w:val="en-US" w:eastAsia="zh-CN" w:bidi="ar"/>
                <w14:textFill>
                  <w14:solidFill>
                    <w14:schemeClr w14:val="tx1"/>
                  </w14:solidFill>
                </w14:textFill>
              </w:rPr>
              <w:t>6</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主要噪声源及其源强</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单位：</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dB(A)</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7"/>
              <w:gridCol w:w="2221"/>
              <w:gridCol w:w="2123"/>
              <w:gridCol w:w="1485"/>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4" w:hRule="atLeast"/>
                <w:jc w:val="center"/>
              </w:trPr>
              <w:tc>
                <w:tcPr>
                  <w:tcW w:w="767"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pacing w:val="10"/>
                      <w:kern w:val="2"/>
                      <w:sz w:val="21"/>
                      <w:szCs w:val="21"/>
                      <w14:textFill>
                        <w14:solidFill>
                          <w14:schemeClr w14:val="tx1"/>
                        </w14:solidFill>
                      </w14:textFill>
                    </w:rPr>
                  </w:pP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序号</w:t>
                  </w:r>
                </w:p>
              </w:tc>
              <w:tc>
                <w:tcPr>
                  <w:tcW w:w="2221"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pacing w:val="10"/>
                      <w:kern w:val="2"/>
                      <w:sz w:val="21"/>
                      <w:szCs w:val="21"/>
                      <w14:textFill>
                        <w14:solidFill>
                          <w14:schemeClr w14:val="tx1"/>
                        </w14:solidFill>
                      </w14:textFill>
                    </w:rPr>
                  </w:pP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主要噪声源</w:t>
                  </w:r>
                </w:p>
              </w:tc>
              <w:tc>
                <w:tcPr>
                  <w:tcW w:w="2123"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pacing w:val="10"/>
                      <w:kern w:val="2"/>
                      <w:sz w:val="21"/>
                      <w:szCs w:val="21"/>
                      <w14:textFill>
                        <w14:solidFill>
                          <w14:schemeClr w14:val="tx1"/>
                        </w14:solidFill>
                      </w14:textFill>
                    </w:rPr>
                  </w:pP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单机噪声级</w:t>
                  </w:r>
                  <w:r>
                    <w:rPr>
                      <w:rFonts w:hint="default" w:ascii="Times New Roman" w:hAnsi="Times New Roman" w:eastAsia="宋体" w:cs="Times New Roman"/>
                      <w:b/>
                      <w:bCs/>
                      <w:color w:val="000000" w:themeColor="text1"/>
                      <w:spacing w:val="10"/>
                      <w:kern w:val="2"/>
                      <w:sz w:val="21"/>
                      <w:szCs w:val="21"/>
                      <w:lang w:val="en-US" w:eastAsia="zh-CN" w:bidi="ar"/>
                      <w14:textFill>
                        <w14:solidFill>
                          <w14:schemeClr w14:val="tx1"/>
                        </w14:solidFill>
                      </w14:textFill>
                    </w:rPr>
                    <w:t>dB</w:t>
                  </w: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w:t>
                  </w:r>
                  <w:r>
                    <w:rPr>
                      <w:rFonts w:hint="default" w:ascii="Times New Roman" w:hAnsi="Times New Roman" w:eastAsia="宋体" w:cs="Times New Roman"/>
                      <w:b/>
                      <w:bCs/>
                      <w:color w:val="000000" w:themeColor="text1"/>
                      <w:spacing w:val="10"/>
                      <w:kern w:val="2"/>
                      <w:sz w:val="21"/>
                      <w:szCs w:val="21"/>
                      <w:lang w:val="en-US" w:eastAsia="zh-CN" w:bidi="ar"/>
                      <w14:textFill>
                        <w14:solidFill>
                          <w14:schemeClr w14:val="tx1"/>
                        </w14:solidFill>
                      </w14:textFill>
                    </w:rPr>
                    <w:t>A</w:t>
                  </w: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w:t>
                  </w:r>
                </w:p>
              </w:tc>
              <w:tc>
                <w:tcPr>
                  <w:tcW w:w="1485"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pacing w:val="10"/>
                      <w:kern w:val="2"/>
                      <w:sz w:val="21"/>
                      <w:szCs w:val="21"/>
                      <w14:textFill>
                        <w14:solidFill>
                          <w14:schemeClr w14:val="tx1"/>
                        </w14:solidFill>
                      </w14:textFill>
                    </w:rPr>
                  </w:pP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控制措施</w:t>
                  </w:r>
                </w:p>
              </w:tc>
              <w:tc>
                <w:tcPr>
                  <w:tcW w:w="1710"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pacing w:val="10"/>
                      <w:kern w:val="2"/>
                      <w:sz w:val="21"/>
                      <w:szCs w:val="21"/>
                      <w14:textFill>
                        <w14:solidFill>
                          <w14:schemeClr w14:val="tx1"/>
                        </w14:solidFill>
                      </w14:textFill>
                    </w:rPr>
                  </w:pP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隔声减震后声级</w:t>
                  </w:r>
                  <w:r>
                    <w:rPr>
                      <w:rFonts w:hint="default" w:ascii="Times New Roman" w:hAnsi="Times New Roman" w:eastAsia="宋体" w:cs="Times New Roman"/>
                      <w:b/>
                      <w:bCs/>
                      <w:color w:val="000000" w:themeColor="text1"/>
                      <w:spacing w:val="10"/>
                      <w:kern w:val="2"/>
                      <w:sz w:val="21"/>
                      <w:szCs w:val="21"/>
                      <w:lang w:val="en-US" w:eastAsia="zh-CN" w:bidi="ar"/>
                      <w14:textFill>
                        <w14:solidFill>
                          <w14:schemeClr w14:val="tx1"/>
                        </w14:solidFill>
                      </w14:textFill>
                    </w:rPr>
                    <w:t>dB</w:t>
                  </w: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w:t>
                  </w:r>
                  <w:r>
                    <w:rPr>
                      <w:rFonts w:hint="default" w:ascii="Times New Roman" w:hAnsi="Times New Roman" w:eastAsia="宋体" w:cs="Times New Roman"/>
                      <w:b/>
                      <w:bCs/>
                      <w:color w:val="000000" w:themeColor="text1"/>
                      <w:spacing w:val="10"/>
                      <w:kern w:val="2"/>
                      <w:sz w:val="21"/>
                      <w:szCs w:val="21"/>
                      <w:lang w:val="en-US" w:eastAsia="zh-CN" w:bidi="ar"/>
                      <w14:textFill>
                        <w14:solidFill>
                          <w14:schemeClr w14:val="tx1"/>
                        </w14:solidFill>
                      </w14:textFill>
                    </w:rPr>
                    <w:t>A</w:t>
                  </w:r>
                  <w:r>
                    <w:rPr>
                      <w:rFonts w:hint="eastAsia" w:ascii="宋体" w:hAnsi="宋体" w:eastAsia="宋体" w:cs="宋体"/>
                      <w:b/>
                      <w:bCs/>
                      <w:color w:val="000000" w:themeColor="text1"/>
                      <w:spacing w:val="10"/>
                      <w:kern w:val="2"/>
                      <w:sz w:val="21"/>
                      <w:szCs w:val="21"/>
                      <w:lang w:val="en-US"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67"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p>
              </w:tc>
              <w:tc>
                <w:tcPr>
                  <w:tcW w:w="2221"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提升机</w:t>
                  </w:r>
                </w:p>
              </w:tc>
              <w:tc>
                <w:tcPr>
                  <w:tcW w:w="2123"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spacing w:val="10"/>
                      <w:kern w:val="2"/>
                      <w:sz w:val="21"/>
                      <w:szCs w:val="21"/>
                      <w14:textFill>
                        <w14:solidFill>
                          <w14:schemeClr w14:val="tx1"/>
                        </w14:solidFill>
                      </w14:textFill>
                    </w:rPr>
                  </w:pPr>
                  <w:r>
                    <w:rPr>
                      <w:rFonts w:hint="default" w:ascii="Times New Roman" w:hAnsi="Times New Roman" w:eastAsia="宋体" w:cs="Times New Roman"/>
                      <w:color w:val="000000" w:themeColor="text1"/>
                      <w:spacing w:val="10"/>
                      <w:kern w:val="2"/>
                      <w:sz w:val="21"/>
                      <w:szCs w:val="21"/>
                      <w:lang w:val="en-US" w:eastAsia="zh-CN" w:bidi="ar"/>
                      <w14:textFill>
                        <w14:solidFill>
                          <w14:schemeClr w14:val="tx1"/>
                        </w14:solidFill>
                      </w14:textFill>
                    </w:rPr>
                    <w:t>75</w:t>
                  </w:r>
                </w:p>
              </w:tc>
              <w:tc>
                <w:tcPr>
                  <w:tcW w:w="1485" w:type="dxa"/>
                  <w:vMerge w:val="restart"/>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spacing w:val="10"/>
                      <w:kern w:val="2"/>
                      <w:sz w:val="21"/>
                      <w:szCs w:val="21"/>
                      <w14:textFill>
                        <w14:solidFill>
                          <w14:schemeClr w14:val="tx1"/>
                        </w14:solidFill>
                      </w14:textFill>
                    </w:rPr>
                  </w:pPr>
                  <w:r>
                    <w:rPr>
                      <w:rFonts w:hint="eastAsia" w:ascii="宋体" w:hAnsi="宋体" w:eastAsia="宋体" w:cs="宋体"/>
                      <w:bCs/>
                      <w:color w:val="000000" w:themeColor="text1"/>
                      <w:spacing w:val="10"/>
                      <w:kern w:val="2"/>
                      <w:sz w:val="21"/>
                      <w:szCs w:val="21"/>
                      <w:lang w:val="en-US" w:eastAsia="zh-CN" w:bidi="ar"/>
                      <w14:textFill>
                        <w14:solidFill>
                          <w14:schemeClr w14:val="tx1"/>
                        </w14:solidFill>
                      </w14:textFill>
                    </w:rPr>
                    <w:t>基础减振、车间隔声、距离衰减</w:t>
                  </w:r>
                </w:p>
              </w:tc>
              <w:tc>
                <w:tcPr>
                  <w:tcW w:w="1710"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spacing w:val="10"/>
                      <w:kern w:val="2"/>
                      <w:sz w:val="21"/>
                      <w:szCs w:val="21"/>
                      <w:lang w:val="en-US"/>
                      <w14:textFill>
                        <w14:solidFill>
                          <w14:schemeClr w14:val="tx1"/>
                        </w14:solidFill>
                      </w14:textFill>
                    </w:rPr>
                  </w:pPr>
                  <w:r>
                    <w:rPr>
                      <w:rFonts w:hint="eastAsia" w:cs="Times New Roman"/>
                      <w:color w:val="000000" w:themeColor="text1"/>
                      <w:spacing w:val="10"/>
                      <w:kern w:val="2"/>
                      <w:sz w:val="21"/>
                      <w:szCs w:val="21"/>
                      <w:lang w:val="en-US" w:eastAsia="zh-CN" w:bidi="ar"/>
                      <w14:textFill>
                        <w14:solidFill>
                          <w14:schemeClr w14:val="tx1"/>
                        </w14:solidFill>
                      </w14:textFill>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67"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p>
              </w:tc>
              <w:tc>
                <w:tcPr>
                  <w:tcW w:w="2221"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脉冲布袋除尘器</w:t>
                  </w:r>
                </w:p>
              </w:tc>
              <w:tc>
                <w:tcPr>
                  <w:tcW w:w="2123"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85</w:t>
                  </w:r>
                </w:p>
              </w:tc>
              <w:tc>
                <w:tcPr>
                  <w:tcW w:w="1485" w:type="dxa"/>
                  <w:vMerge w:val="continue"/>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0"/>
                      <w:szCs w:val="20"/>
                      <w14:textFill>
                        <w14:solidFill>
                          <w14:schemeClr w14:val="tx1"/>
                        </w14:solidFill>
                      </w14:textFill>
                    </w:rPr>
                  </w:pPr>
                </w:p>
              </w:tc>
              <w:tc>
                <w:tcPr>
                  <w:tcW w:w="1710"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67"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3</w:t>
                  </w:r>
                </w:p>
              </w:tc>
              <w:tc>
                <w:tcPr>
                  <w:tcW w:w="2221"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装载机</w:t>
                  </w:r>
                </w:p>
              </w:tc>
              <w:tc>
                <w:tcPr>
                  <w:tcW w:w="2123"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85</w:t>
                  </w:r>
                </w:p>
              </w:tc>
              <w:tc>
                <w:tcPr>
                  <w:tcW w:w="1485" w:type="dxa"/>
                  <w:vMerge w:val="continue"/>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0"/>
                      <w:szCs w:val="20"/>
                      <w14:textFill>
                        <w14:solidFill>
                          <w14:schemeClr w14:val="tx1"/>
                        </w14:solidFill>
                      </w14:textFill>
                    </w:rPr>
                  </w:pPr>
                </w:p>
              </w:tc>
              <w:tc>
                <w:tcPr>
                  <w:tcW w:w="1710"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6</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67"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4</w:t>
                  </w:r>
                </w:p>
              </w:tc>
              <w:tc>
                <w:tcPr>
                  <w:tcW w:w="2221"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运输车</w:t>
                  </w:r>
                </w:p>
              </w:tc>
              <w:tc>
                <w:tcPr>
                  <w:tcW w:w="2123"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85</w:t>
                  </w:r>
                </w:p>
              </w:tc>
              <w:tc>
                <w:tcPr>
                  <w:tcW w:w="1485" w:type="dxa"/>
                  <w:vMerge w:val="continue"/>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0"/>
                      <w:szCs w:val="20"/>
                      <w14:textFill>
                        <w14:solidFill>
                          <w14:schemeClr w14:val="tx1"/>
                        </w14:solidFill>
                      </w14:textFill>
                    </w:rPr>
                  </w:pPr>
                </w:p>
              </w:tc>
              <w:tc>
                <w:tcPr>
                  <w:tcW w:w="1710" w:type="dxa"/>
                  <w:shd w:val="clear" w:color="auto" w:fill="auto"/>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6</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5</w:t>
                  </w:r>
                </w:p>
              </w:tc>
            </w:tr>
          </w:tbl>
          <w:p>
            <w:pPr>
              <w:keepNext w:val="0"/>
              <w:keepLines w:val="0"/>
              <w:widowControl w:val="0"/>
              <w:suppressLineNumbers w:val="0"/>
              <w:adjustRightInd w:val="0"/>
              <w:snapToGrid w:val="0"/>
              <w:spacing w:before="0" w:beforeAutospacing="0" w:after="0" w:afterAutospacing="0" w:line="360" w:lineRule="auto"/>
              <w:ind w:left="0" w:right="0"/>
              <w:jc w:val="both"/>
              <w:rPr>
                <w:rFonts w:hint="default" w:ascii="Times New Roman" w:hAnsi="Times New Roman"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3.2</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噪声评价标准</w:t>
            </w:r>
          </w:p>
          <w:p>
            <w:pPr>
              <w:keepNext w:val="0"/>
              <w:keepLines w:val="0"/>
              <w:widowControl w:val="0"/>
              <w:suppressLineNumbers w:val="0"/>
              <w:adjustRightInd w:val="0"/>
              <w:snapToGrid w:val="0"/>
              <w:spacing w:before="0" w:beforeAutospacing="0" w:after="0" w:afterAutospacing="0" w:line="360" w:lineRule="auto"/>
              <w:ind w:left="0" w:right="0" w:firstLine="48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w:t>
            </w:r>
            <w:r>
              <w:rPr>
                <w:rFonts w:hint="eastAsia" w:ascii="宋体" w:hAnsi="宋体" w:cs="宋体"/>
                <w:color w:val="000000" w:themeColor="text1"/>
                <w:kern w:val="2"/>
                <w:sz w:val="21"/>
                <w:szCs w:val="21"/>
                <w:lang w:val="en-US" w:eastAsia="zh-CN" w:bidi="ar"/>
                <w14:textFill>
                  <w14:solidFill>
                    <w14:schemeClr w14:val="tx1"/>
                  </w14:solidFill>
                </w14:textFill>
              </w:rPr>
              <w:t>运营期</w:t>
            </w:r>
            <w:r>
              <w:rPr>
                <w:rFonts w:hint="eastAsia" w:ascii="宋体" w:hAnsi="宋体" w:eastAsia="宋体" w:cs="宋体"/>
                <w:color w:val="000000" w:themeColor="text1"/>
                <w:kern w:val="2"/>
                <w:sz w:val="21"/>
                <w:szCs w:val="21"/>
                <w:lang w:val="en-US" w:eastAsia="zh-CN" w:bidi="ar"/>
                <w14:textFill>
                  <w14:solidFill>
                    <w14:schemeClr w14:val="tx1"/>
                  </w14:solidFill>
                </w14:textFill>
              </w:rPr>
              <w:t>噪声排放标准采用《工业企业厂界环境噪声排放标准》</w:t>
            </w:r>
            <w:r>
              <w:rPr>
                <w:rFonts w:hint="eastAsia" w:ascii="Times New Roman" w:hAnsi="Times New Roman"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GB12348-2008</w:t>
            </w:r>
            <w:r>
              <w:rPr>
                <w:rFonts w:hint="eastAsia" w:ascii="Times New Roman" w:hAnsi="Times New Roman" w:cs="Times New Roman"/>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中</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3</w:t>
            </w:r>
            <w:r>
              <w:rPr>
                <w:rFonts w:hint="eastAsia" w:ascii="宋体" w:hAnsi="宋体" w:eastAsia="宋体" w:cs="宋体"/>
                <w:color w:val="000000" w:themeColor="text1"/>
                <w:kern w:val="2"/>
                <w:sz w:val="21"/>
                <w:szCs w:val="21"/>
                <w:lang w:val="en-US" w:eastAsia="zh-CN" w:bidi="ar"/>
                <w14:textFill>
                  <w14:solidFill>
                    <w14:schemeClr w14:val="tx1"/>
                  </w14:solidFill>
                </w14:textFill>
              </w:rPr>
              <w:t>类标准限值，其标准值见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表4-</w:t>
            </w:r>
            <w:r>
              <w:rPr>
                <w:rFonts w:hint="eastAsia" w:cs="Times New Roman"/>
                <w:color w:val="000000" w:themeColor="text1"/>
                <w:kern w:val="2"/>
                <w:sz w:val="21"/>
                <w:szCs w:val="21"/>
                <w:lang w:val="en-US" w:eastAsia="zh-CN" w:bidi="ar"/>
                <w14:textFill>
                  <w14:solidFill>
                    <w14:schemeClr w14:val="tx1"/>
                  </w14:solidFill>
                </w14:textFill>
              </w:rPr>
              <w:t>7</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adjustRightInd w:val="0"/>
              <w:snapToGrid w:val="0"/>
              <w:spacing w:before="0" w:beforeAutospacing="0" w:after="0" w:afterAutospacing="0"/>
              <w:ind w:left="0" w:right="0" w:firstLine="422"/>
              <w:jc w:val="center"/>
              <w:rPr>
                <w:rFonts w:hint="default" w:ascii="Times New Roman" w:hAnsi="Times New Roman"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4-</w:t>
            </w:r>
            <w:r>
              <w:rPr>
                <w:rFonts w:hint="eastAsia" w:cs="Times New Roman"/>
                <w:b/>
                <w:bCs w:val="0"/>
                <w:color w:val="000000" w:themeColor="text1"/>
                <w:kern w:val="2"/>
                <w:sz w:val="21"/>
                <w:szCs w:val="21"/>
                <w:lang w:val="en-US" w:eastAsia="zh-CN" w:bidi="ar"/>
                <w14:textFill>
                  <w14:solidFill>
                    <w14:schemeClr w14:val="tx1"/>
                  </w14:solidFill>
                </w14:textFill>
              </w:rPr>
              <w:t>7</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噪声评价标准</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单位：</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dB</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A</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w:t>
            </w:r>
          </w:p>
          <w:tbl>
            <w:tblPr>
              <w:tblStyle w:val="23"/>
              <w:tblW w:w="8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551"/>
              <w:gridCol w:w="1526"/>
              <w:gridCol w:w="1631"/>
              <w:gridCol w:w="1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9" w:hRule="atLeast"/>
                <w:jc w:val="center"/>
              </w:trPr>
              <w:tc>
                <w:tcPr>
                  <w:tcW w:w="3551" w:type="dxa"/>
                  <w:shd w:val="clear" w:color="auto" w:fill="auto"/>
                  <w:vAlign w:val="center"/>
                </w:tcPr>
                <w:p>
                  <w:pPr>
                    <w:pStyle w:val="20"/>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eastAsia" w:eastAsia="宋体" w:cs="宋体"/>
                      <w:b/>
                      <w:bCs/>
                      <w:color w:val="000000" w:themeColor="text1"/>
                      <w:kern w:val="2"/>
                      <w:sz w:val="21"/>
                      <w:szCs w:val="21"/>
                      <w:lang w:val="en-US" w:eastAsia="zh-CN" w:bidi="ar"/>
                      <w14:textFill>
                        <w14:solidFill>
                          <w14:schemeClr w14:val="tx1"/>
                        </w14:solidFill>
                      </w14:textFill>
                    </w:rPr>
                    <w:t>执行</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标准</w:t>
                  </w:r>
                </w:p>
              </w:tc>
              <w:tc>
                <w:tcPr>
                  <w:tcW w:w="1526" w:type="dxa"/>
                  <w:shd w:val="clear" w:color="auto" w:fill="auto"/>
                  <w:vAlign w:val="center"/>
                </w:tcPr>
                <w:p>
                  <w:pPr>
                    <w:pStyle w:val="20"/>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类别</w:t>
                  </w:r>
                </w:p>
              </w:tc>
              <w:tc>
                <w:tcPr>
                  <w:tcW w:w="1631" w:type="dxa"/>
                  <w:shd w:val="clear" w:color="auto" w:fill="auto"/>
                  <w:vAlign w:val="center"/>
                </w:tcPr>
                <w:p>
                  <w:pPr>
                    <w:pStyle w:val="20"/>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昼间</w:t>
                  </w:r>
                </w:p>
              </w:tc>
              <w:tc>
                <w:tcPr>
                  <w:tcW w:w="1549" w:type="dxa"/>
                  <w:shd w:val="clear" w:color="auto" w:fill="auto"/>
                  <w:vAlign w:val="center"/>
                </w:tcPr>
                <w:p>
                  <w:pPr>
                    <w:pStyle w:val="20"/>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551" w:type="dxa"/>
                  <w:shd w:val="clear" w:color="auto" w:fill="auto"/>
                  <w:vAlign w:val="center"/>
                </w:tcPr>
                <w:p>
                  <w:pPr>
                    <w:pStyle w:val="20"/>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《工业企业厂界环境噪声排放标准》</w:t>
                  </w:r>
                  <w:r>
                    <w:rPr>
                      <w:rFonts w:hint="eastAsia" w:ascii="Times New Roman" w:hAnsi="Times New Roman"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黑体" w:cs="Times New Roman"/>
                      <w:color w:val="000000" w:themeColor="text1"/>
                      <w:kern w:val="2"/>
                      <w:sz w:val="21"/>
                      <w:szCs w:val="21"/>
                      <w:lang w:val="en-US" w:eastAsia="zh-CN" w:bidi="ar"/>
                      <w14:textFill>
                        <w14:solidFill>
                          <w14:schemeClr w14:val="tx1"/>
                        </w14:solidFill>
                      </w14:textFill>
                    </w:rPr>
                    <w:t>GB12348-2008</w:t>
                  </w:r>
                  <w:r>
                    <w:rPr>
                      <w:rFonts w:hint="eastAsia" w:ascii="Times New Roman" w:hAnsi="Times New Roman" w:cs="Times New Roman"/>
                      <w:color w:val="000000" w:themeColor="text1"/>
                      <w:kern w:val="2"/>
                      <w:sz w:val="21"/>
                      <w:szCs w:val="21"/>
                      <w:lang w:val="en-US" w:eastAsia="zh-CN" w:bidi="ar"/>
                      <w14:textFill>
                        <w14:solidFill>
                          <w14:schemeClr w14:val="tx1"/>
                        </w14:solidFill>
                      </w14:textFill>
                    </w:rPr>
                    <w:t>）</w:t>
                  </w:r>
                </w:p>
              </w:tc>
              <w:tc>
                <w:tcPr>
                  <w:tcW w:w="1526" w:type="dxa"/>
                  <w:shd w:val="clear" w:color="auto" w:fill="auto"/>
                  <w:vAlign w:val="center"/>
                </w:tcPr>
                <w:p>
                  <w:pPr>
                    <w:pStyle w:val="20"/>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3</w:t>
                  </w:r>
                </w:p>
              </w:tc>
              <w:tc>
                <w:tcPr>
                  <w:tcW w:w="1631" w:type="dxa"/>
                  <w:shd w:val="clear" w:color="auto" w:fill="auto"/>
                  <w:vAlign w:val="center"/>
                </w:tcPr>
                <w:p>
                  <w:pPr>
                    <w:pStyle w:val="20"/>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65</w:t>
                  </w:r>
                </w:p>
              </w:tc>
              <w:tc>
                <w:tcPr>
                  <w:tcW w:w="1549" w:type="dxa"/>
                  <w:shd w:val="clear" w:color="auto" w:fill="auto"/>
                  <w:vAlign w:val="center"/>
                </w:tcPr>
                <w:p>
                  <w:pPr>
                    <w:pStyle w:val="20"/>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55</w:t>
                  </w:r>
                </w:p>
              </w:tc>
            </w:tr>
          </w:tbl>
          <w:p>
            <w:pPr>
              <w:pStyle w:val="20"/>
              <w:keepNext w:val="0"/>
              <w:keepLines w:val="0"/>
              <w:widowControl w:val="0"/>
              <w:suppressLineNumbers w:val="0"/>
              <w:adjustRightInd w:val="0"/>
              <w:spacing w:before="0" w:beforeAutospacing="0" w:after="0" w:afterAutospacing="0" w:line="360" w:lineRule="auto"/>
              <w:ind w:left="0" w:right="0"/>
              <w:jc w:val="both"/>
              <w:textAlignment w:val="baseline"/>
              <w:rPr>
                <w:rFonts w:hint="default" w:ascii="Times New Roman" w:hAnsi="Times New Roman" w:eastAsia="宋体" w:cs="Times New Roman"/>
                <w:b/>
                <w:bCs w:val="0"/>
                <w:color w:val="000000" w:themeColor="text1"/>
                <w:kern w:val="24"/>
                <w:sz w:val="21"/>
                <w:szCs w:val="21"/>
                <w:vertAlign w:val="baseline"/>
                <w14:textFill>
                  <w14:solidFill>
                    <w14:schemeClr w14:val="tx1"/>
                  </w14:solidFill>
                </w14:textFill>
              </w:rPr>
            </w:pPr>
            <w:r>
              <w:rPr>
                <w:rFonts w:hint="default" w:ascii="Times New Roman" w:hAnsi="Times New Roman" w:eastAsia="宋体" w:cs="Times New Roman"/>
                <w:b/>
                <w:bCs w:val="0"/>
                <w:color w:val="000000" w:themeColor="text1"/>
                <w:kern w:val="24"/>
                <w:sz w:val="21"/>
                <w:szCs w:val="21"/>
                <w:vertAlign w:val="baseline"/>
                <w:lang w:val="en-US" w:eastAsia="zh-CN" w:bidi="ar"/>
                <w14:textFill>
                  <w14:solidFill>
                    <w14:schemeClr w14:val="tx1"/>
                  </w14:solidFill>
                </w14:textFill>
              </w:rPr>
              <w:t>3.</w:t>
            </w:r>
            <w:r>
              <w:rPr>
                <w:rFonts w:hint="eastAsia" w:ascii="Times New Roman" w:hAnsi="Times New Roman" w:eastAsia="宋体" w:cs="Times New Roman"/>
                <w:b/>
                <w:bCs w:val="0"/>
                <w:color w:val="000000" w:themeColor="text1"/>
                <w:kern w:val="24"/>
                <w:sz w:val="21"/>
                <w:szCs w:val="21"/>
                <w:vertAlign w:val="baseline"/>
                <w:lang w:val="en-US" w:eastAsia="zh-CN" w:bidi="ar"/>
                <w14:textFill>
                  <w14:solidFill>
                    <w14:schemeClr w14:val="tx1"/>
                  </w14:solidFill>
                </w14:textFill>
              </w:rPr>
              <w:t>3</w:t>
            </w:r>
            <w:r>
              <w:rPr>
                <w:rFonts w:hint="eastAsia" w:ascii="宋体" w:hAnsi="宋体" w:eastAsia="宋体" w:cs="宋体"/>
                <w:b/>
                <w:bCs w:val="0"/>
                <w:color w:val="000000" w:themeColor="text1"/>
                <w:kern w:val="24"/>
                <w:sz w:val="21"/>
                <w:szCs w:val="21"/>
                <w:vertAlign w:val="baseline"/>
                <w:lang w:val="en-US" w:eastAsia="zh-CN" w:bidi="ar"/>
                <w14:textFill>
                  <w14:solidFill>
                    <w14:schemeClr w14:val="tx1"/>
                  </w14:solidFill>
                </w14:textFill>
              </w:rPr>
              <w:t>噪声排放情况</w:t>
            </w:r>
          </w:p>
          <w:p>
            <w:pPr>
              <w:keepNext w:val="0"/>
              <w:keepLines w:val="0"/>
              <w:widowControl w:val="0"/>
              <w:suppressLineNumbers w:val="0"/>
              <w:spacing w:before="0" w:beforeAutospacing="0" w:after="0" w:afterAutospacing="0" w:line="360" w:lineRule="auto"/>
              <w:ind w:left="420" w:leftChars="200" w:right="0" w:rightChars="0"/>
              <w:jc w:val="both"/>
              <w:rPr>
                <w:rFonts w:hint="eastAsia" w:ascii="宋体" w:hAnsi="宋体" w:eastAsia="宋体" w:cs="宋体"/>
                <w:b w:val="0"/>
                <w:bCs w:val="0"/>
                <w:color w:val="000000" w:themeColor="text1"/>
                <w:kern w:val="2"/>
                <w:sz w:val="21"/>
                <w:szCs w:val="21"/>
                <w14:textFill>
                  <w14:solidFill>
                    <w14:schemeClr w14:val="tx1"/>
                  </w14:solidFill>
                </w14:textFill>
              </w:rPr>
            </w:pPr>
            <w:r>
              <w:rPr>
                <w:rFonts w:hint="eastAsia" w:cs="Times New Roman"/>
                <w:b w:val="0"/>
                <w:bCs w:val="0"/>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1</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）等效室外声源声功率计算</w:t>
            </w:r>
          </w:p>
          <w:p>
            <w:pPr>
              <w:keepNext w:val="0"/>
              <w:keepLines w:val="0"/>
              <w:widowControl w:val="0"/>
              <w:suppressLineNumbers w:val="0"/>
              <w:spacing w:before="0" w:beforeAutospacing="0" w:after="0" w:afterAutospacing="0" w:line="360" w:lineRule="auto"/>
              <w:ind w:left="0" w:right="0" w:rightChars="0" w:firstLine="420" w:firstLineChars="2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本项目声源位于室内，本项目室内声源采用等效室外声源声功率级法进行计算。设靠近开口处（或窗户）室内、室外某倍频带的声压级分别为</w:t>
            </w: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Lp1</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和</w:t>
            </w: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Lp2</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。若声源所在室内声场为近似扩散声场，则室外的倍频带声压级可按以下公式近似求出</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420" w:firstLineChars="20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Lp2=Lp1</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TL+6</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式中：</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Lp1——</w:t>
            </w:r>
            <w:r>
              <w:rPr>
                <w:rFonts w:hint="eastAsia" w:ascii="宋体" w:hAnsi="宋体" w:eastAsia="宋体" w:cs="宋体"/>
                <w:color w:val="000000" w:themeColor="text1"/>
                <w:kern w:val="2"/>
                <w:sz w:val="21"/>
                <w:szCs w:val="21"/>
                <w:lang w:val="en-US" w:eastAsia="zh-CN" w:bidi="ar"/>
                <w14:textFill>
                  <w14:solidFill>
                    <w14:schemeClr w14:val="tx1"/>
                  </w14:solidFill>
                </w14:textFill>
              </w:rPr>
              <w:t>靠近开口处（或窗户）室内某倍频带的声压级或</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声级，</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dB</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Lp2——</w:t>
            </w:r>
            <w:r>
              <w:rPr>
                <w:rFonts w:hint="eastAsia" w:ascii="宋体" w:hAnsi="宋体" w:eastAsia="宋体" w:cs="宋体"/>
                <w:color w:val="000000" w:themeColor="text1"/>
                <w:kern w:val="2"/>
                <w:sz w:val="21"/>
                <w:szCs w:val="21"/>
                <w:lang w:val="en-US" w:eastAsia="zh-CN" w:bidi="ar"/>
                <w14:textFill>
                  <w14:solidFill>
                    <w14:schemeClr w14:val="tx1"/>
                  </w14:solidFill>
                </w14:textFill>
              </w:rPr>
              <w:t>靠近开口处（或窗户）室外某倍频带的声压级或</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声级，</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dB</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TL——</w:t>
            </w:r>
            <w:r>
              <w:rPr>
                <w:rFonts w:hint="eastAsia" w:ascii="宋体" w:hAnsi="宋体" w:eastAsia="宋体" w:cs="宋体"/>
                <w:color w:val="000000" w:themeColor="text1"/>
                <w:kern w:val="2"/>
                <w:sz w:val="21"/>
                <w:szCs w:val="21"/>
                <w:lang w:val="en-US" w:eastAsia="zh-CN" w:bidi="ar"/>
                <w14:textFill>
                  <w14:solidFill>
                    <w14:schemeClr w14:val="tx1"/>
                  </w14:solidFill>
                </w14:textFill>
              </w:rPr>
              <w:t>隔墙（或窗户）倍频带或</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声级的隔声量，</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dB</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（2</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）室内声源靠近围护结构处产生的倍频带声压级或</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A</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声级计算</w:t>
            </w:r>
          </w:p>
          <w:p>
            <w:pPr>
              <w:keepNext w:val="0"/>
              <w:keepLines w:val="0"/>
              <w:widowControl w:val="0"/>
              <w:suppressLineNumbers w:val="0"/>
              <w:spacing w:before="0" w:beforeAutospacing="0" w:after="0" w:afterAutospacing="0" w:line="360" w:lineRule="auto"/>
              <w:ind w:left="0" w:right="0"/>
              <w:jc w:val="center"/>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drawing>
                <wp:inline distT="0" distB="0" distL="114300" distR="114300">
                  <wp:extent cx="2266950" cy="523875"/>
                  <wp:effectExtent l="0" t="0" r="3810" b="9525"/>
                  <wp:docPr id="1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IMG_256"/>
                          <pic:cNvPicPr>
                            <a:picLocks noChangeAspect="1"/>
                          </pic:cNvPicPr>
                        </pic:nvPicPr>
                        <pic:blipFill>
                          <a:blip r:embed="rId5"/>
                          <a:stretch>
                            <a:fillRect/>
                          </a:stretch>
                        </pic:blipFill>
                        <pic:spPr>
                          <a:xfrm>
                            <a:off x="0" y="0"/>
                            <a:ext cx="2266950" cy="523875"/>
                          </a:xfrm>
                          <a:prstGeom prst="rect">
                            <a:avLst/>
                          </a:prstGeom>
                          <a:noFill/>
                          <a:ln w="9525">
                            <a:noFill/>
                          </a:ln>
                        </pic:spPr>
                      </pic:pic>
                    </a:graphicData>
                  </a:graphic>
                </wp:inline>
              </w:drawing>
            </w:r>
            <w:r>
              <w:rPr>
                <w:rFonts w:hint="eastAsia" w:ascii="Times New Roman" w:hAnsi="Times New Roman" w:eastAsia="宋体" w:cs="Times New Roman"/>
                <w:bCs/>
                <w:color w:val="000000" w:themeColor="text1"/>
                <w:kern w:val="0"/>
                <w:sz w:val="21"/>
                <w:szCs w:val="21"/>
                <w:lang w:val="en-US" w:eastAsia="zh-CN" w:bidi="ar"/>
                <w14:textFill>
                  <w14:solidFill>
                    <w14:schemeClr w14:val="tx1"/>
                  </w14:solidFill>
                </w14:textFill>
              </w:rPr>
              <w:t xml:space="preserve"> </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0"/>
                <w:sz w:val="21"/>
                <w:szCs w:val="21"/>
                <w:lang w:val="en-US" w:eastAsia="zh-CN" w:bidi="ar"/>
                <w14:textFill>
                  <w14:solidFill>
                    <w14:schemeClr w14:val="tx1"/>
                  </w14:solidFill>
                </w14:textFill>
              </w:rPr>
              <w:t>式中：</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L</w:t>
            </w:r>
            <w:r>
              <w:rPr>
                <w:rFonts w:hint="default" w:ascii="Times New Roman" w:hAnsi="Times New Roman" w:eastAsia="宋体" w:cs="Times New Roman"/>
                <w:bCs/>
                <w:color w:val="000000" w:themeColor="text1"/>
                <w:kern w:val="0"/>
                <w:sz w:val="21"/>
                <w:szCs w:val="21"/>
                <w:vertAlign w:val="subscript"/>
                <w:lang w:val="en-US" w:eastAsia="zh-CN" w:bidi="ar"/>
                <w14:textFill>
                  <w14:solidFill>
                    <w14:schemeClr w14:val="tx1"/>
                  </w14:solidFill>
                </w14:textFill>
              </w:rPr>
              <w:t>p1</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——靠近开口处（或窗户）室内某倍频带的声压级或</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A</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声级，</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dB</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Lw</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——点声源声功率级（</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 xml:space="preserve">A </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计权或倍频带），</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dB</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Q</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——指向性因数；通常对无指向性声源，当声源放在房间中心时，</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Q=1</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；当放在一面墙的中心时，</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Q=2</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；当放在两面墙夹角处时，</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Q=4</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；当放在三面墙夹角处时，</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Q=8</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R</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——房间常数；</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R=S</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α</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1</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—α），</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S</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为房间内表面面积，</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m</w:t>
            </w:r>
            <w:r>
              <w:rPr>
                <w:rFonts w:hint="default" w:ascii="Times New Roman" w:hAnsi="Times New Roman" w:eastAsia="宋体" w:cs="Times New Roman"/>
                <w:bCs/>
                <w:color w:val="000000" w:themeColor="text1"/>
                <w:kern w:val="0"/>
                <w:sz w:val="21"/>
                <w:szCs w:val="21"/>
                <w:vertAlign w:val="superscript"/>
                <w:lang w:val="en-US" w:eastAsia="zh-CN" w:bidi="ar"/>
                <w14:textFill>
                  <w14:solidFill>
                    <w14:schemeClr w14:val="tx1"/>
                  </w14:solidFill>
                </w14:textFill>
              </w:rPr>
              <w:t>2</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；α为平均吸声系数；</w:t>
            </w:r>
          </w:p>
          <w:p>
            <w:pPr>
              <w:keepNext w:val="0"/>
              <w:keepLines w:val="0"/>
              <w:widowControl w:val="0"/>
              <w:suppressLineNumbers w:val="0"/>
              <w:spacing w:before="0" w:beforeAutospacing="0" w:after="0" w:afterAutospacing="0" w:line="360" w:lineRule="auto"/>
              <w:ind w:left="0" w:right="0" w:firstLine="1050" w:firstLineChars="5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r</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——声源到靠近围护结构某点处的距离，</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m</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（3</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）所有室内声源在围护结构处产生的</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i</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倍频带叠加声压级计算</w:t>
            </w:r>
          </w:p>
          <w:p>
            <w:pPr>
              <w:keepNext w:val="0"/>
              <w:keepLines w:val="0"/>
              <w:widowControl w:val="0"/>
              <w:suppressLineNumbers w:val="0"/>
              <w:spacing w:before="0" w:beforeAutospacing="0" w:after="0" w:afterAutospacing="0" w:line="360" w:lineRule="auto"/>
              <w:ind w:left="0" w:right="0"/>
              <w:jc w:val="center"/>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drawing>
                <wp:inline distT="0" distB="0" distL="114300" distR="114300">
                  <wp:extent cx="2019300" cy="571500"/>
                  <wp:effectExtent l="0" t="0" r="7620" b="7620"/>
                  <wp:docPr id="3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IMG_257"/>
                          <pic:cNvPicPr>
                            <a:picLocks noChangeAspect="1"/>
                          </pic:cNvPicPr>
                        </pic:nvPicPr>
                        <pic:blipFill>
                          <a:blip r:embed="rId6"/>
                          <a:stretch>
                            <a:fillRect/>
                          </a:stretch>
                        </pic:blipFill>
                        <pic:spPr>
                          <a:xfrm>
                            <a:off x="0" y="0"/>
                            <a:ext cx="2019300" cy="571500"/>
                          </a:xfrm>
                          <a:prstGeom prst="rect">
                            <a:avLst/>
                          </a:prstGeom>
                          <a:noFill/>
                          <a:ln w="9525">
                            <a:noFill/>
                          </a:ln>
                        </pic:spPr>
                      </pic:pic>
                    </a:graphicData>
                  </a:graphic>
                </wp:inline>
              </w:drawing>
            </w:r>
            <w:r>
              <w:rPr>
                <w:rFonts w:hint="eastAsia" w:ascii="Times New Roman" w:hAnsi="Times New Roman" w:eastAsia="宋体" w:cs="Times New Roman"/>
                <w:bCs/>
                <w:color w:val="000000" w:themeColor="text1"/>
                <w:kern w:val="0"/>
                <w:sz w:val="21"/>
                <w:szCs w:val="21"/>
                <w:lang w:val="en-US" w:eastAsia="zh-CN" w:bidi="ar"/>
                <w14:textFill>
                  <w14:solidFill>
                    <w14:schemeClr w14:val="tx1"/>
                  </w14:solidFill>
                </w14:textFill>
              </w:rPr>
              <w:t xml:space="preserve"> </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0"/>
                <w:sz w:val="21"/>
                <w:szCs w:val="21"/>
                <w:lang w:val="en-US" w:eastAsia="zh-CN" w:bidi="ar"/>
                <w14:textFill>
                  <w14:solidFill>
                    <w14:schemeClr w14:val="tx1"/>
                  </w14:solidFill>
                </w14:textFill>
              </w:rPr>
              <w:t>式中：</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L</w:t>
            </w:r>
            <w:r>
              <w:rPr>
                <w:rFonts w:hint="default" w:ascii="Times New Roman" w:hAnsi="Times New Roman" w:eastAsia="宋体" w:cs="Times New Roman"/>
                <w:bCs/>
                <w:color w:val="000000" w:themeColor="text1"/>
                <w:kern w:val="0"/>
                <w:sz w:val="21"/>
                <w:szCs w:val="21"/>
                <w:vertAlign w:val="subscript"/>
                <w:lang w:val="en-US" w:eastAsia="zh-CN" w:bidi="ar"/>
                <w14:textFill>
                  <w14:solidFill>
                    <w14:schemeClr w14:val="tx1"/>
                  </w14:solidFill>
                </w14:textFill>
              </w:rPr>
              <w:t>P1i</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T</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）——靠近围护结构处室内</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N</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个声源</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i</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倍频带的叠加声压级，</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dB</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L</w:t>
            </w:r>
            <w:r>
              <w:rPr>
                <w:rFonts w:hint="default" w:ascii="Times New Roman" w:hAnsi="Times New Roman" w:eastAsia="宋体" w:cs="Times New Roman"/>
                <w:bCs/>
                <w:color w:val="000000" w:themeColor="text1"/>
                <w:kern w:val="0"/>
                <w:sz w:val="21"/>
                <w:szCs w:val="21"/>
                <w:vertAlign w:val="subscript"/>
                <w:lang w:val="en-US" w:eastAsia="zh-CN" w:bidi="ar"/>
                <w14:textFill>
                  <w14:solidFill>
                    <w14:schemeClr w14:val="tx1"/>
                  </w14:solidFill>
                </w14:textFill>
              </w:rPr>
              <w:t>p1ij</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——室内</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j</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声源</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i</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倍频带的声压级，</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dB</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N</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——室内声源总数。</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（4</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）预测点声压级计算</w:t>
            </w:r>
          </w:p>
          <w:p>
            <w:pPr>
              <w:keepNext w:val="0"/>
              <w:keepLines w:val="0"/>
              <w:widowControl w:val="0"/>
              <w:suppressLineNumbers w:val="0"/>
              <w:spacing w:before="0" w:beforeAutospacing="0" w:after="0" w:afterAutospacing="0" w:line="360" w:lineRule="auto"/>
              <w:ind w:left="0" w:right="0"/>
              <w:jc w:val="center"/>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drawing>
                <wp:inline distT="0" distB="0" distL="114300" distR="114300">
                  <wp:extent cx="1895475" cy="390525"/>
                  <wp:effectExtent l="0" t="0" r="9525" b="5715"/>
                  <wp:docPr id="1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descr="IMG_258"/>
                          <pic:cNvPicPr>
                            <a:picLocks noChangeAspect="1"/>
                          </pic:cNvPicPr>
                        </pic:nvPicPr>
                        <pic:blipFill>
                          <a:blip r:embed="rId7"/>
                          <a:stretch>
                            <a:fillRect/>
                          </a:stretch>
                        </pic:blipFill>
                        <pic:spPr>
                          <a:xfrm>
                            <a:off x="0" y="0"/>
                            <a:ext cx="1895475" cy="390525"/>
                          </a:xfrm>
                          <a:prstGeom prst="rect">
                            <a:avLst/>
                          </a:prstGeom>
                          <a:noFill/>
                          <a:ln w="9525">
                            <a:noFill/>
                          </a:ln>
                        </pic:spPr>
                      </pic:pic>
                    </a:graphicData>
                  </a:graphic>
                </wp:inline>
              </w:drawing>
            </w:r>
            <w:r>
              <w:rPr>
                <w:rFonts w:hint="eastAsia" w:ascii="Times New Roman" w:hAnsi="Times New Roman" w:eastAsia="宋体" w:cs="Times New Roman"/>
                <w:bCs/>
                <w:color w:val="000000" w:themeColor="text1"/>
                <w:kern w:val="2"/>
                <w:sz w:val="21"/>
                <w:szCs w:val="21"/>
                <w:lang w:val="en-US" w:eastAsia="zh-CN" w:bidi="ar"/>
                <w14:textFill>
                  <w14:solidFill>
                    <w14:schemeClr w14:val="tx1"/>
                  </w14:solidFill>
                </w14:textFill>
              </w:rPr>
              <w:t xml:space="preserve"> </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0"/>
                <w:sz w:val="21"/>
                <w:szCs w:val="21"/>
                <w:lang w:val="en-US" w:eastAsia="zh-CN" w:bidi="ar"/>
                <w14:textFill>
                  <w14:solidFill>
                    <w14:schemeClr w14:val="tx1"/>
                  </w14:solidFill>
                </w14:textFill>
              </w:rPr>
              <w:t>式中：</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L</w:t>
            </w:r>
            <w:r>
              <w:rPr>
                <w:rFonts w:hint="default" w:ascii="Times New Roman" w:hAnsi="Times New Roman" w:eastAsia="宋体" w:cs="Times New Roman"/>
                <w:bCs/>
                <w:color w:val="000000" w:themeColor="text1"/>
                <w:kern w:val="0"/>
                <w:sz w:val="21"/>
                <w:szCs w:val="21"/>
                <w:vertAlign w:val="subscript"/>
                <w:lang w:val="en-US" w:eastAsia="zh-CN" w:bidi="ar"/>
                <w14:textFill>
                  <w14:solidFill>
                    <w14:schemeClr w14:val="tx1"/>
                  </w14:solidFill>
                </w14:textFill>
              </w:rPr>
              <w:t>p</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(r)</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——预测点处声压级，</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dB</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L</w:t>
            </w:r>
            <w:r>
              <w:rPr>
                <w:rFonts w:hint="default" w:ascii="Times New Roman" w:hAnsi="Times New Roman" w:eastAsia="宋体" w:cs="Times New Roman"/>
                <w:bCs/>
                <w:color w:val="000000" w:themeColor="text1"/>
                <w:kern w:val="0"/>
                <w:sz w:val="21"/>
                <w:szCs w:val="21"/>
                <w:vertAlign w:val="subscript"/>
                <w:lang w:val="en-US" w:eastAsia="zh-CN" w:bidi="ar"/>
                <w14:textFill>
                  <w14:solidFill>
                    <w14:schemeClr w14:val="tx1"/>
                  </w14:solidFill>
                </w14:textFill>
              </w:rPr>
              <w:t>w</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——由点声源产生的倍频带声功率级，</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dB</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line="360" w:lineRule="auto"/>
              <w:ind w:left="0" w:right="0" w:firstLine="1050" w:firstLineChars="5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r</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——预测点距声源的距离。</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（5</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）场界噪声贡献值计算</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0"/>
                <w:sz w:val="21"/>
                <w:szCs w:val="21"/>
                <w:lang w:val="en-US" w:eastAsia="zh-CN" w:bidi="ar"/>
                <w14:textFill>
                  <w14:solidFill>
                    <w14:schemeClr w14:val="tx1"/>
                  </w14:solidFill>
                </w14:textFill>
              </w:rPr>
              <w:t>由建设项目自身声源在预测点产生的声级。</w:t>
            </w:r>
          </w:p>
          <w:p>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0"/>
                <w:sz w:val="21"/>
                <w:szCs w:val="21"/>
                <w:lang w:val="en-US" w:eastAsia="zh-CN" w:bidi="ar"/>
                <w14:textFill>
                  <w14:solidFill>
                    <w14:schemeClr w14:val="tx1"/>
                  </w14:solidFill>
                </w14:textFill>
              </w:rPr>
              <w:t>噪声贡献值（</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Leqg</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）计算公式为：</w:t>
            </w:r>
          </w:p>
          <w:p>
            <w:pPr>
              <w:keepNext w:val="0"/>
              <w:keepLines w:val="0"/>
              <w:widowControl w:val="0"/>
              <w:suppressLineNumbers w:val="0"/>
              <w:spacing w:before="0" w:beforeAutospacing="0" w:after="0" w:afterAutospacing="0" w:line="360" w:lineRule="auto"/>
              <w:ind w:left="0" w:right="0"/>
              <w:jc w:val="center"/>
              <w:rPr>
                <w:rFonts w:hint="eastAsia"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drawing>
                <wp:inline distT="0" distB="0" distL="114300" distR="114300">
                  <wp:extent cx="2886075" cy="561975"/>
                  <wp:effectExtent l="0" t="0" r="9525" b="1905"/>
                  <wp:docPr id="1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IMG_259"/>
                          <pic:cNvPicPr>
                            <a:picLocks noChangeAspect="1"/>
                          </pic:cNvPicPr>
                        </pic:nvPicPr>
                        <pic:blipFill>
                          <a:blip r:embed="rId8"/>
                          <a:stretch>
                            <a:fillRect/>
                          </a:stretch>
                        </pic:blipFill>
                        <pic:spPr>
                          <a:xfrm>
                            <a:off x="0" y="0"/>
                            <a:ext cx="2886075" cy="561975"/>
                          </a:xfrm>
                          <a:prstGeom prst="rect">
                            <a:avLst/>
                          </a:prstGeom>
                          <a:noFill/>
                          <a:ln w="9525">
                            <a:noFill/>
                          </a:ln>
                        </pic:spPr>
                      </pic:pic>
                    </a:graphicData>
                  </a:graphic>
                </wp:inline>
              </w:drawing>
            </w:r>
            <w:r>
              <w:rPr>
                <w:rFonts w:hint="eastAsia" w:ascii="Times New Roman" w:hAnsi="Times New Roman" w:eastAsia="宋体" w:cs="Times New Roman"/>
                <w:bCs/>
                <w:color w:val="000000" w:themeColor="text1"/>
                <w:kern w:val="0"/>
                <w:sz w:val="21"/>
                <w:szCs w:val="21"/>
                <w:lang w:val="en-US" w:eastAsia="zh-CN" w:bidi="ar"/>
                <w14:textFill>
                  <w14:solidFill>
                    <w14:schemeClr w14:val="tx1"/>
                  </w14:solidFill>
                </w14:textFill>
              </w:rPr>
              <w:t xml:space="preserve"> </w:t>
            </w:r>
          </w:p>
          <w:p>
            <w:pPr>
              <w:pStyle w:val="20"/>
              <w:keepNext w:val="0"/>
              <w:keepLines w:val="0"/>
              <w:widowControl/>
              <w:suppressLineNumbers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lang w:val="en-US" w:eastAsia="zh-CN" w:bidi="ar"/>
                <w14:textFill>
                  <w14:solidFill>
                    <w14:schemeClr w14:val="tx1"/>
                  </w14:solidFill>
                </w14:textFill>
              </w:rPr>
              <w:t>式中：</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Leqg——</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建设项目声源在预测点产生的噪声贡献值，</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dB</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pStyle w:val="20"/>
              <w:keepNext w:val="0"/>
              <w:keepLines w:val="0"/>
              <w:widowControl/>
              <w:suppressLineNumbers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T——</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用于计算等效声级的时间，</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s</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pStyle w:val="20"/>
              <w:keepNext w:val="0"/>
              <w:keepLines w:val="0"/>
              <w:widowControl/>
              <w:suppressLineNumbers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N——</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室外声源个数；</w:t>
            </w:r>
          </w:p>
          <w:p>
            <w:pPr>
              <w:pStyle w:val="20"/>
              <w:keepNext w:val="0"/>
              <w:keepLines w:val="0"/>
              <w:widowControl/>
              <w:suppressLineNumbers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t</w:t>
            </w:r>
            <w:r>
              <w:rPr>
                <w:rFonts w:hint="default" w:ascii="Times New Roman" w:hAnsi="Times New Roman" w:eastAsia="宋体" w:cs="Times New Roman"/>
                <w:bCs/>
                <w:color w:val="000000" w:themeColor="text1"/>
                <w:kern w:val="0"/>
                <w:sz w:val="21"/>
                <w:szCs w:val="21"/>
                <w:vertAlign w:val="subscript"/>
                <w:lang w:val="en-US" w:eastAsia="zh-CN" w:bidi="ar"/>
                <w14:textFill>
                  <w14:solidFill>
                    <w14:schemeClr w14:val="tx1"/>
                  </w14:solidFill>
                </w14:textFill>
              </w:rPr>
              <w:t>i</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在</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T</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时间内</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i</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声源工作时间，</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s</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pStyle w:val="20"/>
              <w:keepNext w:val="0"/>
              <w:keepLines w:val="0"/>
              <w:widowControl/>
              <w:suppressLineNumbers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M——</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等效室外声源个数；</w:t>
            </w:r>
          </w:p>
          <w:p>
            <w:pPr>
              <w:pStyle w:val="20"/>
              <w:keepNext w:val="0"/>
              <w:keepLines w:val="0"/>
              <w:widowControl/>
              <w:suppressLineNumbers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t</w:t>
            </w:r>
            <w:r>
              <w:rPr>
                <w:rFonts w:hint="default" w:ascii="Times New Roman" w:hAnsi="Times New Roman" w:eastAsia="宋体" w:cs="Times New Roman"/>
                <w:bCs/>
                <w:color w:val="000000" w:themeColor="text1"/>
                <w:kern w:val="0"/>
                <w:sz w:val="21"/>
                <w:szCs w:val="21"/>
                <w:vertAlign w:val="subscript"/>
                <w:lang w:val="en-US" w:eastAsia="zh-CN" w:bidi="ar"/>
                <w14:textFill>
                  <w14:solidFill>
                    <w14:schemeClr w14:val="tx1"/>
                  </w14:solidFill>
                </w14:textFill>
              </w:rPr>
              <w:t>j</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在</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T</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时间内</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j</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声源工作时间，</w:t>
            </w:r>
            <w:r>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t>s</w:t>
            </w:r>
            <w:r>
              <w:rPr>
                <w:rFonts w:hint="eastAsia" w:ascii="宋体" w:hAnsi="宋体" w:eastAsia="宋体" w:cs="宋体"/>
                <w:bCs/>
                <w:color w:val="000000" w:themeColor="text1"/>
                <w:kern w:val="0"/>
                <w:sz w:val="21"/>
                <w:szCs w:val="21"/>
                <w:lang w:val="en-US" w:eastAsia="zh-CN" w:bidi="ar"/>
                <w14:textFill>
                  <w14:solidFill>
                    <w14:schemeClr w14:val="tx1"/>
                  </w14:solidFill>
                </w14:textFill>
              </w:rPr>
              <w:t>。</w:t>
            </w:r>
          </w:p>
          <w:p>
            <w:pPr>
              <w:pStyle w:val="20"/>
              <w:keepNext w:val="0"/>
              <w:keepLines w:val="0"/>
              <w:widowControl/>
              <w:suppressLineNumbers w:val="0"/>
              <w:adjustRightInd w:val="0"/>
              <w:snapToGrid w:val="0"/>
              <w:spacing w:before="0" w:beforeAutospacing="0" w:after="0" w:afterAutospacing="0" w:line="360" w:lineRule="auto"/>
              <w:ind w:left="0" w:right="0" w:firstLine="420" w:firstLineChars="200"/>
              <w:jc w:val="both"/>
              <w:textAlignment w:val="baseline"/>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利用以上预测公式，使噪声源通过等效变换成若干等效声源，然后计算出与噪声源不同距离处的理论噪声值，得出设备运行时对厂界噪声环境的影响状况，本项目夜间不生产，可不考虑夜间噪声贡献值，计算结果</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详见表4-7</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p>
          <w:p>
            <w:pPr>
              <w:pStyle w:val="20"/>
              <w:keepNext w:val="0"/>
              <w:keepLines w:val="0"/>
              <w:widowControl w:val="0"/>
              <w:suppressLineNumbers w:val="0"/>
              <w:adjustRightInd w:val="0"/>
              <w:spacing w:before="0" w:beforeAutospacing="0" w:after="0" w:afterAutospacing="0"/>
              <w:ind w:left="0" w:right="0" w:firstLine="0" w:firstLineChars="0"/>
              <w:jc w:val="center"/>
              <w:textAlignment w:val="baseline"/>
              <w:rPr>
                <w:rFonts w:hint="default" w:ascii="Times New Roman" w:hAnsi="Times New Roman" w:eastAsia="宋体" w:cs="Times New Roman"/>
                <w:b/>
                <w:bCs/>
                <w:color w:val="000000" w:themeColor="text1"/>
                <w:kern w:val="0"/>
                <w:sz w:val="21"/>
                <w:szCs w:val="21"/>
                <w:vertAlign w:val="baseline"/>
                <w14:textFill>
                  <w14:solidFill>
                    <w14:schemeClr w14:val="tx1"/>
                  </w14:solidFill>
                </w14:textFill>
              </w:rPr>
            </w:pPr>
            <w:r>
              <w:rPr>
                <w:rFonts w:hint="eastAsia" w:ascii="宋体" w:hAnsi="宋体" w:eastAsia="宋体" w:cs="宋体"/>
                <w:b/>
                <w:bCs/>
                <w:color w:val="000000" w:themeColor="text1"/>
                <w:kern w:val="0"/>
                <w:sz w:val="21"/>
                <w:szCs w:val="21"/>
                <w:vertAlign w:val="baseline"/>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0"/>
                <w:sz w:val="21"/>
                <w:szCs w:val="21"/>
                <w:vertAlign w:val="baseline"/>
                <w:lang w:val="en-US" w:eastAsia="zh-CN" w:bidi="ar"/>
                <w14:textFill>
                  <w14:solidFill>
                    <w14:schemeClr w14:val="tx1"/>
                  </w14:solidFill>
                </w14:textFill>
              </w:rPr>
              <w:t>4-</w:t>
            </w:r>
            <w:r>
              <w:rPr>
                <w:rFonts w:hint="eastAsia" w:ascii="Times New Roman" w:hAnsi="Times New Roman" w:eastAsia="宋体" w:cs="Times New Roman"/>
                <w:b/>
                <w:bCs/>
                <w:color w:val="000000" w:themeColor="text1"/>
                <w:kern w:val="0"/>
                <w:sz w:val="21"/>
                <w:szCs w:val="21"/>
                <w:vertAlign w:val="baseline"/>
                <w:lang w:val="en-US" w:eastAsia="zh-CN" w:bidi="ar"/>
                <w14:textFill>
                  <w14:solidFill>
                    <w14:schemeClr w14:val="tx1"/>
                  </w14:solidFill>
                </w14:textFill>
              </w:rPr>
              <w:t>7</w:t>
            </w:r>
            <w:r>
              <w:rPr>
                <w:rFonts w:hint="default" w:ascii="Times New Roman" w:hAnsi="Times New Roman" w:eastAsia="宋体" w:cs="Times New Roman"/>
                <w:b/>
                <w:bCs/>
                <w:color w:val="000000" w:themeColor="text1"/>
                <w:kern w:val="0"/>
                <w:sz w:val="21"/>
                <w:szCs w:val="21"/>
                <w:vertAlign w:val="baseli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vertAlign w:val="baseline"/>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1"/>
                <w:szCs w:val="21"/>
                <w:vertAlign w:val="baseline"/>
                <w:lang w:val="en-US" w:eastAsia="zh-CN" w:bidi="ar"/>
                <w14:textFill>
                  <w14:solidFill>
                    <w14:schemeClr w14:val="tx1"/>
                  </w14:solidFill>
                </w14:textFill>
              </w:rPr>
              <w:t>厂界噪声贡献值结果</w:t>
            </w:r>
            <w:r>
              <w:rPr>
                <w:rFonts w:hint="default" w:ascii="Times New Roman" w:hAnsi="Times New Roman" w:eastAsia="宋体" w:cs="Times New Roman"/>
                <w:b/>
                <w:bCs/>
                <w:color w:val="000000" w:themeColor="text1"/>
                <w:kern w:val="0"/>
                <w:sz w:val="21"/>
                <w:szCs w:val="21"/>
                <w:vertAlign w:val="baseline"/>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1"/>
                <w:szCs w:val="21"/>
                <w:vertAlign w:val="baseline"/>
                <w:lang w:val="en-US" w:eastAsia="zh-CN" w:bidi="ar"/>
                <w14:textFill>
                  <w14:solidFill>
                    <w14:schemeClr w14:val="tx1"/>
                  </w14:solidFill>
                </w14:textFill>
              </w:rPr>
              <w:t>单位：</w:t>
            </w:r>
            <w:r>
              <w:rPr>
                <w:rFonts w:hint="default" w:ascii="Times New Roman" w:hAnsi="Times New Roman" w:eastAsia="宋体" w:cs="Times New Roman"/>
                <w:b/>
                <w:bCs/>
                <w:color w:val="000000" w:themeColor="text1"/>
                <w:kern w:val="0"/>
                <w:sz w:val="21"/>
                <w:szCs w:val="21"/>
                <w:vertAlign w:val="baseline"/>
                <w:lang w:val="en-US" w:eastAsia="zh-CN" w:bidi="ar"/>
                <w14:textFill>
                  <w14:solidFill>
                    <w14:schemeClr w14:val="tx1"/>
                  </w14:solidFill>
                </w14:textFill>
              </w:rPr>
              <w:t>dB  (A)</w:t>
            </w:r>
          </w:p>
          <w:tbl>
            <w:tblPr>
              <w:tblStyle w:val="4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562"/>
              <w:gridCol w:w="846"/>
              <w:gridCol w:w="2740"/>
              <w:gridCol w:w="1126"/>
              <w:gridCol w:w="903"/>
              <w:gridCol w:w="1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4" w:hRule="atLeast"/>
                <w:jc w:val="center"/>
              </w:trPr>
              <w:tc>
                <w:tcPr>
                  <w:tcW w:w="156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位置</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时间</w:t>
                  </w:r>
                </w:p>
              </w:tc>
              <w:tc>
                <w:tcPr>
                  <w:tcW w:w="274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与各等效声源的距离（</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m</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w:t>
                  </w:r>
                </w:p>
              </w:tc>
              <w:tc>
                <w:tcPr>
                  <w:tcW w:w="11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贡献值</w:t>
                  </w:r>
                </w:p>
              </w:tc>
              <w:tc>
                <w:tcPr>
                  <w:tcW w:w="90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标准值</w:t>
                  </w:r>
                </w:p>
              </w:tc>
              <w:tc>
                <w:tcPr>
                  <w:tcW w:w="112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1562"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厂界东侧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昼间</w:t>
                  </w:r>
                </w:p>
              </w:tc>
              <w:tc>
                <w:tcPr>
                  <w:tcW w:w="2740"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6</w:t>
                  </w:r>
                </w:p>
              </w:tc>
              <w:tc>
                <w:tcPr>
                  <w:tcW w:w="1126"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49.4</w:t>
                  </w:r>
                </w:p>
              </w:tc>
              <w:tc>
                <w:tcPr>
                  <w:tcW w:w="90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w:t>
                  </w:r>
                </w:p>
              </w:tc>
              <w:tc>
                <w:tcPr>
                  <w:tcW w:w="112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1562"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厂界南侧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昼间</w:t>
                  </w:r>
                </w:p>
              </w:tc>
              <w:tc>
                <w:tcPr>
                  <w:tcW w:w="2740"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8</w:t>
                  </w:r>
                </w:p>
              </w:tc>
              <w:tc>
                <w:tcPr>
                  <w:tcW w:w="1126"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46.9</w:t>
                  </w:r>
                </w:p>
              </w:tc>
              <w:tc>
                <w:tcPr>
                  <w:tcW w:w="90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w:t>
                  </w:r>
                </w:p>
              </w:tc>
              <w:tc>
                <w:tcPr>
                  <w:tcW w:w="112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1562"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厂界西侧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昼间</w:t>
                  </w:r>
                </w:p>
              </w:tc>
              <w:tc>
                <w:tcPr>
                  <w:tcW w:w="2740"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9</w:t>
                  </w:r>
                </w:p>
              </w:tc>
              <w:tc>
                <w:tcPr>
                  <w:tcW w:w="1126"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45.9</w:t>
                  </w:r>
                </w:p>
              </w:tc>
              <w:tc>
                <w:tcPr>
                  <w:tcW w:w="90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w:t>
                  </w:r>
                </w:p>
              </w:tc>
              <w:tc>
                <w:tcPr>
                  <w:tcW w:w="112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1562"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厂界北侧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昼间</w:t>
                  </w:r>
                </w:p>
              </w:tc>
              <w:tc>
                <w:tcPr>
                  <w:tcW w:w="2740"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w:t>
                  </w:r>
                </w:p>
              </w:tc>
              <w:tc>
                <w:tcPr>
                  <w:tcW w:w="1126" w:type="dxa"/>
                  <w:tcBorders>
                    <w:top w:val="nil"/>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51.0</w:t>
                  </w:r>
                </w:p>
              </w:tc>
              <w:tc>
                <w:tcPr>
                  <w:tcW w:w="90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5</w:t>
                  </w:r>
                </w:p>
              </w:tc>
              <w:tc>
                <w:tcPr>
                  <w:tcW w:w="112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suppressLineNumbers w:val="0"/>
                    <w:adjustRightInd w:val="0"/>
                    <w:snapToGrid w:val="0"/>
                    <w:spacing w:before="0" w:beforeAutospacing="0" w:after="0" w:afterAutospacing="0"/>
                    <w:ind w:left="0" w:right="0" w:firstLine="0" w:firstLineChars="0"/>
                    <w:jc w:val="center"/>
                    <w:textAlignment w:val="baseline"/>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达标</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由厂界噪声贡献值结果可知：在采取一系列消声降噪措施后，厂界外各点的噪声值均能达到《工业企业厂界环境噪声排放标准》（GB12348-2008）中</w:t>
            </w:r>
            <w:r>
              <w:rPr>
                <w:rFonts w:hint="eastAsia" w:ascii="Times New Roman" w:hAnsi="Times New Roman" w:cs="Times New Roman"/>
                <w:color w:val="000000" w:themeColor="text1"/>
                <w:kern w:val="2"/>
                <w:sz w:val="21"/>
                <w:szCs w:val="21"/>
                <w:lang w:val="en-US" w:eastAsia="zh-CN" w:bidi="ar"/>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类区标准。由厂区外环境可以看出，本项目区周围没有需要特殊保护的环境敏感点。因此评价认为，本项目生产期间的噪声对外界环境影响较小。</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3.</w:t>
            </w:r>
            <w:r>
              <w:rPr>
                <w:rFonts w:hint="eastAsia" w:cs="Times New Roman"/>
                <w:b/>
                <w:bCs/>
                <w:color w:val="000000" w:themeColor="text1"/>
                <w:kern w:val="2"/>
                <w:sz w:val="21"/>
                <w:szCs w:val="21"/>
                <w:lang w:val="en-US" w:eastAsia="zh-CN" w:bidi="ar"/>
                <w14:textFill>
                  <w14:solidFill>
                    <w14:schemeClr w14:val="tx1"/>
                  </w14:solidFill>
                </w14:textFill>
              </w:rPr>
              <w:t>4</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噪声监测计划</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项目在运营期存在噪声污染问题，会对局部环境造成潜在的影响。为把建设项目对周围环境的不利影响减到最小，除选择适当的工艺外，还必须加强日常监测和严格管理，制定环境监测计划，才能达到预期目的。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（1）</w:t>
            </w:r>
            <w:r>
              <w:rPr>
                <w:rFonts w:hint="eastAsia" w:ascii="宋体" w:hAnsi="宋体" w:eastAsia="宋体" w:cs="宋体"/>
                <w:color w:val="000000" w:themeColor="text1"/>
                <w:kern w:val="2"/>
                <w:sz w:val="21"/>
                <w:szCs w:val="21"/>
                <w:lang w:val="en-US" w:eastAsia="zh-CN" w:bidi="ar"/>
                <w14:textFill>
                  <w14:solidFill>
                    <w14:schemeClr w14:val="tx1"/>
                  </w14:solidFill>
                </w14:textFill>
              </w:rPr>
              <w:t>监测目的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环境监测是环境保护中最重要的环节和技术支持，其目的在于。</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①</w:t>
            </w:r>
            <w:r>
              <w:rPr>
                <w:rFonts w:hint="eastAsia" w:ascii="宋体" w:hAnsi="宋体" w:eastAsia="宋体" w:cs="宋体"/>
                <w:color w:val="000000" w:themeColor="text1"/>
                <w:kern w:val="2"/>
                <w:sz w:val="21"/>
                <w:szCs w:val="21"/>
                <w:lang w:val="en-US" w:eastAsia="zh-CN" w:bidi="ar"/>
                <w14:textFill>
                  <w14:solidFill>
                    <w14:schemeClr w14:val="tx1"/>
                  </w14:solidFill>
                </w14:textFill>
              </w:rPr>
              <w:t>检查、跟踪项目投产后运行过程中减噪措施的实施情况和效果，掌握环境质量的变化动态；</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②</w:t>
            </w:r>
            <w:r>
              <w:rPr>
                <w:rFonts w:hint="eastAsia" w:ascii="宋体" w:hAnsi="宋体" w:eastAsia="宋体" w:cs="宋体"/>
                <w:color w:val="000000" w:themeColor="text1"/>
                <w:kern w:val="2"/>
                <w:sz w:val="21"/>
                <w:szCs w:val="21"/>
                <w:lang w:val="en-US" w:eastAsia="zh-CN" w:bidi="ar"/>
                <w14:textFill>
                  <w14:solidFill>
                    <w14:schemeClr w14:val="tx1"/>
                  </w14:solidFill>
                </w14:textFill>
              </w:rPr>
              <w:t>了解项目环境工程</w:t>
            </w:r>
            <w:r>
              <w:rPr>
                <w:rFonts w:hint="eastAsia" w:ascii="宋体" w:hAnsi="宋体" w:cs="宋体"/>
                <w:color w:val="000000" w:themeColor="text1"/>
                <w:kern w:val="2"/>
                <w:sz w:val="21"/>
                <w:szCs w:val="21"/>
                <w:lang w:val="en-US" w:eastAsia="zh-CN" w:bidi="ar"/>
                <w14:textFill>
                  <w14:solidFill>
                    <w14:schemeClr w14:val="tx1"/>
                  </w14:solidFill>
                </w14:textFill>
              </w:rPr>
              <w:t>设施</w:t>
            </w:r>
            <w:r>
              <w:rPr>
                <w:rFonts w:hint="eastAsia" w:ascii="宋体" w:hAnsi="宋体" w:eastAsia="宋体" w:cs="宋体"/>
                <w:color w:val="000000" w:themeColor="text1"/>
                <w:kern w:val="2"/>
                <w:sz w:val="21"/>
                <w:szCs w:val="21"/>
                <w:lang w:val="en-US" w:eastAsia="zh-CN" w:bidi="ar"/>
                <w14:textFill>
                  <w14:solidFill>
                    <w14:schemeClr w14:val="tx1"/>
                  </w14:solidFill>
                </w14:textFill>
              </w:rPr>
              <w:t>运行状况，确保设施的正常运行；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③</w:t>
            </w:r>
            <w:r>
              <w:rPr>
                <w:rFonts w:hint="eastAsia" w:ascii="宋体" w:hAnsi="宋体" w:eastAsia="宋体" w:cs="宋体"/>
                <w:color w:val="000000" w:themeColor="text1"/>
                <w:kern w:val="2"/>
                <w:sz w:val="21"/>
                <w:szCs w:val="21"/>
                <w:lang w:val="en-US" w:eastAsia="zh-CN" w:bidi="ar"/>
                <w14:textFill>
                  <w14:solidFill>
                    <w14:schemeClr w14:val="tx1"/>
                  </w14:solidFill>
                </w14:textFill>
              </w:rPr>
              <w:t>了解项目有关的环境质量监控实施情况；</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④</w:t>
            </w:r>
            <w:r>
              <w:rPr>
                <w:rFonts w:hint="eastAsia" w:ascii="宋体" w:hAnsi="宋体" w:eastAsia="宋体" w:cs="宋体"/>
                <w:color w:val="000000" w:themeColor="text1"/>
                <w:kern w:val="2"/>
                <w:sz w:val="21"/>
                <w:szCs w:val="21"/>
                <w:lang w:val="en-US" w:eastAsia="zh-CN" w:bidi="ar"/>
                <w14:textFill>
                  <w14:solidFill>
                    <w14:schemeClr w14:val="tx1"/>
                  </w14:solidFill>
                </w14:textFill>
              </w:rPr>
              <w:t>为改善项目周围区域环境质量提供技术支持。</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（2）</w:t>
            </w:r>
            <w:r>
              <w:rPr>
                <w:rFonts w:hint="eastAsia" w:ascii="宋体" w:hAnsi="宋体" w:eastAsia="宋体" w:cs="宋体"/>
                <w:color w:val="000000" w:themeColor="text1"/>
                <w:kern w:val="2"/>
                <w:sz w:val="21"/>
                <w:szCs w:val="21"/>
                <w:lang w:val="en-US" w:eastAsia="zh-CN" w:bidi="ar"/>
                <w14:textFill>
                  <w14:solidFill>
                    <w14:schemeClr w14:val="tx1"/>
                  </w14:solidFill>
                </w14:textFill>
              </w:rPr>
              <w:t>监测内容</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对项目运营过程中产生的污染物进行监测，监测点的选取、监测项目确定均按《排污单位自行监测技术指南 总</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则》（HJ819-2017）执行</w:t>
            </w:r>
            <w:r>
              <w:rPr>
                <w:rFonts w:hint="eastAsia" w:ascii="宋体" w:hAnsi="宋体" w:eastAsia="宋体" w:cs="宋体"/>
                <w:color w:val="000000" w:themeColor="text1"/>
                <w:kern w:val="2"/>
                <w:sz w:val="21"/>
                <w:szCs w:val="21"/>
                <w:lang w:val="en-US" w:eastAsia="zh-CN" w:bidi="ar"/>
                <w14:textFill>
                  <w14:solidFill>
                    <w14:schemeClr w14:val="tx1"/>
                  </w14:solidFill>
                </w14:textFill>
              </w:rPr>
              <w:t>。建设单位</w:t>
            </w:r>
            <w:r>
              <w:rPr>
                <w:rFonts w:hint="eastAsia" w:ascii="宋体" w:hAnsi="宋体" w:cs="宋体"/>
                <w:color w:val="000000" w:themeColor="text1"/>
                <w:kern w:val="2"/>
                <w:sz w:val="21"/>
                <w:szCs w:val="21"/>
                <w:lang w:val="en-US" w:eastAsia="zh-CN" w:bidi="ar"/>
                <w14:textFill>
                  <w14:solidFill>
                    <w14:schemeClr w14:val="tx1"/>
                  </w14:solidFill>
                </w14:textFill>
              </w:rPr>
              <w:t>现在</w:t>
            </w:r>
            <w:r>
              <w:rPr>
                <w:rFonts w:hint="eastAsia" w:ascii="宋体" w:hAnsi="宋体" w:eastAsia="宋体" w:cs="宋体"/>
                <w:color w:val="000000" w:themeColor="text1"/>
                <w:kern w:val="2"/>
                <w:sz w:val="21"/>
                <w:szCs w:val="21"/>
                <w:lang w:val="en-US" w:eastAsia="zh-CN" w:bidi="ar"/>
                <w14:textFill>
                  <w14:solidFill>
                    <w14:schemeClr w14:val="tx1"/>
                  </w14:solidFill>
                </w14:textFill>
              </w:rPr>
              <w:t>不具备单独进行环境监测的能力，委托有资质的环境监测机构进行监测工作。</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依据《排污单位自行监测技术指南 总则》（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HJ819-2017</w:t>
            </w:r>
            <w:r>
              <w:rPr>
                <w:rFonts w:hint="eastAsia" w:ascii="宋体" w:hAnsi="宋体" w:eastAsia="宋体" w:cs="宋体"/>
                <w:color w:val="000000" w:themeColor="text1"/>
                <w:kern w:val="2"/>
                <w:sz w:val="21"/>
                <w:szCs w:val="21"/>
                <w:lang w:val="en-US" w:eastAsia="zh-CN" w:bidi="ar"/>
                <w14:textFill>
                  <w14:solidFill>
                    <w14:schemeClr w14:val="tx1"/>
                  </w14:solidFill>
                </w14:textFill>
              </w:rPr>
              <w:t>）、《排污许可证申请与核发技术规范 总则》（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HJ942-2018</w:t>
            </w:r>
            <w:r>
              <w:rPr>
                <w:rFonts w:hint="eastAsia" w:ascii="宋体" w:hAnsi="宋体" w:eastAsia="宋体" w:cs="宋体"/>
                <w:color w:val="000000" w:themeColor="text1"/>
                <w:kern w:val="2"/>
                <w:sz w:val="21"/>
                <w:szCs w:val="21"/>
                <w:lang w:val="en-US" w:eastAsia="zh-CN" w:bidi="ar"/>
                <w14:textFill>
                  <w14:solidFill>
                    <w14:schemeClr w14:val="tx1"/>
                  </w14:solidFill>
                </w14:textFill>
              </w:rPr>
              <w:t>）和项目内容、企业实际情况，制定相应的监测方案。噪声监测计划具体如</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表4-</w:t>
            </w:r>
            <w:r>
              <w:rPr>
                <w:rFonts w:hint="eastAsia" w:cs="Times New Roman"/>
                <w:color w:val="000000" w:themeColor="text1"/>
                <w:kern w:val="2"/>
                <w:sz w:val="21"/>
                <w:szCs w:val="21"/>
                <w:lang w:val="en-US" w:eastAsia="zh-CN" w:bidi="ar"/>
                <w14:textFill>
                  <w14:solidFill>
                    <w14:schemeClr w14:val="tx1"/>
                  </w14:solidFill>
                </w14:textFill>
              </w:rPr>
              <w:t>8</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4-</w:t>
            </w:r>
            <w:r>
              <w:rPr>
                <w:rFonts w:hint="eastAsia" w:cs="Times New Roman"/>
                <w:b/>
                <w:bCs/>
                <w:color w:val="000000" w:themeColor="text1"/>
                <w:kern w:val="2"/>
                <w:sz w:val="21"/>
                <w:szCs w:val="21"/>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项目环境监测计划表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19"/>
              <w:gridCol w:w="1509"/>
              <w:gridCol w:w="1821"/>
              <w:gridCol w:w="3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7" w:hRule="atLeast"/>
                <w:jc w:val="center"/>
              </w:trPr>
              <w:tc>
                <w:tcPr>
                  <w:tcW w:w="1262" w:type="dxa"/>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监测点</w:t>
                  </w:r>
                </w:p>
              </w:tc>
              <w:tc>
                <w:tcPr>
                  <w:tcW w:w="1443" w:type="dxa"/>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监测频次</w:t>
                  </w:r>
                </w:p>
              </w:tc>
              <w:tc>
                <w:tcPr>
                  <w:tcW w:w="1742" w:type="dxa"/>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监测项目</w:t>
                  </w:r>
                </w:p>
              </w:tc>
              <w:tc>
                <w:tcPr>
                  <w:tcW w:w="3496" w:type="dxa"/>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62" w:type="dxa"/>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厂界</w:t>
                  </w:r>
                </w:p>
              </w:tc>
              <w:tc>
                <w:tcPr>
                  <w:tcW w:w="1443" w:type="dxa"/>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宋体" w:hAnsi="宋体" w:eastAsia="宋体" w:cs="宋体"/>
                      <w:color w:val="000000" w:themeColor="text1"/>
                      <w:kern w:val="2"/>
                      <w:sz w:val="21"/>
                      <w:szCs w:val="21"/>
                      <w:lang w:val="en-US" w:eastAsia="zh-CN" w:bidi="ar"/>
                      <w14:textFill>
                        <w14:solidFill>
                          <w14:schemeClr w14:val="tx1"/>
                        </w14:solidFill>
                      </w14:textFill>
                    </w:rPr>
                    <w:t>次/</w:t>
                  </w:r>
                  <w:r>
                    <w:rPr>
                      <w:rFonts w:hint="eastAsia" w:ascii="宋体" w:hAnsi="宋体" w:cs="宋体"/>
                      <w:color w:val="000000" w:themeColor="text1"/>
                      <w:kern w:val="2"/>
                      <w:sz w:val="21"/>
                      <w:szCs w:val="21"/>
                      <w:lang w:val="en-US" w:eastAsia="zh-CN" w:bidi="ar"/>
                      <w14:textFill>
                        <w14:solidFill>
                          <w14:schemeClr w14:val="tx1"/>
                        </w14:solidFill>
                      </w14:textFill>
                    </w:rPr>
                    <w:t>季度</w:t>
                  </w:r>
                </w:p>
              </w:tc>
              <w:tc>
                <w:tcPr>
                  <w:tcW w:w="1742" w:type="dxa"/>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等效连续</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声级</w:t>
                  </w:r>
                </w:p>
              </w:tc>
              <w:tc>
                <w:tcPr>
                  <w:tcW w:w="3496" w:type="dxa"/>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《工业企业厂界环境噪声排放标准》（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GB12348-2008</w:t>
                  </w:r>
                  <w:r>
                    <w:rPr>
                      <w:rFonts w:hint="eastAsia" w:ascii="宋体" w:hAnsi="宋体" w:eastAsia="宋体" w:cs="宋体"/>
                      <w:color w:val="000000" w:themeColor="text1"/>
                      <w:kern w:val="2"/>
                      <w:sz w:val="21"/>
                      <w:szCs w:val="21"/>
                      <w:lang w:val="en-US" w:eastAsia="zh-CN" w:bidi="ar"/>
                      <w14:textFill>
                        <w14:solidFill>
                          <w14:schemeClr w14:val="tx1"/>
                        </w14:solidFill>
                      </w14:textFill>
                    </w:rPr>
                    <w:t>）中</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w:t>
                  </w:r>
                  <w:r>
                    <w:rPr>
                      <w:rFonts w:hint="eastAsia" w:ascii="宋体" w:hAnsi="宋体" w:eastAsia="宋体" w:cs="宋体"/>
                      <w:color w:val="000000" w:themeColor="text1"/>
                      <w:kern w:val="2"/>
                      <w:sz w:val="21"/>
                      <w:szCs w:val="21"/>
                      <w:lang w:val="en-US" w:eastAsia="zh-CN" w:bidi="ar"/>
                      <w14:textFill>
                        <w14:solidFill>
                          <w14:schemeClr w14:val="tx1"/>
                        </w14:solidFill>
                      </w14:textFill>
                    </w:rPr>
                    <w:t>类标准</w:t>
                  </w:r>
                </w:p>
              </w:tc>
            </w:tr>
          </w:tbl>
          <w:p>
            <w:pPr>
              <w:keepNext w:val="0"/>
              <w:keepLines w:val="0"/>
              <w:pageBreakBefore w:val="0"/>
              <w:widowControl w:val="0"/>
              <w:suppressLineNumbers w:val="0"/>
              <w:kinsoku/>
              <w:wordWrap/>
              <w:overflowPunct/>
              <w:topLinePunct/>
              <w:autoSpaceDN/>
              <w:bidi w:val="0"/>
              <w:adjustRightInd w:val="0"/>
              <w:snapToGrid w:val="0"/>
              <w:spacing w:before="0" w:beforeAutospacing="0" w:after="0" w:afterAutospacing="0" w:line="360" w:lineRule="auto"/>
              <w:ind w:left="0" w:leftChars="0" w:right="0"/>
              <w:jc w:val="both"/>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4固体废弃物影响分析</w:t>
            </w:r>
          </w:p>
          <w:p>
            <w:pPr>
              <w:pStyle w:val="1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textAlignment w:val="auto"/>
              <w:rPr>
                <w:rFonts w:hint="default"/>
                <w:color w:val="000000" w:themeColor="text1"/>
                <w:lang w:val="en-US"/>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4.1固体废物产生量</w:t>
            </w:r>
          </w:p>
          <w:p>
            <w:pPr>
              <w:keepNext w:val="0"/>
              <w:keepLines w:val="0"/>
              <w:pageBreakBefore w:val="0"/>
              <w:widowControl w:val="0"/>
              <w:suppressLineNumbers w:val="0"/>
              <w:kinsoku/>
              <w:wordWrap/>
              <w:overflowPunct/>
              <w:topLinePunct/>
              <w:autoSpaceDN/>
              <w:bidi w:val="0"/>
              <w:adjustRightInd w:val="0"/>
              <w:snapToGrid w:val="0"/>
              <w:spacing w:before="0" w:beforeAutospacing="0" w:after="0" w:afterAutospacing="0" w:line="360" w:lineRule="auto"/>
              <w:ind w:left="0" w:leftChars="0" w:right="0" w:firstLine="420" w:firstLineChars="200"/>
              <w:jc w:val="both"/>
              <w:textAlignment w:val="auto"/>
              <w:rPr>
                <w:rFonts w:hint="eastAsia" w:ascii="宋体" w:hAnsi="宋体" w:cs="宋体"/>
                <w:color w:val="000000" w:themeColor="text1"/>
                <w:kern w:val="2"/>
                <w:sz w:val="21"/>
                <w:szCs w:val="21"/>
                <w:lang w:val="en-US" w:eastAsia="zh-CN" w:bidi="ar"/>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本</w:t>
            </w:r>
            <w:r>
              <w:rPr>
                <w:rFonts w:hint="eastAsia" w:ascii="宋体" w:hAnsi="宋体" w:eastAsia="宋体" w:cs="宋体"/>
                <w:color w:val="000000" w:themeColor="text1"/>
                <w:kern w:val="2"/>
                <w:sz w:val="21"/>
                <w:szCs w:val="21"/>
                <w:lang w:val="en-US" w:eastAsia="zh-CN" w:bidi="ar"/>
                <w14:textFill>
                  <w14:solidFill>
                    <w14:schemeClr w14:val="tx1"/>
                  </w14:solidFill>
                </w14:textFill>
              </w:rPr>
              <w:t>项目产生的固体废弃物包括</w:t>
            </w:r>
            <w:r>
              <w:rPr>
                <w:rFonts w:hint="eastAsia" w:ascii="宋体" w:hAnsi="宋体" w:cs="宋体"/>
                <w:color w:val="000000" w:themeColor="text1"/>
                <w:kern w:val="2"/>
                <w:sz w:val="21"/>
                <w:szCs w:val="21"/>
                <w:lang w:val="en-US" w:eastAsia="zh-CN" w:bidi="ar"/>
                <w14:textFill>
                  <w14:solidFill>
                    <w14:schemeClr w14:val="tx1"/>
                  </w14:solidFill>
                </w14:textFill>
              </w:rPr>
              <w:t>收集粉尘和生活垃圾。</w:t>
            </w:r>
          </w:p>
          <w:p>
            <w:pPr>
              <w:keepNext w:val="0"/>
              <w:keepLines w:val="0"/>
              <w:pageBreakBefore w:val="0"/>
              <w:widowControl w:val="0"/>
              <w:suppressLineNumbers w:val="0"/>
              <w:kinsoku/>
              <w:wordWrap/>
              <w:overflowPunct/>
              <w:autoSpaceDN/>
              <w:bidi w:val="0"/>
              <w:adjustRightInd w:val="0"/>
              <w:snapToGrid w:val="0"/>
              <w:spacing w:before="0" w:beforeAutospacing="0" w:after="0" w:afterAutospacing="0" w:line="360" w:lineRule="auto"/>
              <w:ind w:left="0" w:leftChars="0" w:right="0" w:firstLine="420" w:firstLineChars="200"/>
              <w:jc w:val="both"/>
              <w:textAlignment w:val="auto"/>
              <w:rPr>
                <w:rFonts w:hint="default" w:ascii="Times New Roman" w:hAnsi="Times New Roman" w:eastAsia="宋体" w:cs="Times New Roman"/>
                <w:b w:val="0"/>
                <w:bCs w:val="0"/>
                <w:color w:val="000000" w:themeColor="text1"/>
                <w:kern w:val="2"/>
                <w:sz w:val="21"/>
                <w:szCs w:val="21"/>
                <w14:textFill>
                  <w14:solidFill>
                    <w14:schemeClr w14:val="tx1"/>
                  </w14:solidFill>
                </w14:textFill>
              </w:rPr>
            </w:pPr>
            <w:r>
              <w:rPr>
                <w:rFonts w:hint="eastAsia" w:cs="Times New Roman"/>
                <w:b w:val="0"/>
                <w:bCs w:val="0"/>
                <w:color w:val="000000" w:themeColor="text1"/>
                <w:kern w:val="2"/>
                <w:sz w:val="21"/>
                <w:szCs w:val="21"/>
                <w:lang w:val="en-US" w:eastAsia="zh-CN" w:bidi="ar"/>
                <w14:textFill>
                  <w14:solidFill>
                    <w14:schemeClr w14:val="tx1"/>
                  </w14:solidFill>
                </w14:textFill>
              </w:rPr>
              <w:t>（1）</w:t>
            </w:r>
            <w: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t>收集粉尘</w:t>
            </w:r>
          </w:p>
          <w:p>
            <w:pPr>
              <w:keepNext w:val="0"/>
              <w:keepLines w:val="0"/>
              <w:pageBreakBefore w:val="0"/>
              <w:widowControl w:val="0"/>
              <w:suppressLineNumbers w:val="0"/>
              <w:kinsoku/>
              <w:wordWrap/>
              <w:overflowPunct/>
              <w:autoSpaceDN/>
              <w:bidi w:val="0"/>
              <w:adjustRightInd w:val="0"/>
              <w:snapToGrid w:val="0"/>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FF0000"/>
                <w:kern w:val="2"/>
                <w:sz w:val="21"/>
                <w:szCs w:val="21"/>
                <w:lang w:val="en-US" w:eastAsia="zh-CN" w:bidi="ar"/>
              </w:rPr>
            </w:pPr>
            <w:r>
              <w:rPr>
                <w:rFonts w:hint="eastAsia" w:ascii="宋体" w:hAnsi="宋体" w:eastAsia="宋体" w:cs="宋体"/>
                <w:color w:val="FF0000"/>
                <w:kern w:val="2"/>
                <w:sz w:val="21"/>
                <w:szCs w:val="21"/>
                <w:lang w:val="en-US" w:eastAsia="zh-CN" w:bidi="ar"/>
              </w:rPr>
              <w:t>本项目</w:t>
            </w:r>
            <w:r>
              <w:rPr>
                <w:rFonts w:hint="eastAsia" w:ascii="宋体" w:hAnsi="宋体" w:cs="宋体"/>
                <w:color w:val="FF0000"/>
                <w:kern w:val="2"/>
                <w:sz w:val="21"/>
                <w:szCs w:val="21"/>
                <w:lang w:val="en-US" w:eastAsia="zh-CN" w:bidi="ar"/>
              </w:rPr>
              <w:t>粉煤灰贮存过程中</w:t>
            </w:r>
            <w:r>
              <w:rPr>
                <w:rFonts w:hint="eastAsia" w:ascii="宋体" w:hAnsi="宋体" w:eastAsia="宋体" w:cs="宋体"/>
                <w:color w:val="FF0000"/>
                <w:kern w:val="2"/>
                <w:sz w:val="21"/>
                <w:szCs w:val="21"/>
                <w:lang w:val="en-US" w:eastAsia="zh-CN" w:bidi="ar"/>
              </w:rPr>
              <w:t>，</w:t>
            </w:r>
            <w:r>
              <w:rPr>
                <w:rFonts w:hint="eastAsia" w:ascii="宋体" w:hAnsi="宋体" w:cs="宋体"/>
                <w:color w:val="FF0000"/>
                <w:kern w:val="2"/>
                <w:sz w:val="21"/>
                <w:szCs w:val="21"/>
                <w:lang w:val="en-US" w:eastAsia="zh-CN" w:bidi="ar"/>
              </w:rPr>
              <w:t>除尘器</w:t>
            </w:r>
            <w:r>
              <w:rPr>
                <w:rFonts w:hint="eastAsia" w:ascii="宋体" w:hAnsi="宋体" w:eastAsia="宋体" w:cs="宋体"/>
                <w:color w:val="FF0000"/>
                <w:kern w:val="2"/>
                <w:sz w:val="21"/>
                <w:szCs w:val="21"/>
                <w:lang w:val="en-US" w:eastAsia="zh-CN" w:bidi="ar"/>
              </w:rPr>
              <w:t>收集的粉尘约为</w:t>
            </w:r>
            <w:r>
              <w:rPr>
                <w:rFonts w:hint="eastAsia" w:cs="Times New Roman"/>
                <w:color w:val="FF0000"/>
                <w:kern w:val="2"/>
                <w:sz w:val="21"/>
                <w:szCs w:val="21"/>
                <w:lang w:val="en-US" w:eastAsia="zh-CN" w:bidi="ar"/>
              </w:rPr>
              <w:t>14.26</w:t>
            </w:r>
            <w:r>
              <w:rPr>
                <w:rFonts w:hint="default" w:ascii="Times New Roman" w:hAnsi="Times New Roman" w:eastAsia="宋体" w:cs="Times New Roman"/>
                <w:color w:val="FF0000"/>
                <w:kern w:val="2"/>
                <w:sz w:val="21"/>
                <w:szCs w:val="21"/>
                <w:lang w:val="en-US" w:eastAsia="zh-CN" w:bidi="ar"/>
              </w:rPr>
              <w:t>t/a</w:t>
            </w:r>
            <w:r>
              <w:rPr>
                <w:rFonts w:hint="eastAsia" w:ascii="宋体" w:hAnsi="宋体" w:eastAsia="宋体" w:cs="宋体"/>
                <w:color w:val="FF0000"/>
                <w:kern w:val="2"/>
                <w:sz w:val="21"/>
                <w:szCs w:val="21"/>
                <w:lang w:val="en-US" w:eastAsia="zh-CN" w:bidi="ar"/>
              </w:rPr>
              <w:t>，收集粉尘</w:t>
            </w:r>
            <w:r>
              <w:rPr>
                <w:rFonts w:hint="eastAsia" w:ascii="宋体" w:hAnsi="宋体" w:cs="宋体"/>
                <w:color w:val="FF0000"/>
                <w:kern w:val="2"/>
                <w:sz w:val="21"/>
                <w:szCs w:val="21"/>
                <w:lang w:val="en-US" w:eastAsia="zh-CN" w:bidi="ar"/>
              </w:rPr>
              <w:t>直接</w:t>
            </w:r>
            <w:r>
              <w:rPr>
                <w:rFonts w:hint="eastAsia" w:ascii="宋体" w:hAnsi="宋体" w:eastAsia="宋体" w:cs="宋体"/>
                <w:color w:val="FF0000"/>
                <w:kern w:val="2"/>
                <w:sz w:val="21"/>
                <w:szCs w:val="21"/>
                <w:lang w:val="en-US" w:eastAsia="zh-CN" w:bidi="ar"/>
              </w:rPr>
              <w:t>作为产品</w:t>
            </w:r>
            <w:r>
              <w:rPr>
                <w:rFonts w:hint="eastAsia" w:ascii="宋体" w:hAnsi="宋体" w:cs="宋体"/>
                <w:color w:val="FF0000"/>
                <w:kern w:val="2"/>
                <w:sz w:val="21"/>
                <w:szCs w:val="21"/>
                <w:lang w:val="en-US" w:eastAsia="zh-CN" w:bidi="ar"/>
              </w:rPr>
              <w:t>装车</w:t>
            </w:r>
            <w:r>
              <w:rPr>
                <w:rFonts w:hint="eastAsia" w:ascii="宋体" w:hAnsi="宋体" w:eastAsia="宋体" w:cs="宋体"/>
                <w:color w:val="FF0000"/>
                <w:kern w:val="2"/>
                <w:sz w:val="21"/>
                <w:szCs w:val="21"/>
                <w:lang w:val="en-US" w:eastAsia="zh-CN" w:bidi="ar"/>
              </w:rPr>
              <w:t>外售，不在项目区内贮存、包装</w:t>
            </w:r>
            <w:r>
              <w:rPr>
                <w:rFonts w:hint="eastAsia" w:ascii="宋体" w:hAnsi="宋体" w:cs="宋体"/>
                <w:color w:val="FF0000"/>
                <w:kern w:val="2"/>
                <w:sz w:val="21"/>
                <w:szCs w:val="21"/>
                <w:lang w:val="en-US" w:eastAsia="zh-CN" w:bidi="ar"/>
              </w:rPr>
              <w:t>，</w:t>
            </w:r>
            <w:r>
              <w:rPr>
                <w:rFonts w:hint="eastAsia" w:ascii="宋体" w:hAnsi="宋体" w:eastAsia="宋体" w:cs="宋体"/>
                <w:color w:val="FF0000"/>
                <w:kern w:val="2"/>
                <w:sz w:val="21"/>
                <w:szCs w:val="21"/>
                <w:lang w:val="en-US" w:eastAsia="zh-CN" w:bidi="ar"/>
              </w:rPr>
              <w:t>不对外排放。根据《固体废物</w:t>
            </w:r>
            <w:r>
              <w:rPr>
                <w:rFonts w:hint="default" w:ascii="Times New Roman" w:hAnsi="Times New Roman" w:eastAsia="宋体" w:cs="Times New Roman"/>
                <w:color w:val="FF0000"/>
                <w:kern w:val="2"/>
                <w:sz w:val="21"/>
                <w:szCs w:val="21"/>
                <w:lang w:val="en-US" w:eastAsia="zh-CN" w:bidi="ar"/>
              </w:rPr>
              <w:t>分类与代码目录》（公告2024年第4号）查询可知，收集粉尘属于SW</w:t>
            </w:r>
            <w:r>
              <w:rPr>
                <w:rFonts w:hint="eastAsia" w:ascii="Times New Roman" w:hAnsi="Times New Roman" w:cs="Times New Roman"/>
                <w:color w:val="FF0000"/>
                <w:kern w:val="2"/>
                <w:sz w:val="21"/>
                <w:szCs w:val="21"/>
                <w:lang w:val="en-US" w:eastAsia="zh-CN" w:bidi="ar"/>
              </w:rPr>
              <w:t>59</w:t>
            </w:r>
            <w:r>
              <w:rPr>
                <w:rFonts w:hint="default" w:ascii="Times New Roman" w:hAnsi="Times New Roman" w:eastAsia="宋体" w:cs="Times New Roman"/>
                <w:color w:val="FF0000"/>
                <w:kern w:val="2"/>
                <w:sz w:val="21"/>
                <w:szCs w:val="21"/>
                <w:lang w:val="en-US" w:eastAsia="zh-CN" w:bidi="ar"/>
              </w:rPr>
              <w:t>其他工业固体废物-其他工业生产过程中产生的固体废物（代码900-099-S59）</w:t>
            </w:r>
            <w:r>
              <w:rPr>
                <w:rFonts w:hint="eastAsia" w:ascii="宋体" w:hAnsi="宋体" w:cs="宋体"/>
                <w:color w:val="FF0000"/>
                <w:kern w:val="2"/>
                <w:sz w:val="21"/>
                <w:szCs w:val="21"/>
                <w:lang w:val="en-US" w:eastAsia="zh-CN" w:bidi="ar"/>
              </w:rPr>
              <w:t>。</w:t>
            </w:r>
          </w:p>
          <w:p>
            <w:pPr>
              <w:keepNext w:val="0"/>
              <w:keepLines w:val="0"/>
              <w:pageBreakBefore w:val="0"/>
              <w:widowControl w:val="0"/>
              <w:suppressLineNumbers w:val="0"/>
              <w:kinsoku/>
              <w:wordWrap/>
              <w:overflowPunct/>
              <w:autoSpaceDN/>
              <w:bidi w:val="0"/>
              <w:adjustRightInd w:val="0"/>
              <w:snapToGrid w:val="0"/>
              <w:spacing w:before="0" w:beforeAutospacing="0" w:after="0" w:afterAutospacing="0" w:line="360" w:lineRule="auto"/>
              <w:ind w:left="0" w:leftChars="0" w:right="0" w:firstLine="420" w:firstLineChars="200"/>
              <w:jc w:val="both"/>
              <w:textAlignment w:val="auto"/>
              <w:rPr>
                <w:rFonts w:hint="default" w:ascii="Times New Roman" w:hAnsi="Times New Roman" w:cs="Times New Roman"/>
                <w:b w:val="0"/>
                <w:bCs w:val="0"/>
                <w:color w:val="000000" w:themeColor="text1"/>
                <w:kern w:val="0"/>
                <w:sz w:val="21"/>
                <w:szCs w:val="21"/>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w:t>
            </w:r>
            <w:r>
              <w:rPr>
                <w:rFonts w:hint="eastAsia" w:cs="Times New Roman"/>
                <w:b w:val="0"/>
                <w:bCs w:val="0"/>
                <w:color w:val="000000" w:themeColor="text1"/>
                <w:kern w:val="0"/>
                <w:sz w:val="21"/>
                <w:szCs w:val="21"/>
                <w:lang w:val="en-US" w:eastAsia="zh-CN" w:bidi="ar"/>
                <w14:textFill>
                  <w14:solidFill>
                    <w14:schemeClr w14:val="tx1"/>
                  </w14:solidFill>
                </w14:textFill>
              </w:rPr>
              <w:t>2</w:t>
            </w: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）生活垃圾</w:t>
            </w:r>
          </w:p>
          <w:p>
            <w:pPr>
              <w:keepNext w:val="0"/>
              <w:keepLines w:val="0"/>
              <w:pageBreakBefore w:val="0"/>
              <w:widowControl w:val="0"/>
              <w:suppressLineNumbers w:val="0"/>
              <w:kinsoku/>
              <w:wordWrap/>
              <w:overflowPunct/>
              <w:autoSpaceDN/>
              <w:bidi w:val="0"/>
              <w:adjustRightInd w:val="0"/>
              <w:snapToGrid w:val="0"/>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本项目工作人员共计</w:t>
            </w:r>
            <w:r>
              <w:rPr>
                <w:rFonts w:hint="eastAsia" w:cs="Times New Roman"/>
                <w:color w:val="000000" w:themeColor="text1"/>
                <w:kern w:val="2"/>
                <w:sz w:val="21"/>
                <w:szCs w:val="21"/>
                <w:lang w:val="en-US" w:eastAsia="zh-CN" w:bidi="ar"/>
                <w14:textFill>
                  <w14:solidFill>
                    <w14:schemeClr w14:val="tx1"/>
                  </w14:solidFill>
                </w14:textFill>
              </w:rPr>
              <w:t>6</w:t>
            </w:r>
            <w:r>
              <w:rPr>
                <w:rFonts w:hint="eastAsia" w:ascii="宋体" w:hAnsi="宋体" w:eastAsia="宋体" w:cs="宋体"/>
                <w:color w:val="000000" w:themeColor="text1"/>
                <w:kern w:val="2"/>
                <w:sz w:val="21"/>
                <w:szCs w:val="21"/>
                <w:lang w:val="en-US" w:eastAsia="zh-CN" w:bidi="ar"/>
                <w14:textFill>
                  <w14:solidFill>
                    <w14:schemeClr w14:val="tx1"/>
                  </w14:solidFill>
                </w14:textFill>
              </w:rPr>
              <w:t>人，年工作</w:t>
            </w:r>
            <w:r>
              <w:rPr>
                <w:rFonts w:hint="eastAsia" w:cs="Times New Roman"/>
                <w:color w:val="000000" w:themeColor="text1"/>
                <w:kern w:val="2"/>
                <w:sz w:val="21"/>
                <w:szCs w:val="21"/>
                <w:lang w:val="en-US" w:eastAsia="zh-CN" w:bidi="ar"/>
                <w14:textFill>
                  <w14:solidFill>
                    <w14:schemeClr w14:val="tx1"/>
                  </w14:solidFill>
                </w14:textFill>
              </w:rPr>
              <w:t>360</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d</w:t>
            </w:r>
            <w:r>
              <w:rPr>
                <w:rFonts w:hint="eastAsia" w:ascii="宋体" w:hAnsi="宋体" w:eastAsia="宋体" w:cs="宋体"/>
                <w:color w:val="000000" w:themeColor="text1"/>
                <w:kern w:val="2"/>
                <w:sz w:val="21"/>
                <w:szCs w:val="21"/>
                <w:lang w:val="en-US" w:eastAsia="zh-CN" w:bidi="ar"/>
                <w14:textFill>
                  <w14:solidFill>
                    <w14:schemeClr w14:val="tx1"/>
                  </w14:solidFill>
                </w14:textFill>
              </w:rPr>
              <w:t>，生活垃圾产生量按每日每人产生</w:t>
            </w:r>
            <w:r>
              <w:rPr>
                <w:rFonts w:hint="eastAsia" w:cs="Times New Roman"/>
                <w:color w:val="000000" w:themeColor="text1"/>
                <w:kern w:val="2"/>
                <w:sz w:val="21"/>
                <w:szCs w:val="21"/>
                <w:lang w:val="en-US" w:eastAsia="zh-CN" w:bidi="ar"/>
                <w14:textFill>
                  <w14:solidFill>
                    <w14:schemeClr w14:val="tx1"/>
                  </w14:solidFill>
                </w14:textFill>
              </w:rPr>
              <w:t>0.5</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kg</w:t>
            </w:r>
            <w:r>
              <w:rPr>
                <w:rFonts w:hint="eastAsia" w:ascii="宋体" w:hAnsi="宋体" w:eastAsia="宋体" w:cs="宋体"/>
                <w:color w:val="000000" w:themeColor="text1"/>
                <w:kern w:val="2"/>
                <w:sz w:val="21"/>
                <w:szCs w:val="21"/>
                <w:lang w:val="en-US" w:eastAsia="zh-CN" w:bidi="ar"/>
                <w14:textFill>
                  <w14:solidFill>
                    <w14:schemeClr w14:val="tx1"/>
                  </w14:solidFill>
                </w14:textFill>
              </w:rPr>
              <w:t>计，则产生生活垃圾</w:t>
            </w:r>
            <w:r>
              <w:rPr>
                <w:rFonts w:hint="eastAsia" w:cs="Times New Roman"/>
                <w:color w:val="000000" w:themeColor="text1"/>
                <w:kern w:val="2"/>
                <w:sz w:val="21"/>
                <w:szCs w:val="21"/>
                <w:lang w:val="en-US" w:eastAsia="zh-CN" w:bidi="ar"/>
                <w14:textFill>
                  <w14:solidFill>
                    <w14:schemeClr w14:val="tx1"/>
                  </w14:solidFill>
                </w14:textFill>
              </w:rPr>
              <w:t>1.08</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t/a</w:t>
            </w:r>
            <w:r>
              <w:rPr>
                <w:rFonts w:hint="eastAsia" w:ascii="宋体" w:hAnsi="宋体" w:eastAsia="宋体" w:cs="宋体"/>
                <w:color w:val="000000" w:themeColor="text1"/>
                <w:kern w:val="2"/>
                <w:sz w:val="21"/>
                <w:szCs w:val="21"/>
                <w:lang w:val="en-US" w:eastAsia="zh-CN" w:bidi="ar"/>
                <w14:textFill>
                  <w14:solidFill>
                    <w14:schemeClr w14:val="tx1"/>
                  </w14:solidFill>
                </w14:textFill>
              </w:rPr>
              <w:t>。生活垃圾收</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集于垃圾箱后交由园区环卫部门统一清运处置。根据《固体废物分类与代码目录》（公告2024年第4号）查询可知，生活垃圾属于SW64其他垃圾-生活垃圾（代码900-099-S64）</w:t>
            </w:r>
            <w:r>
              <w:rPr>
                <w:rFonts w:hint="eastAsia" w:ascii="宋体" w:hAnsi="宋体" w:cs="宋体"/>
                <w:color w:val="000000" w:themeColor="text1"/>
                <w:kern w:val="2"/>
                <w:sz w:val="21"/>
                <w:szCs w:val="21"/>
                <w:lang w:val="en-US" w:eastAsia="zh-CN" w:bidi="ar"/>
                <w14:textFill>
                  <w14:solidFill>
                    <w14:schemeClr w14:val="tx1"/>
                  </w14:solidFill>
                </w14:textFill>
              </w:rPr>
              <w:t>。</w:t>
            </w:r>
          </w:p>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leftChars="0" w:right="0"/>
              <w:jc w:val="both"/>
              <w:textAlignment w:val="auto"/>
              <w:rPr>
                <w:rFonts w:hint="default" w:ascii="Times New Roman" w:hAnsi="Times New Roman" w:eastAsia="宋体" w:cs="Times New Roman"/>
                <w:b/>
                <w:bCs w:val="0"/>
                <w:color w:val="000000" w:themeColor="text1"/>
                <w:spacing w:val="0"/>
                <w:kern w:val="2"/>
                <w:sz w:val="21"/>
                <w:szCs w:val="21"/>
                <w14:textFill>
                  <w14:solidFill>
                    <w14:schemeClr w14:val="tx1"/>
                  </w14:solidFill>
                </w14:textFill>
              </w:rPr>
            </w:pPr>
            <w:r>
              <w:rPr>
                <w:rFonts w:hint="default" w:ascii="Times New Roman" w:hAnsi="Times New Roman" w:eastAsia="宋体" w:cs="Times New Roman"/>
                <w:b/>
                <w:bCs w:val="0"/>
                <w:color w:val="000000" w:themeColor="text1"/>
                <w:spacing w:val="0"/>
                <w:kern w:val="2"/>
                <w:sz w:val="21"/>
                <w:szCs w:val="21"/>
                <w:lang w:val="en-US" w:eastAsia="zh-CN" w:bidi="ar"/>
                <w14:textFill>
                  <w14:solidFill>
                    <w14:schemeClr w14:val="tx1"/>
                  </w14:solidFill>
                </w14:textFill>
              </w:rPr>
              <w:t>4.2</w:t>
            </w:r>
            <w:r>
              <w:rPr>
                <w:rFonts w:hint="eastAsia" w:ascii="宋体" w:hAnsi="宋体" w:eastAsia="宋体" w:cs="宋体"/>
                <w:b/>
                <w:bCs w:val="0"/>
                <w:color w:val="000000" w:themeColor="text1"/>
                <w:spacing w:val="0"/>
                <w:kern w:val="2"/>
                <w:sz w:val="21"/>
                <w:szCs w:val="21"/>
                <w:lang w:val="en-US" w:eastAsia="zh-CN" w:bidi="ar"/>
                <w14:textFill>
                  <w14:solidFill>
                    <w14:schemeClr w14:val="tx1"/>
                  </w14:solidFill>
                </w14:textFill>
              </w:rPr>
              <w:t>固体废物储运方式及要求</w:t>
            </w:r>
          </w:p>
          <w:p>
            <w:pPr>
              <w:keepNext w:val="0"/>
              <w:keepLines w:val="0"/>
              <w:widowControl w:val="0"/>
              <w:suppressLineNumbers w:val="0"/>
              <w:autoSpaceDE w:val="0"/>
              <w:autoSpaceDN/>
              <w:adjustRightInd w:val="0"/>
              <w:snapToGrid w:val="0"/>
              <w:spacing w:before="0" w:beforeAutospacing="0" w:after="0" w:afterAutospacing="0" w:line="360" w:lineRule="auto"/>
              <w:ind w:left="0" w:leftChars="0" w:right="0" w:rightChars="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本</w:t>
            </w:r>
            <w:r>
              <w:rPr>
                <w:rFonts w:hint="eastAsia" w:ascii="宋体" w:hAnsi="宋体" w:eastAsia="宋体" w:cs="宋体"/>
                <w:color w:val="000000" w:themeColor="text1"/>
                <w:kern w:val="2"/>
                <w:sz w:val="21"/>
                <w:szCs w:val="21"/>
                <w:lang w:val="en-US" w:eastAsia="zh-CN" w:bidi="ar"/>
                <w14:textFill>
                  <w14:solidFill>
                    <w14:schemeClr w14:val="tx1"/>
                  </w14:solidFill>
                </w14:textFill>
              </w:rPr>
              <w:t>项目产生的固体废物存放在指定的地点放置，不得随意倾倒、</w:t>
            </w:r>
            <w:r>
              <w:rPr>
                <w:rFonts w:hint="eastAsia" w:ascii="宋体" w:hAnsi="宋体" w:cs="宋体"/>
                <w:color w:val="000000" w:themeColor="text1"/>
                <w:kern w:val="2"/>
                <w:sz w:val="21"/>
                <w:szCs w:val="21"/>
                <w:lang w:val="en-US" w:eastAsia="zh-CN" w:bidi="ar"/>
                <w14:textFill>
                  <w14:solidFill>
                    <w14:schemeClr w14:val="tx1"/>
                  </w14:solidFill>
                </w14:textFill>
              </w:rPr>
              <w:t>抛洒</w:t>
            </w:r>
            <w:r>
              <w:rPr>
                <w:rFonts w:hint="eastAsia" w:ascii="宋体" w:hAnsi="宋体" w:eastAsia="宋体" w:cs="宋体"/>
                <w:color w:val="000000" w:themeColor="text1"/>
                <w:kern w:val="2"/>
                <w:sz w:val="21"/>
                <w:szCs w:val="21"/>
                <w:lang w:val="en-US" w:eastAsia="zh-CN" w:bidi="ar"/>
                <w14:textFill>
                  <w14:solidFill>
                    <w14:schemeClr w14:val="tx1"/>
                  </w14:solidFill>
                </w14:textFill>
              </w:rPr>
              <w:t>或者堆放，应采取相应防范措施，避免扬散、流失、渗漏或者造成其他环境污染。固废产生情况见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表4-</w:t>
            </w:r>
            <w:r>
              <w:rPr>
                <w:rFonts w:hint="eastAsia" w:cs="Times New Roman"/>
                <w:color w:val="000000" w:themeColor="text1"/>
                <w:kern w:val="2"/>
                <w:sz w:val="21"/>
                <w:szCs w:val="21"/>
                <w:lang w:val="en-US" w:eastAsia="zh-CN" w:bidi="ar"/>
                <w14:textFill>
                  <w14:solidFill>
                    <w14:schemeClr w14:val="tx1"/>
                  </w14:solidFill>
                </w14:textFill>
              </w:rPr>
              <w:t>9</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ind w:left="0" w:right="0" w:firstLine="422"/>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4-</w:t>
            </w:r>
            <w:r>
              <w:rPr>
                <w:rFonts w:hint="eastAsia" w:cs="Times New Roman"/>
                <w:b/>
                <w:bCs/>
                <w:color w:val="000000" w:themeColor="text1"/>
                <w:kern w:val="2"/>
                <w:sz w:val="21"/>
                <w:szCs w:val="21"/>
                <w:lang w:val="en-US" w:eastAsia="zh-CN" w:bidi="ar"/>
                <w14:textFill>
                  <w14:solidFill>
                    <w14:schemeClr w14:val="tx1"/>
                  </w14:solidFill>
                </w14:textFill>
              </w:rPr>
              <w:t>9</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本项目固体废物产生量及处理方式一览表</w:t>
            </w:r>
          </w:p>
          <w:tbl>
            <w:tblPr>
              <w:tblStyle w:val="23"/>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57" w:type="dxa"/>
                <w:bottom w:w="0" w:type="dxa"/>
                <w:right w:w="57" w:type="dxa"/>
              </w:tblCellMar>
            </w:tblPr>
            <w:tblGrid>
              <w:gridCol w:w="578"/>
              <w:gridCol w:w="1217"/>
              <w:gridCol w:w="1135"/>
              <w:gridCol w:w="1420"/>
              <w:gridCol w:w="1306"/>
              <w:gridCol w:w="2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397" w:hRule="atLeast"/>
                <w:jc w:val="center"/>
              </w:trPr>
              <w:tc>
                <w:tcPr>
                  <w:tcW w:w="34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序号</w:t>
                  </w:r>
                </w:p>
              </w:tc>
              <w:tc>
                <w:tcPr>
                  <w:tcW w:w="73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固废名称</w:t>
                  </w:r>
                </w:p>
              </w:tc>
              <w:tc>
                <w:tcPr>
                  <w:tcW w:w="684"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产污环节</w:t>
                  </w:r>
                </w:p>
              </w:tc>
              <w:tc>
                <w:tcPr>
                  <w:tcW w:w="855"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产生量（</w:t>
                  </w:r>
                  <w:r>
                    <w:rPr>
                      <w:rFonts w:hint="default" w:ascii="Times New Roman" w:hAnsi="Times New Roman" w:eastAsia="黑体" w:cs="Times New Roman"/>
                      <w:b/>
                      <w:bCs/>
                      <w:color w:val="000000" w:themeColor="text1"/>
                      <w:kern w:val="0"/>
                      <w:sz w:val="21"/>
                      <w:szCs w:val="21"/>
                      <w:lang w:val="en-US" w:eastAsia="zh-CN" w:bidi="ar"/>
                      <w14:textFill>
                        <w14:solidFill>
                          <w14:schemeClr w14:val="tx1"/>
                        </w14:solidFill>
                      </w14:textFill>
                    </w:rPr>
                    <w:t>t/a</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w:t>
                  </w:r>
                </w:p>
              </w:tc>
              <w:tc>
                <w:tcPr>
                  <w:tcW w:w="78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废物代码</w:t>
                  </w:r>
                </w:p>
              </w:tc>
              <w:tc>
                <w:tcPr>
                  <w:tcW w:w="159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利用处置方式和去向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4" w:hRule="atLeast"/>
                <w:jc w:val="center"/>
              </w:trPr>
              <w:tc>
                <w:tcPr>
                  <w:tcW w:w="348" w:type="pct"/>
                  <w:tcBorders>
                    <w:top w:val="single" w:color="auto" w:sz="4" w:space="0"/>
                    <w:left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宋体" w:hAnsi="宋体" w:eastAsia="宋体" w:cs="宋体"/>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1</w:t>
                  </w:r>
                </w:p>
              </w:tc>
              <w:tc>
                <w:tcPr>
                  <w:tcW w:w="733" w:type="pct"/>
                  <w:tcBorders>
                    <w:top w:val="single" w:color="auto" w:sz="4" w:space="0"/>
                    <w:left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收集粉尘</w:t>
                  </w:r>
                </w:p>
              </w:tc>
              <w:tc>
                <w:tcPr>
                  <w:tcW w:w="684" w:type="pct"/>
                  <w:tcBorders>
                    <w:top w:val="single" w:color="auto" w:sz="4" w:space="0"/>
                    <w:left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color w:val="000000" w:themeColor="text1"/>
                      <w:kern w:val="0"/>
                      <w:sz w:val="21"/>
                      <w:szCs w:val="21"/>
                      <w14:textFill>
                        <w14:solidFill>
                          <w14:schemeClr w14:val="tx1"/>
                        </w14:solidFill>
                      </w14:textFill>
                    </w:rPr>
                  </w:pPr>
                  <w:r>
                    <w:rPr>
                      <w:rFonts w:hint="eastAsia" w:eastAsia="宋体" w:cs="宋体"/>
                      <w:color w:val="000000" w:themeColor="text1"/>
                      <w:kern w:val="0"/>
                      <w:sz w:val="21"/>
                      <w:szCs w:val="21"/>
                      <w:lang w:val="en-US" w:eastAsia="zh-CN" w:bidi="ar"/>
                      <w14:textFill>
                        <w14:solidFill>
                          <w14:schemeClr w14:val="tx1"/>
                        </w14:solidFill>
                      </w14:textFill>
                    </w:rPr>
                    <w:t>贮存</w:t>
                  </w:r>
                  <w:r>
                    <w:rPr>
                      <w:rFonts w:hint="eastAsia" w:ascii="宋体" w:hAnsi="宋体" w:eastAsia="宋体" w:cs="宋体"/>
                      <w:color w:val="000000" w:themeColor="text1"/>
                      <w:kern w:val="0"/>
                      <w:sz w:val="21"/>
                      <w:szCs w:val="21"/>
                      <w:lang w:val="en-US" w:eastAsia="zh-CN" w:bidi="ar"/>
                      <w14:textFill>
                        <w14:solidFill>
                          <w14:schemeClr w14:val="tx1"/>
                        </w14:solidFill>
                      </w14:textFill>
                    </w:rPr>
                    <w:t>过程</w:t>
                  </w:r>
                </w:p>
              </w:tc>
              <w:tc>
                <w:tcPr>
                  <w:tcW w:w="855" w:type="pct"/>
                  <w:tcBorders>
                    <w:top w:val="single" w:color="auto" w:sz="4" w:space="0"/>
                    <w:left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14.26</w:t>
                  </w:r>
                </w:p>
              </w:tc>
              <w:tc>
                <w:tcPr>
                  <w:tcW w:w="787" w:type="pct"/>
                  <w:tcBorders>
                    <w:top w:val="single" w:color="auto" w:sz="4" w:space="0"/>
                    <w:left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b w:val="0"/>
                      <w:bCs w:val="0"/>
                      <w:color w:val="000000" w:themeColor="text1"/>
                      <w:kern w:val="0"/>
                      <w:sz w:val="21"/>
                      <w:szCs w:val="21"/>
                      <w14:textFill>
                        <w14:solidFill>
                          <w14:schemeClr w14:val="tx1"/>
                        </w14:solidFill>
                      </w14:textFill>
                    </w:rPr>
                  </w:pPr>
                  <w:r>
                    <w:rPr>
                      <w:rFonts w:hint="eastAsia" w:ascii="Times New Roman" w:hAnsi="Times New Roman" w:cs="Times New Roman"/>
                      <w:b w:val="0"/>
                      <w:bCs w:val="0"/>
                      <w:color w:val="000000" w:themeColor="text1"/>
                      <w:kern w:val="0"/>
                      <w:sz w:val="21"/>
                      <w:szCs w:val="21"/>
                      <w:lang w:val="en-US" w:eastAsia="zh-CN" w:bidi="ar"/>
                      <w14:textFill>
                        <w14:solidFill>
                          <w14:schemeClr w14:val="tx1"/>
                        </w14:solidFill>
                      </w14:textFill>
                    </w:rPr>
                    <w:t>900-099-S59</w:t>
                  </w:r>
                </w:p>
              </w:tc>
              <w:tc>
                <w:tcPr>
                  <w:tcW w:w="1591" w:type="pct"/>
                  <w:tcBorders>
                    <w:top w:val="single" w:color="auto" w:sz="4" w:space="0"/>
                    <w:left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eastAsia" w:ascii="Times New Roman" w:hAnsi="Times New Roman" w:eastAsia="黑体"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全部作为产品外售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4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2</w:t>
                  </w:r>
                </w:p>
              </w:tc>
              <w:tc>
                <w:tcPr>
                  <w:tcW w:w="73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生活垃圾</w:t>
                  </w:r>
                </w:p>
              </w:tc>
              <w:tc>
                <w:tcPr>
                  <w:tcW w:w="684"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办公生活</w:t>
                  </w:r>
                </w:p>
              </w:tc>
              <w:tc>
                <w:tcPr>
                  <w:tcW w:w="855"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1.08</w:t>
                  </w:r>
                </w:p>
              </w:tc>
              <w:tc>
                <w:tcPr>
                  <w:tcW w:w="787" w:type="pct"/>
                  <w:tcBorders>
                    <w:left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default" w:ascii="Times New Roman" w:hAnsi="Times New Roman" w:eastAsia="黑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黑体" w:cs="Times New Roman"/>
                      <w:b w:val="0"/>
                      <w:bCs w:val="0"/>
                      <w:color w:val="000000" w:themeColor="text1"/>
                      <w:kern w:val="0"/>
                      <w:sz w:val="21"/>
                      <w:szCs w:val="21"/>
                      <w:lang w:val="en-US" w:eastAsia="zh-CN" w:bidi="ar"/>
                      <w14:textFill>
                        <w14:solidFill>
                          <w14:schemeClr w14:val="tx1"/>
                        </w14:solidFill>
                      </w14:textFill>
                    </w:rPr>
                    <w:t>900-099-S64</w:t>
                  </w:r>
                </w:p>
              </w:tc>
              <w:tc>
                <w:tcPr>
                  <w:tcW w:w="159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20"/>
                    <w:keepNext w:val="0"/>
                    <w:keepLines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交由环卫部门统一清运处置</w:t>
                  </w:r>
                </w:p>
              </w:tc>
            </w:tr>
          </w:tbl>
          <w:p>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auto"/>
              <w:ind w:left="0" w:right="0" w:firstLine="482"/>
              <w:jc w:val="both"/>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综上所述，项目固体废弃物处理符合《一般工业固体废物贮存和填埋污染控制标准》（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GB18599</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2020</w:t>
            </w:r>
            <w:r>
              <w:rPr>
                <w:rFonts w:hint="eastAsia" w:ascii="宋体" w:hAnsi="宋体" w:eastAsia="宋体" w:cs="宋体"/>
                <w:color w:val="000000" w:themeColor="text1"/>
                <w:kern w:val="2"/>
                <w:sz w:val="21"/>
                <w:szCs w:val="21"/>
                <w:lang w:val="en-US" w:eastAsia="zh-CN" w:bidi="ar"/>
                <w14:textFill>
                  <w14:solidFill>
                    <w14:schemeClr w14:val="tx1"/>
                  </w14:solidFill>
                </w14:textFill>
              </w:rPr>
              <w:t>）的标准要求，对周围环境影响较小。</w:t>
            </w:r>
          </w:p>
          <w:p>
            <w:pPr>
              <w:keepNext w:val="0"/>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本项目对运行期间产生的固废按照相关规定采取分类收</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集措施，依据《排污许可证申请与核发技术规范 总则》（HJ942-2018）、《排污单位自行监测技术指南 总则》（HJ819-2017）和项目内容、企业实际情况，制定固</w:t>
            </w:r>
            <w:r>
              <w:rPr>
                <w:rFonts w:hint="eastAsia" w:ascii="宋体" w:hAnsi="宋体" w:eastAsia="宋体" w:cs="宋体"/>
                <w:color w:val="000000" w:themeColor="text1"/>
                <w:kern w:val="2"/>
                <w:sz w:val="21"/>
                <w:szCs w:val="21"/>
                <w:lang w:val="en-US" w:eastAsia="zh-CN" w:bidi="ar"/>
                <w14:textFill>
                  <w14:solidFill>
                    <w14:schemeClr w14:val="tx1"/>
                  </w14:solidFill>
                </w14:textFill>
              </w:rPr>
              <w:t>废处置计划表，详见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表4-1</w:t>
            </w:r>
            <w:r>
              <w:rPr>
                <w:rFonts w:hint="eastAsia" w:cs="Times New Roman"/>
                <w:color w:val="000000" w:themeColor="text1"/>
                <w:kern w:val="2"/>
                <w:sz w:val="21"/>
                <w:szCs w:val="21"/>
                <w:lang w:val="en-US" w:eastAsia="zh-CN" w:bidi="ar"/>
                <w14:textFill>
                  <w14:solidFill>
                    <w14:schemeClr w14:val="tx1"/>
                  </w14:solidFill>
                </w14:textFill>
              </w:rPr>
              <w:t>0</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4-1</w:t>
            </w:r>
            <w:r>
              <w:rPr>
                <w:rFonts w:hint="eastAsia" w:cs="Times New Roman"/>
                <w:b/>
                <w:bCs/>
                <w:color w:val="000000" w:themeColor="text1"/>
                <w:kern w:val="2"/>
                <w:sz w:val="21"/>
                <w:szCs w:val="21"/>
                <w:lang w:val="en-US" w:eastAsia="zh-CN" w:bidi="ar"/>
                <w14:textFill>
                  <w14:solidFill>
                    <w14:schemeClr w14:val="tx1"/>
                  </w14:solidFill>
                </w14:textFill>
              </w:rPr>
              <w:t>0</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固废处置计划表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37"/>
              <w:gridCol w:w="1067"/>
              <w:gridCol w:w="1897"/>
              <w:gridCol w:w="4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133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监测点</w:t>
                  </w:r>
                </w:p>
              </w:tc>
              <w:tc>
                <w:tcPr>
                  <w:tcW w:w="10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监测频次</w:t>
                  </w:r>
                </w:p>
              </w:tc>
              <w:tc>
                <w:tcPr>
                  <w:tcW w:w="1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监测项目</w:t>
                  </w:r>
                </w:p>
              </w:tc>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33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统计全厂各类固废量</w:t>
                  </w:r>
                </w:p>
              </w:tc>
              <w:tc>
                <w:tcPr>
                  <w:tcW w:w="10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每月统计一次</w:t>
                  </w:r>
                </w:p>
              </w:tc>
              <w:tc>
                <w:tcPr>
                  <w:tcW w:w="1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lang w:val="en-US" w:eastAsia="zh-CN" w:bidi="ar"/>
                      <w14:textFill>
                        <w14:solidFill>
                          <w14:schemeClr w14:val="tx1"/>
                        </w14:solidFill>
                      </w14:textFill>
                    </w:rPr>
                    <w:t>统计种类、产生量、处理方式、去向</w:t>
                  </w:r>
                </w:p>
              </w:tc>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napToGrid w:val="0"/>
                    <w:spacing w:before="0" w:beforeAutospacing="0" w:after="0" w:afterAutospacing="0"/>
                    <w:ind w:left="0" w:right="0"/>
                    <w:jc w:val="center"/>
                    <w:rPr>
                      <w:rFonts w:hint="eastAsia"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《一般工业固体废物贮存和填埋污染控制标准》（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GB18599-2020</w:t>
                  </w:r>
                  <w:r>
                    <w:rPr>
                      <w:rFonts w:hint="eastAsia" w:ascii="宋体" w:hAnsi="宋体" w:eastAsia="宋体" w:cs="宋体"/>
                      <w:color w:val="000000" w:themeColor="text1"/>
                      <w:kern w:val="2"/>
                      <w:sz w:val="21"/>
                      <w:szCs w:val="21"/>
                      <w:lang w:val="en-US" w:eastAsia="zh-CN" w:bidi="ar"/>
                      <w14:textFill>
                        <w14:solidFill>
                          <w14:schemeClr w14:val="tx1"/>
                        </w14:solidFill>
                      </w14:textFill>
                    </w:rPr>
                    <w:t>）中相关标准</w:t>
                  </w:r>
                </w:p>
              </w:tc>
            </w:tr>
          </w:tbl>
          <w:p>
            <w:pPr>
              <w:pStyle w:val="2"/>
              <w:widowControl w:val="0"/>
              <w:suppressLineNumbers w:val="0"/>
              <w:kinsoku/>
              <w:wordWrap/>
              <w:overflowPunct/>
              <w:topLinePunct w:val="0"/>
              <w:autoSpaceDN/>
              <w:bidi w:val="0"/>
              <w:adjustRightInd w:val="0"/>
              <w:snapToGrid w:val="0"/>
              <w:spacing w:before="0" w:beforeLines="0" w:after="0" w:afterLines="0"/>
              <w:ind w:left="0" w:right="0"/>
              <w:rPr>
                <w:rFonts w:hint="default" w:ascii="Times New Roman" w:hAnsi="Times New Roman" w:eastAsia="宋体" w:cs="Times New Roman"/>
                <w:color w:val="000000" w:themeColor="text1"/>
                <w:sz w:val="21"/>
                <w:szCs w:val="21"/>
                <w14:textFill>
                  <w14:solidFill>
                    <w14:schemeClr w14:val="tx1"/>
                  </w14:solidFill>
                </w14:textFill>
              </w:rPr>
            </w:pPr>
            <w:bookmarkStart w:id="23" w:name="_Toc28656"/>
            <w:r>
              <w:rPr>
                <w:rFonts w:hint="default" w:ascii="Times New Roman" w:hAnsi="Times New Roman" w:eastAsia="宋体" w:cs="Times New Roman"/>
                <w:color w:val="000000" w:themeColor="text1"/>
                <w:sz w:val="21"/>
                <w:szCs w:val="21"/>
                <w:lang w:val="en-US" w:eastAsia="zh-CN"/>
                <w14:textFill>
                  <w14:solidFill>
                    <w14:schemeClr w14:val="tx1"/>
                  </w14:solidFill>
                </w14:textFill>
              </w:rPr>
              <w:t>5地下水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、土壤</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影响分析</w:t>
            </w:r>
            <w:bookmarkEnd w:id="23"/>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宋体" w:hAnsi="宋体" w:eastAsia="宋体" w:cs="宋体"/>
                <w:b w:val="0"/>
                <w:bCs/>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1</w:t>
            </w:r>
            <w:r>
              <w:rPr>
                <w:rFonts w:hint="eastAsia" w:ascii="宋体" w:hAnsi="宋体" w:eastAsia="宋体" w:cs="宋体"/>
                <w:b w:val="0"/>
                <w:bCs/>
                <w:color w:val="000000" w:themeColor="text1"/>
                <w:kern w:val="2"/>
                <w:sz w:val="21"/>
                <w:szCs w:val="21"/>
                <w:lang w:val="en-US" w:eastAsia="zh-CN" w:bidi="ar"/>
                <w14:textFill>
                  <w14:solidFill>
                    <w14:schemeClr w14:val="tx1"/>
                  </w14:solidFill>
                </w14:textFill>
              </w:rPr>
              <w:t>）对地下水的影响</w:t>
            </w:r>
          </w:p>
          <w:p>
            <w:pPr>
              <w:pStyle w:val="20"/>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本项目为</w:t>
            </w:r>
            <w:r>
              <w:rPr>
                <w:rFonts w:hint="eastAsia" w:eastAsia="宋体" w:cs="宋体"/>
                <w:color w:val="000000" w:themeColor="text1"/>
                <w:kern w:val="2"/>
                <w:sz w:val="21"/>
                <w:szCs w:val="21"/>
                <w:lang w:val="en-US" w:eastAsia="zh-CN" w:bidi="ar"/>
                <w14:textFill>
                  <w14:solidFill>
                    <w14:schemeClr w14:val="tx1"/>
                  </w14:solidFill>
                </w14:textFill>
              </w:rPr>
              <w:t>粉煤灰贮存项目</w:t>
            </w:r>
            <w:r>
              <w:rPr>
                <w:rFonts w:hint="eastAsia" w:ascii="宋体" w:hAnsi="宋体" w:eastAsia="宋体" w:cs="宋体"/>
                <w:color w:val="000000" w:themeColor="text1"/>
                <w:kern w:val="2"/>
                <w:sz w:val="21"/>
                <w:szCs w:val="21"/>
                <w:lang w:val="en-US" w:eastAsia="zh-CN" w:bidi="ar"/>
                <w14:textFill>
                  <w14:solidFill>
                    <w14:schemeClr w14:val="tx1"/>
                  </w14:solidFill>
                </w14:textFill>
              </w:rPr>
              <w:t>，生产中不使用有毒有害物质，根据分区防渗的原则对项目厂区的生产区地面、公共区域地面进行分区防渗，对照《环境影响评价技术导则 地下水环境》（</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HJ610-2016</w:t>
            </w:r>
            <w:r>
              <w:rPr>
                <w:rFonts w:hint="eastAsia" w:ascii="宋体" w:hAnsi="宋体" w:eastAsia="宋体" w:cs="宋体"/>
                <w:color w:val="000000" w:themeColor="text1"/>
                <w:kern w:val="2"/>
                <w:sz w:val="21"/>
                <w:szCs w:val="21"/>
                <w:lang w:val="en-US" w:eastAsia="zh-CN" w:bidi="ar"/>
                <w14:textFill>
                  <w14:solidFill>
                    <w14:schemeClr w14:val="tx1"/>
                  </w14:solidFill>
                </w14:textFill>
              </w:rPr>
              <w:t>）地下水污染防渗分区参照表，生产区地面为一般防渗区，公共区域地面为简单防渗区</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项目各区采取的地下水防治措施如下。</w:t>
            </w:r>
          </w:p>
          <w:p>
            <w:pPr>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①</w:t>
            </w:r>
            <w:r>
              <w:rPr>
                <w:rFonts w:hint="eastAsia" w:ascii="宋体" w:hAnsi="宋体" w:eastAsia="宋体" w:cs="宋体"/>
                <w:color w:val="000000" w:themeColor="text1"/>
                <w:kern w:val="2"/>
                <w:sz w:val="21"/>
                <w:szCs w:val="21"/>
                <w:lang w:val="en-US" w:eastAsia="zh-CN" w:bidi="ar"/>
                <w14:textFill>
                  <w14:solidFill>
                    <w14:schemeClr w14:val="tx1"/>
                  </w14:solidFill>
                </w14:textFill>
              </w:rPr>
              <w:t>一般防渗区</w:t>
            </w:r>
          </w:p>
          <w:p>
            <w:pPr>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生产区</w:t>
            </w:r>
            <w:r>
              <w:rPr>
                <w:rFonts w:hint="eastAsia" w:ascii="宋体" w:hAnsi="宋体" w:eastAsia="宋体" w:cs="宋体"/>
                <w:color w:val="000000" w:themeColor="text1"/>
                <w:spacing w:val="4"/>
                <w:kern w:val="2"/>
                <w:sz w:val="21"/>
                <w:szCs w:val="21"/>
                <w:lang w:val="en-US" w:eastAsia="zh-CN" w:bidi="ar"/>
                <w14:textFill>
                  <w14:solidFill>
                    <w14:schemeClr w14:val="tx1"/>
                  </w14:solidFill>
                </w14:textFill>
              </w:rPr>
              <w:t>地面为</w:t>
            </w:r>
            <w:r>
              <w:rPr>
                <w:rFonts w:hint="eastAsia" w:ascii="宋体" w:hAnsi="宋体" w:eastAsia="宋体" w:cs="宋体"/>
                <w:color w:val="000000" w:themeColor="text1"/>
                <w:kern w:val="2"/>
                <w:sz w:val="21"/>
                <w:szCs w:val="21"/>
                <w:lang w:val="en-US" w:eastAsia="zh-CN" w:bidi="ar"/>
                <w14:textFill>
                  <w14:solidFill>
                    <w14:schemeClr w14:val="tx1"/>
                  </w14:solidFill>
                </w14:textFill>
              </w:rPr>
              <w:t>一般防渗区，主要进行一般地面硬化措施。在抗渗混凝土面层</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包括钢筋混凝土、钢纤维混凝土</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中掺水泥基渗透结晶型防水剂，其下铺砌砂石基层，原土夯实达到防渗的目的。对于混凝土中间的伸缩缝和实体基础的缝隙，通过填充柔性材料达到防渗目的。</w:t>
            </w:r>
          </w:p>
          <w:p>
            <w:pPr>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一般防渗区等效黏土防渗层渗透系数</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≤1×10</w:t>
            </w:r>
            <w:r>
              <w:rPr>
                <w:rFonts w:hint="default" w:ascii="Times New Roman" w:hAnsi="Times New Roman" w:eastAsia="宋体" w:cs="Times New Roman"/>
                <w:color w:val="000000" w:themeColor="text1"/>
                <w:kern w:val="2"/>
                <w:sz w:val="21"/>
                <w:szCs w:val="21"/>
                <w:vertAlign w:val="superscript"/>
                <w:lang w:val="en-US" w:eastAsia="zh-CN" w:bidi="ar"/>
                <w14:textFill>
                  <w14:solidFill>
                    <w14:schemeClr w14:val="tx1"/>
                  </w14:solidFill>
                </w14:textFill>
              </w:rPr>
              <w:t>-7</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cm/s</w:t>
            </w:r>
            <w:r>
              <w:rPr>
                <w:rFonts w:hint="eastAsia" w:ascii="宋体" w:hAnsi="宋体" w:eastAsia="宋体" w:cs="宋体"/>
                <w:color w:val="000000" w:themeColor="text1"/>
                <w:kern w:val="2"/>
                <w:sz w:val="21"/>
                <w:szCs w:val="21"/>
                <w:lang w:val="en-US" w:eastAsia="zh-CN" w:bidi="ar"/>
                <w14:textFill>
                  <w14:solidFill>
                    <w14:schemeClr w14:val="tx1"/>
                  </w14:solidFill>
                </w14:textFill>
              </w:rPr>
              <w:t>，渗透系数</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渗透系数等效黏土防渗，与《环境影响评价技术导则 地下水环境》（</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HJ610-2016</w:t>
            </w:r>
            <w:r>
              <w:rPr>
                <w:rFonts w:hint="eastAsia" w:ascii="宋体" w:hAnsi="宋体" w:eastAsia="宋体" w:cs="宋体"/>
                <w:color w:val="000000" w:themeColor="text1"/>
                <w:kern w:val="2"/>
                <w:sz w:val="21"/>
                <w:szCs w:val="21"/>
                <w:lang w:val="en-US" w:eastAsia="zh-CN" w:bidi="ar"/>
                <w14:textFill>
                  <w14:solidFill>
                    <w14:schemeClr w14:val="tx1"/>
                  </w14:solidFill>
                </w14:textFill>
              </w:rPr>
              <w:t>）中的防渗技术要求相符。</w:t>
            </w:r>
          </w:p>
          <w:p>
            <w:pPr>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②</w:t>
            </w:r>
            <w:r>
              <w:rPr>
                <w:rFonts w:hint="eastAsia" w:ascii="宋体" w:hAnsi="宋体" w:eastAsia="宋体" w:cs="宋体"/>
                <w:color w:val="000000" w:themeColor="text1"/>
                <w:kern w:val="2"/>
                <w:sz w:val="21"/>
                <w:szCs w:val="21"/>
                <w:lang w:val="en-US" w:eastAsia="zh-CN" w:bidi="ar"/>
                <w14:textFill>
                  <w14:solidFill>
                    <w14:schemeClr w14:val="tx1"/>
                  </w14:solidFill>
                </w14:textFill>
              </w:rPr>
              <w:t>简单防渗区</w:t>
            </w:r>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公共区域地面为简单防渗区，采用混凝土材质防渗，不会对地下水产生污染。</w:t>
            </w:r>
          </w:p>
          <w:p>
            <w:pPr>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宋体" w:hAnsi="宋体" w:eastAsia="宋体" w:cs="宋体"/>
                <w:b w:val="0"/>
                <w:bCs/>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2</w:t>
            </w:r>
            <w:r>
              <w:rPr>
                <w:rFonts w:hint="eastAsia" w:ascii="宋体" w:hAnsi="宋体" w:eastAsia="宋体" w:cs="宋体"/>
                <w:b w:val="0"/>
                <w:bCs/>
                <w:color w:val="000000" w:themeColor="text1"/>
                <w:kern w:val="2"/>
                <w:sz w:val="21"/>
                <w:szCs w:val="21"/>
                <w:lang w:val="en-US" w:eastAsia="zh-CN" w:bidi="ar"/>
                <w14:textFill>
                  <w14:solidFill>
                    <w14:schemeClr w14:val="tx1"/>
                  </w14:solidFill>
                </w14:textFill>
              </w:rPr>
              <w:t>）对土壤的影响</w:t>
            </w:r>
          </w:p>
          <w:p>
            <w:pPr>
              <w:keepNext w:val="0"/>
              <w:keepLines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color w:val="000000" w:themeColor="text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本项目土壤环境影响类型为“污染影响型”，污染物影响途径主要为废水污染物以垂直入渗方式进入土壤环境。本项目主要为</w:t>
            </w:r>
            <w:r>
              <w:rPr>
                <w:rFonts w:hint="eastAsia" w:ascii="宋体" w:hAnsi="宋体" w:cs="宋体"/>
                <w:color w:val="000000" w:themeColor="text1"/>
                <w:kern w:val="2"/>
                <w:sz w:val="21"/>
                <w:szCs w:val="21"/>
                <w:lang w:val="en-US" w:eastAsia="zh-CN" w:bidi="ar"/>
                <w14:textFill>
                  <w14:solidFill>
                    <w14:schemeClr w14:val="tx1"/>
                  </w14:solidFill>
                </w14:textFill>
              </w:rPr>
              <w:t>污水管道破损</w:t>
            </w:r>
            <w:r>
              <w:rPr>
                <w:rFonts w:hint="eastAsia" w:ascii="宋体" w:hAnsi="宋体" w:eastAsia="宋体" w:cs="宋体"/>
                <w:color w:val="000000" w:themeColor="text1"/>
                <w:kern w:val="2"/>
                <w:sz w:val="21"/>
                <w:szCs w:val="21"/>
                <w:lang w:val="en-US" w:eastAsia="zh-CN" w:bidi="ar"/>
                <w14:textFill>
                  <w14:solidFill>
                    <w14:schemeClr w14:val="tx1"/>
                  </w14:solidFill>
                </w14:textFill>
              </w:rPr>
              <w:t>状态下造成土壤污染，由于项目区地面均按照不同要求进行了防渗处理，在事故状态可及时发现，可避免污染事故的扩大，污水进入土壤的入渗量很小，对土壤的影响不大，所以项目建设对区域土壤环境影响可接受。</w:t>
            </w:r>
          </w:p>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jc w:val="both"/>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生态影响分析</w:t>
            </w:r>
          </w:p>
          <w:p>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项目周围无环境敏感点，对当地生态环境造成的影响很小，本项目只要在项目实施过程中切实做好废气达标排放和噪声防治工作，各类固体废物妥善处置，则项目建设对生态</w:t>
            </w:r>
            <w:r>
              <w:rPr>
                <w:rFonts w:hint="eastAsia" w:cs="Times New Roman"/>
                <w:color w:val="000000" w:themeColor="text1"/>
                <w:sz w:val="21"/>
                <w:szCs w:val="21"/>
                <w:lang w:val="en-US" w:eastAsia="zh-CN"/>
                <w14:textFill>
                  <w14:solidFill>
                    <w14:schemeClr w14:val="tx1"/>
                  </w14:solidFill>
                </w14:textFill>
              </w:rPr>
              <w:t>环境</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影响不大。</w:t>
            </w:r>
          </w:p>
          <w:p>
            <w:pPr>
              <w:pStyle w:val="2"/>
              <w:widowControl w:val="0"/>
              <w:suppressLineNumbers w:val="0"/>
              <w:kinsoku/>
              <w:wordWrap/>
              <w:overflowPunct/>
              <w:topLinePunct w:val="0"/>
              <w:autoSpaceDN/>
              <w:bidi w:val="0"/>
              <w:adjustRightInd w:val="0"/>
              <w:snapToGrid w:val="0"/>
              <w:spacing w:before="0" w:beforeLines="0" w:after="0" w:afterLines="0"/>
              <w:ind w:left="0" w:right="0"/>
              <w:rPr>
                <w:rFonts w:hint="default" w:ascii="Times New Roman" w:hAnsi="Times New Roman" w:eastAsia="宋体" w:cs="Times New Roman"/>
                <w:color w:val="000000" w:themeColor="text1"/>
                <w:sz w:val="21"/>
                <w:szCs w:val="21"/>
                <w:lang w:val="en-US" w:eastAsia="zh-CN"/>
                <w14:textFill>
                  <w14:solidFill>
                    <w14:schemeClr w14:val="tx1"/>
                  </w14:solidFill>
                </w14:textFill>
              </w:rPr>
            </w:pPr>
            <w:bookmarkStart w:id="24" w:name="_Toc16970"/>
            <w:r>
              <w:rPr>
                <w:rFonts w:hint="eastAsia" w:ascii="Times New Roman" w:hAnsi="Times New Roman" w:eastAsia="宋体" w:cs="Times New Roman"/>
                <w:color w:val="000000" w:themeColor="text1"/>
                <w:sz w:val="21"/>
                <w:szCs w:val="21"/>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项目风险</w:t>
            </w:r>
            <w:bookmarkEnd w:id="24"/>
          </w:p>
          <w:p>
            <w:pPr>
              <w:pStyle w:val="2"/>
              <w:widowControl w:val="0"/>
              <w:suppressLineNumbers w:val="0"/>
              <w:kinsoku/>
              <w:wordWrap/>
              <w:overflowPunct/>
              <w:topLinePunct w:val="0"/>
              <w:autoSpaceDN/>
              <w:bidi w:val="0"/>
              <w:adjustRightInd w:val="0"/>
              <w:snapToGrid w:val="0"/>
              <w:spacing w:before="0" w:beforeLines="0" w:after="0" w:afterLines="0"/>
              <w:ind w:left="0" w:right="0"/>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7.1评价依据</w:t>
            </w:r>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宋体" w:hAnsi="宋体" w:eastAsia="宋体" w:cs="宋体"/>
                <w:color w:val="000000" w:themeColor="text1"/>
                <w:kern w:val="2"/>
                <w:sz w:val="21"/>
                <w:szCs w:val="21"/>
                <w:lang w:val="en-US" w:eastAsia="zh-CN" w:bidi="ar"/>
                <w14:textFill>
                  <w14:solidFill>
                    <w14:schemeClr w14:val="tx1"/>
                  </w14:solidFill>
                </w14:textFill>
              </w:rPr>
              <w:t>）风险调查</w:t>
            </w:r>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根据《建设项目环境风险评价技术导则》（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HJ169-2018</w:t>
            </w:r>
            <w:r>
              <w:rPr>
                <w:rFonts w:hint="eastAsia" w:ascii="宋体" w:hAnsi="宋体" w:eastAsia="宋体" w:cs="宋体"/>
                <w:color w:val="000000" w:themeColor="text1"/>
                <w:kern w:val="2"/>
                <w:sz w:val="21"/>
                <w:szCs w:val="21"/>
                <w:lang w:val="en-US" w:eastAsia="zh-CN" w:bidi="ar"/>
                <w14:textFill>
                  <w14:solidFill>
                    <w14:schemeClr w14:val="tx1"/>
                  </w14:solidFill>
                </w14:textFill>
              </w:rPr>
              <w:t>）要求，</w:t>
            </w:r>
            <w:r>
              <w:rPr>
                <w:rFonts w:hint="eastAsia" w:ascii="宋体" w:hAnsi="宋体" w:cs="宋体"/>
                <w:color w:val="000000" w:themeColor="text1"/>
                <w:kern w:val="2"/>
                <w:sz w:val="21"/>
                <w:szCs w:val="21"/>
                <w:lang w:val="en-US" w:eastAsia="zh-CN" w:bidi="ar"/>
                <w14:textFill>
                  <w14:solidFill>
                    <w14:schemeClr w14:val="tx1"/>
                  </w14:solidFill>
                </w14:textFill>
              </w:rPr>
              <w:t>对</w:t>
            </w:r>
            <w:r>
              <w:rPr>
                <w:rFonts w:hint="eastAsia" w:ascii="宋体" w:hAnsi="宋体" w:eastAsia="宋体" w:cs="宋体"/>
                <w:color w:val="000000" w:themeColor="text1"/>
                <w:kern w:val="2"/>
                <w:sz w:val="21"/>
                <w:szCs w:val="21"/>
                <w:lang w:val="en-US" w:eastAsia="zh-CN" w:bidi="ar"/>
                <w14:textFill>
                  <w14:solidFill>
                    <w14:schemeClr w14:val="tx1"/>
                  </w14:solidFill>
                </w14:textFill>
              </w:rPr>
              <w:t>涉及有毒有害和易燃易爆物质的生产、使用、贮运等新建、改建、扩建和技术改造项目进行环境风险评价。环境风险评价的目的在于分析、识别项目生产装置运行过程中及物料储存运输中的风险因素及可能诱发的环境问题，并针对潜在的环境风险，提出相应的预防措施，力求将潜在的风险危害程度降至最低。本项目生产过程中的原辅材料及产品均不属于风险物质。本项目除尘器故障</w:t>
            </w:r>
            <w:r>
              <w:rPr>
                <w:rFonts w:hint="eastAsia" w:ascii="宋体" w:hAnsi="宋体" w:cs="宋体"/>
                <w:color w:val="000000" w:themeColor="text1"/>
                <w:kern w:val="2"/>
                <w:sz w:val="21"/>
                <w:szCs w:val="21"/>
                <w:lang w:val="en-US" w:eastAsia="zh-CN" w:bidi="ar"/>
                <w14:textFill>
                  <w14:solidFill>
                    <w14:schemeClr w14:val="tx1"/>
                  </w14:solidFill>
                </w14:textFill>
              </w:rPr>
              <w:t>情况下</w:t>
            </w:r>
            <w:r>
              <w:rPr>
                <w:rFonts w:hint="eastAsia" w:ascii="宋体" w:hAnsi="宋体" w:eastAsia="宋体" w:cs="宋体"/>
                <w:color w:val="000000" w:themeColor="text1"/>
                <w:kern w:val="2"/>
                <w:sz w:val="21"/>
                <w:szCs w:val="21"/>
                <w:lang w:val="en-US" w:eastAsia="zh-CN" w:bidi="ar"/>
                <w14:textFill>
                  <w14:solidFill>
                    <w14:schemeClr w14:val="tx1"/>
                  </w14:solidFill>
                </w14:textFill>
              </w:rPr>
              <w:t>，存在粉尘超标排放的环境风险。</w:t>
            </w:r>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r>
              <w:rPr>
                <w:rFonts w:hint="eastAsia" w:ascii="宋体" w:hAnsi="宋体" w:eastAsia="宋体" w:cs="宋体"/>
                <w:color w:val="000000" w:themeColor="text1"/>
                <w:kern w:val="2"/>
                <w:sz w:val="21"/>
                <w:szCs w:val="21"/>
                <w:lang w:val="en-US" w:eastAsia="zh-CN" w:bidi="ar"/>
                <w14:textFill>
                  <w14:solidFill>
                    <w14:schemeClr w14:val="tx1"/>
                  </w14:solidFill>
                </w14:textFill>
              </w:rPr>
              <w:t>）风险潜势初判</w:t>
            </w:r>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根据《建设项目环境风险评价技术导则》（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HJ169-2018</w:t>
            </w:r>
            <w:r>
              <w:rPr>
                <w:rFonts w:hint="eastAsia" w:ascii="宋体" w:hAnsi="宋体" w:eastAsia="宋体" w:cs="宋体"/>
                <w:color w:val="000000" w:themeColor="text1"/>
                <w:kern w:val="2"/>
                <w:sz w:val="21"/>
                <w:szCs w:val="21"/>
                <w:lang w:val="en-US" w:eastAsia="zh-CN" w:bidi="ar"/>
                <w14:textFill>
                  <w14:solidFill>
                    <w14:schemeClr w14:val="tx1"/>
                  </w14:solidFill>
                </w14:textFill>
              </w:rPr>
              <w:t>），建设项目环境风险潜势划分为</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IV/IV+</w:t>
            </w:r>
            <w:r>
              <w:rPr>
                <w:rFonts w:hint="eastAsia" w:ascii="宋体" w:hAnsi="宋体" w:eastAsia="宋体" w:cs="宋体"/>
                <w:color w:val="000000" w:themeColor="text1"/>
                <w:kern w:val="2"/>
                <w:sz w:val="21"/>
                <w:szCs w:val="21"/>
                <w:lang w:val="en-US" w:eastAsia="zh-CN" w:bidi="ar"/>
                <w14:textFill>
                  <w14:solidFill>
                    <w14:schemeClr w14:val="tx1"/>
                  </w14:solidFill>
                </w14:textFill>
              </w:rPr>
              <w:t>级。</w:t>
            </w:r>
          </w:p>
          <w:p>
            <w:pPr>
              <w:keepNext w:val="0"/>
              <w:keepLines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20" w:firstLineChars="20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根据建设项目涉及的物质和工艺系统的危险性及其所在地的环境敏感程度，结合事故情形下环境影响途径，对建设项目潜在环境危害程度进行概括化分析，按照下表确定环境风险潜势。</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4-1</w:t>
            </w:r>
            <w:r>
              <w:rPr>
                <w:rFonts w:hint="eastAsia" w:cs="Times New Roman"/>
                <w:b/>
                <w:bCs/>
                <w:color w:val="000000" w:themeColor="text1"/>
                <w:kern w:val="2"/>
                <w:sz w:val="21"/>
                <w:szCs w:val="21"/>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建设项目环境风险潜势划分</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2085"/>
              <w:gridCol w:w="1635"/>
              <w:gridCol w:w="1576"/>
              <w:gridCol w:w="1576"/>
              <w:gridCol w:w="1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9" w:hRule="atLeast"/>
                <w:jc w:val="center"/>
              </w:trPr>
              <w:tc>
                <w:tcPr>
                  <w:tcW w:w="1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环境敏感程度（</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E</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5943"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危险物质及工艺系统危险性（</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P</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9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156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极高危害（</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P1</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15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高度危害（</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P1</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15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中度危害（</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P1</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136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轻度危害（</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P1</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9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环境高度敏感（</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E1</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156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IV+</w:t>
                  </w:r>
                </w:p>
              </w:tc>
              <w:tc>
                <w:tcPr>
                  <w:tcW w:w="15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IV</w:t>
                  </w:r>
                </w:p>
              </w:tc>
              <w:tc>
                <w:tcPr>
                  <w:tcW w:w="15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III</w:t>
                  </w:r>
                </w:p>
              </w:tc>
              <w:tc>
                <w:tcPr>
                  <w:tcW w:w="136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9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环境中度敏感（</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E2</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156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IV</w:t>
                  </w:r>
                </w:p>
              </w:tc>
              <w:tc>
                <w:tcPr>
                  <w:tcW w:w="15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III</w:t>
                  </w:r>
                </w:p>
              </w:tc>
              <w:tc>
                <w:tcPr>
                  <w:tcW w:w="15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III</w:t>
                  </w:r>
                </w:p>
              </w:tc>
              <w:tc>
                <w:tcPr>
                  <w:tcW w:w="136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9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环境低度敏感（</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E3</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c>
                <w:tcPr>
                  <w:tcW w:w="156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III</w:t>
                  </w:r>
                </w:p>
              </w:tc>
              <w:tc>
                <w:tcPr>
                  <w:tcW w:w="15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III</w:t>
                  </w:r>
                </w:p>
              </w:tc>
              <w:tc>
                <w:tcPr>
                  <w:tcW w:w="150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w:t>
                  </w:r>
                </w:p>
              </w:tc>
              <w:tc>
                <w:tcPr>
                  <w:tcW w:w="136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7935"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注：</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IV+</w:t>
                  </w:r>
                  <w:r>
                    <w:rPr>
                      <w:rFonts w:hint="eastAsia" w:ascii="宋体" w:hAnsi="宋体" w:eastAsia="宋体" w:cs="宋体"/>
                      <w:color w:val="000000" w:themeColor="text1"/>
                      <w:kern w:val="2"/>
                      <w:sz w:val="21"/>
                      <w:szCs w:val="21"/>
                      <w:lang w:val="en-US" w:eastAsia="zh-CN" w:bidi="ar"/>
                      <w14:textFill>
                        <w14:solidFill>
                          <w14:schemeClr w14:val="tx1"/>
                        </w14:solidFill>
                      </w14:textFill>
                    </w:rPr>
                    <w:t>为极高环境风险</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计算所涉及的每种危险物质在厂界内的最大存在总量与其在附录</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B</w:t>
            </w:r>
            <w:r>
              <w:rPr>
                <w:rFonts w:hint="eastAsia" w:ascii="宋体" w:hAnsi="宋体" w:eastAsia="宋体" w:cs="宋体"/>
                <w:color w:val="000000" w:themeColor="text1"/>
                <w:kern w:val="2"/>
                <w:sz w:val="21"/>
                <w:szCs w:val="21"/>
                <w:lang w:val="en-US" w:eastAsia="zh-CN" w:bidi="ar"/>
                <w14:textFill>
                  <w14:solidFill>
                    <w14:schemeClr w14:val="tx1"/>
                  </w14:solidFill>
                </w14:textFill>
              </w:rPr>
              <w:t>中对应临界量的比值</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Q</w:t>
            </w:r>
            <w:r>
              <w:rPr>
                <w:rFonts w:hint="eastAsia" w:ascii="宋体" w:hAnsi="宋体" w:eastAsia="宋体" w:cs="宋体"/>
                <w:color w:val="000000" w:themeColor="text1"/>
                <w:kern w:val="2"/>
                <w:sz w:val="21"/>
                <w:szCs w:val="21"/>
                <w:lang w:val="en-US" w:eastAsia="zh-CN" w:bidi="ar"/>
                <w14:textFill>
                  <w14:solidFill>
                    <w14:schemeClr w14:val="tx1"/>
                  </w14:solidFill>
                </w14:textFill>
              </w:rPr>
              <w:t>。当只涉及一种危险物质时，计算该物质的总量与其临界量的比值，即为</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Q</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napToGrid w:val="0"/>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drawing>
                <wp:inline distT="0" distB="0" distL="114300" distR="114300">
                  <wp:extent cx="1400175" cy="428625"/>
                  <wp:effectExtent l="0" t="0" r="9525" b="9525"/>
                  <wp:docPr id="2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descr="IMG_256"/>
                          <pic:cNvPicPr>
                            <a:picLocks noChangeAspect="1"/>
                          </pic:cNvPicPr>
                        </pic:nvPicPr>
                        <pic:blipFill>
                          <a:blip r:embed="rId9"/>
                          <a:stretch>
                            <a:fillRect/>
                          </a:stretch>
                        </pic:blipFill>
                        <pic:spPr>
                          <a:xfrm>
                            <a:off x="0" y="0"/>
                            <a:ext cx="1400175" cy="428625"/>
                          </a:xfrm>
                          <a:prstGeom prst="rect">
                            <a:avLst/>
                          </a:prstGeom>
                          <a:noFill/>
                          <a:ln w="9525">
                            <a:noFill/>
                          </a:ln>
                        </pic:spPr>
                      </pic:pic>
                    </a:graphicData>
                  </a:graphic>
                </wp:inline>
              </w:drawing>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 </w:t>
            </w:r>
          </w:p>
          <w:p>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20" w:firstLineChars="200"/>
              <w:jc w:val="left"/>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式中：</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1"/>
                <w:szCs w:val="21"/>
                <w:vertAlign w:val="subscript"/>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1"/>
                <w:szCs w:val="21"/>
                <w:vertAlign w:val="subscript"/>
                <w:lang w:val="en-US" w:eastAsia="zh-CN" w:bidi="ar"/>
                <w14:textFill>
                  <w14:solidFill>
                    <w14:schemeClr w14:val="tx1"/>
                  </w14:solidFill>
                </w14:textFill>
              </w:rPr>
              <w:t>2</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1"/>
                <w:szCs w:val="21"/>
                <w:vertAlign w:val="subscript"/>
                <w:lang w:val="en-US" w:eastAsia="zh-CN" w:bidi="ar"/>
                <w14:textFill>
                  <w14:solidFill>
                    <w14:schemeClr w14:val="tx1"/>
                  </w14:solidFill>
                </w14:textFill>
              </w:rPr>
              <w:t>n</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每种环境风险物质的最大存在总量，单位为吨（</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p>
          <w:p>
            <w:pPr>
              <w:keepNext w:val="0"/>
              <w:keepLines w:val="0"/>
              <w:widowControl w:val="0"/>
              <w:suppressLineNumbers w:val="0"/>
              <w:snapToGrid w:val="0"/>
              <w:spacing w:before="0" w:beforeAutospacing="0" w:after="0" w:afterAutospacing="0" w:line="360" w:lineRule="auto"/>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宋体"/>
                <w:color w:val="000000" w:themeColor="text1"/>
                <w:kern w:val="0"/>
                <w:sz w:val="21"/>
                <w:szCs w:val="21"/>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1"/>
                <w:szCs w:val="21"/>
                <w:vertAlign w:val="subscript"/>
                <w:lang w:val="en-US" w:eastAsia="zh-CN" w:bidi="ar"/>
                <w14:textFill>
                  <w14:solidFill>
                    <w14:schemeClr w14:val="tx1"/>
                  </w14:solidFill>
                </w14:textFill>
              </w:rPr>
              <w:t>1</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1"/>
                <w:szCs w:val="21"/>
                <w:vertAlign w:val="subscript"/>
                <w:lang w:val="en-US" w:eastAsia="zh-CN" w:bidi="ar"/>
                <w14:textFill>
                  <w14:solidFill>
                    <w14:schemeClr w14:val="tx1"/>
                  </w14:solidFill>
                </w14:textFill>
              </w:rPr>
              <w:t>2</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1"/>
                <w:szCs w:val="21"/>
                <w:vertAlign w:val="subscript"/>
                <w:lang w:val="en-US" w:eastAsia="zh-CN" w:bidi="ar"/>
                <w14:textFill>
                  <w14:solidFill>
                    <w14:schemeClr w14:val="tx1"/>
                  </w14:solidFill>
                </w14:textFill>
              </w:rPr>
              <w:t>n</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每种环境风险物质相对应的临界量，单位为吨（</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本项目不涉及环境风</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险物质，Q=0＜1。根据《建设项目环境风险评价技术导则》（HJ169-2018），当Q＜1时，该项目环境风险潜势为Ⅰ</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w:t>
            </w:r>
            <w:r>
              <w:rPr>
                <w:rFonts w:hint="eastAsia" w:ascii="宋体" w:hAnsi="宋体" w:eastAsia="宋体" w:cs="宋体"/>
                <w:color w:val="000000" w:themeColor="text1"/>
                <w:kern w:val="2"/>
                <w:sz w:val="21"/>
                <w:szCs w:val="21"/>
                <w:lang w:val="en-US" w:eastAsia="zh-CN" w:bidi="ar"/>
                <w14:textFill>
                  <w14:solidFill>
                    <w14:schemeClr w14:val="tx1"/>
                  </w14:solidFill>
                </w14:textFill>
              </w:rPr>
              <w:t>）评价等级</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根据《建设项目环境风险评价技术导则》（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HJ169-2018</w:t>
            </w:r>
            <w:r>
              <w:rPr>
                <w:rFonts w:hint="eastAsia" w:ascii="宋体" w:hAnsi="宋体" w:eastAsia="宋体" w:cs="宋体"/>
                <w:color w:val="000000" w:themeColor="text1"/>
                <w:kern w:val="2"/>
                <w:sz w:val="21"/>
                <w:szCs w:val="21"/>
                <w:lang w:val="en-US" w:eastAsia="zh-CN" w:bidi="ar"/>
                <w14:textFill>
                  <w14:solidFill>
                    <w14:schemeClr w14:val="tx1"/>
                  </w14:solidFill>
                </w14:textFill>
              </w:rPr>
              <w:t>）中的规定，环境风险评价工作等级划分详见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表4-1</w:t>
            </w:r>
            <w:r>
              <w:rPr>
                <w:rFonts w:hint="eastAsia" w:cs="Times New Roman"/>
                <w:color w:val="000000" w:themeColor="text1"/>
                <w:kern w:val="2"/>
                <w:sz w:val="21"/>
                <w:szCs w:val="21"/>
                <w:lang w:val="en-US" w:eastAsia="zh-CN" w:bidi="ar"/>
                <w14:textFill>
                  <w14:solidFill>
                    <w14:schemeClr w14:val="tx1"/>
                  </w14:solidFill>
                </w14:textFill>
              </w:rPr>
              <w:t>2</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4-1</w:t>
            </w:r>
            <w:r>
              <w:rPr>
                <w:rFonts w:hint="eastAsia" w:cs="Times New Roman"/>
                <w:b/>
                <w:bCs/>
                <w:color w:val="000000" w:themeColor="text1"/>
                <w:kern w:val="2"/>
                <w:sz w:val="21"/>
                <w:szCs w:val="21"/>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环境风险评价工作等级划分表</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858"/>
              <w:gridCol w:w="1609"/>
              <w:gridCol w:w="1609"/>
              <w:gridCol w:w="1610"/>
              <w:gridCol w:w="1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环境风险潜势</w:t>
                  </w:r>
                </w:p>
              </w:tc>
              <w:tc>
                <w:tcPr>
                  <w:tcW w:w="15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2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IV</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IV+</w:t>
                  </w:r>
                </w:p>
              </w:tc>
              <w:tc>
                <w:tcPr>
                  <w:tcW w:w="15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2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III</w:t>
                  </w:r>
                </w:p>
              </w:tc>
              <w:tc>
                <w:tcPr>
                  <w:tcW w:w="15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2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II</w:t>
                  </w:r>
                </w:p>
              </w:tc>
              <w:tc>
                <w:tcPr>
                  <w:tcW w:w="154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2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评价工作等级</w:t>
                  </w:r>
                </w:p>
              </w:tc>
              <w:tc>
                <w:tcPr>
                  <w:tcW w:w="15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2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一</w:t>
                  </w:r>
                </w:p>
              </w:tc>
              <w:tc>
                <w:tcPr>
                  <w:tcW w:w="153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2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二</w:t>
                  </w:r>
                </w:p>
              </w:tc>
              <w:tc>
                <w:tcPr>
                  <w:tcW w:w="153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2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三</w:t>
                  </w:r>
                </w:p>
              </w:tc>
              <w:tc>
                <w:tcPr>
                  <w:tcW w:w="154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简单分析</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firstLine="42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是相对于详细评价工作内容而言，在描述危险物质、环境影响途径、环境危害后果、风险防范措施等方面给出定性的说明。见附录</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A</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根据风险潜势初判，该项目风险潜势为</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r>
              <w:rPr>
                <w:rFonts w:hint="eastAsia" w:ascii="宋体" w:hAnsi="宋体" w:eastAsia="宋体" w:cs="宋体"/>
                <w:color w:val="000000" w:themeColor="text1"/>
                <w:kern w:val="0"/>
                <w:sz w:val="21"/>
                <w:szCs w:val="21"/>
                <w:lang w:val="en-US" w:eastAsia="zh-CN" w:bidi="ar"/>
                <w14:textFill>
                  <w14:solidFill>
                    <w14:schemeClr w14:val="tx1"/>
                  </w14:solidFill>
                </w14:textFill>
              </w:rPr>
              <w:t>，因此环境风险评价工作等级为简单分析，项目环境风险简单分析内容见下表。本项目无重大危险源，在风险防范措施和应急预案落实到位后，环境风险处于可接受水平。</w:t>
            </w:r>
          </w:p>
          <w:p>
            <w:pPr>
              <w:keepNext/>
              <w:keepLines/>
              <w:widowControl w:val="0"/>
              <w:suppressLineNumbers w:val="0"/>
              <w:spacing w:before="0" w:beforeAutospacing="0" w:after="0" w:afterAutospacing="0"/>
              <w:ind w:left="0" w:right="0" w:firstLine="422" w:firstLineChars="20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4-1</w:t>
            </w:r>
            <w:r>
              <w:rPr>
                <w:rFonts w:hint="eastAsia" w:cs="Times New Roman"/>
                <w:b/>
                <w:bCs/>
                <w:color w:val="000000" w:themeColor="text1"/>
                <w:kern w:val="2"/>
                <w:sz w:val="21"/>
                <w:szCs w:val="21"/>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建设项目环境风险简单分析内容表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625"/>
              <w:gridCol w:w="1351"/>
              <w:gridCol w:w="1691"/>
              <w:gridCol w:w="1161"/>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4" w:hRule="atLeast"/>
                <w:jc w:val="center"/>
              </w:trPr>
              <w:tc>
                <w:tcPr>
                  <w:tcW w:w="97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项目名称</w:t>
                  </w:r>
                </w:p>
              </w:tc>
              <w:tc>
                <w:tcPr>
                  <w:tcW w:w="4021" w:type="pct"/>
                  <w:gridSpan w:val="4"/>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粉煤灰（工业固废环保密闭储存库+中转调配+综合利用配送中心）建设项目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jc w:val="center"/>
              </w:trPr>
              <w:tc>
                <w:tcPr>
                  <w:tcW w:w="97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建设地点</w:t>
                  </w:r>
                </w:p>
              </w:tc>
              <w:tc>
                <w:tcPr>
                  <w:tcW w:w="813"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新疆维吾尔自治区</w:t>
                  </w:r>
                </w:p>
              </w:tc>
              <w:tc>
                <w:tcPr>
                  <w:tcW w:w="101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昌吉回族自治州</w:t>
                  </w:r>
                </w:p>
              </w:tc>
              <w:tc>
                <w:tcPr>
                  <w:tcW w:w="69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昌吉市</w:t>
                  </w:r>
                </w:p>
              </w:tc>
              <w:tc>
                <w:tcPr>
                  <w:tcW w:w="1491"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昌吉高新技术产业开发区</w:t>
                  </w:r>
                  <w:r>
                    <w:rPr>
                      <w:rFonts w:hint="eastAsia" w:cs="Times New Roman"/>
                      <w:color w:val="000000" w:themeColor="text1"/>
                      <w:kern w:val="2"/>
                      <w:sz w:val="21"/>
                      <w:szCs w:val="21"/>
                      <w:lang w:eastAsia="zh-CN"/>
                      <w14:textFill>
                        <w14:solidFill>
                          <w14:schemeClr w14:val="tx1"/>
                        </w14:solidFill>
                      </w14:textFill>
                    </w:rPr>
                    <w:t>锦绣路26号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5" w:hRule="atLeast"/>
                <w:jc w:val="center"/>
              </w:trPr>
              <w:tc>
                <w:tcPr>
                  <w:tcW w:w="97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地理坐标</w:t>
                  </w:r>
                </w:p>
              </w:tc>
              <w:tc>
                <w:tcPr>
                  <w:tcW w:w="813"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经度</w:t>
                  </w:r>
                </w:p>
              </w:tc>
              <w:tc>
                <w:tcPr>
                  <w:tcW w:w="101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E</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87°8′7.162″</w:t>
                  </w:r>
                </w:p>
              </w:tc>
              <w:tc>
                <w:tcPr>
                  <w:tcW w:w="69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纬度</w:t>
                  </w:r>
                </w:p>
              </w:tc>
              <w:tc>
                <w:tcPr>
                  <w:tcW w:w="1491"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N</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44°4′41.204″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10" w:hRule="atLeast"/>
                <w:jc w:val="center"/>
              </w:trPr>
              <w:tc>
                <w:tcPr>
                  <w:tcW w:w="97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环境影响途径及危害后果</w:t>
                  </w:r>
                </w:p>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（大气、地表水、地下水等）</w:t>
                  </w:r>
                </w:p>
              </w:tc>
              <w:tc>
                <w:tcPr>
                  <w:tcW w:w="4021" w:type="pct"/>
                  <w:gridSpan w:val="4"/>
                  <w:shd w:val="clear" w:color="auto" w:fill="auto"/>
                  <w:noWrap/>
                  <w:vAlign w:val="center"/>
                </w:tcPr>
                <w:p>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①设备电路老化或操作不当的情形下有发生火灾的风险，引发的伴生/次生污染物排放；</w:t>
                  </w:r>
                </w:p>
                <w:p>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②项目使用除尘器进行除尘，若除尘器失灵，会导致不经处理直接排放，会对周围环境造成一定的污染危害。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80" w:hRule="atLeast"/>
                <w:jc w:val="center"/>
              </w:trPr>
              <w:tc>
                <w:tcPr>
                  <w:tcW w:w="978" w:type="pct"/>
                  <w:shd w:val="clear" w:color="auto" w:fill="auto"/>
                  <w:noWrap/>
                  <w:vAlign w:val="center"/>
                </w:tcPr>
                <w:p>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风险防范措施要求</w:t>
                  </w:r>
                </w:p>
              </w:tc>
              <w:tc>
                <w:tcPr>
                  <w:tcW w:w="4021" w:type="pct"/>
                  <w:gridSpan w:val="4"/>
                  <w:shd w:val="clear" w:color="auto" w:fill="auto"/>
                  <w:noWrap/>
                  <w:vAlign w:val="center"/>
                </w:tcPr>
                <w:p>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①采用密闭性能良好的设备，尽量减少粉尘飞散逸出；安装有效的除尘设备，定期做好检查维护，确保收集效率和处理效果，减少粉尘在空气中的浓度；定期洒水，保持湿度；</w:t>
                  </w:r>
                </w:p>
                <w:p>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②制定环保设备的运行操作规程并严格执行，确保各项工艺指标正常；一旦废气净化设施失效，必须立即停止生产。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000" w:type="pct"/>
                  <w:gridSpan w:val="5"/>
                  <w:shd w:val="clear" w:color="auto" w:fill="auto"/>
                  <w:noWrap/>
                  <w:vAlign w:val="top"/>
                </w:tcPr>
                <w:p>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填表说明（列出项目相关信息及评价说明）：根据《建设项目环境风险评价技术导则》（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HJ169-2018</w:t>
                  </w:r>
                  <w:r>
                    <w:rPr>
                      <w:rFonts w:hint="eastAsia" w:ascii="宋体" w:hAnsi="宋体" w:eastAsia="宋体" w:cs="宋体"/>
                      <w:color w:val="000000" w:themeColor="text1"/>
                      <w:kern w:val="2"/>
                      <w:sz w:val="21"/>
                      <w:szCs w:val="21"/>
                      <w:lang w:val="en-US" w:eastAsia="zh-CN" w:bidi="ar"/>
                      <w14:textFill>
                        <w14:solidFill>
                          <w14:schemeClr w14:val="tx1"/>
                        </w14:solidFill>
                      </w14:textFill>
                    </w:rPr>
                    <w:t>）附录</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C</w:t>
                  </w:r>
                  <w:r>
                    <w:rPr>
                      <w:rFonts w:hint="eastAsia" w:ascii="宋体" w:hAnsi="宋体" w:eastAsia="宋体" w:cs="宋体"/>
                      <w:color w:val="000000" w:themeColor="text1"/>
                      <w:kern w:val="2"/>
                      <w:sz w:val="21"/>
                      <w:szCs w:val="21"/>
                      <w:lang w:val="en-US" w:eastAsia="zh-CN" w:bidi="ar"/>
                      <w14:textFill>
                        <w14:solidFill>
                          <w14:schemeClr w14:val="tx1"/>
                        </w14:solidFill>
                      </w14:textFill>
                    </w:rPr>
                    <w:t>，当</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Q</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宋体" w:hAnsi="宋体" w:eastAsia="宋体" w:cs="宋体"/>
                      <w:color w:val="000000" w:themeColor="text1"/>
                      <w:kern w:val="2"/>
                      <w:sz w:val="21"/>
                      <w:szCs w:val="21"/>
                      <w:lang w:val="en-US" w:eastAsia="zh-CN" w:bidi="ar"/>
                      <w14:textFill>
                        <w14:solidFill>
                          <w14:schemeClr w14:val="tx1"/>
                        </w14:solidFill>
                      </w14:textFill>
                    </w:rPr>
                    <w:t>时，该项目环境风险潜势为</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Ⅰ</w:t>
                  </w:r>
                  <w:r>
                    <w:rPr>
                      <w:rFonts w:hint="eastAsia" w:ascii="宋体" w:hAnsi="宋体" w:eastAsia="宋体" w:cs="宋体"/>
                      <w:color w:val="000000" w:themeColor="text1"/>
                      <w:kern w:val="2"/>
                      <w:sz w:val="21"/>
                      <w:szCs w:val="21"/>
                      <w:lang w:val="en-US" w:eastAsia="zh-CN" w:bidi="ar"/>
                      <w14:textFill>
                        <w14:solidFill>
                          <w14:schemeClr w14:val="tx1"/>
                        </w14:solidFill>
                      </w14:textFill>
                    </w:rPr>
                    <w:t>，开展简单分析。</w:t>
                  </w:r>
                </w:p>
              </w:tc>
            </w:tr>
          </w:tbl>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7.2</w:t>
            </w:r>
            <w:r>
              <w:rPr>
                <w:rFonts w:hint="eastAsia" w:ascii="宋体" w:hAnsi="宋体" w:eastAsia="宋体" w:cs="宋体"/>
                <w:b/>
                <w:bCs/>
                <w:color w:val="000000" w:themeColor="text1"/>
                <w:kern w:val="2"/>
                <w:sz w:val="21"/>
                <w:szCs w:val="21"/>
                <w:lang w:val="en-US" w:eastAsia="zh-CN" w:bidi="ar"/>
                <w14:textFill>
                  <w14:solidFill>
                    <w14:schemeClr w14:val="tx1"/>
                  </w14:solidFill>
                </w14:textFill>
              </w:rPr>
              <w:t>环境风险防范措施及应急要求</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spacing w:val="-1"/>
                <w:kern w:val="0"/>
                <w:sz w:val="21"/>
                <w:szCs w:val="21"/>
                <w:lang w:val="en-US" w:eastAsia="zh-CN" w:bidi="ar"/>
                <w14:textFill>
                  <w14:solidFill>
                    <w14:schemeClr w14:val="tx1"/>
                  </w14:solidFill>
                </w14:textFill>
              </w:rPr>
              <w:t>（1）</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粉尘爆炸风险识别及防范措施</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本项目运营期密闭储备库内粉煤灰</w:t>
            </w:r>
            <w:r>
              <w:rPr>
                <w:rFonts w:hint="eastAsia" w:ascii="Times New Roman" w:hAnsi="Times New Roman" w:cs="Times New Roman"/>
                <w:color w:val="000000" w:themeColor="text1"/>
                <w:spacing w:val="-1"/>
                <w:kern w:val="0"/>
                <w:sz w:val="21"/>
                <w:szCs w:val="21"/>
                <w:lang w:val="en-US" w:eastAsia="zh-CN" w:bidi="ar"/>
                <w14:textFill>
                  <w14:solidFill>
                    <w14:schemeClr w14:val="tx1"/>
                  </w14:solidFill>
                </w14:textFill>
              </w:rPr>
              <w:t>粉尘</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沉降堆积，扰动后悬浮浓度达到粉尘爆炸极限，遇明火会发生粉尘爆炸、闪爆。</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为减少粉尘爆炸事故发生应采取以下措施：布袋除尘器选用防静电滤袋，配套泄爆片、隔爆阀，灰斗设料位计，防止积料过热；</w:t>
            </w:r>
            <w:r>
              <w:rPr>
                <w:rFonts w:hint="eastAsia" w:ascii="Times New Roman" w:hAnsi="Times New Roman" w:cs="Times New Roman"/>
                <w:color w:val="000000" w:themeColor="text1"/>
                <w:spacing w:val="-1"/>
                <w:kern w:val="0"/>
                <w:sz w:val="21"/>
                <w:szCs w:val="21"/>
                <w:lang w:val="en-US" w:eastAsia="zh-CN" w:bidi="ar"/>
                <w14:textFill>
                  <w14:solidFill>
                    <w14:schemeClr w14:val="tx1"/>
                  </w14:solidFill>
                </w14:textFill>
              </w:rPr>
              <w:t>输送设备</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、除尘器、储</w:t>
            </w:r>
            <w:r>
              <w:rPr>
                <w:rFonts w:hint="eastAsia" w:ascii="Times New Roman" w:hAnsi="Times New Roman" w:cs="Times New Roman"/>
                <w:color w:val="000000" w:themeColor="text1"/>
                <w:spacing w:val="-1"/>
                <w:kern w:val="0"/>
                <w:sz w:val="21"/>
                <w:szCs w:val="21"/>
                <w:lang w:val="en-US" w:eastAsia="zh-CN" w:bidi="ar"/>
                <w14:textFill>
                  <w14:solidFill>
                    <w14:schemeClr w14:val="tx1"/>
                  </w14:solidFill>
                </w14:textFill>
              </w:rPr>
              <w:t>备库</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全段电气跨接并可靠接地，接地电阻≤10Ω，消除静电积聚</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w:t>
            </w:r>
            <w:r>
              <w:rPr>
                <w:rFonts w:hint="eastAsia" w:ascii="Times New Roman" w:hAnsi="Times New Roman" w:cs="Times New Roman"/>
                <w:color w:val="000000" w:themeColor="text1"/>
                <w:spacing w:val="-1"/>
                <w:kern w:val="0"/>
                <w:sz w:val="21"/>
                <w:szCs w:val="21"/>
                <w:lang w:val="en-US" w:eastAsia="zh-CN" w:bidi="ar"/>
                <w14:textFill>
                  <w14:solidFill>
                    <w14:schemeClr w14:val="tx1"/>
                  </w14:solidFill>
                </w14:textFill>
              </w:rPr>
              <w:t>2</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）粉尘</w:t>
            </w:r>
            <w:r>
              <w:rPr>
                <w:rFonts w:hint="eastAsia" w:ascii="Times New Roman" w:hAnsi="Times New Roman" w:cs="Times New Roman"/>
                <w:color w:val="000000" w:themeColor="text1"/>
                <w:spacing w:val="-1"/>
                <w:kern w:val="0"/>
                <w:sz w:val="21"/>
                <w:szCs w:val="21"/>
                <w:lang w:val="en-US" w:eastAsia="zh-CN" w:bidi="ar"/>
                <w14:textFill>
                  <w14:solidFill>
                    <w14:schemeClr w14:val="tx1"/>
                  </w14:solidFill>
                </w14:textFill>
              </w:rPr>
              <w:t>超标排放</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风险识别及防范措施</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both"/>
              <w:textAlignment w:val="auto"/>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本项目运营期除尘器故障造成粉尘短期大量超标排放，对项目区大气环境产生不良影响。</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为减少粉尘超标排放应采取以下措施：制定环保设备的运行操作规程并严格执行，确保各项工艺指标正常；定期检查和维修环境治理设施，及时发现问题及时解决，使事故发生率降至最低</w:t>
            </w:r>
            <w:r>
              <w:rPr>
                <w:rFonts w:hint="eastAsia" w:ascii="Times New Roman" w:hAnsi="Times New Roman" w:cs="Times New Roman"/>
                <w:color w:val="000000" w:themeColor="text1"/>
                <w:spacing w:val="-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一旦废气净化设施失效，必须立即停止生产</w:t>
            </w:r>
            <w:r>
              <w:rPr>
                <w:rFonts w:hint="eastAsia" w:ascii="Times New Roman" w:hAnsi="Times New Roman" w:cs="Times New Roman"/>
                <w:color w:val="000000" w:themeColor="text1"/>
                <w:spacing w:val="-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立即排查除尘设备故障，组织抢修</w:t>
            </w:r>
            <w:r>
              <w:rPr>
                <w:rFonts w:hint="eastAsia" w:ascii="Times New Roman" w:hAnsi="Times New Roman" w:cs="Times New Roman"/>
                <w:color w:val="000000" w:themeColor="text1"/>
                <w:spacing w:val="-1"/>
                <w:kern w:val="0"/>
                <w:sz w:val="21"/>
                <w:szCs w:val="21"/>
                <w:lang w:val="en-US" w:eastAsia="zh-CN" w:bidi="ar"/>
                <w14:textFill>
                  <w14:solidFill>
                    <w14:schemeClr w14:val="tx1"/>
                  </w14:solidFill>
                </w14:textFill>
              </w:rPr>
              <w:t>，故障排除后恢复生产。</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w:t>
            </w:r>
            <w:r>
              <w:rPr>
                <w:rFonts w:hint="eastAsia" w:cs="Times New Roman"/>
                <w:color w:val="000000" w:themeColor="text1"/>
                <w:spacing w:val="-1"/>
                <w:kern w:val="0"/>
                <w:sz w:val="21"/>
                <w:szCs w:val="21"/>
                <w:lang w:val="en-US" w:eastAsia="zh-CN" w:bidi="ar"/>
                <w14:textFill>
                  <w14:solidFill>
                    <w14:schemeClr w14:val="tx1"/>
                  </w14:solidFill>
                </w14:textFill>
              </w:rPr>
              <w:t>3</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）火灾事故风险防范措施及应急要求</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火灾的环境影响主要表现在：在火灾过程中，物体燃烧后释放的烟气及次生</w:t>
            </w: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CO</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将对周围大气环境造成一定的污染。项目</w:t>
            </w:r>
            <w:r>
              <w:rPr>
                <w:rFonts w:hint="eastAsia" w:ascii="宋体" w:hAnsi="宋体" w:cs="宋体"/>
                <w:color w:val="000000" w:themeColor="text1"/>
                <w:spacing w:val="-1"/>
                <w:kern w:val="0"/>
                <w:sz w:val="21"/>
                <w:szCs w:val="21"/>
                <w:lang w:val="en-US" w:eastAsia="zh-CN" w:bidi="ar"/>
                <w14:textFill>
                  <w14:solidFill>
                    <w14:schemeClr w14:val="tx1"/>
                  </w14:solidFill>
                </w14:textFill>
              </w:rPr>
              <w:t>实施</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过程中应强化火灾防范措施，避免火灾事故发生时</w:t>
            </w:r>
            <w:r>
              <w:rPr>
                <w:rFonts w:hint="eastAsia" w:ascii="宋体" w:hAnsi="宋体" w:cs="宋体"/>
                <w:color w:val="000000" w:themeColor="text1"/>
                <w:spacing w:val="-1"/>
                <w:kern w:val="0"/>
                <w:sz w:val="21"/>
                <w:szCs w:val="21"/>
                <w:lang w:val="en-US" w:eastAsia="zh-CN" w:bidi="ar"/>
                <w14:textFill>
                  <w14:solidFill>
                    <w14:schemeClr w14:val="tx1"/>
                  </w14:solidFill>
                </w14:textFill>
              </w:rPr>
              <w:t>造成</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重大损失，企业应采取的具体防范措施如下：</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①</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加强日常管理，生产区严禁烟火，禁止明火</w:t>
            </w:r>
            <w:r>
              <w:rPr>
                <w:rFonts w:hint="eastAsia" w:ascii="宋体" w:hAnsi="宋体" w:cs="宋体"/>
                <w:color w:val="000000" w:themeColor="text1"/>
                <w:spacing w:val="-1"/>
                <w:kern w:val="0"/>
                <w:sz w:val="21"/>
                <w:szCs w:val="21"/>
                <w:lang w:val="en-US" w:eastAsia="zh-CN" w:bidi="ar"/>
                <w14:textFill>
                  <w14:solidFill>
                    <w14:schemeClr w14:val="tx1"/>
                  </w14:solidFill>
                </w14:textFill>
              </w:rPr>
              <w:t>。</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现场巡检工每班对重点危险源进行检查，判断</w:t>
            </w:r>
            <w:r>
              <w:rPr>
                <w:rFonts w:hint="eastAsia" w:ascii="宋体" w:hAnsi="宋体" w:cs="宋体"/>
                <w:color w:val="000000" w:themeColor="text1"/>
                <w:spacing w:val="-1"/>
                <w:kern w:val="0"/>
                <w:sz w:val="21"/>
                <w:szCs w:val="21"/>
                <w:lang w:val="en-US" w:eastAsia="zh-CN" w:bidi="ar"/>
                <w14:textFill>
                  <w14:solidFill>
                    <w14:schemeClr w14:val="tx1"/>
                  </w14:solidFill>
                </w14:textFill>
              </w:rPr>
              <w:t>输送</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系统、除尘器是否正常，是否</w:t>
            </w:r>
            <w:r>
              <w:rPr>
                <w:rFonts w:hint="eastAsia" w:ascii="宋体" w:hAnsi="宋体" w:cs="宋体"/>
                <w:color w:val="000000" w:themeColor="text1"/>
                <w:spacing w:val="-1"/>
                <w:kern w:val="0"/>
                <w:sz w:val="21"/>
                <w:szCs w:val="21"/>
                <w:lang w:val="en-US" w:eastAsia="zh-CN" w:bidi="ar"/>
                <w14:textFill>
                  <w14:solidFill>
                    <w14:schemeClr w14:val="tx1"/>
                  </w14:solidFill>
                </w14:textFill>
              </w:rPr>
              <w:t>有</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存料、堵料异常现象，防止突发环境事件的发生；</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eastAsia" w:cs="Times New Roman"/>
                <w:color w:val="000000" w:themeColor="text1"/>
                <w:spacing w:val="-1"/>
                <w:kern w:val="0"/>
                <w:sz w:val="21"/>
                <w:szCs w:val="21"/>
                <w:lang w:val="en-US" w:eastAsia="zh-CN" w:bidi="ar"/>
                <w14:textFill>
                  <w14:solidFill>
                    <w14:schemeClr w14:val="tx1"/>
                  </w14:solidFill>
                </w14:textFill>
              </w:rPr>
              <w:t>②</w:t>
            </w:r>
            <w:r>
              <w:rPr>
                <w:rFonts w:hint="eastAsia" w:ascii="宋体" w:hAnsi="宋体" w:cs="宋体"/>
                <w:color w:val="000000" w:themeColor="text1"/>
                <w:spacing w:val="-1"/>
                <w:kern w:val="0"/>
                <w:sz w:val="21"/>
                <w:szCs w:val="21"/>
                <w:lang w:val="en-US" w:eastAsia="zh-CN" w:bidi="ar"/>
                <w14:textFill>
                  <w14:solidFill>
                    <w14:schemeClr w14:val="tx1"/>
                  </w14:solidFill>
                </w14:textFill>
              </w:rPr>
              <w:t>生产</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区采取严格的防火措施，并配备灭火器、</w:t>
            </w:r>
            <w:r>
              <w:rPr>
                <w:rFonts w:hint="eastAsia" w:ascii="宋体" w:hAnsi="宋体" w:cs="宋体"/>
                <w:color w:val="000000" w:themeColor="text1"/>
                <w:spacing w:val="-1"/>
                <w:kern w:val="0"/>
                <w:sz w:val="21"/>
                <w:szCs w:val="21"/>
                <w:lang w:val="en-US" w:eastAsia="zh-CN" w:bidi="ar"/>
                <w14:textFill>
                  <w14:solidFill>
                    <w14:schemeClr w14:val="tx1"/>
                  </w14:solidFill>
                </w14:textFill>
              </w:rPr>
              <w:t>消防栓</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等应急救援器材，对消防措施定期检查，并定期组织演练。</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w:t>
            </w:r>
            <w:r>
              <w:rPr>
                <w:rFonts w:hint="eastAsia" w:cs="Times New Roman"/>
                <w:color w:val="000000" w:themeColor="text1"/>
                <w:spacing w:val="-1"/>
                <w:kern w:val="0"/>
                <w:sz w:val="21"/>
                <w:szCs w:val="21"/>
                <w:lang w:val="en-US" w:eastAsia="zh-CN" w:bidi="ar"/>
                <w14:textFill>
                  <w14:solidFill>
                    <w14:schemeClr w14:val="tx1"/>
                  </w14:solidFill>
                </w14:textFill>
              </w:rPr>
              <w:t>4</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）其他事故风险防范措施</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①</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组建风险管理小组，完善管理制度，将风险管理纳入日常管理之中，防患于未然；</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②</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建立定期对风险源进行安全检查，加强对化学品贮存的检查，防止跑、冒、滴、漏现象发生；</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③</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增强职工风险意识，加强职工安全教育，提高突发环境事件应对能力；</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16" w:firstLineChars="200"/>
              <w:jc w:val="left"/>
              <w:textAlignment w:val="auto"/>
              <w:rPr>
                <w:rFonts w:hint="default" w:ascii="Times New Roman" w:hAnsi="Times New Roman" w:eastAsia="宋体" w:cs="Times New Roman"/>
                <w:color w:val="000000" w:themeColor="text1"/>
                <w:spacing w:val="-1"/>
                <w:kern w:val="0"/>
                <w:sz w:val="21"/>
                <w:szCs w:val="21"/>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④</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设立应急指挥机构，负责事故状态下通讯联络、应急监测、警戒疏散、事故控制及善后处理等工作；设立专人负责应急救援物资、设备、器材和设施的管理和维护，定期进行检查；</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16" w:firstLineChars="200"/>
              <w:jc w:val="both"/>
              <w:textAlignment w:val="auto"/>
              <w:rPr>
                <w:rFonts w:hint="default"/>
                <w:color w:val="000000" w:themeColor="text1"/>
                <w14:textFill>
                  <w14:solidFill>
                    <w14:schemeClr w14:val="tx1"/>
                  </w14:solidFill>
                </w14:textFill>
              </w:rPr>
            </w:pPr>
            <w:r>
              <w:rPr>
                <w:rFonts w:hint="default" w:ascii="Times New Roman" w:hAnsi="Times New Roman" w:eastAsia="宋体" w:cs="Times New Roman"/>
                <w:color w:val="000000" w:themeColor="text1"/>
                <w:spacing w:val="-1"/>
                <w:kern w:val="0"/>
                <w:sz w:val="21"/>
                <w:szCs w:val="21"/>
                <w:lang w:val="en-US" w:eastAsia="zh-CN" w:bidi="ar"/>
                <w14:textFill>
                  <w14:solidFill>
                    <w14:schemeClr w14:val="tx1"/>
                  </w14:solidFill>
                </w14:textFill>
              </w:rPr>
              <w:t>⑤</w:t>
            </w:r>
            <w:r>
              <w:rPr>
                <w:rFonts w:hint="eastAsia" w:ascii="宋体" w:hAnsi="宋体" w:eastAsia="宋体" w:cs="宋体"/>
                <w:color w:val="000000" w:themeColor="text1"/>
                <w:spacing w:val="-1"/>
                <w:kern w:val="0"/>
                <w:sz w:val="21"/>
                <w:szCs w:val="21"/>
                <w:lang w:val="en-US" w:eastAsia="zh-CN" w:bidi="ar"/>
                <w14:textFill>
                  <w14:solidFill>
                    <w14:schemeClr w14:val="tx1"/>
                  </w14:solidFill>
                </w14:textFill>
              </w:rPr>
              <w:t>制定完善可行的事故应急预案，并定期对预案进行演练。</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eastAsia" w:cs="Times New Roman"/>
                <w:color w:val="000000" w:themeColor="text1"/>
                <w:kern w:val="2"/>
                <w:sz w:val="21"/>
                <w:szCs w:val="21"/>
                <w:lang w:val="en-US" w:eastAsia="zh-CN" w:bidi="ar"/>
                <w14:textFill>
                  <w14:solidFill>
                    <w14:schemeClr w14:val="tx1"/>
                  </w14:solidFill>
                </w14:textFill>
              </w:rPr>
              <w:t>5</w:t>
            </w:r>
            <w:r>
              <w:rPr>
                <w:rFonts w:hint="eastAsia" w:ascii="宋体" w:hAnsi="宋体" w:eastAsia="宋体" w:cs="宋体"/>
                <w:color w:val="000000" w:themeColor="text1"/>
                <w:kern w:val="2"/>
                <w:sz w:val="21"/>
                <w:szCs w:val="21"/>
                <w:lang w:val="en-US" w:eastAsia="zh-CN" w:bidi="ar"/>
                <w14:textFill>
                  <w14:solidFill>
                    <w14:schemeClr w14:val="tx1"/>
                  </w14:solidFill>
                </w14:textFill>
              </w:rPr>
              <w:t>）应急预案</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制定风险应急预案的</w:t>
            </w:r>
            <w:r>
              <w:rPr>
                <w:rFonts w:hint="eastAsia" w:ascii="宋体" w:hAnsi="宋体" w:cs="宋体"/>
                <w:color w:val="000000" w:themeColor="text1"/>
                <w:kern w:val="2"/>
                <w:sz w:val="21"/>
                <w:szCs w:val="21"/>
                <w:lang w:val="en-US" w:eastAsia="zh-CN" w:bidi="ar"/>
                <w14:textFill>
                  <w14:solidFill>
                    <w14:schemeClr w14:val="tx1"/>
                  </w14:solidFill>
                </w14:textFill>
              </w:rPr>
              <w:t>目的是</w:t>
            </w:r>
            <w:r>
              <w:rPr>
                <w:rFonts w:hint="eastAsia" w:ascii="宋体" w:hAnsi="宋体" w:eastAsia="宋体" w:cs="宋体"/>
                <w:color w:val="000000" w:themeColor="text1"/>
                <w:kern w:val="2"/>
                <w:sz w:val="21"/>
                <w:szCs w:val="21"/>
                <w:lang w:val="en-US" w:eastAsia="zh-CN" w:bidi="ar"/>
                <w14:textFill>
                  <w14:solidFill>
                    <w14:schemeClr w14:val="tx1"/>
                  </w14:solidFill>
                </w14:textFill>
              </w:rPr>
              <w:t>在发生事故时，能以最快的速度发挥最大的效能，有序</w:t>
            </w:r>
            <w:r>
              <w:rPr>
                <w:rFonts w:hint="eastAsia" w:ascii="宋体" w:hAnsi="宋体" w:cs="宋体"/>
                <w:color w:val="000000" w:themeColor="text1"/>
                <w:kern w:val="2"/>
                <w:sz w:val="21"/>
                <w:szCs w:val="21"/>
                <w:lang w:val="en-US" w:eastAsia="zh-CN" w:bidi="ar"/>
                <w14:textFill>
                  <w14:solidFill>
                    <w14:schemeClr w14:val="tx1"/>
                  </w14:solidFill>
                </w14:textFill>
              </w:rPr>
              <w:t>地</w:t>
            </w:r>
            <w:r>
              <w:rPr>
                <w:rFonts w:hint="eastAsia" w:ascii="宋体" w:hAnsi="宋体" w:eastAsia="宋体" w:cs="宋体"/>
                <w:color w:val="000000" w:themeColor="text1"/>
                <w:kern w:val="2"/>
                <w:sz w:val="21"/>
                <w:szCs w:val="21"/>
                <w:lang w:val="en-US" w:eastAsia="zh-CN" w:bidi="ar"/>
                <w14:textFill>
                  <w14:solidFill>
                    <w14:schemeClr w14:val="tx1"/>
                  </w14:solidFill>
                </w14:textFill>
              </w:rPr>
              <w:t>实施救援，尽快控制事态的发展，降低事故造成的发展，降低事故造成的危害，减少事故造成的损失。应急预案主要内容应根据《建设项目环境风险评价技术导则》（</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HJ169-2018</w:t>
            </w:r>
            <w:r>
              <w:rPr>
                <w:rFonts w:hint="eastAsia" w:ascii="宋体" w:hAnsi="宋体" w:eastAsia="宋体" w:cs="宋体"/>
                <w:color w:val="000000" w:themeColor="text1"/>
                <w:kern w:val="2"/>
                <w:sz w:val="21"/>
                <w:szCs w:val="21"/>
                <w:lang w:val="en-US" w:eastAsia="zh-CN" w:bidi="ar"/>
                <w14:textFill>
                  <w14:solidFill>
                    <w14:schemeClr w14:val="tx1"/>
                  </w14:solidFill>
                </w14:textFill>
              </w:rPr>
              <w:t>）详细编制，经过修订完善后，由单位最高管理者批准发布实施。本项目应急预案见</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表4-1</w:t>
            </w:r>
            <w:r>
              <w:rPr>
                <w:rFonts w:hint="eastAsia" w:cs="Times New Roman"/>
                <w:color w:val="000000" w:themeColor="text1"/>
                <w:kern w:val="2"/>
                <w:sz w:val="21"/>
                <w:szCs w:val="21"/>
                <w:lang w:val="en-US" w:eastAsia="zh-CN" w:bidi="ar"/>
                <w14:textFill>
                  <w14:solidFill>
                    <w14:schemeClr w14:val="tx1"/>
                  </w14:solidFill>
                </w14:textFill>
              </w:rPr>
              <w:t>4</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widowControl w:val="0"/>
              <w:suppressLineNumbers w:val="0"/>
              <w:spacing w:before="0" w:beforeAutospacing="0" w:after="0" w:afterAutospacing="0"/>
              <w:ind w:left="0" w:right="0" w:firstLine="422" w:firstLineChars="20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表</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4-</w:t>
            </w:r>
            <w:r>
              <w:rPr>
                <w:rFonts w:hint="eastAsia" w:cs="Times New Roman"/>
                <w:b/>
                <w:bCs w:val="0"/>
                <w:color w:val="000000" w:themeColor="text1"/>
                <w:kern w:val="2"/>
                <w:sz w:val="21"/>
                <w:szCs w:val="21"/>
                <w:lang w:val="en-US" w:eastAsia="zh-CN" w:bidi="ar"/>
                <w14:textFill>
                  <w14:solidFill>
                    <w14:schemeClr w14:val="tx1"/>
                  </w14:solidFill>
                </w14:textFill>
              </w:rPr>
              <w:t>14</w:t>
            </w: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 xml:space="preserve">  </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应急预案措施</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37"/>
              <w:gridCol w:w="2338"/>
              <w:gridCol w:w="5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序号</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项目</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应急计划</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应急组织机构、人员</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项目</w:t>
                  </w:r>
                  <w:r>
                    <w:rPr>
                      <w:rFonts w:hint="eastAsia" w:ascii="宋体" w:hAnsi="宋体" w:eastAsia="宋体" w:cs="宋体"/>
                      <w:color w:val="000000" w:themeColor="text1"/>
                      <w:kern w:val="2"/>
                      <w:sz w:val="21"/>
                      <w:szCs w:val="21"/>
                      <w:lang w:val="en-US" w:eastAsia="zh-CN" w:bidi="ar"/>
                      <w14:textFill>
                        <w14:solidFill>
                          <w14:schemeClr w14:val="tx1"/>
                        </w14:solidFill>
                      </w14:textFill>
                    </w:rPr>
                    <w:t>区应急组织机构、人员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预案分级影响条件</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规定预案的级别和分级影响程序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应急救援保障</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应急设施、设备与器材等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6"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5</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报警、通讯联络方式</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规定应急状态下报警方式、通知方式和交通保障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9"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应急环境监测、抢救、救援及控制措施</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由专业队伍负责对事故现场进行侦察监测，对事故性质、参数后果进行评估，为指挥部门提供决策依据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7</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应急监测、防护措施、清除泄</w:t>
                  </w:r>
                  <w:r>
                    <w:rPr>
                      <w:rFonts w:hint="eastAsia" w:ascii="宋体" w:hAnsi="宋体" w:cs="宋体"/>
                      <w:color w:val="000000" w:themeColor="text1"/>
                      <w:kern w:val="2"/>
                      <w:sz w:val="21"/>
                      <w:szCs w:val="21"/>
                      <w:lang w:val="en-US" w:eastAsia="zh-CN" w:bidi="ar"/>
                      <w14:textFill>
                        <w14:solidFill>
                          <w14:schemeClr w14:val="tx1"/>
                        </w14:solidFill>
                      </w14:textFill>
                    </w:rPr>
                    <w:t>漏</w:t>
                  </w:r>
                  <w:r>
                    <w:rPr>
                      <w:rFonts w:hint="eastAsia" w:ascii="宋体" w:hAnsi="宋体" w:eastAsia="宋体" w:cs="宋体"/>
                      <w:color w:val="000000" w:themeColor="text1"/>
                      <w:kern w:val="2"/>
                      <w:sz w:val="21"/>
                      <w:szCs w:val="21"/>
                      <w:lang w:val="en-US" w:eastAsia="zh-CN" w:bidi="ar"/>
                      <w14:textFill>
                        <w14:solidFill>
                          <w14:schemeClr w14:val="tx1"/>
                        </w14:solidFill>
                      </w14:textFill>
                    </w:rPr>
                    <w:t>措施和器材</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事故现场、邻近区域、控制清除污染措施及设施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7"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人员紧急撤离、疏散，应急剂量控制、撤离组织计划</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事故现场、受事故影响的区域人员对毒物应急剂量控制规定，撤离组合计划及救护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9</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事故应急救援关闭程序与恢复措施</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规定应急状态终止程序，事故现场善后处理，恢复措施，邻近区域解除事故警戒及善后恢复措施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10</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应急培训计划</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应急计划制定后，平时安排人员培训与演练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11</w:t>
                  </w:r>
                </w:p>
              </w:tc>
              <w:tc>
                <w:tcPr>
                  <w:tcW w:w="2236"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公众教育和信息</w:t>
                  </w:r>
                </w:p>
              </w:tc>
              <w:tc>
                <w:tcPr>
                  <w:tcW w:w="5002"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对邻近地区开展公众教育，培训和发布有关信息，提倡公民积极举报事故现场并做好事故疏散准备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12</w:t>
                  </w:r>
                </w:p>
              </w:tc>
              <w:tc>
                <w:tcPr>
                  <w:tcW w:w="2236" w:type="dxa"/>
                  <w:shd w:val="clear" w:color="auto" w:fill="auto"/>
                  <w:vAlign w:val="center"/>
                </w:tcPr>
                <w:p>
                  <w:pPr>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记录</w:t>
                  </w:r>
                </w:p>
              </w:tc>
              <w:tc>
                <w:tcPr>
                  <w:tcW w:w="5002" w:type="dxa"/>
                  <w:shd w:val="clear" w:color="auto" w:fill="auto"/>
                  <w:vAlign w:val="center"/>
                </w:tcPr>
                <w:p>
                  <w:pPr>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应急事故专门记录，建立档案和报告制度，</w:t>
                  </w:r>
                  <w:r>
                    <w:rPr>
                      <w:rFonts w:hint="eastAsia" w:ascii="宋体" w:hAnsi="宋体" w:cs="宋体"/>
                      <w:color w:val="000000" w:themeColor="text1"/>
                      <w:kern w:val="2"/>
                      <w:sz w:val="21"/>
                      <w:szCs w:val="21"/>
                      <w:lang w:val="en-US" w:eastAsia="zh-CN" w:bidi="ar"/>
                      <w14:textFill>
                        <w14:solidFill>
                          <w14:schemeClr w14:val="tx1"/>
                        </w14:solidFill>
                      </w14:textFill>
                    </w:rPr>
                    <w:t>设立</w:t>
                  </w:r>
                  <w:r>
                    <w:rPr>
                      <w:rFonts w:hint="eastAsia" w:ascii="宋体" w:hAnsi="宋体" w:eastAsia="宋体" w:cs="宋体"/>
                      <w:color w:val="000000" w:themeColor="text1"/>
                      <w:kern w:val="2"/>
                      <w:sz w:val="21"/>
                      <w:szCs w:val="21"/>
                      <w:lang w:val="en-US" w:eastAsia="zh-CN" w:bidi="ar"/>
                      <w14:textFill>
                        <w14:solidFill>
                          <w14:schemeClr w14:val="tx1"/>
                        </w14:solidFill>
                      </w14:textFill>
                    </w:rPr>
                    <w:t>专门部门负责管理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5" w:type="dxa"/>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13</w:t>
                  </w:r>
                </w:p>
              </w:tc>
              <w:tc>
                <w:tcPr>
                  <w:tcW w:w="2236" w:type="dxa"/>
                  <w:shd w:val="clear" w:color="auto" w:fill="auto"/>
                  <w:vAlign w:val="center"/>
                </w:tcPr>
                <w:p>
                  <w:pPr>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附件</w:t>
                  </w:r>
                </w:p>
              </w:tc>
              <w:tc>
                <w:tcPr>
                  <w:tcW w:w="5002" w:type="dxa"/>
                  <w:shd w:val="clear" w:color="auto" w:fill="auto"/>
                  <w:vAlign w:val="center"/>
                </w:tcPr>
                <w:p>
                  <w:pPr>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准备并形成环境风险事故应急处理有关的附件材料</w:t>
                  </w:r>
                </w:p>
              </w:tc>
            </w:tr>
          </w:tbl>
          <w:p>
            <w:pPr>
              <w:keepNext w:val="0"/>
              <w:keepLines w:val="0"/>
              <w:pageBreakBefore w:val="0"/>
              <w:widowControl w:val="0"/>
              <w:suppressLineNumbers w:val="0"/>
              <w:kinsoku/>
              <w:wordWrap/>
              <w:overflowPunct/>
              <w:topLinePunct/>
              <w:autoSpaceDE/>
              <w:autoSpaceDN/>
              <w:bidi w:val="0"/>
              <w:adjustRightInd w:val="0"/>
              <w:snapToGrid w:val="0"/>
              <w:spacing w:before="0" w:beforeLines="0" w:beforeAutospacing="0" w:after="0" w:afterLines="0" w:afterAutospacing="0" w:line="360" w:lineRule="auto"/>
              <w:ind w:left="0" w:right="0"/>
              <w:jc w:val="both"/>
              <w:textAlignment w:val="baseline"/>
              <w:rPr>
                <w:rFonts w:hint="default" w:ascii="Times New Roman" w:hAnsi="Times New Roman" w:eastAsia="宋体" w:cs="Times New Roman"/>
                <w:b/>
                <w:bCs w:val="0"/>
                <w:color w:val="000000" w:themeColor="text1"/>
                <w:kern w:val="0"/>
                <w:sz w:val="21"/>
                <w:szCs w:val="21"/>
                <w:vertAlign w:val="baseline"/>
                <w14:textFill>
                  <w14:solidFill>
                    <w14:schemeClr w14:val="tx1"/>
                  </w14:solidFill>
                </w14:textFill>
              </w:rPr>
            </w:pPr>
            <w:r>
              <w:rPr>
                <w:rFonts w:hint="eastAsia" w:cs="Times New Roman"/>
                <w:b/>
                <w:bCs w:val="0"/>
                <w:color w:val="000000" w:themeColor="text1"/>
                <w:kern w:val="0"/>
                <w:sz w:val="21"/>
                <w:szCs w:val="21"/>
                <w:vertAlign w:val="baseline"/>
                <w:lang w:val="en-US" w:eastAsia="zh-CN" w:bidi="ar"/>
                <w14:textFill>
                  <w14:solidFill>
                    <w14:schemeClr w14:val="tx1"/>
                  </w14:solidFill>
                </w14:textFill>
              </w:rPr>
              <w:t>8</w:t>
            </w:r>
            <w:r>
              <w:rPr>
                <w:rFonts w:hint="eastAsia" w:ascii="宋体" w:hAnsi="宋体" w:eastAsia="宋体" w:cs="宋体"/>
                <w:b/>
                <w:bCs w:val="0"/>
                <w:color w:val="000000" w:themeColor="text1"/>
                <w:kern w:val="0"/>
                <w:sz w:val="21"/>
                <w:szCs w:val="21"/>
                <w:vertAlign w:val="baseline"/>
                <w:lang w:val="en-US" w:eastAsia="zh-CN" w:bidi="ar"/>
                <w14:textFill>
                  <w14:solidFill>
                    <w14:schemeClr w14:val="tx1"/>
                  </w14:solidFill>
                </w14:textFill>
              </w:rPr>
              <w:t>环保投资</w:t>
            </w:r>
          </w:p>
          <w:p>
            <w:pPr>
              <w:keepNext w:val="0"/>
              <w:keepLines w:val="0"/>
              <w:pageBreakBefore w:val="0"/>
              <w:widowControl w:val="0"/>
              <w:suppressLineNumbers w:val="0"/>
              <w:kinsoku/>
              <w:wordWrap/>
              <w:overflowPunct/>
              <w:topLinePunct/>
              <w:autoSpaceDE/>
              <w:autoSpaceDN/>
              <w:bidi w:val="0"/>
              <w:adjustRightInd w:val="0"/>
              <w:snapToGrid w:val="0"/>
              <w:spacing w:before="0" w:beforeLines="0" w:beforeAutospacing="0" w:after="0" w:afterLines="0" w:afterAutospacing="0" w:line="360" w:lineRule="auto"/>
              <w:ind w:left="0" w:right="0" w:firstLine="420" w:firstLineChars="200"/>
              <w:jc w:val="both"/>
              <w:textAlignment w:val="baseline"/>
              <w:rPr>
                <w:rFonts w:hint="default" w:ascii="Times New Roman" w:hAnsi="Times New Roman" w:eastAsia="宋体" w:cs="Times New Roman"/>
                <w:color w:val="000000" w:themeColor="text1"/>
                <w:kern w:val="0"/>
                <w:sz w:val="21"/>
                <w:szCs w:val="21"/>
                <w:vertAlign w:val="baseline"/>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本项目总投资</w:t>
            </w:r>
            <w:r>
              <w:rPr>
                <w:rFonts w:hint="eastAsia" w:cs="Times New Roman"/>
                <w:color w:val="000000" w:themeColor="text1"/>
                <w:kern w:val="0"/>
                <w:sz w:val="21"/>
                <w:szCs w:val="21"/>
                <w:vertAlign w:val="baseline"/>
                <w:lang w:val="en-US" w:eastAsia="zh-CN" w:bidi="ar"/>
                <w14:textFill>
                  <w14:solidFill>
                    <w14:schemeClr w14:val="tx1"/>
                  </w14:solidFill>
                </w14:textFill>
              </w:rPr>
              <w:t>20</w:t>
            </w:r>
            <w:r>
              <w:rPr>
                <w:rFonts w:hint="default" w:ascii="Times New Roman" w:hAnsi="Times New Roman" w:eastAsia="宋体" w:cs="Times New Roman"/>
                <w:color w:val="000000" w:themeColor="text1"/>
                <w:kern w:val="0"/>
                <w:sz w:val="21"/>
                <w:szCs w:val="21"/>
                <w:vertAlign w:val="baseline"/>
                <w:lang w:val="en-US" w:eastAsia="zh-CN" w:bidi="ar"/>
                <w14:textFill>
                  <w14:solidFill>
                    <w14:schemeClr w14:val="tx1"/>
                  </w14:solidFill>
                </w14:textFill>
              </w:rPr>
              <w:t>0</w:t>
            </w:r>
            <w:r>
              <w:rPr>
                <w:rFonts w:hint="eastAsia" w:ascii="Times New Roman" w:hAnsi="Times New Roman" w:eastAsia="宋体" w:cs="Times New Roman"/>
                <w:color w:val="000000" w:themeColor="text1"/>
                <w:kern w:val="0"/>
                <w:sz w:val="21"/>
                <w:szCs w:val="21"/>
                <w:vertAlign w:val="baseline"/>
                <w:lang w:val="en-US" w:eastAsia="zh-CN" w:bidi="ar"/>
                <w14:textFill>
                  <w14:solidFill>
                    <w14:schemeClr w14:val="tx1"/>
                  </w14:solidFill>
                </w14:textFill>
              </w:rPr>
              <w:t>0</w:t>
            </w: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万元，其中环保投资</w:t>
            </w:r>
            <w:r>
              <w:rPr>
                <w:rFonts w:hint="eastAsia" w:cs="Times New Roman"/>
                <w:color w:val="000000" w:themeColor="text1"/>
                <w:kern w:val="0"/>
                <w:sz w:val="21"/>
                <w:szCs w:val="21"/>
                <w:vertAlign w:val="baseline"/>
                <w:lang w:val="en-US" w:eastAsia="zh-CN" w:bidi="ar"/>
                <w14:textFill>
                  <w14:solidFill>
                    <w14:schemeClr w14:val="tx1"/>
                  </w14:solidFill>
                </w14:textFill>
              </w:rPr>
              <w:t>50</w:t>
            </w: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万元，占总投资的</w:t>
            </w:r>
            <w:r>
              <w:rPr>
                <w:rFonts w:hint="eastAsia" w:cs="Times New Roman"/>
                <w:color w:val="000000" w:themeColor="text1"/>
                <w:kern w:val="0"/>
                <w:sz w:val="21"/>
                <w:szCs w:val="21"/>
                <w:vertAlign w:val="baseline"/>
                <w:lang w:val="en-US" w:eastAsia="zh-CN" w:bidi="ar"/>
                <w14:textFill>
                  <w14:solidFill>
                    <w14:schemeClr w14:val="tx1"/>
                  </w14:solidFill>
                </w14:textFill>
              </w:rPr>
              <w:t>2.5</w:t>
            </w:r>
            <w:r>
              <w:rPr>
                <w:rFonts w:hint="default" w:ascii="Times New Roman" w:hAnsi="Times New Roman" w:eastAsia="宋体" w:cs="Times New Roman"/>
                <w:color w:val="000000" w:themeColor="text1"/>
                <w:kern w:val="0"/>
                <w:sz w:val="21"/>
                <w:szCs w:val="21"/>
                <w:vertAlign w:val="baseline"/>
                <w:lang w:val="en-US" w:eastAsia="zh-CN" w:bidi="ar"/>
                <w14:textFill>
                  <w14:solidFill>
                    <w14:schemeClr w14:val="tx1"/>
                  </w14:solidFill>
                </w14:textFill>
              </w:rPr>
              <w:t>%</w:t>
            </w: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。项目环保投资详见</w:t>
            </w:r>
            <w:r>
              <w:rPr>
                <w:rFonts w:hint="default" w:ascii="Times New Roman" w:hAnsi="Times New Roman" w:eastAsia="宋体" w:cs="Times New Roman"/>
                <w:color w:val="000000" w:themeColor="text1"/>
                <w:kern w:val="0"/>
                <w:sz w:val="21"/>
                <w:szCs w:val="21"/>
                <w:vertAlign w:val="baseline"/>
                <w:lang w:val="en-US" w:eastAsia="zh-CN" w:bidi="ar"/>
                <w14:textFill>
                  <w14:solidFill>
                    <w14:schemeClr w14:val="tx1"/>
                  </w14:solidFill>
                </w14:textFill>
              </w:rPr>
              <w:t>表4-1</w:t>
            </w:r>
            <w:r>
              <w:rPr>
                <w:rFonts w:hint="eastAsia" w:cs="Times New Roman"/>
                <w:color w:val="000000" w:themeColor="text1"/>
                <w:kern w:val="0"/>
                <w:sz w:val="21"/>
                <w:szCs w:val="21"/>
                <w:vertAlign w:val="baseline"/>
                <w:lang w:val="en-US" w:eastAsia="zh-CN" w:bidi="ar"/>
                <w14:textFill>
                  <w14:solidFill>
                    <w14:schemeClr w14:val="tx1"/>
                  </w14:solidFill>
                </w14:textFill>
              </w:rPr>
              <w:t>5</w:t>
            </w: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w:t>
            </w:r>
          </w:p>
          <w:p>
            <w:pPr>
              <w:keepNext w:val="0"/>
              <w:keepLines w:val="0"/>
              <w:widowControl w:val="0"/>
              <w:suppressLineNumbers w:val="0"/>
              <w:adjustRightInd w:val="0"/>
              <w:snapToGrid w:val="0"/>
              <w:spacing w:before="0" w:beforeLines="0" w:beforeAutospacing="0" w:after="0" w:afterLines="0" w:afterAutospacing="0"/>
              <w:ind w:left="0" w:right="0"/>
              <w:jc w:val="center"/>
              <w:textAlignment w:val="baseline"/>
              <w:rPr>
                <w:rFonts w:hint="default" w:ascii="Times New Roman" w:hAnsi="Times New Roman" w:eastAsia="宋体" w:cs="Times New Roman"/>
                <w:b/>
                <w:bCs w:val="0"/>
                <w:color w:val="000000" w:themeColor="text1"/>
                <w:kern w:val="2"/>
                <w:sz w:val="21"/>
                <w:szCs w:val="21"/>
                <w:vertAlign w:val="baseline"/>
                <w14:textFill>
                  <w14:solidFill>
                    <w14:schemeClr w14:val="tx1"/>
                  </w14:solidFill>
                </w14:textFill>
              </w:rPr>
            </w:pPr>
            <w:r>
              <w:rPr>
                <w:rFonts w:hint="eastAsia" w:ascii="宋体" w:hAnsi="宋体" w:eastAsia="宋体" w:cs="宋体"/>
                <w:b/>
                <w:bCs w:val="0"/>
                <w:color w:val="000000" w:themeColor="text1"/>
                <w:kern w:val="2"/>
                <w:sz w:val="21"/>
                <w:szCs w:val="21"/>
                <w:vertAlign w:val="baseline"/>
                <w:lang w:val="en-US" w:eastAsia="zh-CN" w:bidi="ar"/>
                <w14:textFill>
                  <w14:solidFill>
                    <w14:schemeClr w14:val="tx1"/>
                  </w14:solidFill>
                </w14:textFill>
              </w:rPr>
              <w:t>表</w:t>
            </w:r>
            <w:r>
              <w:rPr>
                <w:rFonts w:hint="default" w:ascii="Times New Roman" w:hAnsi="Times New Roman" w:eastAsia="宋体" w:cs="Times New Roman"/>
                <w:b/>
                <w:bCs w:val="0"/>
                <w:color w:val="000000" w:themeColor="text1"/>
                <w:kern w:val="2"/>
                <w:sz w:val="21"/>
                <w:szCs w:val="21"/>
                <w:vertAlign w:val="baseline"/>
                <w:lang w:val="en-US" w:eastAsia="zh-CN" w:bidi="ar"/>
                <w14:textFill>
                  <w14:solidFill>
                    <w14:schemeClr w14:val="tx1"/>
                  </w14:solidFill>
                </w14:textFill>
              </w:rPr>
              <w:t>4-</w:t>
            </w:r>
            <w:r>
              <w:rPr>
                <w:rFonts w:hint="eastAsia" w:cs="Times New Roman"/>
                <w:b/>
                <w:bCs w:val="0"/>
                <w:color w:val="000000" w:themeColor="text1"/>
                <w:kern w:val="2"/>
                <w:sz w:val="21"/>
                <w:szCs w:val="21"/>
                <w:vertAlign w:val="baseline"/>
                <w:lang w:val="en-US" w:eastAsia="zh-CN" w:bidi="ar"/>
                <w14:textFill>
                  <w14:solidFill>
                    <w14:schemeClr w14:val="tx1"/>
                  </w14:solidFill>
                </w14:textFill>
              </w:rPr>
              <w:t>15</w:t>
            </w:r>
            <w:r>
              <w:rPr>
                <w:rFonts w:hint="default" w:ascii="Times New Roman" w:hAnsi="Times New Roman" w:eastAsia="宋体" w:cs="Times New Roman"/>
                <w:b/>
                <w:bCs w:val="0"/>
                <w:color w:val="000000" w:themeColor="text1"/>
                <w:kern w:val="2"/>
                <w:sz w:val="21"/>
                <w:szCs w:val="21"/>
                <w:vertAlign w:val="baseline"/>
                <w:lang w:val="en-US" w:eastAsia="zh-CN" w:bidi="ar"/>
                <w14:textFill>
                  <w14:solidFill>
                    <w14:schemeClr w14:val="tx1"/>
                  </w14:solidFill>
                </w14:textFill>
              </w:rPr>
              <w:t xml:space="preserve">  </w:t>
            </w:r>
            <w:r>
              <w:rPr>
                <w:rFonts w:hint="eastAsia" w:ascii="宋体" w:hAnsi="宋体" w:eastAsia="宋体" w:cs="宋体"/>
                <w:b/>
                <w:bCs w:val="0"/>
                <w:color w:val="000000" w:themeColor="text1"/>
                <w:kern w:val="2"/>
                <w:sz w:val="21"/>
                <w:szCs w:val="21"/>
                <w:vertAlign w:val="baseline"/>
                <w:lang w:val="en-US" w:eastAsia="zh-CN" w:bidi="ar"/>
                <w14:textFill>
                  <w14:solidFill>
                    <w14:schemeClr w14:val="tx1"/>
                  </w14:solidFill>
                </w14:textFill>
              </w:rPr>
              <w:t>项目环保投资一览表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16"/>
              <w:gridCol w:w="1133"/>
              <w:gridCol w:w="4650"/>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551"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污染物</w:t>
                  </w:r>
                </w:p>
              </w:tc>
              <w:tc>
                <w:tcPr>
                  <w:tcW w:w="682"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治理对象</w:t>
                  </w:r>
                </w:p>
              </w:tc>
              <w:tc>
                <w:tcPr>
                  <w:tcW w:w="2799"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环保设备名称</w:t>
                  </w:r>
                </w:p>
              </w:tc>
              <w:tc>
                <w:tcPr>
                  <w:tcW w:w="966"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5" w:hRule="atLeast"/>
                <w:jc w:val="center"/>
              </w:trPr>
              <w:tc>
                <w:tcPr>
                  <w:tcW w:w="551" w:type="pct"/>
                  <w:vMerge w:val="restart"/>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ind w:left="0" w:right="0" w:firstLine="0" w:firstLineChars="0"/>
                    <w:jc w:val="center"/>
                    <w:textAlignment w:val="auto"/>
                    <w:rPr>
                      <w:rFonts w:hint="default"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废气</w:t>
                  </w:r>
                </w:p>
              </w:tc>
              <w:tc>
                <w:tcPr>
                  <w:tcW w:w="682"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cs="宋体"/>
                      <w:color w:val="000000" w:themeColor="text1"/>
                      <w:kern w:val="0"/>
                      <w:sz w:val="21"/>
                      <w:szCs w:val="21"/>
                      <w:lang w:val="en-US" w:eastAsia="zh-CN" w:bidi="ar"/>
                      <w14:textFill>
                        <w14:solidFill>
                          <w14:schemeClr w14:val="tx1"/>
                        </w14:solidFill>
                      </w14:textFill>
                    </w:rPr>
                    <w:t>工艺粉尘</w:t>
                  </w:r>
                </w:p>
              </w:tc>
              <w:tc>
                <w:tcPr>
                  <w:tcW w:w="2799"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运营期粉煤灰储备库贮存粉尘分别经脉冲布袋除尘器处理后通过</w:t>
                  </w:r>
                  <w:r>
                    <w:rPr>
                      <w:rFonts w:hint="eastAsia" w:cs="Times New Roman"/>
                      <w:color w:val="000000" w:themeColor="text1"/>
                      <w:kern w:val="0"/>
                      <w:sz w:val="21"/>
                      <w:szCs w:val="21"/>
                      <w:lang w:val="en-US" w:eastAsia="zh-CN" w:bidi="ar"/>
                      <w14:textFill>
                        <w14:solidFill>
                          <w14:schemeClr w14:val="tx1"/>
                        </w14:solidFill>
                      </w14:textFill>
                    </w:rPr>
                    <w:t>配套</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15米高排气筒排放</w:t>
                  </w:r>
                  <w:r>
                    <w:rPr>
                      <w:rFonts w:hint="eastAsia" w:cs="Times New Roman"/>
                      <w:color w:val="000000" w:themeColor="text1"/>
                      <w:kern w:val="0"/>
                      <w:sz w:val="21"/>
                      <w:szCs w:val="21"/>
                      <w:lang w:val="en-US" w:eastAsia="zh-CN" w:bidi="ar"/>
                      <w14:textFill>
                        <w14:solidFill>
                          <w14:schemeClr w14:val="tx1"/>
                        </w14:solidFill>
                      </w14:textFill>
                    </w:rPr>
                    <w:t>。</w:t>
                  </w:r>
                </w:p>
              </w:tc>
              <w:tc>
                <w:tcPr>
                  <w:tcW w:w="966" w:type="pct"/>
                  <w:vMerge w:val="restar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5" w:hRule="atLeast"/>
                <w:jc w:val="center"/>
              </w:trPr>
              <w:tc>
                <w:tcPr>
                  <w:tcW w:w="551" w:type="pct"/>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ind w:left="0" w:right="0" w:firstLine="0" w:firstLineChars="0"/>
                    <w:jc w:val="center"/>
                    <w:textAlignment w:val="auto"/>
                    <w:rPr>
                      <w:rFonts w:hint="eastAsia" w:ascii="宋体" w:hAnsi="宋体" w:cs="宋体"/>
                      <w:color w:val="000000" w:themeColor="text1"/>
                      <w:kern w:val="2"/>
                      <w:sz w:val="21"/>
                      <w:szCs w:val="21"/>
                      <w:lang w:val="en-US" w:eastAsia="zh-CN" w:bidi="ar"/>
                      <w14:textFill>
                        <w14:solidFill>
                          <w14:schemeClr w14:val="tx1"/>
                        </w14:solidFill>
                      </w14:textFill>
                    </w:rPr>
                  </w:pPr>
                </w:p>
              </w:tc>
              <w:tc>
                <w:tcPr>
                  <w:tcW w:w="682"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宋体" w:hAnsi="宋体" w:cs="宋体"/>
                      <w:color w:val="000000" w:themeColor="text1"/>
                      <w:kern w:val="0"/>
                      <w:sz w:val="21"/>
                      <w:szCs w:val="21"/>
                      <w:lang w:val="en-US" w:eastAsia="zh-CN" w:bidi="ar"/>
                      <w14:textFill>
                        <w14:solidFill>
                          <w14:schemeClr w14:val="tx1"/>
                        </w14:solidFill>
                      </w14:textFill>
                    </w:rPr>
                  </w:pPr>
                  <w:r>
                    <w:rPr>
                      <w:rFonts w:hint="eastAsia" w:ascii="宋体" w:hAnsi="宋体" w:cs="宋体"/>
                      <w:color w:val="000000" w:themeColor="text1"/>
                      <w:kern w:val="0"/>
                      <w:sz w:val="21"/>
                      <w:szCs w:val="21"/>
                      <w:lang w:val="en-US" w:eastAsia="zh-CN" w:bidi="ar"/>
                      <w14:textFill>
                        <w14:solidFill>
                          <w14:schemeClr w14:val="tx1"/>
                        </w14:solidFill>
                      </w14:textFill>
                    </w:rPr>
                    <w:t>运输扬尘</w:t>
                  </w:r>
                </w:p>
              </w:tc>
              <w:tc>
                <w:tcPr>
                  <w:tcW w:w="2799"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运输车辆扬尘采取洒水抑尘、控制车速、地面硬化等措施。</w:t>
                  </w:r>
                </w:p>
              </w:tc>
              <w:tc>
                <w:tcPr>
                  <w:tcW w:w="966" w:type="pct"/>
                  <w:vMerge w:val="continue"/>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eastAsia" w:cs="Times New Roman"/>
                      <w:color w:val="000000" w:themeColor="text1"/>
                      <w:kern w:val="2"/>
                      <w:sz w:val="21"/>
                      <w:szCs w:val="21"/>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3" w:hRule="atLeast"/>
                <w:jc w:val="center"/>
              </w:trPr>
              <w:tc>
                <w:tcPr>
                  <w:tcW w:w="551"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ind w:left="0" w:right="0" w:firstLine="0" w:firstLineChars="0"/>
                    <w:jc w:val="center"/>
                    <w:textAlignment w:val="auto"/>
                    <w:rPr>
                      <w:rFonts w:hint="default"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废水</w:t>
                  </w:r>
                </w:p>
              </w:tc>
              <w:tc>
                <w:tcPr>
                  <w:tcW w:w="682"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cs="宋体"/>
                      <w:color w:val="000000" w:themeColor="text1"/>
                      <w:kern w:val="0"/>
                      <w:sz w:val="21"/>
                      <w:szCs w:val="21"/>
                      <w:lang w:val="en-US" w:eastAsia="zh-CN" w:bidi="ar"/>
                      <w14:textFill>
                        <w14:solidFill>
                          <w14:schemeClr w14:val="tx1"/>
                        </w14:solidFill>
                      </w14:textFill>
                    </w:rPr>
                    <w:t>生活污水</w:t>
                  </w:r>
                </w:p>
              </w:tc>
              <w:tc>
                <w:tcPr>
                  <w:tcW w:w="2799"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生活污水排入园区污水管网</w:t>
                  </w:r>
                  <w:r>
                    <w:rPr>
                      <w:rFonts w:hint="eastAsia" w:cs="Times New Roman"/>
                      <w:color w:val="000000" w:themeColor="text1"/>
                      <w:kern w:val="0"/>
                      <w:sz w:val="21"/>
                      <w:szCs w:val="21"/>
                      <w:lang w:val="en-US" w:eastAsia="zh-CN" w:bidi="ar"/>
                      <w14:textFill>
                        <w14:solidFill>
                          <w14:schemeClr w14:val="tx1"/>
                        </w14:solidFill>
                      </w14:textFill>
                    </w:rPr>
                    <w:t>。</w:t>
                  </w:r>
                </w:p>
              </w:tc>
              <w:tc>
                <w:tcPr>
                  <w:tcW w:w="966"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551" w:type="pct"/>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ind w:left="0" w:right="0" w:firstLine="0" w:firstLineChars="0"/>
                    <w:jc w:val="center"/>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噪声</w:t>
                  </w:r>
                </w:p>
              </w:tc>
              <w:tc>
                <w:tcPr>
                  <w:tcW w:w="682"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机械噪声</w:t>
                  </w:r>
                </w:p>
              </w:tc>
              <w:tc>
                <w:tcPr>
                  <w:tcW w:w="2799"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选用低噪声设备，减振基础、减振垫</w:t>
                  </w:r>
                  <w:r>
                    <w:rPr>
                      <w:rFonts w:hint="eastAsia" w:ascii="宋体" w:hAnsi="宋体" w:cs="宋体"/>
                      <w:color w:val="000000" w:themeColor="text1"/>
                      <w:kern w:val="2"/>
                      <w:sz w:val="21"/>
                      <w:szCs w:val="21"/>
                      <w:lang w:val="en-US" w:eastAsia="zh-CN" w:bidi="ar"/>
                      <w14:textFill>
                        <w14:solidFill>
                          <w14:schemeClr w14:val="tx1"/>
                        </w14:solidFill>
                      </w14:textFill>
                    </w:rPr>
                    <w:t>。</w:t>
                  </w:r>
                </w:p>
              </w:tc>
              <w:tc>
                <w:tcPr>
                  <w:tcW w:w="966"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51" w:type="pct"/>
                  <w:vMerge w:val="restart"/>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ind w:left="0" w:right="0" w:firstLine="0" w:firstLineChars="0"/>
                    <w:jc w:val="center"/>
                    <w:textAlignment w:val="auto"/>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固废</w:t>
                  </w:r>
                </w:p>
              </w:tc>
              <w:tc>
                <w:tcPr>
                  <w:tcW w:w="682" w:type="pct"/>
                  <w:vMerge w:val="restar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一般</w:t>
                  </w:r>
                  <w:r>
                    <w:rPr>
                      <w:rFonts w:hint="eastAsia" w:ascii="宋体" w:hAnsi="宋体" w:eastAsia="宋体" w:cs="宋体"/>
                      <w:color w:val="000000" w:themeColor="text1"/>
                      <w:kern w:val="2"/>
                      <w:sz w:val="21"/>
                      <w:szCs w:val="21"/>
                      <w:lang w:val="en-US" w:eastAsia="zh-CN" w:bidi="ar"/>
                      <w14:textFill>
                        <w14:solidFill>
                          <w14:schemeClr w14:val="tx1"/>
                        </w14:solidFill>
                      </w14:textFill>
                    </w:rPr>
                    <w:t>固废</w:t>
                  </w:r>
                </w:p>
              </w:tc>
              <w:tc>
                <w:tcPr>
                  <w:tcW w:w="2799"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收集粉尘全部作为产品外售</w:t>
                  </w:r>
                  <w:r>
                    <w:rPr>
                      <w:rFonts w:hint="eastAsia" w:ascii="宋体" w:hAnsi="宋体" w:cs="宋体"/>
                      <w:color w:val="000000" w:themeColor="text1"/>
                      <w:kern w:val="2"/>
                      <w:sz w:val="21"/>
                      <w:szCs w:val="21"/>
                      <w:lang w:val="en-US" w:eastAsia="zh-CN" w:bidi="ar"/>
                      <w14:textFill>
                        <w14:solidFill>
                          <w14:schemeClr w14:val="tx1"/>
                        </w14:solidFill>
                      </w14:textFill>
                    </w:rPr>
                    <w:t>。</w:t>
                  </w:r>
                </w:p>
              </w:tc>
              <w:tc>
                <w:tcPr>
                  <w:tcW w:w="966" w:type="pct"/>
                  <w:vMerge w:val="restar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551" w:type="pct"/>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ind w:left="0" w:right="0" w:firstLine="0" w:firstLineChars="0"/>
                    <w:jc w:val="center"/>
                    <w:textAlignment w:val="auto"/>
                    <w:rPr>
                      <w:rFonts w:hint="eastAsia" w:ascii="宋体" w:hAnsi="宋体" w:eastAsia="宋体" w:cs="宋体"/>
                      <w:color w:val="000000" w:themeColor="text1"/>
                      <w:kern w:val="2"/>
                      <w:sz w:val="21"/>
                      <w:szCs w:val="21"/>
                      <w:lang w:val="en-US" w:eastAsia="zh-CN" w:bidi="ar"/>
                      <w14:textFill>
                        <w14:solidFill>
                          <w14:schemeClr w14:val="tx1"/>
                        </w14:solidFill>
                      </w14:textFill>
                    </w:rPr>
                  </w:pPr>
                </w:p>
              </w:tc>
              <w:tc>
                <w:tcPr>
                  <w:tcW w:w="682" w:type="pct"/>
                  <w:vMerge w:val="continue"/>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宋体" w:hAnsi="宋体" w:eastAsia="宋体" w:cs="宋体"/>
                      <w:color w:val="000000" w:themeColor="text1"/>
                      <w:kern w:val="2"/>
                      <w:sz w:val="21"/>
                      <w:szCs w:val="21"/>
                      <w:lang w:val="en-US" w:eastAsia="zh-CN" w:bidi="ar"/>
                      <w14:textFill>
                        <w14:solidFill>
                          <w14:schemeClr w14:val="tx1"/>
                        </w14:solidFill>
                      </w14:textFill>
                    </w:rPr>
                  </w:pPr>
                </w:p>
              </w:tc>
              <w:tc>
                <w:tcPr>
                  <w:tcW w:w="2799"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生活垃圾收集后交由园区环卫部门处理</w:t>
                  </w:r>
                  <w:r>
                    <w:rPr>
                      <w:rFonts w:hint="eastAsia" w:ascii="宋体" w:hAnsi="宋体" w:cs="宋体"/>
                      <w:color w:val="000000" w:themeColor="text1"/>
                      <w:kern w:val="2"/>
                      <w:sz w:val="21"/>
                      <w:szCs w:val="21"/>
                      <w:lang w:val="en-US" w:eastAsia="zh-CN" w:bidi="ar"/>
                      <w14:textFill>
                        <w14:solidFill>
                          <w14:schemeClr w14:val="tx1"/>
                        </w14:solidFill>
                      </w14:textFill>
                    </w:rPr>
                    <w:t>。</w:t>
                  </w:r>
                </w:p>
              </w:tc>
              <w:tc>
                <w:tcPr>
                  <w:tcW w:w="966" w:type="pct"/>
                  <w:vMerge w:val="continue"/>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eastAsia" w:cs="Times New Roman"/>
                      <w:color w:val="000000" w:themeColor="text1"/>
                      <w:kern w:val="2"/>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3" w:type="pct"/>
                  <w:gridSpan w:val="3"/>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合计</w:t>
                  </w:r>
                </w:p>
              </w:tc>
              <w:tc>
                <w:tcPr>
                  <w:tcW w:w="966"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3" w:type="pct"/>
                  <w:gridSpan w:val="3"/>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总投资</w:t>
                  </w:r>
                </w:p>
              </w:tc>
              <w:tc>
                <w:tcPr>
                  <w:tcW w:w="966"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3" w:type="pct"/>
                  <w:gridSpan w:val="3"/>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占总投资比例</w:t>
                  </w:r>
                </w:p>
              </w:tc>
              <w:tc>
                <w:tcPr>
                  <w:tcW w:w="966" w:type="pct"/>
                  <w:tcBorders>
                    <w:tl2br w:val="nil"/>
                    <w:tr2bl w:val="nil"/>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2.5</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eastAsia" w:cs="Times New Roman"/>
                <w:b/>
                <w:bCs w:val="0"/>
                <w:color w:val="000000" w:themeColor="text1"/>
                <w:kern w:val="2"/>
                <w:sz w:val="21"/>
                <w:szCs w:val="21"/>
                <w:lang w:val="en-US" w:eastAsia="zh-CN" w:bidi="ar"/>
                <w14:textFill>
                  <w14:solidFill>
                    <w14:schemeClr w14:val="tx1"/>
                  </w14:solidFill>
                </w14:textFill>
              </w:rPr>
              <w:t>9</w:t>
            </w:r>
            <w:r>
              <w:rPr>
                <w:rFonts w:hint="eastAsia" w:ascii="宋体" w:hAnsi="宋体" w:eastAsia="宋体" w:cs="宋体"/>
                <w:b/>
                <w:bCs w:val="0"/>
                <w:color w:val="000000" w:themeColor="text1"/>
                <w:kern w:val="2"/>
                <w:sz w:val="21"/>
                <w:szCs w:val="21"/>
                <w:lang w:val="en-US" w:eastAsia="zh-CN" w:bidi="ar"/>
                <w14:textFill>
                  <w14:solidFill>
                    <w14:schemeClr w14:val="tx1"/>
                  </w14:solidFill>
                </w14:textFill>
              </w:rPr>
              <w:t>环保验收</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w:t>
            </w:r>
            <w:r>
              <w:rPr>
                <w:rFonts w:hint="default" w:ascii="Times New Roman" w:hAnsi="Times New Roman" w:eastAsia="宋体" w:cs="Times New Roman"/>
                <w:color w:val="FF0000"/>
                <w:kern w:val="2"/>
                <w:sz w:val="21"/>
                <w:szCs w:val="21"/>
                <w:lang w:val="en-US" w:eastAsia="zh-CN" w:bidi="ar"/>
              </w:rPr>
              <w:t>1</w:t>
            </w:r>
            <w:r>
              <w:rPr>
                <w:rFonts w:hint="eastAsia" w:ascii="宋体" w:hAnsi="宋体" w:eastAsia="宋体" w:cs="宋体"/>
                <w:color w:val="FF0000"/>
                <w:kern w:val="2"/>
                <w:sz w:val="21"/>
                <w:szCs w:val="21"/>
                <w:lang w:val="en-US" w:eastAsia="zh-CN" w:bidi="ar"/>
              </w:rPr>
              <w:t>）验收标准与范围</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FF0000"/>
                <w:kern w:val="2"/>
                <w:sz w:val="21"/>
                <w:szCs w:val="21"/>
              </w:rPr>
            </w:pPr>
            <w:r>
              <w:rPr>
                <w:rFonts w:hint="default" w:ascii="Times New Roman" w:hAnsi="Times New Roman" w:eastAsia="宋体" w:cs="Times New Roman"/>
                <w:color w:val="FF0000"/>
                <w:kern w:val="2"/>
                <w:sz w:val="21"/>
                <w:szCs w:val="21"/>
                <w:lang w:val="en-US" w:eastAsia="zh-CN" w:bidi="ar"/>
              </w:rPr>
              <w:t>①</w:t>
            </w:r>
            <w:r>
              <w:rPr>
                <w:rFonts w:hint="eastAsia" w:ascii="宋体" w:hAnsi="宋体" w:eastAsia="宋体" w:cs="宋体"/>
                <w:color w:val="FF0000"/>
                <w:kern w:val="2"/>
                <w:sz w:val="21"/>
                <w:szCs w:val="21"/>
                <w:lang w:val="en-US" w:eastAsia="zh-CN" w:bidi="ar"/>
              </w:rPr>
              <w:t>国环规环评</w:t>
            </w:r>
            <w:r>
              <w:rPr>
                <w:rFonts w:hint="default" w:ascii="Times New Roman" w:hAnsi="Times New Roman" w:eastAsia="宋体" w:cs="Times New Roman"/>
                <w:color w:val="FF0000"/>
                <w:kern w:val="2"/>
                <w:sz w:val="21"/>
                <w:szCs w:val="21"/>
                <w:lang w:val="en-US" w:eastAsia="zh-CN" w:bidi="ar"/>
              </w:rPr>
              <w:t>〔2017〕4</w:t>
            </w:r>
            <w:r>
              <w:rPr>
                <w:rFonts w:hint="eastAsia" w:ascii="宋体" w:hAnsi="宋体" w:eastAsia="宋体" w:cs="宋体"/>
                <w:color w:val="FF0000"/>
                <w:kern w:val="2"/>
                <w:sz w:val="21"/>
                <w:szCs w:val="21"/>
                <w:lang w:val="en-US" w:eastAsia="zh-CN" w:bidi="ar"/>
              </w:rPr>
              <w:t>号关于发布《建设项目竣工环境保护验收暂行办法》的公告中相关要求执行；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FF0000"/>
                <w:kern w:val="2"/>
                <w:sz w:val="21"/>
                <w:szCs w:val="21"/>
              </w:rPr>
            </w:pPr>
            <w:r>
              <w:rPr>
                <w:rFonts w:hint="default" w:ascii="Times New Roman" w:hAnsi="Times New Roman" w:eastAsia="宋体" w:cs="Times New Roman"/>
                <w:color w:val="FF0000"/>
                <w:kern w:val="2"/>
                <w:sz w:val="21"/>
                <w:szCs w:val="21"/>
                <w:lang w:val="en-US" w:eastAsia="zh-CN" w:bidi="ar"/>
              </w:rPr>
              <w:t>②</w:t>
            </w:r>
            <w:r>
              <w:rPr>
                <w:rFonts w:hint="eastAsia" w:ascii="宋体" w:hAnsi="宋体" w:eastAsia="宋体" w:cs="宋体"/>
                <w:color w:val="FF0000"/>
                <w:kern w:val="2"/>
                <w:sz w:val="21"/>
                <w:szCs w:val="21"/>
                <w:lang w:val="en-US" w:eastAsia="zh-CN" w:bidi="ar"/>
              </w:rPr>
              <w:t>与工程有关的环保设施，包括污染防治和保护环境所建成或配套建成的工程；</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FF0000"/>
                <w:kern w:val="2"/>
                <w:sz w:val="21"/>
                <w:szCs w:val="21"/>
              </w:rPr>
            </w:pPr>
            <w:r>
              <w:rPr>
                <w:rFonts w:hint="default" w:ascii="Times New Roman" w:hAnsi="Times New Roman" w:eastAsia="宋体" w:cs="Times New Roman"/>
                <w:color w:val="FF0000"/>
                <w:kern w:val="2"/>
                <w:sz w:val="21"/>
                <w:szCs w:val="21"/>
                <w:lang w:val="en-US" w:eastAsia="zh-CN" w:bidi="ar"/>
              </w:rPr>
              <w:t>③</w:t>
            </w:r>
            <w:r>
              <w:rPr>
                <w:rFonts w:hint="eastAsia" w:ascii="宋体" w:hAnsi="宋体" w:eastAsia="宋体" w:cs="宋体"/>
                <w:color w:val="FF0000"/>
                <w:kern w:val="2"/>
                <w:sz w:val="21"/>
                <w:szCs w:val="21"/>
                <w:lang w:val="en-US" w:eastAsia="zh-CN" w:bidi="ar"/>
              </w:rPr>
              <w:t>本报告表及其批复文件和有关设计文件规定应采取的其他各项环保措施。</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w:t>
            </w:r>
            <w:r>
              <w:rPr>
                <w:rFonts w:hint="default" w:ascii="Times New Roman" w:hAnsi="Times New Roman" w:eastAsia="宋体" w:cs="Times New Roman"/>
                <w:color w:val="FF0000"/>
                <w:kern w:val="2"/>
                <w:sz w:val="21"/>
                <w:szCs w:val="21"/>
                <w:lang w:val="en-US" w:eastAsia="zh-CN" w:bidi="ar"/>
              </w:rPr>
              <w:t>2</w:t>
            </w:r>
            <w:r>
              <w:rPr>
                <w:rFonts w:hint="eastAsia" w:ascii="宋体" w:hAnsi="宋体" w:eastAsia="宋体" w:cs="宋体"/>
                <w:color w:val="FF0000"/>
                <w:kern w:val="2"/>
                <w:sz w:val="21"/>
                <w:szCs w:val="21"/>
                <w:lang w:val="en-US" w:eastAsia="zh-CN" w:bidi="ar"/>
              </w:rPr>
              <w:t>）环保验收</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cs="Times New Roman"/>
                <w:color w:val="FF0000"/>
                <w:kern w:val="2"/>
                <w:sz w:val="21"/>
                <w:szCs w:val="21"/>
              </w:rPr>
            </w:pPr>
            <w:r>
              <w:rPr>
                <w:rFonts w:hint="eastAsia" w:ascii="宋体" w:hAnsi="宋体" w:eastAsia="宋体" w:cs="宋体"/>
                <w:color w:val="FF0000"/>
                <w:kern w:val="2"/>
                <w:sz w:val="21"/>
                <w:szCs w:val="21"/>
                <w:lang w:val="en-US" w:eastAsia="zh-CN" w:bidi="ar"/>
              </w:rPr>
              <w:t>根据国务院《关于修改</w:t>
            </w:r>
            <w:r>
              <w:rPr>
                <w:rFonts w:hint="eastAsia" w:ascii="宋体" w:hAnsi="宋体" w:cs="宋体"/>
                <w:color w:val="FF0000"/>
                <w:kern w:val="2"/>
                <w:sz w:val="21"/>
                <w:szCs w:val="21"/>
                <w:lang w:val="en-US" w:eastAsia="zh-CN" w:bidi="ar"/>
              </w:rPr>
              <w:t>〈</w:t>
            </w:r>
            <w:r>
              <w:rPr>
                <w:rFonts w:hint="eastAsia" w:ascii="宋体" w:hAnsi="宋体" w:eastAsia="宋体" w:cs="宋体"/>
                <w:color w:val="FF0000"/>
                <w:kern w:val="2"/>
                <w:sz w:val="21"/>
                <w:szCs w:val="21"/>
                <w:lang w:val="en-US" w:eastAsia="zh-CN" w:bidi="ar"/>
              </w:rPr>
              <w:t>建设项目环境保护管理条例</w:t>
            </w:r>
            <w:r>
              <w:rPr>
                <w:rFonts w:hint="eastAsia" w:ascii="宋体" w:hAnsi="宋体" w:cs="宋体"/>
                <w:color w:val="FF0000"/>
                <w:kern w:val="2"/>
                <w:sz w:val="21"/>
                <w:szCs w:val="21"/>
                <w:lang w:val="en-US" w:eastAsia="zh-CN" w:bidi="ar"/>
              </w:rPr>
              <w:t>〉</w:t>
            </w:r>
            <w:r>
              <w:rPr>
                <w:rFonts w:hint="eastAsia" w:ascii="宋体" w:hAnsi="宋体" w:eastAsia="宋体" w:cs="宋体"/>
                <w:color w:val="FF0000"/>
                <w:kern w:val="2"/>
                <w:sz w:val="21"/>
                <w:szCs w:val="21"/>
                <w:lang w:val="en-US" w:eastAsia="zh-CN" w:bidi="ar"/>
              </w:rPr>
              <w:t>的决定》（自</w:t>
            </w:r>
            <w:r>
              <w:rPr>
                <w:rFonts w:hint="default" w:ascii="Times New Roman" w:hAnsi="Times New Roman" w:eastAsia="宋体" w:cs="Times New Roman"/>
                <w:color w:val="FF0000"/>
                <w:kern w:val="2"/>
                <w:sz w:val="21"/>
                <w:szCs w:val="21"/>
                <w:lang w:val="en-US" w:eastAsia="zh-CN" w:bidi="ar"/>
              </w:rPr>
              <w:t>2017</w:t>
            </w:r>
            <w:r>
              <w:rPr>
                <w:rFonts w:hint="eastAsia" w:ascii="宋体" w:hAnsi="宋体" w:eastAsia="宋体" w:cs="宋体"/>
                <w:color w:val="FF0000"/>
                <w:kern w:val="2"/>
                <w:sz w:val="21"/>
                <w:szCs w:val="21"/>
                <w:lang w:val="en-US" w:eastAsia="zh-CN" w:bidi="ar"/>
              </w:rPr>
              <w:t>年</w:t>
            </w:r>
            <w:r>
              <w:rPr>
                <w:rFonts w:hint="default" w:ascii="Times New Roman" w:hAnsi="Times New Roman" w:eastAsia="宋体" w:cs="Times New Roman"/>
                <w:color w:val="FF0000"/>
                <w:kern w:val="2"/>
                <w:sz w:val="21"/>
                <w:szCs w:val="21"/>
                <w:lang w:val="en-US" w:eastAsia="zh-CN" w:bidi="ar"/>
              </w:rPr>
              <w:t>10</w:t>
            </w:r>
            <w:r>
              <w:rPr>
                <w:rFonts w:hint="eastAsia" w:ascii="宋体" w:hAnsi="宋体" w:eastAsia="宋体" w:cs="宋体"/>
                <w:color w:val="FF0000"/>
                <w:kern w:val="2"/>
                <w:sz w:val="21"/>
                <w:szCs w:val="21"/>
                <w:lang w:val="en-US" w:eastAsia="zh-CN" w:bidi="ar"/>
              </w:rPr>
              <w:t>月</w:t>
            </w:r>
            <w:r>
              <w:rPr>
                <w:rFonts w:hint="default" w:ascii="Times New Roman" w:hAnsi="Times New Roman" w:eastAsia="宋体" w:cs="Times New Roman"/>
                <w:color w:val="FF0000"/>
                <w:kern w:val="2"/>
                <w:sz w:val="21"/>
                <w:szCs w:val="21"/>
                <w:lang w:val="en-US" w:eastAsia="zh-CN" w:bidi="ar"/>
              </w:rPr>
              <w:t>1</w:t>
            </w:r>
            <w:r>
              <w:rPr>
                <w:rFonts w:hint="eastAsia" w:cs="Times New Roman"/>
                <w:color w:val="FF0000"/>
                <w:kern w:val="2"/>
                <w:sz w:val="21"/>
                <w:szCs w:val="21"/>
                <w:lang w:val="en-US" w:eastAsia="zh-CN" w:bidi="ar"/>
              </w:rPr>
              <w:t>日起</w:t>
            </w:r>
            <w:r>
              <w:rPr>
                <w:rFonts w:hint="eastAsia" w:ascii="宋体" w:hAnsi="宋体" w:eastAsia="宋体" w:cs="宋体"/>
                <w:color w:val="FF0000"/>
                <w:kern w:val="2"/>
                <w:sz w:val="21"/>
                <w:szCs w:val="21"/>
                <w:lang w:val="en-US" w:eastAsia="zh-CN" w:bidi="ar"/>
              </w:rPr>
              <w:t>施行），编制环境影响报告表的建设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除按照国家规定需要保密的情形外，建设单位应当依法向社会公开验收报告。</w:t>
            </w:r>
          </w:p>
          <w:p>
            <w:pPr>
              <w:keepNext w:val="0"/>
              <w:keepLines w:val="0"/>
              <w:widowControl w:val="0"/>
              <w:suppressLineNumbers w:val="0"/>
              <w:spacing w:before="0" w:beforeLines="0" w:beforeAutospacing="0" w:after="0" w:afterLines="0" w:afterAutospacing="0"/>
              <w:ind w:left="0" w:right="0" w:firstLine="422" w:firstLineChars="200"/>
              <w:jc w:val="center"/>
              <w:rPr>
                <w:rFonts w:hint="eastAsia" w:ascii="宋体" w:hAnsi="宋体" w:eastAsia="宋体" w:cs="宋体"/>
                <w:b/>
                <w:bCs w:val="0"/>
                <w:color w:val="FF0000"/>
                <w:kern w:val="2"/>
                <w:sz w:val="21"/>
                <w:szCs w:val="21"/>
              </w:rPr>
            </w:pPr>
            <w:r>
              <w:rPr>
                <w:rFonts w:hint="eastAsia" w:ascii="宋体" w:hAnsi="宋体" w:eastAsia="宋体" w:cs="宋体"/>
                <w:b/>
                <w:bCs w:val="0"/>
                <w:color w:val="FF0000"/>
                <w:kern w:val="2"/>
                <w:sz w:val="21"/>
                <w:szCs w:val="21"/>
                <w:lang w:val="en-US" w:eastAsia="zh-CN" w:bidi="ar"/>
              </w:rPr>
              <w:t>表</w:t>
            </w:r>
            <w:r>
              <w:rPr>
                <w:rFonts w:hint="default" w:ascii="Times New Roman" w:hAnsi="Times New Roman" w:eastAsia="宋体" w:cs="Times New Roman"/>
                <w:b/>
                <w:bCs w:val="0"/>
                <w:color w:val="FF0000"/>
                <w:kern w:val="2"/>
                <w:sz w:val="21"/>
                <w:szCs w:val="21"/>
                <w:lang w:val="en-US" w:eastAsia="zh-CN" w:bidi="ar"/>
              </w:rPr>
              <w:t>4-</w:t>
            </w:r>
            <w:r>
              <w:rPr>
                <w:rFonts w:hint="eastAsia" w:ascii="Times New Roman" w:hAnsi="Times New Roman" w:eastAsia="宋体" w:cs="Times New Roman"/>
                <w:b/>
                <w:bCs w:val="0"/>
                <w:color w:val="FF0000"/>
                <w:kern w:val="2"/>
                <w:sz w:val="21"/>
                <w:szCs w:val="21"/>
                <w:lang w:val="en-US" w:eastAsia="zh-CN" w:bidi="ar"/>
              </w:rPr>
              <w:t>1</w:t>
            </w:r>
            <w:r>
              <w:rPr>
                <w:rFonts w:hint="eastAsia" w:cs="Times New Roman"/>
                <w:b/>
                <w:bCs w:val="0"/>
                <w:color w:val="FF0000"/>
                <w:kern w:val="2"/>
                <w:sz w:val="21"/>
                <w:szCs w:val="21"/>
                <w:lang w:val="en-US" w:eastAsia="zh-CN" w:bidi="ar"/>
              </w:rPr>
              <w:t>6</w:t>
            </w:r>
            <w:r>
              <w:rPr>
                <w:rFonts w:hint="default" w:ascii="Times New Roman" w:hAnsi="Times New Roman" w:eastAsia="宋体" w:cs="Times New Roman"/>
                <w:b/>
                <w:bCs w:val="0"/>
                <w:color w:val="FF0000"/>
                <w:kern w:val="2"/>
                <w:sz w:val="21"/>
                <w:szCs w:val="21"/>
                <w:lang w:val="en-US" w:eastAsia="zh-CN" w:bidi="ar"/>
              </w:rPr>
              <w:t xml:space="preserve">  </w:t>
            </w:r>
            <w:r>
              <w:rPr>
                <w:rFonts w:hint="eastAsia" w:ascii="宋体" w:hAnsi="宋体" w:eastAsia="宋体" w:cs="宋体"/>
                <w:b/>
                <w:bCs w:val="0"/>
                <w:color w:val="FF0000"/>
                <w:kern w:val="2"/>
                <w:sz w:val="21"/>
                <w:szCs w:val="21"/>
                <w:lang w:val="en-US" w:eastAsia="zh-CN" w:bidi="ar"/>
              </w:rPr>
              <w:t>环保验收一览表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06"/>
              <w:gridCol w:w="1246"/>
              <w:gridCol w:w="2321"/>
              <w:gridCol w:w="3217"/>
              <w:gridCol w:w="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9" w:hRule="atLeast"/>
                <w:jc w:val="center"/>
              </w:trPr>
              <w:tc>
                <w:tcPr>
                  <w:tcW w:w="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类别</w:t>
                  </w:r>
                </w:p>
              </w:tc>
              <w:tc>
                <w:tcPr>
                  <w:tcW w:w="124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污染物</w:t>
                  </w:r>
                </w:p>
              </w:tc>
              <w:tc>
                <w:tcPr>
                  <w:tcW w:w="232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环保措施</w:t>
                  </w:r>
                </w:p>
              </w:tc>
              <w:tc>
                <w:tcPr>
                  <w:tcW w:w="321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验收标准</w:t>
                  </w:r>
                </w:p>
              </w:tc>
              <w:tc>
                <w:tcPr>
                  <w:tcW w:w="71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b/>
                      <w:bCs/>
                      <w:color w:val="FF0000"/>
                      <w:kern w:val="2"/>
                      <w:sz w:val="21"/>
                      <w:szCs w:val="21"/>
                    </w:rPr>
                  </w:pPr>
                  <w:r>
                    <w:rPr>
                      <w:rFonts w:hint="eastAsia" w:ascii="宋体" w:hAnsi="宋体" w:eastAsia="宋体" w:cs="宋体"/>
                      <w:b/>
                      <w:bCs/>
                      <w:color w:val="FF0000"/>
                      <w:kern w:val="2"/>
                      <w:sz w:val="21"/>
                      <w:szCs w:val="21"/>
                      <w:lang w:val="en-US" w:eastAsia="zh-CN" w:bidi="ar"/>
                    </w:rPr>
                    <w:t>实施时段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8" w:hRule="atLeast"/>
                <w:jc w:val="center"/>
              </w:trPr>
              <w:tc>
                <w:tcPr>
                  <w:tcW w:w="806" w:type="dxa"/>
                  <w:vMerge w:val="restart"/>
                  <w:tcBorders>
                    <w:top w:val="nil"/>
                    <w:left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废气</w:t>
                  </w:r>
                </w:p>
              </w:tc>
              <w:tc>
                <w:tcPr>
                  <w:tcW w:w="1246" w:type="dxa"/>
                  <w:tcBorders>
                    <w:top w:val="single" w:color="auto" w:sz="4" w:space="0"/>
                    <w:left w:val="nil"/>
                    <w:right w:val="single" w:color="auto" w:sz="4" w:space="0"/>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leftChars="0" w:right="0" w:rightChars="0"/>
                    <w:jc w:val="center"/>
                    <w:rPr>
                      <w:rFonts w:hint="eastAsia" w:ascii="宋体" w:hAnsi="宋体" w:eastAsia="宋体" w:cs="宋体"/>
                      <w:color w:val="FF0000"/>
                      <w:kern w:val="2"/>
                      <w:sz w:val="21"/>
                      <w:szCs w:val="21"/>
                    </w:rPr>
                  </w:pPr>
                  <w:r>
                    <w:rPr>
                      <w:rFonts w:hint="eastAsia" w:ascii="宋体" w:hAnsi="宋体" w:eastAsia="宋体" w:cs="宋体"/>
                      <w:color w:val="FF0000"/>
                      <w:kern w:val="0"/>
                      <w:sz w:val="21"/>
                      <w:szCs w:val="21"/>
                      <w:lang w:val="en-US" w:eastAsia="zh-CN" w:bidi="ar"/>
                    </w:rPr>
                    <w:t>工艺粉尘</w:t>
                  </w:r>
                </w:p>
              </w:tc>
              <w:tc>
                <w:tcPr>
                  <w:tcW w:w="232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leftChars="0" w:right="0" w:right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0"/>
                      <w:sz w:val="21"/>
                      <w:szCs w:val="21"/>
                      <w:lang w:val="en-US" w:eastAsia="zh-CN" w:bidi="ar"/>
                    </w:rPr>
                    <w:t>运营期粉煤灰储备库贮存粉尘分别经脉冲布袋除尘器处理后通过配套</w:t>
                  </w:r>
                  <w:r>
                    <w:rPr>
                      <w:rFonts w:hint="default" w:ascii="Times New Roman" w:hAnsi="Times New Roman" w:eastAsia="宋体" w:cs="Times New Roman"/>
                      <w:color w:val="FF0000"/>
                      <w:kern w:val="0"/>
                      <w:sz w:val="21"/>
                      <w:szCs w:val="21"/>
                      <w:lang w:val="en-US" w:eastAsia="zh-CN" w:bidi="ar"/>
                    </w:rPr>
                    <w:t>15</w:t>
                  </w:r>
                  <w:r>
                    <w:rPr>
                      <w:rFonts w:hint="eastAsia" w:ascii="宋体" w:hAnsi="宋体" w:eastAsia="宋体" w:cs="宋体"/>
                      <w:color w:val="FF0000"/>
                      <w:kern w:val="0"/>
                      <w:sz w:val="21"/>
                      <w:szCs w:val="21"/>
                      <w:lang w:val="en-US" w:eastAsia="zh-CN" w:bidi="ar"/>
                    </w:rPr>
                    <w:t>米高排气筒排放。</w:t>
                  </w:r>
                </w:p>
              </w:tc>
              <w:tc>
                <w:tcPr>
                  <w:tcW w:w="3217" w:type="dxa"/>
                  <w:vMerge w:val="restart"/>
                  <w:tcBorders>
                    <w:top w:val="single" w:color="auto" w:sz="4" w:space="0"/>
                    <w:left w:val="nil"/>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cs="Times New Roman"/>
                      <w:color w:val="FF0000"/>
                      <w:kern w:val="2"/>
                      <w:sz w:val="21"/>
                      <w:szCs w:val="21"/>
                      <w:lang w:val="en-US" w:eastAsia="zh-CN" w:bidi="ar"/>
                    </w:rPr>
                    <w:t>《大气污染物综合排放标准》（GB16297-1996）表2颗粒物排放标准限值</w:t>
                  </w:r>
                </w:p>
              </w:tc>
              <w:tc>
                <w:tcPr>
                  <w:tcW w:w="715" w:type="dxa"/>
                  <w:vMerge w:val="restar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环评批复后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23" w:hRule="atLeast"/>
                <w:jc w:val="center"/>
              </w:trPr>
              <w:tc>
                <w:tcPr>
                  <w:tcW w:w="806" w:type="dxa"/>
                  <w:vMerge w:val="continue"/>
                  <w:tcBorders>
                    <w:left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c>
                <w:tcPr>
                  <w:tcW w:w="1246" w:type="dxa"/>
                  <w:tcBorders>
                    <w:top w:val="single" w:color="auto" w:sz="4" w:space="0"/>
                    <w:left w:val="nil"/>
                    <w:right w:val="single" w:color="auto" w:sz="4" w:space="0"/>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leftChars="0" w:right="0" w:rightChars="0"/>
                    <w:jc w:val="center"/>
                    <w:rPr>
                      <w:rFonts w:hint="default" w:ascii="宋体" w:hAnsi="宋体" w:eastAsia="宋体" w:cs="宋体"/>
                      <w:color w:val="FF0000"/>
                      <w:kern w:val="2"/>
                      <w:sz w:val="21"/>
                      <w:szCs w:val="21"/>
                      <w:lang w:val="en-US" w:eastAsia="zh-CN" w:bidi="ar"/>
                    </w:rPr>
                  </w:pPr>
                  <w:r>
                    <w:rPr>
                      <w:rFonts w:hint="eastAsia" w:ascii="宋体" w:hAnsi="宋体" w:eastAsia="宋体" w:cs="宋体"/>
                      <w:color w:val="FF0000"/>
                      <w:kern w:val="0"/>
                      <w:sz w:val="21"/>
                      <w:szCs w:val="21"/>
                      <w:lang w:val="en-US" w:eastAsia="zh-CN" w:bidi="ar"/>
                    </w:rPr>
                    <w:t>运输扬尘</w:t>
                  </w:r>
                </w:p>
              </w:tc>
              <w:tc>
                <w:tcPr>
                  <w:tcW w:w="232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Lines="0" w:beforeAutospacing="0" w:after="0" w:afterLines="0" w:afterAutospacing="0"/>
                    <w:ind w:left="0" w:leftChars="0" w:right="0" w:rightChars="0"/>
                    <w:jc w:val="center"/>
                    <w:rPr>
                      <w:rFonts w:hint="default" w:ascii="宋体" w:hAnsi="宋体" w:eastAsia="宋体" w:cs="宋体"/>
                      <w:color w:val="FF0000"/>
                      <w:kern w:val="2"/>
                      <w:sz w:val="21"/>
                      <w:szCs w:val="21"/>
                      <w:lang w:val="en-US" w:eastAsia="zh-CN" w:bidi="ar"/>
                    </w:rPr>
                  </w:pPr>
                  <w:r>
                    <w:rPr>
                      <w:rFonts w:hint="eastAsia" w:ascii="宋体" w:hAnsi="宋体" w:eastAsia="宋体" w:cs="宋体"/>
                      <w:color w:val="FF0000"/>
                      <w:kern w:val="0"/>
                      <w:sz w:val="21"/>
                      <w:szCs w:val="21"/>
                      <w:lang w:val="en-US" w:eastAsia="zh-CN" w:bidi="ar"/>
                    </w:rPr>
                    <w:t>运输车辆扬尘采取洒水抑尘、控制车速、地面硬化等措施。</w:t>
                  </w:r>
                </w:p>
              </w:tc>
              <w:tc>
                <w:tcPr>
                  <w:tcW w:w="3217" w:type="dxa"/>
                  <w:tcBorders>
                    <w:left w:val="nil"/>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leftChars="0" w:right="0" w:rightChars="0" w:firstLine="0" w:firstLineChars="0"/>
                    <w:jc w:val="center"/>
                    <w:textAlignment w:val="baseline"/>
                    <w:rPr>
                      <w:rFonts w:hint="default" w:ascii="Times New Roman" w:hAnsi="Times New Roman" w:eastAsia="宋体" w:cs="Times New Roman"/>
                      <w:color w:val="FF0000"/>
                      <w:kern w:val="0"/>
                      <w:sz w:val="21"/>
                      <w:szCs w:val="21"/>
                      <w:vertAlign w:val="baseline"/>
                    </w:rPr>
                  </w:pPr>
                  <w:r>
                    <w:rPr>
                      <w:rFonts w:hint="eastAsia" w:cs="Times New Roman"/>
                      <w:color w:val="FF0000"/>
                      <w:kern w:val="0"/>
                      <w:sz w:val="21"/>
                      <w:szCs w:val="21"/>
                      <w:vertAlign w:val="baseline"/>
                      <w:lang w:eastAsia="zh-CN"/>
                    </w:rPr>
                    <w:t>《大气污染物综合排放标准》（GB16297-1996）表2中无组织排放监控浓度限值</w:t>
                  </w:r>
                </w:p>
              </w:tc>
              <w:tc>
                <w:tcPr>
                  <w:tcW w:w="715" w:type="dxa"/>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38" w:hRule="atLeast"/>
                <w:jc w:val="center"/>
              </w:trPr>
              <w:tc>
                <w:tcPr>
                  <w:tcW w:w="80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废水</w:t>
                  </w:r>
                </w:p>
              </w:tc>
              <w:tc>
                <w:tcPr>
                  <w:tcW w:w="1246" w:type="dxa"/>
                  <w:tcBorders>
                    <w:top w:val="single" w:color="auto" w:sz="4" w:space="0"/>
                    <w:left w:val="nil"/>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化学需氧量、五日生化需氧量、氨氮、悬浮物</w:t>
                  </w:r>
                </w:p>
              </w:tc>
              <w:tc>
                <w:tcPr>
                  <w:tcW w:w="2321" w:type="dxa"/>
                  <w:tcBorders>
                    <w:top w:val="single" w:color="auto" w:sz="4" w:space="0"/>
                    <w:left w:val="nil"/>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生活污水排入园区污水管网进入园区污水处理厂处理</w:t>
                  </w:r>
                  <w:r>
                    <w:rPr>
                      <w:rFonts w:hint="eastAsia" w:ascii="宋体" w:hAnsi="宋体" w:cs="宋体"/>
                      <w:color w:val="FF0000"/>
                      <w:kern w:val="2"/>
                      <w:sz w:val="21"/>
                      <w:szCs w:val="21"/>
                      <w:lang w:val="en-US" w:eastAsia="zh-CN" w:bidi="ar"/>
                    </w:rPr>
                    <w:t>。</w:t>
                  </w:r>
                </w:p>
              </w:tc>
              <w:tc>
                <w:tcPr>
                  <w:tcW w:w="321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《污水综合排放标准》（</w:t>
                  </w:r>
                  <w:r>
                    <w:rPr>
                      <w:rFonts w:hint="default" w:ascii="Times New Roman" w:hAnsi="Times New Roman" w:eastAsia="宋体" w:cs="Times New Roman"/>
                      <w:color w:val="FF0000"/>
                      <w:kern w:val="2"/>
                      <w:sz w:val="21"/>
                      <w:szCs w:val="21"/>
                      <w:lang w:val="en-US" w:eastAsia="zh-CN" w:bidi="ar"/>
                    </w:rPr>
                    <w:t>GB8978-1996</w:t>
                  </w:r>
                  <w:r>
                    <w:rPr>
                      <w:rFonts w:hint="eastAsia" w:ascii="宋体" w:hAnsi="宋体" w:eastAsia="宋体" w:cs="宋体"/>
                      <w:color w:val="FF0000"/>
                      <w:kern w:val="2"/>
                      <w:sz w:val="21"/>
                      <w:szCs w:val="21"/>
                      <w:lang w:val="en-US" w:eastAsia="zh-CN" w:bidi="ar"/>
                    </w:rPr>
                    <w:t>）中三级标准和《污水排入城镇下水道水质标准》（</w:t>
                  </w:r>
                  <w:r>
                    <w:rPr>
                      <w:rFonts w:hint="default" w:ascii="Times New Roman" w:hAnsi="Times New Roman" w:eastAsia="宋体" w:cs="Times New Roman"/>
                      <w:color w:val="FF0000"/>
                      <w:kern w:val="2"/>
                      <w:sz w:val="21"/>
                      <w:szCs w:val="21"/>
                      <w:lang w:val="en-US" w:eastAsia="zh-CN" w:bidi="ar"/>
                    </w:rPr>
                    <w:t>GB/T31962-2015</w:t>
                  </w:r>
                  <w:r>
                    <w:rPr>
                      <w:rFonts w:hint="eastAsia" w:ascii="宋体" w:hAnsi="宋体" w:eastAsia="宋体" w:cs="宋体"/>
                      <w:color w:val="FF0000"/>
                      <w:kern w:val="2"/>
                      <w:sz w:val="21"/>
                      <w:szCs w:val="21"/>
                      <w:lang w:val="en-US" w:eastAsia="zh-CN" w:bidi="ar"/>
                    </w:rPr>
                    <w:t>）中</w:t>
                  </w:r>
                  <w:r>
                    <w:rPr>
                      <w:rFonts w:hint="default" w:ascii="Times New Roman" w:hAnsi="Times New Roman" w:eastAsia="宋体" w:cs="Times New Roman"/>
                      <w:color w:val="FF0000"/>
                      <w:kern w:val="2"/>
                      <w:sz w:val="21"/>
                      <w:szCs w:val="21"/>
                      <w:lang w:val="en-US" w:eastAsia="zh-CN" w:bidi="ar"/>
                    </w:rPr>
                    <w:t>NH</w:t>
                  </w:r>
                  <w:r>
                    <w:rPr>
                      <w:rFonts w:hint="default" w:ascii="Times New Roman" w:hAnsi="Times New Roman" w:eastAsia="宋体" w:cs="Times New Roman"/>
                      <w:color w:val="FF0000"/>
                      <w:kern w:val="2"/>
                      <w:sz w:val="21"/>
                      <w:szCs w:val="21"/>
                      <w:vertAlign w:val="subscript"/>
                      <w:lang w:val="en-US" w:eastAsia="zh-CN" w:bidi="ar"/>
                    </w:rPr>
                    <w:t>3</w:t>
                  </w:r>
                  <w:r>
                    <w:rPr>
                      <w:rFonts w:hint="default" w:ascii="Times New Roman" w:hAnsi="Times New Roman" w:eastAsia="宋体" w:cs="Times New Roman"/>
                      <w:color w:val="FF0000"/>
                      <w:kern w:val="2"/>
                      <w:sz w:val="21"/>
                      <w:szCs w:val="21"/>
                      <w:lang w:val="en-US" w:eastAsia="zh-CN" w:bidi="ar"/>
                    </w:rPr>
                    <w:t>-N</w:t>
                  </w:r>
                  <w:r>
                    <w:rPr>
                      <w:rFonts w:hint="eastAsia" w:ascii="宋体" w:hAnsi="宋体" w:eastAsia="宋体" w:cs="宋体"/>
                      <w:color w:val="FF0000"/>
                      <w:kern w:val="2"/>
                      <w:sz w:val="21"/>
                      <w:szCs w:val="21"/>
                      <w:lang w:val="en-US" w:eastAsia="zh-CN" w:bidi="ar"/>
                    </w:rPr>
                    <w:t>最高允许值中</w:t>
                  </w:r>
                  <w:r>
                    <w:rPr>
                      <w:rFonts w:hint="default" w:ascii="Times New Roman" w:hAnsi="Times New Roman" w:eastAsia="宋体" w:cs="Times New Roman"/>
                      <w:color w:val="FF0000"/>
                      <w:kern w:val="2"/>
                      <w:sz w:val="21"/>
                      <w:szCs w:val="21"/>
                      <w:lang w:val="en-US" w:eastAsia="zh-CN" w:bidi="ar"/>
                    </w:rPr>
                    <w:t>B</w:t>
                  </w:r>
                  <w:r>
                    <w:rPr>
                      <w:rFonts w:hint="eastAsia" w:ascii="宋体" w:hAnsi="宋体" w:eastAsia="宋体" w:cs="宋体"/>
                      <w:color w:val="FF0000"/>
                      <w:kern w:val="2"/>
                      <w:sz w:val="21"/>
                      <w:szCs w:val="21"/>
                      <w:lang w:val="en-US" w:eastAsia="zh-CN" w:bidi="ar"/>
                    </w:rPr>
                    <w:t>级标准</w:t>
                  </w:r>
                  <w:r>
                    <w:rPr>
                      <w:rFonts w:hint="default" w:ascii="Times New Roman" w:hAnsi="Times New Roman" w:eastAsia="宋体" w:cs="Times New Roman"/>
                      <w:color w:val="FF0000"/>
                      <w:kern w:val="2"/>
                      <w:sz w:val="21"/>
                      <w:szCs w:val="21"/>
                      <w:lang w:val="en-US" w:eastAsia="zh-CN" w:bidi="ar"/>
                    </w:rPr>
                    <w:t>45mg/L</w:t>
                  </w:r>
                </w:p>
              </w:tc>
              <w:tc>
                <w:tcPr>
                  <w:tcW w:w="715" w:type="dxa"/>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噪声</w:t>
                  </w:r>
                </w:p>
              </w:tc>
              <w:tc>
                <w:tcPr>
                  <w:tcW w:w="124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机械噪声</w:t>
                  </w:r>
                </w:p>
              </w:tc>
              <w:tc>
                <w:tcPr>
                  <w:tcW w:w="232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隔声、减振</w:t>
                  </w:r>
                  <w:r>
                    <w:rPr>
                      <w:rFonts w:hint="eastAsia" w:ascii="宋体" w:hAnsi="宋体" w:cs="宋体"/>
                      <w:color w:val="FF0000"/>
                      <w:kern w:val="2"/>
                      <w:sz w:val="21"/>
                      <w:szCs w:val="21"/>
                      <w:lang w:val="en-US" w:eastAsia="zh-CN" w:bidi="ar"/>
                    </w:rPr>
                    <w:t>。</w:t>
                  </w:r>
                </w:p>
              </w:tc>
              <w:tc>
                <w:tcPr>
                  <w:tcW w:w="321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b w:val="0"/>
                      <w:bCs w:val="0"/>
                      <w:color w:val="FF0000"/>
                      <w:kern w:val="2"/>
                      <w:sz w:val="21"/>
                      <w:szCs w:val="21"/>
                      <w:lang w:val="en-US" w:eastAsia="zh-CN" w:bidi="ar"/>
                    </w:rPr>
                    <w:t>《工业企业厂界环境噪声排放标准》（</w:t>
                  </w:r>
                  <w:r>
                    <w:rPr>
                      <w:rFonts w:hint="default" w:ascii="Times New Roman" w:hAnsi="Times New Roman" w:eastAsia="宋体" w:cs="Times New Roman"/>
                      <w:b w:val="0"/>
                      <w:bCs w:val="0"/>
                      <w:color w:val="FF0000"/>
                      <w:kern w:val="2"/>
                      <w:sz w:val="21"/>
                      <w:szCs w:val="21"/>
                      <w:lang w:val="en-US" w:eastAsia="zh-CN" w:bidi="ar"/>
                    </w:rPr>
                    <w:t>GB12348-2008</w:t>
                  </w:r>
                  <w:r>
                    <w:rPr>
                      <w:rFonts w:hint="eastAsia" w:ascii="宋体" w:hAnsi="宋体" w:eastAsia="宋体" w:cs="宋体"/>
                      <w:b w:val="0"/>
                      <w:bCs w:val="0"/>
                      <w:color w:val="FF0000"/>
                      <w:kern w:val="2"/>
                      <w:sz w:val="21"/>
                      <w:szCs w:val="21"/>
                      <w:lang w:val="en-US" w:eastAsia="zh-CN" w:bidi="ar"/>
                    </w:rPr>
                    <w:t>）中</w:t>
                  </w:r>
                  <w:r>
                    <w:rPr>
                      <w:rFonts w:hint="default" w:ascii="Times New Roman" w:hAnsi="Times New Roman" w:eastAsia="宋体" w:cs="Times New Roman"/>
                      <w:b w:val="0"/>
                      <w:bCs w:val="0"/>
                      <w:color w:val="FF0000"/>
                      <w:kern w:val="2"/>
                      <w:sz w:val="21"/>
                      <w:szCs w:val="21"/>
                      <w:lang w:val="en-US" w:eastAsia="zh-CN" w:bidi="ar"/>
                    </w:rPr>
                    <w:t>3类标</w:t>
                  </w:r>
                  <w:r>
                    <w:rPr>
                      <w:rFonts w:hint="eastAsia" w:ascii="宋体" w:hAnsi="宋体" w:eastAsia="宋体" w:cs="宋体"/>
                      <w:b w:val="0"/>
                      <w:bCs w:val="0"/>
                      <w:color w:val="FF0000"/>
                      <w:kern w:val="2"/>
                      <w:sz w:val="21"/>
                      <w:szCs w:val="21"/>
                      <w:lang w:val="en-US" w:eastAsia="zh-CN" w:bidi="ar"/>
                    </w:rPr>
                    <w:t>准</w:t>
                  </w:r>
                </w:p>
              </w:tc>
              <w:tc>
                <w:tcPr>
                  <w:tcW w:w="715" w:type="dxa"/>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806"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固废</w:t>
                  </w:r>
                </w:p>
              </w:tc>
              <w:tc>
                <w:tcPr>
                  <w:tcW w:w="124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一般工业固废</w:t>
                  </w:r>
                </w:p>
              </w:tc>
              <w:tc>
                <w:tcPr>
                  <w:tcW w:w="232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收集粉尘全部作为产品外售</w:t>
                  </w:r>
                  <w:r>
                    <w:rPr>
                      <w:rFonts w:hint="eastAsia" w:ascii="宋体" w:hAnsi="宋体" w:cs="宋体"/>
                      <w:color w:val="FF0000"/>
                      <w:kern w:val="2"/>
                      <w:sz w:val="21"/>
                      <w:szCs w:val="21"/>
                      <w:lang w:val="en-US" w:eastAsia="zh-CN" w:bidi="ar"/>
                    </w:rPr>
                    <w:t>。</w:t>
                  </w:r>
                </w:p>
              </w:tc>
              <w:tc>
                <w:tcPr>
                  <w:tcW w:w="321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default"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《一般工业固体废物贮存和填埋污染控制标准》（</w:t>
                  </w:r>
                  <w:r>
                    <w:rPr>
                      <w:rFonts w:hint="default" w:ascii="Times New Roman" w:hAnsi="Times New Roman" w:eastAsia="宋体" w:cs="Times New Roman"/>
                      <w:color w:val="FF0000"/>
                      <w:kern w:val="2"/>
                      <w:sz w:val="21"/>
                      <w:szCs w:val="21"/>
                      <w:lang w:val="en-US" w:eastAsia="zh-CN" w:bidi="ar"/>
                    </w:rPr>
                    <w:t>GB18599-2020</w:t>
                  </w:r>
                  <w:r>
                    <w:rPr>
                      <w:rFonts w:hint="eastAsia" w:ascii="宋体" w:hAnsi="宋体" w:eastAsia="宋体" w:cs="宋体"/>
                      <w:color w:val="FF0000"/>
                      <w:kern w:val="2"/>
                      <w:sz w:val="21"/>
                      <w:szCs w:val="21"/>
                      <w:lang w:val="en-US" w:eastAsia="zh-CN" w:bidi="ar"/>
                    </w:rPr>
                    <w:t>）中相关要求</w:t>
                  </w:r>
                </w:p>
              </w:tc>
              <w:tc>
                <w:tcPr>
                  <w:tcW w:w="715" w:type="dxa"/>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806"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c>
                <w:tcPr>
                  <w:tcW w:w="1246" w:type="dxa"/>
                  <w:tcBorders>
                    <w:top w:val="single" w:color="auto" w:sz="4" w:space="0"/>
                    <w:left w:val="nil"/>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生活垃圾</w:t>
                  </w:r>
                </w:p>
              </w:tc>
              <w:tc>
                <w:tcPr>
                  <w:tcW w:w="2321" w:type="dxa"/>
                  <w:tcBorders>
                    <w:top w:val="single" w:color="auto" w:sz="4" w:space="0"/>
                    <w:left w:val="nil"/>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生活垃圾收集后交由园区环卫部门处理</w:t>
                  </w:r>
                  <w:r>
                    <w:rPr>
                      <w:rFonts w:hint="eastAsia" w:ascii="宋体" w:hAnsi="宋体" w:cs="宋体"/>
                      <w:color w:val="FF0000"/>
                      <w:kern w:val="2"/>
                      <w:sz w:val="21"/>
                      <w:szCs w:val="21"/>
                      <w:lang w:val="en-US" w:eastAsia="zh-CN" w:bidi="ar"/>
                    </w:rPr>
                    <w:t>。</w:t>
                  </w:r>
                </w:p>
              </w:tc>
              <w:tc>
                <w:tcPr>
                  <w:tcW w:w="321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w:t>
                  </w:r>
                </w:p>
              </w:tc>
              <w:tc>
                <w:tcPr>
                  <w:tcW w:w="715" w:type="dxa"/>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环境管理</w:t>
                  </w:r>
                </w:p>
              </w:tc>
              <w:tc>
                <w:tcPr>
                  <w:tcW w:w="124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排放口信息化、规范化管理</w:t>
                  </w:r>
                </w:p>
              </w:tc>
              <w:tc>
                <w:tcPr>
                  <w:tcW w:w="232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完善各类标识标牌制作，设置与之相适应的环境保护图形标志牌和企业排污口分布图</w:t>
                  </w:r>
                  <w:r>
                    <w:rPr>
                      <w:rFonts w:hint="eastAsia" w:ascii="宋体" w:hAnsi="宋体" w:cs="宋体"/>
                      <w:color w:val="FF0000"/>
                      <w:kern w:val="2"/>
                      <w:sz w:val="21"/>
                      <w:szCs w:val="21"/>
                      <w:lang w:val="en-US" w:eastAsia="zh-CN" w:bidi="ar"/>
                    </w:rPr>
                    <w:t>。</w:t>
                  </w:r>
                </w:p>
              </w:tc>
              <w:tc>
                <w:tcPr>
                  <w:tcW w:w="321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w:t>
                  </w:r>
                </w:p>
              </w:tc>
              <w:tc>
                <w:tcPr>
                  <w:tcW w:w="715" w:type="dxa"/>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应急防范</w:t>
                  </w:r>
                </w:p>
              </w:tc>
              <w:tc>
                <w:tcPr>
                  <w:tcW w:w="124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应急预案</w:t>
                  </w:r>
                </w:p>
              </w:tc>
              <w:tc>
                <w:tcPr>
                  <w:tcW w:w="232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突发环境事件应急预案编制、备案</w:t>
                  </w:r>
                  <w:r>
                    <w:rPr>
                      <w:rFonts w:hint="eastAsia" w:ascii="宋体" w:hAnsi="宋体" w:cs="宋体"/>
                      <w:color w:val="FF0000"/>
                      <w:kern w:val="2"/>
                      <w:sz w:val="21"/>
                      <w:szCs w:val="21"/>
                      <w:lang w:val="en-US" w:eastAsia="zh-CN" w:bidi="ar"/>
                    </w:rPr>
                    <w:t>。</w:t>
                  </w:r>
                </w:p>
              </w:tc>
              <w:tc>
                <w:tcPr>
                  <w:tcW w:w="3217"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ind w:left="0" w:leftChars="0" w:right="0" w:rightChars="0" w:firstLine="0" w:firstLineChars="0"/>
                    <w:jc w:val="center"/>
                    <w:rPr>
                      <w:rFonts w:hint="eastAsia" w:ascii="宋体" w:hAnsi="宋体" w:eastAsia="宋体" w:cs="宋体"/>
                      <w:color w:val="FF0000"/>
                      <w:kern w:val="2"/>
                      <w:sz w:val="21"/>
                      <w:szCs w:val="21"/>
                    </w:rPr>
                  </w:pPr>
                  <w:r>
                    <w:rPr>
                      <w:rFonts w:hint="eastAsia" w:ascii="宋体" w:hAnsi="宋体" w:eastAsia="宋体" w:cs="宋体"/>
                      <w:color w:val="FF0000"/>
                      <w:kern w:val="2"/>
                      <w:sz w:val="21"/>
                      <w:szCs w:val="21"/>
                      <w:lang w:val="en-US" w:eastAsia="zh-CN" w:bidi="ar"/>
                    </w:rPr>
                    <w:t>/</w:t>
                  </w:r>
                </w:p>
              </w:tc>
              <w:tc>
                <w:tcPr>
                  <w:tcW w:w="715" w:type="dxa"/>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rPr>
                      <w:rFonts w:hint="default" w:ascii="Times New Roman" w:hAnsi="Times New Roman" w:cs="Times New Roman"/>
                      <w:color w:val="FF0000"/>
                      <w:sz w:val="20"/>
                      <w:szCs w:val="20"/>
                    </w:rPr>
                  </w:pPr>
                </w:p>
              </w:tc>
            </w:tr>
          </w:tbl>
          <w:p>
            <w:pPr>
              <w:pStyle w:val="11"/>
              <w:keepNext w:val="0"/>
              <w:keepLines w:val="0"/>
              <w:suppressLineNumbers w:val="0"/>
              <w:spacing w:beforeAutospacing="0" w:afterAutospacing="0"/>
              <w:ind w:left="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bl>
    <w:p>
      <w:pPr>
        <w:pStyle w:val="20"/>
        <w:keepNext w:val="0"/>
        <w:keepLines w:val="0"/>
        <w:pageBreakBefore/>
        <w:widowControl/>
        <w:kinsoku/>
        <w:wordWrap/>
        <w:overflowPunct/>
        <w:topLinePunct w:val="0"/>
        <w:autoSpaceDE/>
        <w:autoSpaceDN/>
        <w:bidi w:val="0"/>
        <w:adjustRightInd w:val="0"/>
        <w:snapToGrid w:val="0"/>
        <w:spacing w:line="240" w:lineRule="auto"/>
        <w:textAlignment w:val="center"/>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五、</w:t>
      </w:r>
      <w:bookmarkStart w:id="25" w:name="_Hlk54167917"/>
      <w:r>
        <w:rPr>
          <w:rFonts w:hint="eastAsia"/>
          <w:color w:val="000000" w:themeColor="text1"/>
          <w14:textFill>
            <w14:solidFill>
              <w14:schemeClr w14:val="tx1"/>
            </w14:solidFill>
          </w14:textFill>
        </w:rPr>
        <w:t>环境保护措施监督检查清单</w:t>
      </w:r>
      <w:bookmarkEnd w:id="25"/>
    </w:p>
    <w:tbl>
      <w:tblPr>
        <w:tblStyle w:val="23"/>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569"/>
        <w:gridCol w:w="1073"/>
        <w:gridCol w:w="1623"/>
        <w:gridCol w:w="28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55" w:type="dxa"/>
            <w:tcBorders>
              <w:tl2br w:val="single" w:color="auto" w:sz="4" w:space="0"/>
            </w:tcBorders>
            <w:noWrap w:val="0"/>
            <w:vAlign w:val="top"/>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840" w:firstLineChars="40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内容</w:t>
            </w:r>
          </w:p>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要素</w:t>
            </w:r>
          </w:p>
        </w:tc>
        <w:tc>
          <w:tcPr>
            <w:tcW w:w="1569"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排放口</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编号、</w:t>
            </w:r>
          </w:p>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名称</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/污染源</w:t>
            </w:r>
          </w:p>
        </w:tc>
        <w:tc>
          <w:tcPr>
            <w:tcW w:w="1073"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污染物项目</w:t>
            </w:r>
          </w:p>
        </w:tc>
        <w:tc>
          <w:tcPr>
            <w:tcW w:w="1623"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环境保护措施</w:t>
            </w:r>
          </w:p>
        </w:tc>
        <w:tc>
          <w:tcPr>
            <w:tcW w:w="2880"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655" w:type="dxa"/>
            <w:vMerge w:val="restart"/>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大气环境</w:t>
            </w:r>
          </w:p>
        </w:tc>
        <w:tc>
          <w:tcPr>
            <w:tcW w:w="1569"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DA001</w:t>
            </w:r>
          </w:p>
        </w:tc>
        <w:tc>
          <w:tcPr>
            <w:tcW w:w="1073"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颗粒物</w:t>
            </w:r>
          </w:p>
        </w:tc>
        <w:tc>
          <w:tcPr>
            <w:tcW w:w="1623"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bidi="ar"/>
                <w14:textFill>
                  <w14:solidFill>
                    <w14:schemeClr w14:val="tx1"/>
                  </w14:solidFill>
                </w14:textFill>
              </w:rPr>
              <w:t>布袋除尘器+15m高排气筒</w:t>
            </w:r>
          </w:p>
        </w:tc>
        <w:tc>
          <w:tcPr>
            <w:tcW w:w="2880" w:type="dxa"/>
            <w:vMerge w:val="restart"/>
            <w:noWrap w:val="0"/>
            <w:vAlign w:val="center"/>
          </w:tcPr>
          <w:p>
            <w:pPr>
              <w:keepNext w:val="0"/>
              <w:keepLines w:val="0"/>
              <w:widowControl w:val="0"/>
              <w:suppressLineNumbers w:val="0"/>
              <w:autoSpaceDE w:val="0"/>
              <w:autoSpaceDN w:val="0"/>
              <w:spacing w:before="0" w:beforeAutospacing="0" w:after="0" w:afterAutospacing="0"/>
              <w:ind w:left="0" w:leftChars="0" w:right="0" w:rightChars="0" w:firstLine="0" w:firstLineChars="0"/>
              <w:jc w:val="center"/>
              <w:textAlignment w:val="baseline"/>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kern w:val="2"/>
                <w:sz w:val="21"/>
                <w:szCs w:val="21"/>
                <w:vertAlign w:val="baseline"/>
                <w:lang w:val="en-US" w:eastAsia="zh-CN" w:bidi="ar-SA"/>
                <w14:textFill>
                  <w14:solidFill>
                    <w14:schemeClr w14:val="tx1"/>
                  </w14:solidFill>
                </w14:textFill>
              </w:rPr>
              <w:t>《大气污染物综合排放标准》（GB16297-1996）表2颗粒物排放标准限值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655" w:type="dxa"/>
            <w:vMerge w:val="continue"/>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569"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DA00</w:t>
            </w:r>
            <w:r>
              <w:rPr>
                <w:rFonts w:hint="eastAsia" w:cs="Times New Roman"/>
                <w:color w:val="000000" w:themeColor="text1"/>
                <w:sz w:val="21"/>
                <w:szCs w:val="21"/>
                <w:lang w:val="en-US" w:eastAsia="zh-CN" w:bidi="ar"/>
                <w14:textFill>
                  <w14:solidFill>
                    <w14:schemeClr w14:val="tx1"/>
                  </w14:solidFill>
                </w14:textFill>
              </w:rPr>
              <w:t>2</w:t>
            </w:r>
          </w:p>
        </w:tc>
        <w:tc>
          <w:tcPr>
            <w:tcW w:w="1073"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1"/>
                <w:szCs w:val="21"/>
                <w:lang w:bidi="ar"/>
                <w14:textFill>
                  <w14:solidFill>
                    <w14:schemeClr w14:val="tx1"/>
                  </w14:solidFill>
                </w14:textFill>
              </w:rPr>
            </w:pPr>
            <w:r>
              <w:rPr>
                <w:rFonts w:hint="eastAsia" w:cs="Times New Roman"/>
                <w:color w:val="000000" w:themeColor="text1"/>
                <w:sz w:val="21"/>
                <w:szCs w:val="21"/>
                <w:lang w:eastAsia="zh-CN" w:bidi="ar"/>
                <w14:textFill>
                  <w14:solidFill>
                    <w14:schemeClr w14:val="tx1"/>
                  </w14:solidFill>
                </w14:textFill>
              </w:rPr>
              <w:t>颗粒物</w:t>
            </w:r>
          </w:p>
        </w:tc>
        <w:tc>
          <w:tcPr>
            <w:tcW w:w="1623"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eastAsia" w:cs="Times New Roman"/>
                <w:color w:val="000000" w:themeColor="text1"/>
                <w:sz w:val="21"/>
                <w:szCs w:val="21"/>
                <w:lang w:val="en-US" w:eastAsia="zh-CN" w:bidi="ar"/>
                <w14:textFill>
                  <w14:solidFill>
                    <w14:schemeClr w14:val="tx1"/>
                  </w14:solidFill>
                </w14:textFill>
              </w:rPr>
            </w:pPr>
            <w:r>
              <w:rPr>
                <w:rFonts w:hint="eastAsia" w:cs="Times New Roman"/>
                <w:color w:val="000000" w:themeColor="text1"/>
                <w:sz w:val="21"/>
                <w:szCs w:val="21"/>
                <w:lang w:val="en-US" w:eastAsia="zh-CN" w:bidi="ar"/>
                <w14:textFill>
                  <w14:solidFill>
                    <w14:schemeClr w14:val="tx1"/>
                  </w14:solidFill>
                </w14:textFill>
              </w:rPr>
              <w:t>布袋除尘器+15m高排气筒</w:t>
            </w:r>
          </w:p>
        </w:tc>
        <w:tc>
          <w:tcPr>
            <w:tcW w:w="2880" w:type="dxa"/>
            <w:vMerge w:val="continue"/>
            <w:noWrap w:val="0"/>
            <w:vAlign w:val="center"/>
          </w:tcPr>
          <w:p>
            <w:pPr>
              <w:keepNext w:val="0"/>
              <w:keepLines w:val="0"/>
              <w:widowControl w:val="0"/>
              <w:suppressLineNumbers w:val="0"/>
              <w:autoSpaceDE w:val="0"/>
              <w:autoSpaceDN w:val="0"/>
              <w:spacing w:before="0" w:beforeAutospacing="0" w:after="0" w:afterAutospacing="0"/>
              <w:ind w:left="0" w:leftChars="0" w:right="0" w:rightChars="0" w:firstLine="0" w:firstLineChars="0"/>
              <w:jc w:val="center"/>
              <w:textAlignment w:val="baseline"/>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655" w:type="dxa"/>
            <w:vMerge w:val="continue"/>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569" w:type="dxa"/>
            <w:noWrap w:val="0"/>
            <w:vAlign w:val="center"/>
          </w:tcPr>
          <w:p>
            <w:pPr>
              <w:keepNext w:val="0"/>
              <w:keepLines w:val="0"/>
              <w:widowControl w:val="0"/>
              <w:suppressLineNumbers w:val="0"/>
              <w:autoSpaceDE w:val="0"/>
              <w:autoSpaceDN w:val="0"/>
              <w:spacing w:before="0" w:beforeAutospacing="0" w:after="0" w:afterAutospacing="0"/>
              <w:ind w:left="0" w:leftChars="0" w:right="0" w:rightChars="0" w:firstLine="0" w:firstLineChars="0"/>
              <w:jc w:val="center"/>
              <w:textAlignment w:val="baseline"/>
              <w:rPr>
                <w:rFonts w:hint="eastAsia"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厂界</w:t>
            </w:r>
          </w:p>
        </w:tc>
        <w:tc>
          <w:tcPr>
            <w:tcW w:w="1073" w:type="dxa"/>
            <w:noWrap w:val="0"/>
            <w:vAlign w:val="center"/>
          </w:tcPr>
          <w:p>
            <w:pPr>
              <w:keepNext w:val="0"/>
              <w:keepLines w:val="0"/>
              <w:widowControl w:val="0"/>
              <w:suppressLineNumbers w:val="0"/>
              <w:autoSpaceDE w:val="0"/>
              <w:autoSpaceDN w:val="0"/>
              <w:spacing w:before="0" w:beforeAutospacing="0" w:after="0" w:afterAutospacing="0"/>
              <w:ind w:left="0" w:leftChars="0" w:right="0" w:rightChars="0" w:firstLine="0" w:firstLineChars="0"/>
              <w:jc w:val="center"/>
              <w:textAlignment w:val="baseline"/>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s="宋体"/>
                <w:color w:val="000000" w:themeColor="text1"/>
                <w:kern w:val="2"/>
                <w:sz w:val="21"/>
                <w:szCs w:val="21"/>
                <w:vertAlign w:val="baseline"/>
                <w:lang w:val="en-US" w:eastAsia="zh-CN" w:bidi="ar"/>
                <w14:textFill>
                  <w14:solidFill>
                    <w14:schemeClr w14:val="tx1"/>
                  </w14:solidFill>
                </w14:textFill>
              </w:rPr>
              <w:t>颗粒物</w:t>
            </w:r>
          </w:p>
        </w:tc>
        <w:tc>
          <w:tcPr>
            <w:tcW w:w="1623" w:type="dxa"/>
            <w:noWrap w:val="0"/>
            <w:vAlign w:val="center"/>
          </w:tcPr>
          <w:p>
            <w:pPr>
              <w:keepNext w:val="0"/>
              <w:keepLines w:val="0"/>
              <w:widowControl w:val="0"/>
              <w:suppressLineNumbers w:val="0"/>
              <w:autoSpaceDE w:val="0"/>
              <w:autoSpaceDN w:val="0"/>
              <w:spacing w:before="0" w:beforeAutospacing="0" w:after="0" w:afterAutospacing="0"/>
              <w:ind w:left="0" w:leftChars="0" w:right="0" w:rightChars="0" w:firstLine="0" w:firstLineChars="0"/>
              <w:jc w:val="center"/>
              <w:textAlignment w:val="baseline"/>
              <w:rPr>
                <w:rFonts w:hint="eastAsia"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s="宋体"/>
                <w:color w:val="000000" w:themeColor="text1"/>
                <w:kern w:val="2"/>
                <w:sz w:val="21"/>
                <w:szCs w:val="21"/>
                <w:vertAlign w:val="baseline"/>
                <w:lang w:val="en-US" w:eastAsia="zh-CN" w:bidi="ar"/>
                <w14:textFill>
                  <w14:solidFill>
                    <w14:schemeClr w14:val="tx1"/>
                  </w14:solidFill>
                </w14:textFill>
              </w:rPr>
              <w:t>洒水降尘</w:t>
            </w:r>
            <w:r>
              <w:rPr>
                <w:rFonts w:hint="eastAsia" w:ascii="宋体" w:hAnsi="宋体" w:eastAsia="宋体" w:cs="宋体"/>
                <w:color w:val="000000" w:themeColor="text1"/>
                <w:kern w:val="2"/>
                <w:sz w:val="21"/>
                <w:szCs w:val="21"/>
                <w:vertAlign w:val="baseline"/>
                <w:lang w:val="en-US" w:eastAsia="zh-CN" w:bidi="ar"/>
                <w14:textFill>
                  <w14:solidFill>
                    <w14:schemeClr w14:val="tx1"/>
                  </w14:solidFill>
                </w14:textFill>
              </w:rPr>
              <w:t>，地面硬化</w:t>
            </w:r>
          </w:p>
        </w:tc>
        <w:tc>
          <w:tcPr>
            <w:tcW w:w="2880" w:type="dxa"/>
            <w:noWrap w:val="0"/>
            <w:vAlign w:val="center"/>
          </w:tcPr>
          <w:p>
            <w:pPr>
              <w:keepNext w:val="0"/>
              <w:keepLines w:val="0"/>
              <w:widowControl w:val="0"/>
              <w:suppressLineNumbers w:val="0"/>
              <w:autoSpaceDE w:val="0"/>
              <w:autoSpaceDN w:val="0"/>
              <w:spacing w:before="0" w:beforeAutospacing="0" w:after="0" w:afterAutospacing="0"/>
              <w:ind w:left="0" w:leftChars="0" w:right="0" w:rightChars="0" w:firstLine="0" w:firstLineChars="0"/>
              <w:jc w:val="center"/>
              <w:textAlignment w:val="baseline"/>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kern w:val="2"/>
                <w:sz w:val="21"/>
                <w:szCs w:val="21"/>
                <w:vertAlign w:val="baseline"/>
                <w:lang w:val="en-US" w:eastAsia="zh-CN" w:bidi="ar-SA"/>
                <w14:textFill>
                  <w14:solidFill>
                    <w14:schemeClr w14:val="tx1"/>
                  </w14:solidFill>
                </w14:textFill>
              </w:rPr>
              <w:t>《大气污染物综合排放标准》（GB16297-1996）表2中无组织排放监控浓度限值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655"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地表水环境</w:t>
            </w:r>
          </w:p>
        </w:tc>
        <w:tc>
          <w:tcPr>
            <w:tcW w:w="1569"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宋体" w:hAnsi="Times New Roman" w:eastAsia="宋体" w:cs="Times New Roman"/>
                <w:color w:val="000000" w:themeColor="text1"/>
                <w:sz w:val="21"/>
                <w:szCs w:val="21"/>
                <w:lang w:bidi="ar"/>
                <w14:textFill>
                  <w14:solidFill>
                    <w14:schemeClr w14:val="tx1"/>
                  </w14:solidFill>
                </w14:textFill>
              </w:rPr>
              <w:t>生活污水</w:t>
            </w:r>
          </w:p>
        </w:tc>
        <w:tc>
          <w:tcPr>
            <w:tcW w:w="1073"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宋体" w:hAnsi="Times New Roman" w:eastAsia="宋体" w:cs="Times New Roman"/>
                <w:color w:val="000000" w:themeColor="text1"/>
                <w:sz w:val="21"/>
                <w:szCs w:val="21"/>
                <w:lang w:bidi="ar"/>
                <w14:textFill>
                  <w14:solidFill>
                    <w14:schemeClr w14:val="tx1"/>
                  </w14:solidFill>
                </w14:textFill>
              </w:rPr>
              <w:t>化学需氧量、五日生化需氧量、氨氮、悬浮物</w:t>
            </w:r>
          </w:p>
        </w:tc>
        <w:tc>
          <w:tcPr>
            <w:tcW w:w="1623" w:type="dxa"/>
            <w:noWrap w:val="0"/>
            <w:vAlign w:val="center"/>
          </w:tcPr>
          <w:p>
            <w:pPr>
              <w:keepNext w:val="0"/>
              <w:keepLines w:val="0"/>
              <w:suppressLineNumbers w:val="0"/>
              <w:adjustRightInd w:val="0"/>
              <w:snapToGrid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宋体" w:hAnsi="Times New Roman" w:eastAsia="宋体" w:cs="Times New Roman"/>
                <w:color w:val="000000" w:themeColor="text1"/>
                <w:sz w:val="21"/>
                <w:szCs w:val="21"/>
                <w:lang w:bidi="ar"/>
                <w14:textFill>
                  <w14:solidFill>
                    <w14:schemeClr w14:val="tx1"/>
                  </w14:solidFill>
                </w14:textFill>
              </w:rPr>
              <w:t>生活污水排入市政下水管网</w:t>
            </w:r>
          </w:p>
        </w:tc>
        <w:tc>
          <w:tcPr>
            <w:tcW w:w="2880" w:type="dxa"/>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《污水综合排放标准》（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GB8978-1996</w:t>
            </w:r>
            <w:r>
              <w:rPr>
                <w:rFonts w:hint="eastAsia" w:ascii="宋体" w:hAnsi="宋体" w:eastAsia="宋体" w:cs="宋体"/>
                <w:color w:val="000000" w:themeColor="text1"/>
                <w:kern w:val="2"/>
                <w:sz w:val="21"/>
                <w:szCs w:val="21"/>
                <w:lang w:val="en-US" w:eastAsia="zh-CN" w:bidi="ar"/>
                <w14:textFill>
                  <w14:solidFill>
                    <w14:schemeClr w14:val="tx1"/>
                  </w14:solidFill>
                </w14:textFill>
              </w:rPr>
              <w:t>）中三级标准和《污水排入城镇下水道水质标准》（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GB/T31962-2015</w:t>
            </w:r>
            <w:r>
              <w:rPr>
                <w:rFonts w:hint="eastAsia" w:ascii="宋体" w:hAnsi="宋体" w:eastAsia="宋体" w:cs="宋体"/>
                <w:color w:val="000000" w:themeColor="text1"/>
                <w:kern w:val="2"/>
                <w:sz w:val="21"/>
                <w:szCs w:val="21"/>
                <w:lang w:val="en-US" w:eastAsia="zh-CN" w:bidi="ar"/>
                <w14:textFill>
                  <w14:solidFill>
                    <w14:schemeClr w14:val="tx1"/>
                  </w14:solidFill>
                </w14:textFill>
              </w:rPr>
              <w:t>）中</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NH</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-N</w:t>
            </w:r>
            <w:r>
              <w:rPr>
                <w:rFonts w:hint="eastAsia" w:ascii="宋体" w:hAnsi="宋体" w:eastAsia="宋体" w:cs="宋体"/>
                <w:color w:val="000000" w:themeColor="text1"/>
                <w:kern w:val="2"/>
                <w:sz w:val="21"/>
                <w:szCs w:val="21"/>
                <w:lang w:val="en-US" w:eastAsia="zh-CN" w:bidi="ar"/>
                <w14:textFill>
                  <w14:solidFill>
                    <w14:schemeClr w14:val="tx1"/>
                  </w14:solidFill>
                </w14:textFill>
              </w:rPr>
              <w:t>最高允许值中</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B</w:t>
            </w:r>
            <w:r>
              <w:rPr>
                <w:rFonts w:hint="eastAsia" w:ascii="宋体" w:hAnsi="宋体" w:eastAsia="宋体" w:cs="宋体"/>
                <w:color w:val="000000" w:themeColor="text1"/>
                <w:kern w:val="2"/>
                <w:sz w:val="21"/>
                <w:szCs w:val="21"/>
                <w:lang w:val="en-US" w:eastAsia="zh-CN" w:bidi="ar"/>
                <w14:textFill>
                  <w14:solidFill>
                    <w14:schemeClr w14:val="tx1"/>
                  </w14:solidFill>
                </w14:textFill>
              </w:rPr>
              <w:t>级标准</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45mg/</w:t>
            </w:r>
            <w:r>
              <w:rPr>
                <w:rFonts w:hint="eastAsia" w:cs="Times New Roman"/>
                <w:color w:val="000000" w:themeColor="text1"/>
                <w:kern w:val="2"/>
                <w:sz w:val="21"/>
                <w:szCs w:val="21"/>
                <w:lang w:val="en-US" w:eastAsia="zh-CN" w:bidi="ar"/>
                <w14:textFill>
                  <w14:solidFill>
                    <w14:schemeClr w14:val="tx1"/>
                  </w14:solidFill>
                </w14:textFill>
              </w:rPr>
              <w:t>L</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655"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声环境</w:t>
            </w:r>
          </w:p>
        </w:tc>
        <w:tc>
          <w:tcPr>
            <w:tcW w:w="1569"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机械噪声</w:t>
            </w:r>
          </w:p>
        </w:tc>
        <w:tc>
          <w:tcPr>
            <w:tcW w:w="1073"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噪声</w:t>
            </w:r>
          </w:p>
        </w:tc>
        <w:tc>
          <w:tcPr>
            <w:tcW w:w="1623"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机械设备加装减震垫，厂房</w:t>
            </w:r>
            <w:r>
              <w:rPr>
                <w:rFonts w:hint="eastAsia" w:cs="Times New Roman"/>
                <w:color w:val="000000" w:themeColor="text1"/>
                <w:kern w:val="2"/>
                <w:sz w:val="21"/>
                <w:szCs w:val="21"/>
                <w:lang w:val="en-US" w:eastAsia="zh-CN" w:bidi="ar"/>
                <w14:textFill>
                  <w14:solidFill>
                    <w14:schemeClr w14:val="tx1"/>
                  </w14:solidFill>
                </w14:textFill>
              </w:rPr>
              <w:t>密闭</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，加强管理等</w:t>
            </w:r>
          </w:p>
        </w:tc>
        <w:tc>
          <w:tcPr>
            <w:tcW w:w="2880"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《工业企业厂界环境噪声排放标准》（GB12348-2008）中</w:t>
            </w:r>
            <w:r>
              <w:rPr>
                <w:rFonts w:hint="eastAsia" w:cs="Times New Roman"/>
                <w:color w:val="000000" w:themeColor="text1"/>
                <w:kern w:val="2"/>
                <w:sz w:val="21"/>
                <w:szCs w:val="21"/>
                <w:lang w:val="en-US" w:eastAsia="zh-CN" w:bidi="ar"/>
                <w14:textFill>
                  <w14:solidFill>
                    <w14:schemeClr w14:val="tx1"/>
                  </w14:solidFill>
                </w14:textFill>
              </w:rPr>
              <w:t>3级</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55"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电磁辐射</w:t>
            </w:r>
          </w:p>
        </w:tc>
        <w:tc>
          <w:tcPr>
            <w:tcW w:w="1569"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073"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623"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2880"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655"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固体废物</w:t>
            </w:r>
          </w:p>
        </w:tc>
        <w:tc>
          <w:tcPr>
            <w:tcW w:w="7145" w:type="dxa"/>
            <w:gridSpan w:val="4"/>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收集粉尘全部作为产品外售；生活垃圾收集后交由园区环卫部门处理。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655"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土壤及地下水</w:t>
            </w:r>
          </w:p>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污染防治措施</w:t>
            </w:r>
          </w:p>
        </w:tc>
        <w:tc>
          <w:tcPr>
            <w:tcW w:w="7145" w:type="dxa"/>
            <w:gridSpan w:val="4"/>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生产区地面为一般防渗区，公共区域地面为简单防渗区</w:t>
            </w:r>
            <w:r>
              <w:rPr>
                <w:rFonts w:hint="eastAsia" w:cs="Times New Roman"/>
                <w:b w:val="0"/>
                <w:bCs/>
                <w:color w:val="000000" w:themeColor="text1"/>
                <w:kern w:val="2"/>
                <w:sz w:val="21"/>
                <w:szCs w:val="21"/>
                <w:lang w:val="en-US" w:eastAsia="zh-CN" w:bidi="ar-SA"/>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655"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生态保护措施</w:t>
            </w:r>
          </w:p>
        </w:tc>
        <w:tc>
          <w:tcPr>
            <w:tcW w:w="7145" w:type="dxa"/>
            <w:gridSpan w:val="4"/>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3360" w:firstLineChars="1600"/>
              <w:jc w:val="both"/>
              <w:textAlignment w:val="auto"/>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655"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pacing w:val="-8"/>
                <w:sz w:val="21"/>
                <w:szCs w:val="21"/>
                <w14:textFill>
                  <w14:solidFill>
                    <w14:schemeClr w14:val="tx1"/>
                  </w14:solidFill>
                </w14:textFill>
              </w:rPr>
            </w:pPr>
            <w:r>
              <w:rPr>
                <w:rFonts w:hint="default" w:ascii="Times New Roman" w:hAnsi="Times New Roman" w:eastAsia="宋体" w:cs="Times New Roman"/>
                <w:color w:val="000000" w:themeColor="text1"/>
                <w:spacing w:val="-8"/>
                <w:sz w:val="21"/>
                <w:szCs w:val="21"/>
                <w14:textFill>
                  <w14:solidFill>
                    <w14:schemeClr w14:val="tx1"/>
                  </w14:solidFill>
                </w14:textFill>
              </w:rPr>
              <w:t>环境风险</w:t>
            </w:r>
          </w:p>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pacing w:val="-8"/>
                <w:sz w:val="21"/>
                <w:szCs w:val="21"/>
                <w14:textFill>
                  <w14:solidFill>
                    <w14:schemeClr w14:val="tx1"/>
                  </w14:solidFill>
                </w14:textFill>
              </w:rPr>
            </w:pPr>
            <w:r>
              <w:rPr>
                <w:rFonts w:hint="default" w:ascii="Times New Roman" w:hAnsi="Times New Roman" w:eastAsia="宋体" w:cs="Times New Roman"/>
                <w:color w:val="000000" w:themeColor="text1"/>
                <w:spacing w:val="-8"/>
                <w:sz w:val="21"/>
                <w:szCs w:val="21"/>
                <w14:textFill>
                  <w14:solidFill>
                    <w14:schemeClr w14:val="tx1"/>
                  </w14:solidFill>
                </w14:textFill>
              </w:rPr>
              <w:t>防范措施</w:t>
            </w:r>
          </w:p>
        </w:tc>
        <w:tc>
          <w:tcPr>
            <w:tcW w:w="7145" w:type="dxa"/>
            <w:gridSpan w:val="4"/>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采用密闭性能良好的设备，尽量减少粉尘飞散逸出；安装有效的除尘设备，定期做好检查维护，确保收集效率和处理效果，减少粉尘在空气中的浓度；定期洒水，保持湿度；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lang w:val="en-US" w:eastAsia="zh-CN" w:bidi="ar-SA"/>
                <w14:textFill>
                  <w14:solidFill>
                    <w14:schemeClr w14:val="tx1"/>
                  </w14:solidFill>
                </w14:textFill>
              </w:rPr>
              <w:t>（2）</w:t>
            </w: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制定环保设备的运行操作规程并严格执行，确保各项工艺指标正常；一旦废气净化设施失效，必须立即停止生产。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655" w:type="dxa"/>
            <w:noWrap w:val="0"/>
            <w:vAlign w:val="center"/>
          </w:tcPr>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pacing w:val="-8"/>
                <w:sz w:val="21"/>
                <w:szCs w:val="21"/>
                <w14:textFill>
                  <w14:solidFill>
                    <w14:schemeClr w14:val="tx1"/>
                  </w14:solidFill>
                </w14:textFill>
              </w:rPr>
            </w:pPr>
            <w:r>
              <w:rPr>
                <w:rFonts w:hint="default" w:ascii="Times New Roman" w:hAnsi="Times New Roman" w:eastAsia="宋体" w:cs="Times New Roman"/>
                <w:color w:val="000000" w:themeColor="text1"/>
                <w:spacing w:val="-8"/>
                <w:sz w:val="21"/>
                <w:szCs w:val="21"/>
                <w14:textFill>
                  <w14:solidFill>
                    <w14:schemeClr w14:val="tx1"/>
                  </w14:solidFill>
                </w14:textFill>
              </w:rPr>
              <w:t>其他环境</w:t>
            </w:r>
          </w:p>
          <w:p>
            <w:pPr>
              <w:keepNext w:val="0"/>
              <w:keepLines w:val="0"/>
              <w:pageBreakBefore w:val="0"/>
              <w:widowControl w:val="0"/>
              <w:suppressLineNumbers w:val="0"/>
              <w:kinsoku/>
              <w:wordWrap/>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pacing w:val="-8"/>
                <w:sz w:val="21"/>
                <w:szCs w:val="21"/>
                <w14:textFill>
                  <w14:solidFill>
                    <w14:schemeClr w14:val="tx1"/>
                  </w14:solidFill>
                </w14:textFill>
              </w:rPr>
            </w:pPr>
            <w:r>
              <w:rPr>
                <w:rFonts w:hint="default" w:ascii="Times New Roman" w:hAnsi="Times New Roman" w:eastAsia="宋体" w:cs="Times New Roman"/>
                <w:color w:val="000000" w:themeColor="text1"/>
                <w:spacing w:val="-8"/>
                <w:sz w:val="21"/>
                <w:szCs w:val="21"/>
                <w14:textFill>
                  <w14:solidFill>
                    <w14:schemeClr w14:val="tx1"/>
                  </w14:solidFill>
                </w14:textFill>
              </w:rPr>
              <w:t>管理要求</w:t>
            </w:r>
          </w:p>
        </w:tc>
        <w:tc>
          <w:tcPr>
            <w:tcW w:w="7145" w:type="dxa"/>
            <w:gridSpan w:val="4"/>
            <w:noWrap w:val="0"/>
            <w:vAlign w:val="center"/>
          </w:tcPr>
          <w:p>
            <w:pPr>
              <w:pStyle w:val="2"/>
              <w:pageBreakBefore w:val="0"/>
              <w:widowControl w:val="0"/>
              <w:suppressLineNumbers w:val="0"/>
              <w:kinsoku/>
              <w:wordWrap/>
              <w:overflowPunct/>
              <w:topLinePunct w:val="0"/>
              <w:autoSpaceDE/>
              <w:autoSpaceDN/>
              <w:bidi w:val="0"/>
              <w:adjustRightInd w:val="0"/>
              <w:snapToGrid w:val="0"/>
              <w:spacing w:before="0" w:beforeLines="0" w:after="0" w:afterLines="0"/>
              <w:ind w:left="0" w:right="0"/>
              <w:textAlignment w:val="auto"/>
              <w:rPr>
                <w:rFonts w:hint="eastAsia"/>
                <w:color w:val="000000" w:themeColor="text1"/>
                <w14:textFill>
                  <w14:solidFill>
                    <w14:schemeClr w14:val="tx1"/>
                  </w14:solidFill>
                </w14:textFill>
              </w:rPr>
            </w:pPr>
            <w:bookmarkStart w:id="26" w:name="_Toc16708"/>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环境管理</w:t>
            </w:r>
            <w:bookmarkEnd w:id="26"/>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为贯彻环境保护法规，促进项目社会效益、经济效益、环境效益的协调统一，对项目污染排放及区域环境质量实行监控，为区域环境管理与环境规划提供科学依据，必须加强企业环境管理与监测工作，建议建设单位至少指派</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人负责企业环境管理与监测工作。环境管理采取总经理负责制，具体工作如下：</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（1）</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贯彻执行国家和自治区现行各项环保方针、政策、法规和标准，并认真执行环保行政管理部门下达的各项任务；</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（2）</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建立各项环境保护规章制度，并经常进行监督检查；</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（3）</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定期对各污染源进行检查，请当地环境监测部门对本企业污染源排放情况进行监测，了解各污染源动态，及时发现和掌握企业污染变化情况，从而制</w:t>
            </w:r>
            <w:r>
              <w:rPr>
                <w:rFonts w:hint="eastAsia" w:cs="Times New Roman"/>
                <w:color w:val="000000" w:themeColor="text1"/>
                <w:kern w:val="2"/>
                <w:sz w:val="21"/>
                <w:szCs w:val="21"/>
                <w:lang w:val="en-US" w:eastAsia="zh-CN" w:bidi="ar"/>
                <w14:textFill>
                  <w14:solidFill>
                    <w14:schemeClr w14:val="tx1"/>
                  </w14:solidFill>
                </w14:textFill>
              </w:rPr>
              <w:t>定</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相应处理措施；</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（4）</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加强对污染治理设施的管理、检查及维护，确保污染治理设施正常运行，并把污染治理设施的治理效率按生产指标一样进行考核，以防止污染事故发生；</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（5）</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学习并推广应用先进的环保技术和经验，组织污染治理设施操作人员进行岗前专业技术培训；</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（6）</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对职工进行环保宣传教育，</w:t>
            </w:r>
            <w:r>
              <w:rPr>
                <w:rFonts w:hint="eastAsia" w:cs="Times New Roman"/>
                <w:color w:val="000000" w:themeColor="text1"/>
                <w:kern w:val="2"/>
                <w:sz w:val="21"/>
                <w:szCs w:val="21"/>
                <w:lang w:val="en-US" w:eastAsia="zh-CN" w:bidi="ar"/>
                <w14:textFill>
                  <w14:solidFill>
                    <w14:schemeClr w14:val="tx1"/>
                  </w14:solidFill>
                </w14:textFill>
              </w:rPr>
              <w:t>增强</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职工环保意识；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（7）</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建立固体废物管理台账要求，如实记录产生的固体废物的种类、数量、去向等内容，每年年底编制固体废物环境管理。</w:t>
            </w:r>
          </w:p>
          <w:p>
            <w:pPr>
              <w:pStyle w:val="2"/>
              <w:pageBreakBefore w:val="0"/>
              <w:widowControl w:val="0"/>
              <w:suppressLineNumbers w:val="0"/>
              <w:kinsoku/>
              <w:wordWrap/>
              <w:overflowPunct/>
              <w:topLinePunct w:val="0"/>
              <w:autoSpaceDE/>
              <w:autoSpaceDN/>
              <w:bidi w:val="0"/>
              <w:adjustRightInd w:val="0"/>
              <w:snapToGrid w:val="0"/>
              <w:spacing w:before="0" w:beforeLines="0" w:after="0" w:afterLines="0"/>
              <w:ind w:left="0" w:right="0"/>
              <w:textAlignment w:val="auto"/>
              <w:rPr>
                <w:rFonts w:hint="default"/>
                <w:color w:val="000000" w:themeColor="text1"/>
                <w14:textFill>
                  <w14:solidFill>
                    <w14:schemeClr w14:val="tx1"/>
                  </w14:solidFill>
                </w14:textFill>
              </w:rPr>
            </w:pPr>
            <w:bookmarkStart w:id="27" w:name="_Toc21077"/>
            <w:r>
              <w:rPr>
                <w:rFonts w:hint="eastAsia"/>
                <w:color w:val="000000" w:themeColor="text1"/>
                <w:lang w:val="en-US" w:eastAsia="zh-CN"/>
                <w14:textFill>
                  <w14:solidFill>
                    <w14:schemeClr w14:val="tx1"/>
                  </w14:solidFill>
                </w14:textFill>
              </w:rPr>
              <w:t>2排污许可</w:t>
            </w:r>
            <w:bookmarkEnd w:id="27"/>
            <w:r>
              <w:rPr>
                <w:rFonts w:hint="eastAsia"/>
                <w:color w:val="000000" w:themeColor="text1"/>
                <w:lang w:val="en-US" w:eastAsia="zh-CN"/>
                <w14:textFill>
                  <w14:solidFill>
                    <w14:schemeClr w14:val="tx1"/>
                  </w14:solidFill>
                </w14:textFill>
              </w:rPr>
              <w:t>管理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1</w:t>
            </w:r>
            <w:r>
              <w:rPr>
                <w:rFonts w:hint="eastAsia" w:ascii="宋体" w:hAnsi="宋体" w:eastAsia="宋体" w:cs="宋体"/>
                <w:color w:val="000000"/>
                <w:kern w:val="2"/>
                <w:sz w:val="21"/>
                <w:szCs w:val="21"/>
                <w:lang w:val="en-US" w:eastAsia="zh-CN" w:bidi="ar"/>
              </w:rPr>
              <w:t>）落实按证排污责任</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建设单位必须按期持证排污、按证排污，不得无证排污，及时申领排污许可证，对申请材料的真实性、准确性和完整性承担法律责任，承诺按照排污许可证的规定排污并严格执行；落实污染物排放控制措施和其他各项环境管理要求，确保污染物排放种类、浓度和排放量等达到许可要求；明确单位负责人和相关人员环境保护责任，不断提高污染治理和环境管理水平，自觉接受监督检查。</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2</w:t>
            </w:r>
            <w:r>
              <w:rPr>
                <w:rFonts w:hint="eastAsia" w:ascii="宋体" w:hAnsi="宋体" w:eastAsia="宋体" w:cs="宋体"/>
                <w:color w:val="000000"/>
                <w:kern w:val="2"/>
                <w:sz w:val="21"/>
                <w:szCs w:val="21"/>
                <w:lang w:val="en-US" w:eastAsia="zh-CN" w:bidi="ar"/>
              </w:rPr>
              <w:t>）实行自行监测和定期报告制度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依法开展自行监测，安装或使用监测设备应符合国家有关环境监测、计量认证规定和技术规范，保障数据合法有效，保证设备正常运行，妥善保存原始记录，建立准确完整的环境管理台账。如实向生态环境部门报告排污许可证执行情况，依法向社会公开污染物排放数据并对数据真实性负责。排放情况与排污许可证要求不符的，应及时向生态环境部门报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3</w:t>
            </w:r>
            <w:r>
              <w:rPr>
                <w:rFonts w:hint="eastAsia" w:ascii="宋体" w:hAnsi="宋体" w:eastAsia="宋体" w:cs="宋体"/>
                <w:color w:val="000000"/>
                <w:kern w:val="2"/>
                <w:sz w:val="21"/>
                <w:szCs w:val="21"/>
                <w:lang w:val="en-US" w:eastAsia="zh-CN" w:bidi="ar"/>
              </w:rPr>
              <w:t>）排污许可证管理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依据关于印发《关于发布排污许可证承诺书样本、排污许可证申请表和排污许可证格式的通知》的通知（环规财〔</w:t>
            </w:r>
            <w:r>
              <w:rPr>
                <w:rFonts w:hint="default" w:ascii="Times New Roman" w:hAnsi="Times New Roman" w:eastAsia="宋体" w:cs="Times New Roman"/>
                <w:color w:val="000000"/>
                <w:kern w:val="2"/>
                <w:sz w:val="21"/>
                <w:szCs w:val="21"/>
                <w:lang w:val="en-US" w:eastAsia="zh-CN" w:bidi="ar"/>
              </w:rPr>
              <w:t>2018</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80</w:t>
            </w:r>
            <w:r>
              <w:rPr>
                <w:rFonts w:hint="eastAsia" w:ascii="宋体" w:hAnsi="宋体" w:eastAsia="宋体" w:cs="宋体"/>
                <w:color w:val="000000"/>
                <w:kern w:val="2"/>
                <w:sz w:val="21"/>
                <w:szCs w:val="21"/>
                <w:lang w:val="en-US" w:eastAsia="zh-CN" w:bidi="ar"/>
              </w:rPr>
              <w:t>号），排污许可证管理要求如下：</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①排污许可证的变更</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A.</w:t>
            </w:r>
            <w:r>
              <w:rPr>
                <w:rFonts w:hint="eastAsia" w:ascii="宋体" w:hAnsi="宋体" w:eastAsia="宋体" w:cs="宋体"/>
                <w:color w:val="000000"/>
                <w:kern w:val="2"/>
                <w:sz w:val="21"/>
                <w:szCs w:val="21"/>
                <w:lang w:val="en-US" w:eastAsia="zh-CN" w:bidi="ar"/>
              </w:rPr>
              <w:t>在排污许可证有效期内，建设单位发生以下事项变化的，应当在规定时间内向原核发机关提出变更排污许可证的申请：排污单位名称、注册地址、法定代表人或者实际负责人等正本中载明的基本信息发生变更之日起二十日内。</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B.</w:t>
            </w:r>
            <w:r>
              <w:rPr>
                <w:rFonts w:hint="eastAsia" w:ascii="宋体" w:hAnsi="宋体" w:eastAsia="宋体" w:cs="宋体"/>
                <w:color w:val="000000"/>
                <w:kern w:val="2"/>
                <w:sz w:val="21"/>
                <w:szCs w:val="21"/>
                <w:lang w:val="en-US" w:eastAsia="zh-CN" w:bidi="ar"/>
              </w:rPr>
              <w:t>排污单位在原场址内实施新改扩建项目应当开展环境影响评价的，在通过环境影响评价审批或者备案后，产生实际排污行为之前二十日内。</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C.</w:t>
            </w:r>
            <w:r>
              <w:rPr>
                <w:rFonts w:hint="eastAsia" w:ascii="宋体" w:hAnsi="宋体" w:eastAsia="宋体" w:cs="宋体"/>
                <w:color w:val="000000"/>
                <w:kern w:val="2"/>
                <w:sz w:val="21"/>
                <w:szCs w:val="21"/>
                <w:lang w:val="en-US" w:eastAsia="zh-CN" w:bidi="ar"/>
              </w:rPr>
              <w:t>国家或地方实施新污染物排放标准的，核发机关应主动通知排污单位进行变更，排污单位在接到通知后二十日内申请变更。</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D.</w:t>
            </w:r>
            <w:r>
              <w:rPr>
                <w:rFonts w:hint="eastAsia" w:ascii="宋体" w:hAnsi="宋体" w:eastAsia="宋体" w:cs="宋体"/>
                <w:color w:val="000000"/>
                <w:kern w:val="2"/>
                <w:sz w:val="21"/>
                <w:szCs w:val="21"/>
                <w:lang w:val="en-US" w:eastAsia="zh-CN" w:bidi="ar"/>
              </w:rPr>
              <w:t>政府相关文件或与其他企业达成协议，进行区域替代实现减量排放的，应在文件或协议规定时限内提出变更申请。</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E.</w:t>
            </w:r>
            <w:r>
              <w:rPr>
                <w:rFonts w:hint="eastAsia" w:ascii="宋体" w:hAnsi="宋体" w:eastAsia="宋体" w:cs="宋体"/>
                <w:color w:val="000000"/>
                <w:kern w:val="2"/>
                <w:sz w:val="21"/>
                <w:szCs w:val="21"/>
                <w:lang w:val="en-US" w:eastAsia="zh-CN" w:bidi="ar"/>
              </w:rPr>
              <w:t>需要进行变更的其他情形。</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②排污许可证的补办</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排污许可证发生遗失、损毁的，建设单位应当在三十日内向原核发机关申请补领排污许可证，遗失排污许可证的还应同时提交遗失声明，损毁排污许可证的还应同时交回被损毁的许可证。核发机关应当在收到补领申请后十日内补发排污许可证，并及时在国家排污许可证管理信息平台上进行公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③其他相关要求</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A.</w:t>
            </w:r>
            <w:r>
              <w:rPr>
                <w:rFonts w:hint="eastAsia" w:ascii="宋体" w:hAnsi="宋体" w:eastAsia="宋体" w:cs="宋体"/>
                <w:color w:val="000000"/>
                <w:kern w:val="2"/>
                <w:sz w:val="21"/>
                <w:szCs w:val="21"/>
                <w:lang w:val="en-US" w:eastAsia="zh-CN" w:bidi="ar"/>
              </w:rPr>
              <w:t>排污口位置和数量、排放方式、排放去向、排放污染物种类、排放浓度和排放量、执行的排放标准等符合排污许可证的规定，不得私设暗管或以其他方式逃避监管。</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B.</w:t>
            </w:r>
            <w:r>
              <w:rPr>
                <w:rFonts w:hint="eastAsia" w:ascii="宋体" w:hAnsi="宋体" w:eastAsia="宋体" w:cs="宋体"/>
                <w:color w:val="000000"/>
                <w:kern w:val="2"/>
                <w:sz w:val="21"/>
                <w:szCs w:val="21"/>
                <w:lang w:val="en-US" w:eastAsia="zh-CN" w:bidi="ar"/>
              </w:rPr>
              <w:t>落实重污染天气应急管控措施、遵守法律规定的最新环境保护要求等。</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按排污许可证规定的监测点位、监测因子、监测频次和相关监测技术规范开展自行监测并公开。</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C.</w:t>
            </w:r>
            <w:r>
              <w:rPr>
                <w:rFonts w:hint="eastAsia" w:ascii="宋体" w:hAnsi="宋体" w:eastAsia="宋体" w:cs="宋体"/>
                <w:color w:val="000000"/>
                <w:kern w:val="2"/>
                <w:sz w:val="21"/>
                <w:szCs w:val="21"/>
                <w:lang w:val="en-US" w:eastAsia="zh-CN" w:bidi="ar"/>
              </w:rPr>
              <w:t>按规范进行台账记录，主要内容包括生产信息、燃料、原辅材料使用情况、污染防治设施运行记录、监测数据等。</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D.</w:t>
            </w:r>
            <w:r>
              <w:rPr>
                <w:rFonts w:hint="eastAsia" w:ascii="宋体" w:hAnsi="宋体" w:eastAsia="宋体" w:cs="宋体"/>
                <w:color w:val="000000"/>
                <w:kern w:val="2"/>
                <w:sz w:val="21"/>
                <w:szCs w:val="21"/>
                <w:lang w:val="en-US" w:eastAsia="zh-CN" w:bidi="ar"/>
              </w:rPr>
              <w:t>按排污许可证规定，定期在国家排污许可证管理信息平台填报信息，编制排污许可证执行报告，及时报送有核发权的环境保护主管部门并公开，执行报告主要内容包括生产信息、污染防治设施运行情况、污染物按证排放情况等。</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E.</w:t>
            </w:r>
            <w:r>
              <w:rPr>
                <w:rFonts w:hint="eastAsia" w:ascii="宋体" w:hAnsi="宋体" w:eastAsia="宋体" w:cs="宋体"/>
                <w:color w:val="000000"/>
                <w:kern w:val="2"/>
                <w:sz w:val="21"/>
                <w:szCs w:val="21"/>
                <w:lang w:val="en-US" w:eastAsia="zh-CN" w:bidi="ar"/>
              </w:rPr>
              <w:t>法律法规规定的其他义务。</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④根据《关于做好环境影响评价制度与排污许可制衔接相关工作的通知》（环办环评〔</w:t>
            </w:r>
            <w:r>
              <w:rPr>
                <w:rFonts w:hint="default" w:ascii="Times New Roman" w:hAnsi="Times New Roman" w:eastAsia="宋体" w:cs="Times New Roman"/>
                <w:color w:val="000000"/>
                <w:kern w:val="2"/>
                <w:sz w:val="21"/>
                <w:szCs w:val="21"/>
                <w:lang w:val="en-US" w:eastAsia="zh-CN" w:bidi="ar"/>
              </w:rPr>
              <w:t>2017</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color w:val="000000"/>
                <w:kern w:val="2"/>
                <w:sz w:val="21"/>
                <w:szCs w:val="21"/>
                <w:lang w:val="en-US" w:eastAsia="zh-CN" w:bidi="ar"/>
              </w:rPr>
              <w:t>84</w:t>
            </w:r>
            <w:r>
              <w:rPr>
                <w:rFonts w:hint="eastAsia" w:ascii="宋体" w:hAnsi="宋体" w:eastAsia="宋体" w:cs="宋体"/>
                <w:color w:val="000000"/>
                <w:kern w:val="2"/>
                <w:sz w:val="21"/>
                <w:szCs w:val="21"/>
                <w:lang w:val="en-US" w:eastAsia="zh-CN" w:bidi="ar"/>
              </w:rPr>
              <w:t>号），本项目与排污许可制衔接工作如下：</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A.</w:t>
            </w:r>
            <w:r>
              <w:rPr>
                <w:rFonts w:hint="eastAsia" w:ascii="宋体" w:hAnsi="宋体" w:eastAsia="宋体" w:cs="宋体"/>
                <w:color w:val="000000"/>
                <w:kern w:val="2"/>
                <w:sz w:val="21"/>
                <w:szCs w:val="21"/>
                <w:lang w:val="en-US" w:eastAsia="zh-CN" w:bidi="ar"/>
              </w:rPr>
              <w:t>在排污许可管理中，应严格按照本评价的要求核发排污许可证；</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ascii="宋体" w:hAnsi="宋体" w:eastAsia="宋体" w:cs="宋体"/>
                <w:color w:val="000000"/>
                <w:kern w:val="2"/>
                <w:sz w:val="21"/>
                <w:szCs w:val="21"/>
              </w:rPr>
            </w:pPr>
            <w:r>
              <w:rPr>
                <w:rFonts w:hint="default" w:ascii="Times New Roman" w:hAnsi="Times New Roman" w:eastAsia="宋体" w:cs="Times New Roman"/>
                <w:color w:val="000000"/>
                <w:kern w:val="2"/>
                <w:sz w:val="21"/>
                <w:szCs w:val="21"/>
                <w:lang w:val="en-US" w:eastAsia="zh-CN" w:bidi="ar"/>
              </w:rPr>
              <w:t>B.</w:t>
            </w:r>
            <w:r>
              <w:rPr>
                <w:rFonts w:hint="eastAsia" w:ascii="宋体" w:hAnsi="宋体" w:eastAsia="宋体" w:cs="宋体"/>
                <w:color w:val="000000"/>
                <w:kern w:val="2"/>
                <w:sz w:val="21"/>
                <w:szCs w:val="21"/>
                <w:lang w:val="en-US" w:eastAsia="zh-CN" w:bidi="ar"/>
              </w:rPr>
              <w:t>在核发排污许可证时应严格核定排放口数量、位置以及每个排放口的污染物种类、允许排放浓度和允许排放量、排放方式、排放去向、自行监测计划等与污染物排放相关的主要内容；</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eastAsia"/>
                <w:color w:val="000000" w:themeColor="text1"/>
                <w:lang w:val="en-US" w:eastAsia="zh-CN"/>
                <w14:textFill>
                  <w14:solidFill>
                    <w14:schemeClr w14:val="tx1"/>
                  </w14:solidFill>
                </w14:textFill>
              </w:rPr>
            </w:pPr>
            <w:r>
              <w:rPr>
                <w:rFonts w:hint="default" w:ascii="Times New Roman" w:hAnsi="Times New Roman" w:eastAsia="宋体" w:cs="Times New Roman"/>
                <w:color w:val="000000"/>
                <w:kern w:val="2"/>
                <w:sz w:val="21"/>
                <w:szCs w:val="21"/>
              </w:rPr>
              <w:t>C.</w:t>
            </w:r>
            <w:r>
              <w:rPr>
                <w:rFonts w:hint="eastAsia" w:ascii="宋体" w:hAnsi="宋体" w:eastAsia="宋体" w:cs="宋体"/>
                <w:color w:val="000000"/>
                <w:kern w:val="2"/>
                <w:sz w:val="21"/>
                <w:szCs w:val="21"/>
              </w:rPr>
              <w:t>项目在发生实际排污行为之前，排污单位应当按照国家环境保护相关法律法规及排污许可证申请与核发技术规范要求申请排污许可证，不得无证排污或不按证排污</w:t>
            </w:r>
            <w:r>
              <w:rPr>
                <w:rFonts w:hint="eastAsia"/>
                <w:color w:val="000000" w:themeColor="text1"/>
                <w:lang w:val="en-US" w:eastAsia="zh-CN"/>
                <w14:textFill>
                  <w14:solidFill>
                    <w14:schemeClr w14:val="tx1"/>
                  </w14:solidFill>
                </w14:textFill>
              </w:rPr>
              <w:t>。</w:t>
            </w:r>
          </w:p>
          <w:p>
            <w:pPr>
              <w:pStyle w:val="2"/>
              <w:pageBreakBefore w:val="0"/>
              <w:widowControl w:val="0"/>
              <w:suppressLineNumbers w:val="0"/>
              <w:kinsoku/>
              <w:wordWrap/>
              <w:overflowPunct/>
              <w:topLinePunct w:val="0"/>
              <w:autoSpaceDE/>
              <w:autoSpaceDN/>
              <w:bidi w:val="0"/>
              <w:adjustRightInd w:val="0"/>
              <w:snapToGrid w:val="0"/>
              <w:spacing w:before="0" w:beforeLines="0" w:after="0" w:afterLines="0"/>
              <w:ind w:left="0" w:right="0"/>
              <w:textAlignment w:val="auto"/>
              <w:rPr>
                <w:rFonts w:hint="default"/>
                <w:color w:val="000000" w:themeColor="text1"/>
                <w14:textFill>
                  <w14:solidFill>
                    <w14:schemeClr w14:val="tx1"/>
                  </w14:solidFill>
                </w14:textFill>
              </w:rPr>
            </w:pPr>
            <w:bookmarkStart w:id="28" w:name="_Toc10460"/>
            <w:r>
              <w:rPr>
                <w:rFonts w:hint="eastAsia"/>
                <w:color w:val="000000" w:themeColor="text1"/>
                <w:lang w:val="en-US" w:eastAsia="zh-CN"/>
                <w14:textFill>
                  <w14:solidFill>
                    <w14:schemeClr w14:val="tx1"/>
                  </w14:solidFill>
                </w14:textFill>
              </w:rPr>
              <w:t>3排放口信息化、规范化</w:t>
            </w:r>
            <w:bookmarkEnd w:id="28"/>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根据国家标准《环境保护图形标志</w:t>
            </w:r>
            <w:r>
              <w:rPr>
                <w:rFonts w:hint="eastAsia" w:cs="Times New Roman"/>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排放口（源）</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1"/>
                <w:szCs w:val="21"/>
                <w:lang w:val="en-US" w:eastAsia="zh-CN" w:bidi="ar"/>
                <w14:textFill>
                  <w14:solidFill>
                    <w14:schemeClr w14:val="tx1"/>
                  </w14:solidFill>
                </w14:textFill>
              </w:rPr>
              <w:t>排污口规范化整治要求（试行）》（环监〔</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1996</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470</w:t>
            </w:r>
            <w:r>
              <w:rPr>
                <w:rFonts w:hint="eastAsia" w:ascii="宋体" w:hAnsi="宋体" w:eastAsia="宋体" w:cs="宋体"/>
                <w:color w:val="000000" w:themeColor="text1"/>
                <w:kern w:val="2"/>
                <w:sz w:val="21"/>
                <w:szCs w:val="21"/>
                <w:lang w:val="en-US" w:eastAsia="zh-CN" w:bidi="ar"/>
                <w14:textFill>
                  <w14:solidFill>
                    <w14:schemeClr w14:val="tx1"/>
                  </w14:solidFill>
                </w14:textFill>
              </w:rPr>
              <w:t>号）等技术要求，企业所有排放口（包括水、气、声、渣）必须按照“便于采样、便于计量检测、便于日常监督检查”的原则来规范化要求，设置与之相适应的环境保护图形标志牌和企业排污口分布图，对污染物治理设施安装运行监控装置、排污口的规范化要符合当地</w:t>
            </w:r>
            <w:r>
              <w:rPr>
                <w:rFonts w:hint="eastAsia" w:ascii="宋体" w:hAnsi="宋体" w:cs="宋体"/>
                <w:color w:val="000000" w:themeColor="text1"/>
                <w:kern w:val="2"/>
                <w:sz w:val="21"/>
                <w:szCs w:val="21"/>
                <w:lang w:val="en-US" w:eastAsia="zh-CN" w:bidi="ar"/>
                <w14:textFill>
                  <w14:solidFill>
                    <w14:schemeClr w14:val="tx1"/>
                  </w14:solidFill>
                </w14:textFill>
              </w:rPr>
              <w:t>生态环境</w:t>
            </w:r>
            <w:r>
              <w:rPr>
                <w:rFonts w:hint="eastAsia" w:ascii="宋体" w:hAnsi="宋体" w:eastAsia="宋体" w:cs="宋体"/>
                <w:color w:val="000000" w:themeColor="text1"/>
                <w:kern w:val="2"/>
                <w:sz w:val="21"/>
                <w:szCs w:val="21"/>
                <w:lang w:val="en-US" w:eastAsia="zh-CN" w:bidi="ar"/>
                <w14:textFill>
                  <w14:solidFill>
                    <w14:schemeClr w14:val="tx1"/>
                  </w14:solidFill>
                </w14:textFill>
              </w:rPr>
              <w:t>部门的有关要求。</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w:t>
            </w:r>
            <w:r>
              <w:rPr>
                <w:rFonts w:hint="eastAsia" w:ascii="宋体" w:hAnsi="宋体" w:eastAsia="宋体" w:cs="宋体"/>
                <w:color w:val="000000" w:themeColor="text1"/>
                <w:kern w:val="2"/>
                <w:sz w:val="21"/>
                <w:szCs w:val="21"/>
                <w:lang w:val="en-US" w:eastAsia="zh-CN" w:bidi="ar"/>
                <w14:textFill>
                  <w14:solidFill>
                    <w14:schemeClr w14:val="tx1"/>
                  </w14:solidFill>
                </w14:textFill>
              </w:rPr>
              <w:t>）排污口的技术要求</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①</w:t>
            </w:r>
            <w:r>
              <w:rPr>
                <w:rFonts w:hint="eastAsia" w:ascii="宋体" w:hAnsi="宋体" w:eastAsia="宋体" w:cs="宋体"/>
                <w:color w:val="000000" w:themeColor="text1"/>
                <w:kern w:val="2"/>
                <w:sz w:val="21"/>
                <w:szCs w:val="21"/>
                <w:lang w:val="en-US" w:eastAsia="zh-CN" w:bidi="ar"/>
                <w14:textFill>
                  <w14:solidFill>
                    <w14:schemeClr w14:val="tx1"/>
                  </w14:solidFill>
                </w14:textFill>
              </w:rPr>
              <w:t>废气：</w:t>
            </w:r>
            <w:r>
              <w:rPr>
                <w:rFonts w:hint="eastAsia" w:ascii="宋体" w:hAnsi="宋体" w:cs="宋体"/>
                <w:color w:val="000000" w:themeColor="text1"/>
                <w:kern w:val="2"/>
                <w:sz w:val="21"/>
                <w:szCs w:val="21"/>
                <w:lang w:val="en-US" w:eastAsia="zh-CN" w:bidi="ar"/>
                <w14:textFill>
                  <w14:solidFill>
                    <w14:schemeClr w14:val="tx1"/>
                  </w14:solidFill>
                </w14:textFill>
              </w:rPr>
              <w:t>根据</w:t>
            </w:r>
            <w:r>
              <w:rPr>
                <w:rFonts w:hint="eastAsia" w:ascii="宋体" w:hAnsi="宋体" w:eastAsia="宋体" w:cs="宋体"/>
                <w:color w:val="000000" w:themeColor="text1"/>
                <w:kern w:val="2"/>
                <w:sz w:val="21"/>
                <w:szCs w:val="21"/>
                <w:lang w:val="en-US" w:eastAsia="zh-CN" w:bidi="ar"/>
                <w14:textFill>
                  <w14:solidFill>
                    <w14:schemeClr w14:val="tx1"/>
                  </w14:solidFill>
                </w14:textFill>
              </w:rPr>
              <w:t>《固定源废气监测技术规范》（</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HJ/T397-2007</w:t>
            </w:r>
            <w:r>
              <w:rPr>
                <w:rFonts w:hint="eastAsia" w:ascii="宋体" w:hAnsi="宋体" w:eastAsia="宋体" w:cs="宋体"/>
                <w:color w:val="000000" w:themeColor="text1"/>
                <w:kern w:val="2"/>
                <w:sz w:val="21"/>
                <w:szCs w:val="21"/>
                <w:lang w:val="en-US" w:eastAsia="zh-CN" w:bidi="ar"/>
                <w14:textFill>
                  <w14:solidFill>
                    <w14:schemeClr w14:val="tx1"/>
                  </w14:solidFill>
                </w14:textFill>
              </w:rPr>
              <w:t>）中对监测条件的准备中有如下要求“在确定的采样位置开设采样孔，设置采样平台，采样平台应该有足够的工作面积，保证监测人员安全和方便操作”。本项目排气筒应设置便于采样、监测的采样口，采样口的设置应符合</w:t>
            </w:r>
            <w:r>
              <w:rPr>
                <w:rFonts w:hint="eastAsia" w:ascii="宋体" w:hAnsi="宋体" w:cs="宋体"/>
                <w:color w:val="000000" w:themeColor="text1"/>
                <w:kern w:val="2"/>
                <w:sz w:val="21"/>
                <w:szCs w:val="21"/>
                <w:lang w:val="en-US" w:eastAsia="zh-CN" w:bidi="ar"/>
                <w14:textFill>
                  <w14:solidFill>
                    <w14:schemeClr w14:val="tx1"/>
                  </w14:solidFill>
                </w14:textFill>
              </w:rPr>
              <w:t>相关</w:t>
            </w:r>
            <w:r>
              <w:rPr>
                <w:rFonts w:hint="eastAsia" w:ascii="宋体" w:hAnsi="宋体" w:eastAsia="宋体" w:cs="宋体"/>
                <w:color w:val="000000" w:themeColor="text1"/>
                <w:kern w:val="2"/>
                <w:sz w:val="21"/>
                <w:szCs w:val="21"/>
                <w:lang w:val="en-US" w:eastAsia="zh-CN" w:bidi="ar"/>
                <w14:textFill>
                  <w14:solidFill>
                    <w14:schemeClr w14:val="tx1"/>
                  </w14:solidFill>
                </w14:textFill>
              </w:rPr>
              <w:t>要求。废气排放口均应设置环保图形标志牌。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②</w:t>
            </w:r>
            <w:r>
              <w:rPr>
                <w:rFonts w:hint="eastAsia" w:ascii="宋体" w:hAnsi="宋体" w:eastAsia="宋体" w:cs="宋体"/>
                <w:color w:val="000000" w:themeColor="text1"/>
                <w:kern w:val="2"/>
                <w:sz w:val="21"/>
                <w:szCs w:val="21"/>
                <w:lang w:val="en-US" w:eastAsia="zh-CN" w:bidi="ar"/>
                <w14:textFill>
                  <w14:solidFill>
                    <w14:schemeClr w14:val="tx1"/>
                  </w14:solidFill>
                </w14:textFill>
              </w:rPr>
              <w:t>噪声：在厂界噪声敏感且对外界影响最大处设置固定噪声源的监测点和噪声环境保护图形标志牌。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③</w:t>
            </w:r>
            <w:r>
              <w:rPr>
                <w:rFonts w:hint="eastAsia" w:ascii="宋体" w:hAnsi="宋体" w:eastAsia="宋体" w:cs="宋体"/>
                <w:color w:val="000000" w:themeColor="text1"/>
                <w:kern w:val="2"/>
                <w:sz w:val="21"/>
                <w:szCs w:val="21"/>
                <w:lang w:val="en-US" w:eastAsia="zh-CN" w:bidi="ar"/>
                <w14:textFill>
                  <w14:solidFill>
                    <w14:schemeClr w14:val="tx1"/>
                  </w14:solidFill>
                </w14:textFill>
              </w:rPr>
              <w:t>固废：固体废物在厂内暂存期间要设置专门的储存设施或堆放场所、运输通道。存放场地采取防扬散、防流失措施，并应在存放场地设置标志牌。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w:t>
            </w:r>
            <w:r>
              <w:rPr>
                <w:rFonts w:hint="eastAsia" w:ascii="宋体" w:hAnsi="宋体" w:eastAsia="宋体" w:cs="宋体"/>
                <w:color w:val="000000" w:themeColor="text1"/>
                <w:kern w:val="2"/>
                <w:sz w:val="21"/>
                <w:szCs w:val="21"/>
                <w:lang w:val="en-US" w:eastAsia="zh-CN" w:bidi="ar"/>
                <w14:textFill>
                  <w14:solidFill>
                    <w14:schemeClr w14:val="tx1"/>
                  </w14:solidFill>
                </w14:textFill>
              </w:rPr>
              <w:t>）排污口立标管理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①</w:t>
            </w:r>
            <w:r>
              <w:rPr>
                <w:rFonts w:hint="eastAsia" w:ascii="宋体" w:hAnsi="宋体" w:eastAsia="宋体" w:cs="宋体"/>
                <w:color w:val="000000" w:themeColor="text1"/>
                <w:kern w:val="2"/>
                <w:sz w:val="21"/>
                <w:szCs w:val="21"/>
                <w:lang w:val="en-US" w:eastAsia="zh-CN" w:bidi="ar"/>
                <w14:textFill>
                  <w14:solidFill>
                    <w14:schemeClr w14:val="tx1"/>
                  </w14:solidFill>
                </w14:textFill>
              </w:rPr>
              <w:t>污染物排放口，应按国家《环境保护图形标志》</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15562.1-1995</w:t>
            </w:r>
            <w:r>
              <w:rPr>
                <w:rFonts w:hint="eastAsia" w:ascii="宋体" w:hAnsi="宋体" w:cs="宋体"/>
                <w:color w:val="000000" w:themeColor="text1"/>
                <w:kern w:val="2"/>
                <w:sz w:val="21"/>
                <w:szCs w:val="21"/>
                <w:lang w:val="en-US" w:eastAsia="zh-CN" w:bidi="ar"/>
                <w14:textFill>
                  <w14:solidFill>
                    <w14:schemeClr w14:val="tx1"/>
                  </w14:solidFill>
                </w14:textFill>
              </w:rPr>
              <w:t>）</w:t>
            </w:r>
            <w:r>
              <w:rPr>
                <w:rFonts w:hint="eastAsia" w:cs="Times New Roman"/>
                <w:color w:val="000000" w:themeColor="text1"/>
                <w:kern w:val="2"/>
                <w:sz w:val="21"/>
                <w:szCs w:val="21"/>
                <w:lang w:val="en-US" w:eastAsia="zh-CN" w:bidi="ar"/>
                <w14:textFill>
                  <w14:solidFill>
                    <w14:schemeClr w14:val="tx1"/>
                  </w14:solidFill>
                </w14:textFill>
              </w:rPr>
              <w:t>修改单</w:t>
            </w:r>
            <w:r>
              <w:rPr>
                <w:rFonts w:hint="eastAsia" w:ascii="宋体" w:hAnsi="宋体" w:eastAsia="宋体" w:cs="宋体"/>
                <w:color w:val="000000" w:themeColor="text1"/>
                <w:kern w:val="2"/>
                <w:sz w:val="21"/>
                <w:szCs w:val="21"/>
                <w:lang w:val="en-US" w:eastAsia="zh-CN" w:bidi="ar"/>
                <w14:textFill>
                  <w14:solidFill>
                    <w14:schemeClr w14:val="tx1"/>
                  </w14:solidFill>
                </w14:textFill>
              </w:rPr>
              <w:t>的规定，设置</w:t>
            </w:r>
            <w:r>
              <w:rPr>
                <w:rFonts w:hint="eastAsia" w:ascii="宋体" w:hAnsi="宋体" w:cs="宋体"/>
                <w:color w:val="000000" w:themeColor="text1"/>
                <w:kern w:val="2"/>
                <w:sz w:val="21"/>
                <w:szCs w:val="21"/>
                <w:lang w:val="en-US" w:eastAsia="zh-CN" w:bidi="ar"/>
                <w14:textFill>
                  <w14:solidFill>
                    <w14:schemeClr w14:val="tx1"/>
                  </w14:solidFill>
                </w14:textFill>
              </w:rPr>
              <w:t>符合规定的</w:t>
            </w:r>
            <w:r>
              <w:rPr>
                <w:rFonts w:hint="eastAsia" w:ascii="宋体" w:hAnsi="宋体" w:eastAsia="宋体" w:cs="宋体"/>
                <w:color w:val="000000" w:themeColor="text1"/>
                <w:kern w:val="2"/>
                <w:sz w:val="21"/>
                <w:szCs w:val="21"/>
                <w:lang w:val="en-US" w:eastAsia="zh-CN" w:bidi="ar"/>
                <w14:textFill>
                  <w14:solidFill>
                    <w14:schemeClr w14:val="tx1"/>
                  </w14:solidFill>
                </w14:textFill>
              </w:rPr>
              <w:t>环境保护图形标志牌；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②</w:t>
            </w:r>
            <w:r>
              <w:rPr>
                <w:rFonts w:hint="eastAsia" w:ascii="宋体" w:hAnsi="宋体" w:eastAsia="宋体" w:cs="宋体"/>
                <w:color w:val="000000" w:themeColor="text1"/>
                <w:kern w:val="2"/>
                <w:sz w:val="21"/>
                <w:szCs w:val="21"/>
                <w:lang w:val="en-US" w:eastAsia="zh-CN" w:bidi="ar"/>
                <w14:textFill>
                  <w14:solidFill>
                    <w14:schemeClr w14:val="tx1"/>
                  </w14:solidFill>
                </w14:textFill>
              </w:rPr>
              <w:t>污染物排放口的环境保护图形标志牌应设置在靠近采样点的醒目处，标志牌设置高度为其上缘距地面约</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2m</w:t>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color w:val="000000" w:themeColor="text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本项目建成后，应将上述所有污染排放口名称、位置、数量，以及排放污染物名称、数量等内容进行统计，并登记上报当地</w:t>
            </w:r>
            <w:r>
              <w:rPr>
                <w:rFonts w:hint="eastAsia" w:ascii="宋体" w:hAnsi="宋体" w:cs="宋体"/>
                <w:color w:val="000000" w:themeColor="text1"/>
                <w:kern w:val="2"/>
                <w:sz w:val="21"/>
                <w:szCs w:val="21"/>
                <w:lang w:val="en-US" w:eastAsia="zh-CN" w:bidi="ar"/>
                <w14:textFill>
                  <w14:solidFill>
                    <w14:schemeClr w14:val="tx1"/>
                  </w14:solidFill>
                </w14:textFill>
              </w:rPr>
              <w:t>生态环境</w:t>
            </w:r>
            <w:r>
              <w:rPr>
                <w:rFonts w:hint="eastAsia" w:ascii="宋体" w:hAnsi="宋体" w:eastAsia="宋体" w:cs="宋体"/>
                <w:color w:val="000000" w:themeColor="text1"/>
                <w:kern w:val="2"/>
                <w:sz w:val="21"/>
                <w:szCs w:val="21"/>
                <w:lang w:val="en-US" w:eastAsia="zh-CN" w:bidi="ar"/>
                <w14:textFill>
                  <w14:solidFill>
                    <w14:schemeClr w14:val="tx1"/>
                  </w14:solidFill>
                </w14:textFill>
              </w:rPr>
              <w:t>部门，以便进行验收和排放口的规范化管理。</w:t>
            </w:r>
          </w:p>
          <w:p>
            <w:pPr>
              <w:keepNext w:val="0"/>
              <w:keepLines w:val="0"/>
              <w:pageBreakBefore w:val="0"/>
              <w:widowControl w:val="0"/>
              <w:suppressLineNumbers w:val="0"/>
              <w:kinsoku/>
              <w:wordWrap/>
              <w:autoSpaceDE/>
              <w:autoSpaceDN/>
              <w:bidi w:val="0"/>
              <w:adjustRightInd/>
              <w:snapToGrid/>
              <w:spacing w:before="0" w:beforeAutospacing="0" w:after="0" w:afterAutospacing="0" w:line="360" w:lineRule="auto"/>
              <w:ind w:left="0" w:right="0" w:firstLine="420" w:firstLineChars="200"/>
              <w:jc w:val="both"/>
              <w:textAlignment w:val="auto"/>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pPr>
          </w:p>
          <w:p>
            <w:pPr>
              <w:pStyle w:val="11"/>
              <w:keepNext w:val="0"/>
              <w:keepLines w:val="0"/>
              <w:suppressLineNumbers w:val="0"/>
              <w:spacing w:beforeAutospacing="0" w:afterAutospacing="0"/>
              <w:ind w:left="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r>
    </w:tbl>
    <w:p>
      <w:pPr>
        <w:pStyle w:val="20"/>
        <w:keepNext w:val="0"/>
        <w:keepLines w:val="0"/>
        <w:pageBreakBefore/>
        <w:widowControl/>
        <w:numPr>
          <w:ilvl w:val="0"/>
          <w:numId w:val="0"/>
        </w:numPr>
        <w:kinsoku/>
        <w:wordWrap/>
        <w:overflowPunct/>
        <w:topLinePunct w:val="0"/>
        <w:autoSpaceDE/>
        <w:autoSpaceDN/>
        <w:bidi w:val="0"/>
        <w:adjustRightInd w:val="0"/>
        <w:snapToGrid w:val="0"/>
        <w:spacing w:line="240" w:lineRule="auto"/>
        <w:jc w:val="center"/>
        <w:textAlignment w:val="center"/>
        <w:outlineLvl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六、</w:t>
      </w:r>
      <w:r>
        <w:rPr>
          <w:rFonts w:hint="eastAsia"/>
          <w:color w:val="000000" w:themeColor="text1"/>
          <w:lang w:eastAsia="zh-CN"/>
          <w14:textFill>
            <w14:solidFill>
              <w14:schemeClr w14:val="tx1"/>
            </w14:solidFill>
          </w14:textFill>
        </w:rPr>
        <w:t>结论</w:t>
      </w:r>
    </w:p>
    <w:tbl>
      <w:tblPr>
        <w:tblStyle w:val="23"/>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r>
              <w:rPr>
                <w:rFonts w:hint="eastAsia" w:ascii="宋体" w:cs="宋体"/>
                <w:color w:val="000000" w:themeColor="text1"/>
                <w:sz w:val="21"/>
                <w:szCs w:val="21"/>
                <w14:textFill>
                  <w14:solidFill>
                    <w14:schemeClr w14:val="tx1"/>
                  </w14:solidFill>
                </w14:textFill>
              </w:rPr>
              <w:t>本项目的建设符合国家产业政策，生产工艺符合相关要求</w:t>
            </w:r>
            <w:r>
              <w:rPr>
                <w:rFonts w:hint="eastAsia" w:ascii="宋体" w:cs="宋体"/>
                <w:color w:val="000000" w:themeColor="text1"/>
                <w:sz w:val="21"/>
                <w:szCs w:val="21"/>
                <w:lang w:eastAsia="zh-CN"/>
                <w14:textFill>
                  <w14:solidFill>
                    <w14:schemeClr w14:val="tx1"/>
                  </w14:solidFill>
                </w14:textFill>
              </w:rPr>
              <w:t>。</w:t>
            </w:r>
            <w:r>
              <w:rPr>
                <w:rFonts w:hint="eastAsia" w:ascii="宋体" w:cs="宋体"/>
                <w:color w:val="000000" w:themeColor="text1"/>
                <w:sz w:val="21"/>
                <w:szCs w:val="21"/>
                <w14:textFill>
                  <w14:solidFill>
                    <w14:schemeClr w14:val="tx1"/>
                  </w14:solidFill>
                </w14:textFill>
              </w:rPr>
              <w:t>建设单位在严格落实本评价报告提出的各项污染防治措施及环保要求</w:t>
            </w:r>
            <w:r>
              <w:rPr>
                <w:rFonts w:hint="eastAsia" w:ascii="宋体" w:cs="宋体"/>
                <w:color w:val="000000" w:themeColor="text1"/>
                <w:sz w:val="21"/>
                <w:szCs w:val="21"/>
                <w:lang w:eastAsia="zh-CN"/>
                <w14:textFill>
                  <w14:solidFill>
                    <w14:schemeClr w14:val="tx1"/>
                  </w14:solidFill>
                </w14:textFill>
              </w:rPr>
              <w:t>，</w:t>
            </w:r>
            <w:r>
              <w:rPr>
                <w:rFonts w:hint="eastAsia" w:ascii="宋体" w:cs="宋体"/>
                <w:color w:val="000000" w:themeColor="text1"/>
                <w:sz w:val="21"/>
                <w:szCs w:val="21"/>
                <w14:textFill>
                  <w14:solidFill>
                    <w14:schemeClr w14:val="tx1"/>
                  </w14:solidFill>
                </w14:textFill>
              </w:rPr>
              <w:t>加强生产和污染治理设施的运行管理</w:t>
            </w:r>
            <w:r>
              <w:rPr>
                <w:rFonts w:hint="eastAsia" w:ascii="宋体" w:cs="宋体"/>
                <w:color w:val="000000" w:themeColor="text1"/>
                <w:sz w:val="21"/>
                <w:szCs w:val="21"/>
                <w:lang w:eastAsia="zh-CN"/>
                <w14:textFill>
                  <w14:solidFill>
                    <w14:schemeClr w14:val="tx1"/>
                  </w14:solidFill>
                </w14:textFill>
              </w:rPr>
              <w:t>，</w:t>
            </w:r>
            <w:r>
              <w:rPr>
                <w:rFonts w:hint="eastAsia" w:ascii="宋体" w:cs="宋体"/>
                <w:color w:val="000000" w:themeColor="text1"/>
                <w:sz w:val="21"/>
                <w:szCs w:val="21"/>
                <w14:textFill>
                  <w14:solidFill>
                    <w14:schemeClr w14:val="tx1"/>
                  </w14:solidFill>
                </w14:textFill>
              </w:rPr>
              <w:t>保证各种污染物达标排放的前提下，本项目对周围环境质量影响较小，符合国家、地方的环保标准</w:t>
            </w:r>
            <w:r>
              <w:rPr>
                <w:rFonts w:hint="eastAsia" w:ascii="宋体" w:cs="宋体"/>
                <w:color w:val="000000" w:themeColor="text1"/>
                <w:sz w:val="21"/>
                <w:szCs w:val="21"/>
                <w:lang w:eastAsia="zh-CN"/>
                <w14:textFill>
                  <w14:solidFill>
                    <w14:schemeClr w14:val="tx1"/>
                  </w14:solidFill>
                </w14:textFill>
              </w:rPr>
              <w:t>。</w:t>
            </w:r>
            <w:r>
              <w:rPr>
                <w:rFonts w:hint="eastAsia" w:ascii="宋体" w:cs="宋体"/>
                <w:color w:val="000000" w:themeColor="text1"/>
                <w:sz w:val="21"/>
                <w:szCs w:val="21"/>
                <w14:textFill>
                  <w14:solidFill>
                    <w14:schemeClr w14:val="tx1"/>
                  </w14:solidFill>
                </w14:textFill>
              </w:rPr>
              <w:t>从环保角度来看，本项目的建设是可行的。</w:t>
            </w: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firstLine="420" w:firstLineChars="200"/>
              <w:jc w:val="both"/>
              <w:rPr>
                <w:rFonts w:hint="eastAsia" w:ascii="宋体" w:cs="宋体"/>
                <w:color w:val="000000" w:themeColor="text1"/>
                <w:sz w:val="21"/>
                <w:szCs w:val="21"/>
                <w14:textFill>
                  <w14:solidFill>
                    <w14:schemeClr w14:val="tx1"/>
                  </w14:solidFill>
                </w14:textFill>
              </w:rPr>
            </w:pPr>
          </w:p>
          <w:p>
            <w:pPr>
              <w:keepNext w:val="0"/>
              <w:keepLines w:val="0"/>
              <w:suppressLineNumbers w:val="0"/>
              <w:kinsoku/>
              <w:wordWrap/>
              <w:bidi w:val="0"/>
              <w:adjustRightInd/>
              <w:snapToGrid/>
              <w:spacing w:before="0" w:beforeAutospacing="0" w:after="0" w:afterAutospacing="0" w:line="360" w:lineRule="auto"/>
              <w:ind w:left="0" w:right="0"/>
              <w:jc w:val="both"/>
              <w:rPr>
                <w:rFonts w:hint="eastAsia" w:ascii="宋体" w:eastAsia="宋体" w:cs="宋体"/>
                <w:color w:val="000000" w:themeColor="text1"/>
                <w:sz w:val="21"/>
                <w:szCs w:val="21"/>
                <w:lang w:val="en-US" w:eastAsia="zh-CN"/>
                <w14:textFill>
                  <w14:solidFill>
                    <w14:schemeClr w14:val="tx1"/>
                  </w14:solidFill>
                </w14:textFill>
              </w:rPr>
            </w:pPr>
          </w:p>
        </w:tc>
      </w:tr>
    </w:tbl>
    <w:p>
      <w:pPr>
        <w:kinsoku/>
        <w:wordWrap/>
        <w:bidi w:val="0"/>
        <w:adjustRightInd/>
        <w:snapToGrid/>
        <w:rPr>
          <w:rFonts w:hint="eastAsia"/>
          <w:color w:val="000000" w:themeColor="text1"/>
          <w:lang w:eastAsia="zh-CN"/>
          <w14:textFill>
            <w14:solidFill>
              <w14:schemeClr w14:val="tx1"/>
            </w14:solidFill>
          </w14:textFill>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240" w:lineRule="auto"/>
        <w:ind w:left="0" w:right="0"/>
        <w:jc w:val="left"/>
        <w:textAlignment w:val="auto"/>
        <w:outlineLvl w:val="0"/>
        <w:rPr>
          <w:rFonts w:hint="eastAsia" w:ascii="黑体" w:hAnsi="宋体" w:eastAsia="黑体" w:cs="黑体"/>
          <w:color w:val="000000" w:themeColor="text1"/>
          <w:kern w:val="0"/>
          <w:sz w:val="32"/>
          <w:szCs w:val="32"/>
          <w:lang w:val="en-US" w:eastAsia="zh-CN" w:bidi="ar"/>
          <w14:textFill>
            <w14:solidFill>
              <w14:schemeClr w14:val="tx1"/>
            </w14:solidFill>
          </w14:textFill>
        </w:rPr>
      </w:pPr>
      <w:r>
        <w:rPr>
          <w:rFonts w:hint="eastAsia" w:ascii="黑体" w:hAnsi="宋体" w:eastAsia="黑体" w:cs="黑体"/>
          <w:color w:val="000000" w:themeColor="text1"/>
          <w:kern w:val="0"/>
          <w:sz w:val="32"/>
          <w:szCs w:val="32"/>
          <w:lang w:val="en-US" w:eastAsia="zh-CN" w:bidi="ar"/>
          <w14:textFill>
            <w14:solidFill>
              <w14:schemeClr w14:val="tx1"/>
            </w14:solidFill>
          </w14:textFill>
        </w:rPr>
        <w:t>附表</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240" w:lineRule="auto"/>
        <w:ind w:left="0" w:right="0"/>
        <w:jc w:val="center"/>
        <w:textAlignment w:val="auto"/>
        <w:outlineLvl w:val="0"/>
        <w:rPr>
          <w:rFonts w:hint="default" w:ascii="方正小标宋_GBK" w:hAnsi="宋体" w:eastAsia="方正小标宋_GBK" w:cs="方正小标宋_GBK"/>
          <w:color w:val="000000" w:themeColor="text1"/>
          <w:kern w:val="0"/>
          <w:sz w:val="38"/>
          <w:szCs w:val="38"/>
          <w:lang w:val="en-US" w:eastAsia="zh-CN" w:bidi="ar"/>
          <w14:textFill>
            <w14:solidFill>
              <w14:schemeClr w14:val="tx1"/>
            </w14:solidFill>
          </w14:textFill>
        </w:rPr>
      </w:pPr>
      <w:r>
        <w:rPr>
          <w:rFonts w:hint="default" w:ascii="方正小标宋_GBK" w:hAnsi="方正小标宋_GBK" w:eastAsia="方正小标宋_GBK" w:cs="方正小标宋_GBK"/>
          <w:color w:val="000000" w:themeColor="text1"/>
          <w:kern w:val="0"/>
          <w:sz w:val="38"/>
          <w:szCs w:val="38"/>
          <w:lang w:val="en-US" w:eastAsia="zh-CN" w:bidi="ar"/>
          <w14:textFill>
            <w14:solidFill>
              <w14:schemeClr w14:val="tx1"/>
            </w14:solidFill>
          </w14:textFill>
        </w:rPr>
        <w:t>建设项目污染物排放量汇总表</w:t>
      </w:r>
    </w:p>
    <w:tbl>
      <w:tblPr>
        <w:tblStyle w:val="23"/>
        <w:tblW w:w="13788"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786"/>
        <w:gridCol w:w="1881"/>
        <w:gridCol w:w="1118"/>
        <w:gridCol w:w="1754"/>
        <w:gridCol w:w="1638"/>
        <w:gridCol w:w="1655"/>
        <w:gridCol w:w="1928"/>
        <w:gridCol w:w="1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73" w:type="dxa"/>
            <w:tcBorders>
              <w:tl2br w:val="single" w:color="auto" w:sz="8" w:space="0"/>
            </w:tcBorders>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right"/>
              <w:rPr>
                <w:rFonts w:hint="eastAsia" w:ascii="黑体" w:hAnsi="宋体" w:eastAsia="黑体" w:cs="宋体"/>
                <w:color w:val="000000" w:themeColor="text1"/>
                <w:spacing w:val="-6"/>
                <w:kern w:val="21"/>
                <w:sz w:val="21"/>
                <w:szCs w:val="21"/>
                <w:lang w:val="en-US" w:eastAsia="zh-CN" w:bidi="ar"/>
                <w14:textFill>
                  <w14:solidFill>
                    <w14:schemeClr w14:val="tx1"/>
                  </w14:solidFill>
                </w14:textFill>
              </w:rPr>
            </w:pPr>
            <w:r>
              <w:rPr>
                <w:rFonts w:hint="eastAsia" w:ascii="黑体" w:hAnsi="宋体" w:eastAsia="黑体" w:cs="宋体"/>
                <w:color w:val="000000" w:themeColor="text1"/>
                <w:spacing w:val="-6"/>
                <w:kern w:val="21"/>
                <w:sz w:val="21"/>
                <w:szCs w:val="21"/>
                <w:lang w:val="en-US" w:eastAsia="zh-CN" w:bidi="ar"/>
                <w14:textFill>
                  <w14:solidFill>
                    <w14:schemeClr w14:val="tx1"/>
                  </w14:solidFill>
                </w14:textFill>
              </w:rPr>
              <w:t>项目</w:t>
            </w:r>
          </w:p>
          <w:p>
            <w:pPr>
              <w:keepNext w:val="0"/>
              <w:keepLines w:val="0"/>
              <w:widowControl/>
              <w:suppressLineNumbers w:val="0"/>
              <w:adjustRightInd w:val="0"/>
              <w:snapToGrid w:val="0"/>
              <w:spacing w:before="0" w:beforeLines="0" w:beforeAutospacing="0" w:after="0" w:afterLines="0" w:afterAutospacing="0" w:line="256" w:lineRule="auto"/>
              <w:ind w:left="0" w:right="0"/>
              <w:jc w:val="left"/>
              <w:rPr>
                <w:rFonts w:hint="eastAsia" w:ascii="黑体" w:hAnsi="宋体" w:eastAsia="黑体" w:cs="宋体"/>
                <w:color w:val="000000" w:themeColor="text1"/>
                <w:spacing w:val="-6"/>
                <w:kern w:val="21"/>
                <w:sz w:val="21"/>
                <w:szCs w:val="21"/>
                <w:lang w:val="en-US" w:eastAsia="zh-CN" w:bidi="ar"/>
                <w14:textFill>
                  <w14:solidFill>
                    <w14:schemeClr w14:val="tx1"/>
                  </w14:solidFill>
                </w14:textFill>
              </w:rPr>
            </w:pPr>
            <w:r>
              <w:rPr>
                <w:rFonts w:hint="eastAsia" w:ascii="黑体" w:hAnsi="宋体" w:eastAsia="黑体" w:cs="宋体"/>
                <w:color w:val="000000" w:themeColor="text1"/>
                <w:spacing w:val="-6"/>
                <w:kern w:val="21"/>
                <w:sz w:val="21"/>
                <w:szCs w:val="21"/>
                <w:lang w:val="en-US" w:eastAsia="zh-CN" w:bidi="ar"/>
                <w14:textFill>
                  <w14:solidFill>
                    <w14:schemeClr w14:val="tx1"/>
                  </w14:solidFill>
                </w14:textFill>
              </w:rPr>
              <w:t>分类</w:t>
            </w:r>
          </w:p>
        </w:tc>
        <w:tc>
          <w:tcPr>
            <w:tcW w:w="1786" w:type="dxa"/>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黑体" w:hAnsi="宋体" w:eastAsia="黑体" w:cs="宋体"/>
                <w:color w:val="000000" w:themeColor="text1"/>
                <w:spacing w:val="-6"/>
                <w:kern w:val="21"/>
                <w:sz w:val="21"/>
                <w:szCs w:val="21"/>
                <w:lang w:val="en-US" w:eastAsia="zh-CN" w:bidi="ar"/>
                <w14:textFill>
                  <w14:solidFill>
                    <w14:schemeClr w14:val="tx1"/>
                  </w14:solidFill>
                </w14:textFill>
              </w:rPr>
            </w:pPr>
            <w:r>
              <w:rPr>
                <w:rFonts w:hint="eastAsia" w:ascii="黑体" w:hAnsi="宋体" w:eastAsia="黑体" w:cs="宋体"/>
                <w:color w:val="000000" w:themeColor="text1"/>
                <w:spacing w:val="-6"/>
                <w:kern w:val="21"/>
                <w:sz w:val="21"/>
                <w:szCs w:val="21"/>
                <w:lang w:val="en-US" w:eastAsia="zh-CN" w:bidi="ar"/>
                <w14:textFill>
                  <w14:solidFill>
                    <w14:schemeClr w14:val="tx1"/>
                  </w14:solidFill>
                </w14:textFill>
              </w:rPr>
              <w:t>污染物名称</w:t>
            </w:r>
          </w:p>
        </w:tc>
        <w:tc>
          <w:tcPr>
            <w:tcW w:w="1881" w:type="dxa"/>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黑体" w:hAnsi="宋体" w:eastAsia="黑体" w:cs="黑体"/>
                <w:color w:val="000000" w:themeColor="text1"/>
                <w:spacing w:val="-6"/>
                <w:kern w:val="21"/>
                <w:sz w:val="21"/>
                <w:szCs w:val="21"/>
                <w:lang w:val="en-US" w:eastAsia="zh-CN" w:bidi="ar"/>
                <w14:textFill>
                  <w14:solidFill>
                    <w14:schemeClr w14:val="tx1"/>
                  </w14:solidFill>
                </w14:textFill>
              </w:rPr>
              <w:t>现有工程排放量（固体废物产生量）①</w:t>
            </w:r>
          </w:p>
        </w:tc>
        <w:tc>
          <w:tcPr>
            <w:tcW w:w="1118" w:type="dxa"/>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黑体" w:hAnsi="宋体" w:eastAsia="黑体" w:cs="黑体"/>
                <w:color w:val="000000" w:themeColor="text1"/>
                <w:spacing w:val="-6"/>
                <w:kern w:val="21"/>
                <w:sz w:val="21"/>
                <w:szCs w:val="21"/>
                <w:lang w:val="en-US" w:eastAsia="zh-CN" w:bidi="ar"/>
                <w14:textFill>
                  <w14:solidFill>
                    <w14:schemeClr w14:val="tx1"/>
                  </w14:solidFill>
                </w14:textFill>
              </w:rPr>
              <w:t>现有工程许可排放量②</w:t>
            </w:r>
          </w:p>
        </w:tc>
        <w:tc>
          <w:tcPr>
            <w:tcW w:w="1754" w:type="dxa"/>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黑体" w:hAnsi="宋体" w:eastAsia="黑体" w:cs="黑体"/>
                <w:color w:val="000000" w:themeColor="text1"/>
                <w:spacing w:val="-6"/>
                <w:kern w:val="21"/>
                <w:sz w:val="21"/>
                <w:szCs w:val="21"/>
                <w:lang w:val="en-US" w:eastAsia="zh-CN" w:bidi="ar"/>
                <w14:textFill>
                  <w14:solidFill>
                    <w14:schemeClr w14:val="tx1"/>
                  </w14:solidFill>
                </w14:textFill>
              </w:rPr>
              <w:t>在建工程排放量（固体废物产生量）③</w:t>
            </w:r>
          </w:p>
        </w:tc>
        <w:tc>
          <w:tcPr>
            <w:tcW w:w="1638" w:type="dxa"/>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黑体" w:hAnsi="宋体" w:eastAsia="黑体" w:cs="黑体"/>
                <w:color w:val="000000" w:themeColor="text1"/>
                <w:spacing w:val="-6"/>
                <w:kern w:val="21"/>
                <w:sz w:val="21"/>
                <w:szCs w:val="21"/>
                <w:lang w:val="en-US" w:eastAsia="zh-CN" w:bidi="ar"/>
                <w14:textFill>
                  <w14:solidFill>
                    <w14:schemeClr w14:val="tx1"/>
                  </w14:solidFill>
                </w14:textFill>
              </w:rPr>
              <w:t>本项目排放量（固体废物产生量）④</w:t>
            </w:r>
          </w:p>
        </w:tc>
        <w:tc>
          <w:tcPr>
            <w:tcW w:w="1655" w:type="dxa"/>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黑体" w:hAnsi="宋体" w:eastAsia="黑体" w:cs="黑体"/>
                <w:color w:val="000000" w:themeColor="text1"/>
                <w:spacing w:val="-16"/>
                <w:kern w:val="21"/>
                <w:sz w:val="21"/>
                <w:szCs w:val="21"/>
                <w:lang w:val="en-US" w:eastAsia="zh-CN" w:bidi="ar"/>
                <w14:textFill>
                  <w14:solidFill>
                    <w14:schemeClr w14:val="tx1"/>
                  </w14:solidFill>
                </w14:textFill>
              </w:rPr>
            </w:pPr>
            <w:r>
              <w:rPr>
                <w:rFonts w:hint="eastAsia" w:ascii="黑体" w:hAnsi="宋体" w:eastAsia="黑体" w:cs="黑体"/>
                <w:color w:val="000000" w:themeColor="text1"/>
                <w:spacing w:val="-16"/>
                <w:kern w:val="21"/>
                <w:sz w:val="21"/>
                <w:szCs w:val="21"/>
                <w:lang w:val="en-US" w:eastAsia="zh-CN" w:bidi="ar"/>
                <w14:textFill>
                  <w14:solidFill>
                    <w14:schemeClr w14:val="tx1"/>
                  </w14:solidFill>
                </w14:textFill>
              </w:rPr>
              <w:t>以新带老削减量</w:t>
            </w:r>
          </w:p>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黑体" w:hAnsi="宋体" w:eastAsia="黑体" w:cs="黑体"/>
                <w:color w:val="000000" w:themeColor="text1"/>
                <w:spacing w:val="-16"/>
                <w:kern w:val="21"/>
                <w:sz w:val="21"/>
                <w:szCs w:val="21"/>
                <w:lang w:val="en-US" w:eastAsia="zh-CN" w:bidi="ar"/>
                <w14:textFill>
                  <w14:solidFill>
                    <w14:schemeClr w14:val="tx1"/>
                  </w14:solidFill>
                </w14:textFill>
              </w:rPr>
              <w:t>（新建项目不填）⑤</w:t>
            </w:r>
          </w:p>
        </w:tc>
        <w:tc>
          <w:tcPr>
            <w:tcW w:w="1928" w:type="dxa"/>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黑体" w:hAnsi="宋体" w:eastAsia="黑体" w:cs="黑体"/>
                <w:color w:val="000000" w:themeColor="text1"/>
                <w:spacing w:val="-16"/>
                <w:kern w:val="21"/>
                <w:sz w:val="21"/>
                <w:szCs w:val="21"/>
                <w:lang w:val="en-US" w:eastAsia="zh-CN" w:bidi="ar"/>
                <w14:textFill>
                  <w14:solidFill>
                    <w14:schemeClr w14:val="tx1"/>
                  </w14:solidFill>
                </w14:textFill>
              </w:rPr>
              <w:t>本项目建成后全厂排放量（固体废物产生量）⑥</w:t>
            </w:r>
          </w:p>
        </w:tc>
        <w:tc>
          <w:tcPr>
            <w:tcW w:w="1055" w:type="dxa"/>
            <w:noWrap w:val="0"/>
            <w:tcMar>
              <w:left w:w="28" w:type="dxa"/>
              <w:right w:w="28" w:type="dxa"/>
            </w:tcMar>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黑体" w:hAnsi="宋体" w:eastAsia="黑体" w:cs="黑体"/>
                <w:color w:val="000000" w:themeColor="text1"/>
                <w:spacing w:val="-6"/>
                <w:kern w:val="21"/>
                <w:sz w:val="21"/>
                <w:szCs w:val="21"/>
                <w:lang w:val="en-US" w:eastAsia="zh-CN" w:bidi="ar"/>
                <w14:textFill>
                  <w14:solidFill>
                    <w14:schemeClr w14:val="tx1"/>
                  </w14:solidFill>
                </w14:textFill>
              </w:rPr>
            </w:pPr>
            <w:r>
              <w:rPr>
                <w:rFonts w:hint="eastAsia" w:ascii="黑体" w:hAnsi="宋体" w:eastAsia="黑体" w:cs="黑体"/>
                <w:color w:val="000000" w:themeColor="text1"/>
                <w:spacing w:val="-6"/>
                <w:kern w:val="21"/>
                <w:sz w:val="21"/>
                <w:szCs w:val="21"/>
                <w:lang w:val="en-US" w:eastAsia="zh-CN" w:bidi="ar"/>
                <w14:textFill>
                  <w14:solidFill>
                    <w14:schemeClr w14:val="tx1"/>
                  </w14:solidFill>
                </w14:textFill>
              </w:rPr>
              <w:t>变化量</w:t>
            </w:r>
          </w:p>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黑体" w:hAnsi="宋体" w:eastAsia="黑体" w:cs="黑体"/>
                <w:color w:val="000000" w:themeColor="text1"/>
                <w:spacing w:val="-6"/>
                <w:kern w:val="21"/>
                <w:sz w:val="21"/>
                <w:szCs w:val="21"/>
                <w:lang w:val="en-US" w:eastAsia="zh-CN" w:bidi="ar"/>
                <w14:textFill>
                  <w14:solidFill>
                    <w14:schemeClr w14:val="tx1"/>
                  </w14:solidFill>
                </w14:textFill>
              </w:rPr>
              <w:t>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3" w:type="dxa"/>
            <w:noWrap w:val="0"/>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default" w:ascii="宋体" w:hAnsi="宋体" w:eastAsia="宋体" w:cs="宋体"/>
                <w:color w:val="000000" w:themeColor="text1"/>
                <w:kern w:val="21"/>
                <w:sz w:val="21"/>
                <w:szCs w:val="21"/>
                <w:lang w:val="en-US" w:eastAsia="zh-CN" w:bidi="ar"/>
                <w14:textFill>
                  <w14:solidFill>
                    <w14:schemeClr w14:val="tx1"/>
                  </w14:solidFill>
                </w14:textFill>
              </w:rPr>
            </w:pPr>
            <w:r>
              <w:rPr>
                <w:rFonts w:hint="eastAsia" w:ascii="宋体" w:hAnsi="宋体" w:cs="宋体"/>
                <w:color w:val="000000" w:themeColor="text1"/>
                <w:kern w:val="21"/>
                <w:sz w:val="21"/>
                <w:szCs w:val="21"/>
                <w:lang w:val="en-US" w:eastAsia="zh-CN" w:bidi="ar"/>
                <w14:textFill>
                  <w14:solidFill>
                    <w14:schemeClr w14:val="tx1"/>
                  </w14:solidFill>
                </w14:textFill>
              </w:rPr>
              <w:t>废气</w:t>
            </w:r>
          </w:p>
        </w:tc>
        <w:tc>
          <w:tcPr>
            <w:tcW w:w="1786" w:type="dxa"/>
            <w:noWrap w:val="0"/>
            <w:vAlign w:val="center"/>
          </w:tcPr>
          <w:p>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颗粒物</w:t>
            </w:r>
          </w:p>
        </w:tc>
        <w:tc>
          <w:tcPr>
            <w:tcW w:w="1881"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w:t>
            </w:r>
            <w:r>
              <w:rPr>
                <w:rFonts w:hint="eastAsia" w:cs="Times New Roman"/>
                <w:b w:val="0"/>
                <w:bCs/>
                <w:color w:val="000000" w:themeColor="text1"/>
                <w:kern w:val="2"/>
                <w:sz w:val="21"/>
                <w:szCs w:val="21"/>
                <w:lang w:val="en-US" w:eastAsia="zh-CN" w:bidi="ar-SA"/>
                <w14:textFill>
                  <w14:solidFill>
                    <w14:schemeClr w14:val="tx1"/>
                  </w14:solidFill>
                </w14:textFill>
              </w:rPr>
              <w:t>.086t/a</w:t>
            </w:r>
          </w:p>
        </w:tc>
        <w:tc>
          <w:tcPr>
            <w:tcW w:w="1118"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21"/>
                <w:sz w:val="21"/>
                <w:szCs w:val="21"/>
                <w:lang w:val="en-US" w:eastAsia="zh-CN" w:bidi="ar"/>
                <w14:textFill>
                  <w14:solidFill>
                    <w14:schemeClr w14:val="tx1"/>
                  </w14:solidFill>
                </w14:textFill>
              </w:rPr>
              <w:t>0</w:t>
            </w:r>
          </w:p>
        </w:tc>
        <w:tc>
          <w:tcPr>
            <w:tcW w:w="1754"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21"/>
                <w:sz w:val="21"/>
                <w:szCs w:val="21"/>
                <w:lang w:val="en-US" w:eastAsia="zh-CN" w:bidi="ar"/>
                <w14:textFill>
                  <w14:solidFill>
                    <w14:schemeClr w14:val="tx1"/>
                  </w14:solidFill>
                </w14:textFill>
              </w:rPr>
              <w:t>0</w:t>
            </w:r>
          </w:p>
        </w:tc>
        <w:tc>
          <w:tcPr>
            <w:tcW w:w="163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lang w:val="en-US" w:eastAsia="zh-CN" w:bidi="ar"/>
                <w14:textFill>
                  <w14:solidFill>
                    <w14:schemeClr w14:val="tx1"/>
                  </w14:solidFill>
                </w14:textFill>
              </w:rPr>
              <w:t>0.18</w:t>
            </w: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t/a</w:t>
            </w:r>
          </w:p>
        </w:tc>
        <w:tc>
          <w:tcPr>
            <w:tcW w:w="1655"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21"/>
                <w:sz w:val="21"/>
                <w:szCs w:val="21"/>
                <w:lang w:val="en-US" w:eastAsia="zh-CN" w:bidi="ar"/>
                <w14:textFill>
                  <w14:solidFill>
                    <w14:schemeClr w14:val="tx1"/>
                  </w14:solidFill>
                </w14:textFill>
              </w:rPr>
              <w:t>0</w:t>
            </w:r>
          </w:p>
        </w:tc>
        <w:tc>
          <w:tcPr>
            <w:tcW w:w="192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kern w:val="2"/>
                <w:sz w:val="21"/>
                <w:szCs w:val="21"/>
                <w:lang w:val="en-US" w:eastAsia="zh-CN" w:bidi="ar"/>
              </w:rPr>
              <w:t>0.266t/a</w:t>
            </w:r>
          </w:p>
        </w:tc>
        <w:tc>
          <w:tcPr>
            <w:tcW w:w="1055"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kern w:val="2"/>
                <w:sz w:val="21"/>
                <w:szCs w:val="21"/>
                <w:lang w:val="en-US" w:eastAsia="zh-CN" w:bidi="ar"/>
              </w:rPr>
              <w:t>+</w:t>
            </w:r>
            <w:r>
              <w:rPr>
                <w:rFonts w:hint="default" w:ascii="Times New Roman" w:hAnsi="Times New Roman" w:eastAsia="宋体" w:cs="Times New Roman"/>
                <w:b w:val="0"/>
                <w:bCs/>
                <w:color w:val="000000"/>
                <w:kern w:val="2"/>
                <w:sz w:val="21"/>
                <w:szCs w:val="21"/>
                <w:lang w:val="en-US" w:eastAsia="zh-CN" w:bidi="ar"/>
              </w:rPr>
              <w:t>0.18t/a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3" w:type="dxa"/>
            <w:vMerge w:val="restart"/>
            <w:noWrap w:val="0"/>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default" w:ascii="宋体" w:hAnsi="宋体" w:cs="宋体"/>
                <w:color w:val="000000" w:themeColor="text1"/>
                <w:kern w:val="21"/>
                <w:sz w:val="21"/>
                <w:szCs w:val="21"/>
                <w:lang w:val="en-US" w:eastAsia="zh-CN" w:bidi="ar"/>
                <w14:textFill>
                  <w14:solidFill>
                    <w14:schemeClr w14:val="tx1"/>
                  </w14:solidFill>
                </w14:textFill>
              </w:rPr>
            </w:pPr>
            <w:r>
              <w:rPr>
                <w:rFonts w:hint="eastAsia" w:ascii="宋体" w:hAnsi="宋体" w:cs="宋体"/>
                <w:color w:val="000000" w:themeColor="text1"/>
                <w:kern w:val="21"/>
                <w:sz w:val="21"/>
                <w:szCs w:val="21"/>
                <w:lang w:val="en-US" w:eastAsia="zh-CN" w:bidi="ar"/>
                <w14:textFill>
                  <w14:solidFill>
                    <w14:schemeClr w14:val="tx1"/>
                  </w14:solidFill>
                </w14:textFill>
              </w:rPr>
              <w:t>废水</w:t>
            </w:r>
          </w:p>
        </w:tc>
        <w:tc>
          <w:tcPr>
            <w:tcW w:w="1786" w:type="dxa"/>
            <w:noWrap w:val="0"/>
            <w:vAlign w:val="center"/>
          </w:tcPr>
          <w:p>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COD</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Cr</w:t>
            </w:r>
          </w:p>
        </w:tc>
        <w:tc>
          <w:tcPr>
            <w:tcW w:w="1881" w:type="dxa"/>
            <w:noWrap w:val="0"/>
            <w:vAlign w:val="top"/>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w:t>
            </w:r>
          </w:p>
        </w:tc>
        <w:tc>
          <w:tcPr>
            <w:tcW w:w="1118"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754"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63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 w:val="0"/>
                <w:bCs/>
                <w:color w:val="000000" w:themeColor="text1"/>
                <w:kern w:val="2"/>
                <w:sz w:val="21"/>
                <w:szCs w:val="21"/>
                <w:lang w:val="en-US" w:eastAsia="zh-CN" w:bidi="ar"/>
                <w14:textFill>
                  <w14:solidFill>
                    <w14:schemeClr w14:val="tx1"/>
                  </w14:solidFill>
                </w14:textFill>
              </w:rPr>
            </w:pPr>
            <w:r>
              <w:rPr>
                <w:rFonts w:hint="eastAsia" w:cs="Times New Roman"/>
                <w:b w:val="0"/>
                <w:bCs/>
                <w:color w:val="000000" w:themeColor="text1"/>
                <w:kern w:val="2"/>
                <w:sz w:val="21"/>
                <w:szCs w:val="21"/>
                <w:lang w:val="en-US" w:eastAsia="zh-CN" w:bidi="ar"/>
                <w14:textFill>
                  <w14:solidFill>
                    <w14:schemeClr w14:val="tx1"/>
                  </w14:solidFill>
                </w14:textFill>
              </w:rPr>
              <w:t>0.030t/a</w:t>
            </w:r>
          </w:p>
        </w:tc>
        <w:tc>
          <w:tcPr>
            <w:tcW w:w="1655"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92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 w:val="0"/>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kern w:val="2"/>
                <w:sz w:val="21"/>
                <w:szCs w:val="21"/>
                <w:lang w:val="en-US" w:eastAsia="zh-CN" w:bidi="ar"/>
              </w:rPr>
              <w:t>0.030t/a</w:t>
            </w:r>
          </w:p>
        </w:tc>
        <w:tc>
          <w:tcPr>
            <w:tcW w:w="1055"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kern w:val="2"/>
                <w:sz w:val="21"/>
                <w:szCs w:val="21"/>
                <w:lang w:val="en-US" w:eastAsia="zh-CN" w:bidi="ar"/>
              </w:rPr>
              <w:t>+</w:t>
            </w:r>
            <w:r>
              <w:rPr>
                <w:rFonts w:hint="default" w:ascii="Times New Roman" w:hAnsi="Times New Roman" w:eastAsia="宋体" w:cs="Times New Roman"/>
                <w:b w:val="0"/>
                <w:bCs/>
                <w:color w:val="000000"/>
                <w:kern w:val="2"/>
                <w:sz w:val="21"/>
                <w:szCs w:val="21"/>
                <w:lang w:val="en-US" w:eastAsia="zh-CN" w:bidi="ar"/>
              </w:rPr>
              <w:t>0.030t/a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3" w:type="dxa"/>
            <w:vMerge w:val="continue"/>
            <w:noWrap w:val="0"/>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cs="宋体"/>
                <w:color w:val="000000" w:themeColor="text1"/>
                <w:kern w:val="21"/>
                <w:sz w:val="21"/>
                <w:szCs w:val="21"/>
                <w:lang w:val="en-US" w:eastAsia="zh-CN" w:bidi="ar"/>
                <w14:textFill>
                  <w14:solidFill>
                    <w14:schemeClr w14:val="tx1"/>
                  </w14:solidFill>
                </w14:textFill>
              </w:rPr>
            </w:pPr>
          </w:p>
        </w:tc>
        <w:tc>
          <w:tcPr>
            <w:tcW w:w="1786" w:type="dxa"/>
            <w:noWrap w:val="0"/>
            <w:vAlign w:val="center"/>
          </w:tcPr>
          <w:p>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BOD</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5</w:t>
            </w:r>
          </w:p>
        </w:tc>
        <w:tc>
          <w:tcPr>
            <w:tcW w:w="1881" w:type="dxa"/>
            <w:noWrap w:val="0"/>
            <w:vAlign w:val="top"/>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w:t>
            </w:r>
          </w:p>
        </w:tc>
        <w:tc>
          <w:tcPr>
            <w:tcW w:w="1118"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754"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63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 w:val="0"/>
                <w:bCs/>
                <w:color w:val="000000" w:themeColor="text1"/>
                <w:kern w:val="2"/>
                <w:sz w:val="21"/>
                <w:szCs w:val="21"/>
                <w:lang w:val="en-US" w:eastAsia="zh-CN" w:bidi="ar"/>
                <w14:textFill>
                  <w14:solidFill>
                    <w14:schemeClr w14:val="tx1"/>
                  </w14:solidFill>
                </w14:textFill>
              </w:rPr>
            </w:pPr>
            <w:r>
              <w:rPr>
                <w:rFonts w:hint="eastAsia" w:cs="Times New Roman"/>
                <w:b w:val="0"/>
                <w:bCs/>
                <w:color w:val="000000" w:themeColor="text1"/>
                <w:kern w:val="2"/>
                <w:sz w:val="21"/>
                <w:szCs w:val="21"/>
                <w:lang w:val="en-US" w:eastAsia="zh-CN" w:bidi="ar"/>
                <w14:textFill>
                  <w14:solidFill>
                    <w14:schemeClr w14:val="tx1"/>
                  </w14:solidFill>
                </w14:textFill>
              </w:rPr>
              <w:t>0.017t/a</w:t>
            </w:r>
          </w:p>
        </w:tc>
        <w:tc>
          <w:tcPr>
            <w:tcW w:w="1655"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92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 w:val="0"/>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kern w:val="2"/>
                <w:sz w:val="21"/>
                <w:szCs w:val="21"/>
                <w:lang w:val="en-US" w:eastAsia="zh-CN" w:bidi="ar"/>
              </w:rPr>
              <w:t>0.017t/a</w:t>
            </w:r>
          </w:p>
        </w:tc>
        <w:tc>
          <w:tcPr>
            <w:tcW w:w="1055"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kern w:val="2"/>
                <w:sz w:val="21"/>
                <w:szCs w:val="21"/>
                <w:lang w:val="en-US" w:eastAsia="zh-CN" w:bidi="ar"/>
              </w:rPr>
              <w:t>+</w:t>
            </w:r>
            <w:r>
              <w:rPr>
                <w:rFonts w:hint="default" w:ascii="Times New Roman" w:hAnsi="Times New Roman" w:eastAsia="宋体" w:cs="Times New Roman"/>
                <w:b w:val="0"/>
                <w:bCs/>
                <w:color w:val="000000"/>
                <w:kern w:val="2"/>
                <w:sz w:val="21"/>
                <w:szCs w:val="21"/>
                <w:lang w:val="en-US" w:eastAsia="zh-CN" w:bidi="ar"/>
              </w:rPr>
              <w:t>0.017t/a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3" w:type="dxa"/>
            <w:vMerge w:val="continue"/>
            <w:noWrap w:val="0"/>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cs="宋体"/>
                <w:color w:val="000000" w:themeColor="text1"/>
                <w:kern w:val="21"/>
                <w:sz w:val="21"/>
                <w:szCs w:val="21"/>
                <w:lang w:val="en-US" w:eastAsia="zh-CN" w:bidi="ar"/>
                <w14:textFill>
                  <w14:solidFill>
                    <w14:schemeClr w14:val="tx1"/>
                  </w14:solidFill>
                </w14:textFill>
              </w:rPr>
            </w:pPr>
          </w:p>
        </w:tc>
        <w:tc>
          <w:tcPr>
            <w:tcW w:w="1786" w:type="dxa"/>
            <w:noWrap w:val="0"/>
            <w:vAlign w:val="center"/>
          </w:tcPr>
          <w:p>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SS</w:t>
            </w:r>
          </w:p>
        </w:tc>
        <w:tc>
          <w:tcPr>
            <w:tcW w:w="1881" w:type="dxa"/>
            <w:noWrap w:val="0"/>
            <w:vAlign w:val="top"/>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w:t>
            </w:r>
          </w:p>
        </w:tc>
        <w:tc>
          <w:tcPr>
            <w:tcW w:w="1118"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754"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63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 w:val="0"/>
                <w:bCs/>
                <w:color w:val="000000" w:themeColor="text1"/>
                <w:kern w:val="2"/>
                <w:sz w:val="21"/>
                <w:szCs w:val="21"/>
                <w:lang w:val="en-US" w:eastAsia="zh-CN" w:bidi="ar"/>
                <w14:textFill>
                  <w14:solidFill>
                    <w14:schemeClr w14:val="tx1"/>
                  </w14:solidFill>
                </w14:textFill>
              </w:rPr>
            </w:pPr>
            <w:r>
              <w:rPr>
                <w:rFonts w:hint="eastAsia" w:cs="Times New Roman"/>
                <w:b w:val="0"/>
                <w:bCs/>
                <w:color w:val="000000" w:themeColor="text1"/>
                <w:kern w:val="2"/>
                <w:sz w:val="21"/>
                <w:szCs w:val="21"/>
                <w:lang w:val="en-US" w:eastAsia="zh-CN" w:bidi="ar"/>
                <w14:textFill>
                  <w14:solidFill>
                    <w14:schemeClr w14:val="tx1"/>
                  </w14:solidFill>
                </w14:textFill>
              </w:rPr>
              <w:t>0.019t/a</w:t>
            </w:r>
          </w:p>
        </w:tc>
        <w:tc>
          <w:tcPr>
            <w:tcW w:w="1655"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92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 w:val="0"/>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kern w:val="2"/>
                <w:sz w:val="21"/>
                <w:szCs w:val="21"/>
                <w:lang w:val="en-US" w:eastAsia="zh-CN" w:bidi="ar"/>
              </w:rPr>
              <w:t>0.019t/a</w:t>
            </w:r>
          </w:p>
        </w:tc>
        <w:tc>
          <w:tcPr>
            <w:tcW w:w="1055"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kern w:val="2"/>
                <w:sz w:val="21"/>
                <w:szCs w:val="21"/>
                <w:lang w:val="en-US" w:eastAsia="zh-CN" w:bidi="ar"/>
              </w:rPr>
              <w:t>+0</w:t>
            </w:r>
            <w:r>
              <w:rPr>
                <w:rFonts w:hint="default" w:ascii="Times New Roman" w:hAnsi="Times New Roman" w:eastAsia="宋体" w:cs="Times New Roman"/>
                <w:b w:val="0"/>
                <w:bCs/>
                <w:color w:val="000000"/>
                <w:kern w:val="2"/>
                <w:sz w:val="21"/>
                <w:szCs w:val="21"/>
                <w:lang w:val="en-US" w:eastAsia="zh-CN" w:bidi="ar"/>
              </w:rPr>
              <w:t>.019t/a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3" w:type="dxa"/>
            <w:vMerge w:val="continue"/>
            <w:noWrap w:val="0"/>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cs="宋体"/>
                <w:color w:val="000000" w:themeColor="text1"/>
                <w:kern w:val="21"/>
                <w:sz w:val="21"/>
                <w:szCs w:val="21"/>
                <w:lang w:val="en-US" w:eastAsia="zh-CN" w:bidi="ar"/>
                <w14:textFill>
                  <w14:solidFill>
                    <w14:schemeClr w14:val="tx1"/>
                  </w14:solidFill>
                </w14:textFill>
              </w:rPr>
            </w:pPr>
          </w:p>
        </w:tc>
        <w:tc>
          <w:tcPr>
            <w:tcW w:w="1786" w:type="dxa"/>
            <w:noWrap w:val="0"/>
            <w:vAlign w:val="center"/>
          </w:tcPr>
          <w:p>
            <w:pPr>
              <w:keepNext w:val="0"/>
              <w:keepLines w:val="0"/>
              <w:widowControl/>
              <w:suppressLineNumbers w:val="0"/>
              <w:autoSpaceDE w:val="0"/>
              <w:autoSpaceDN/>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NH</w:t>
            </w:r>
            <w:r>
              <w:rPr>
                <w:rFonts w:hint="default" w:ascii="Times New Roman" w:hAnsi="Times New Roman" w:eastAsia="宋体" w:cs="Times New Roman"/>
                <w:color w:val="000000" w:themeColor="text1"/>
                <w:kern w:val="2"/>
                <w:sz w:val="21"/>
                <w:szCs w:val="21"/>
                <w:vertAlign w:val="sub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-N</w:t>
            </w:r>
          </w:p>
        </w:tc>
        <w:tc>
          <w:tcPr>
            <w:tcW w:w="1881" w:type="dxa"/>
            <w:noWrap w:val="0"/>
            <w:vAlign w:val="top"/>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w:t>
            </w:r>
          </w:p>
        </w:tc>
        <w:tc>
          <w:tcPr>
            <w:tcW w:w="1118"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754"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63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 w:val="0"/>
                <w:bCs/>
                <w:color w:val="000000" w:themeColor="text1"/>
                <w:kern w:val="2"/>
                <w:sz w:val="21"/>
                <w:szCs w:val="21"/>
                <w:lang w:val="en-US" w:eastAsia="zh-CN" w:bidi="ar"/>
                <w14:textFill>
                  <w14:solidFill>
                    <w14:schemeClr w14:val="tx1"/>
                  </w14:solidFill>
                </w14:textFill>
              </w:rPr>
            </w:pPr>
            <w:r>
              <w:rPr>
                <w:rFonts w:hint="eastAsia" w:cs="Times New Roman"/>
                <w:b w:val="0"/>
                <w:bCs/>
                <w:color w:val="000000" w:themeColor="text1"/>
                <w:kern w:val="2"/>
                <w:sz w:val="21"/>
                <w:szCs w:val="21"/>
                <w:lang w:val="en-US" w:eastAsia="zh-CN" w:bidi="ar"/>
                <w14:textFill>
                  <w14:solidFill>
                    <w14:schemeClr w14:val="tx1"/>
                  </w14:solidFill>
                </w14:textFill>
              </w:rPr>
              <w:t>0.003t/a</w:t>
            </w:r>
          </w:p>
        </w:tc>
        <w:tc>
          <w:tcPr>
            <w:tcW w:w="1655"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928"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 w:val="0"/>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kern w:val="2"/>
                <w:sz w:val="21"/>
                <w:szCs w:val="21"/>
                <w:lang w:val="en-US" w:eastAsia="zh-CN" w:bidi="ar"/>
              </w:rPr>
              <w:t>0.003t/a</w:t>
            </w:r>
          </w:p>
        </w:tc>
        <w:tc>
          <w:tcPr>
            <w:tcW w:w="1055"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kern w:val="2"/>
                <w:sz w:val="21"/>
                <w:szCs w:val="21"/>
                <w:lang w:val="en-US" w:eastAsia="zh-CN" w:bidi="ar"/>
              </w:rPr>
              <w:t>+</w:t>
            </w:r>
            <w:r>
              <w:rPr>
                <w:rFonts w:hint="default" w:ascii="Times New Roman" w:hAnsi="Times New Roman" w:eastAsia="宋体" w:cs="Times New Roman"/>
                <w:b w:val="0"/>
                <w:bCs/>
                <w:color w:val="000000"/>
                <w:kern w:val="2"/>
                <w:sz w:val="21"/>
                <w:szCs w:val="21"/>
                <w:lang w:val="en-US" w:eastAsia="zh-CN" w:bidi="ar"/>
              </w:rPr>
              <w:t>0.003t/a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3" w:type="dxa"/>
            <w:vMerge w:val="restart"/>
            <w:noWrap w:val="0"/>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eastAsia" w:ascii="宋体" w:hAnsi="宋体" w:eastAsia="宋体" w:cs="宋体"/>
                <w:color w:val="000000" w:themeColor="text1"/>
                <w:kern w:val="21"/>
                <w:sz w:val="21"/>
                <w:szCs w:val="21"/>
                <w:lang w:val="en-US" w:eastAsia="zh-CN" w:bidi="ar"/>
                <w14:textFill>
                  <w14:solidFill>
                    <w14:schemeClr w14:val="tx1"/>
                  </w14:solidFill>
                </w14:textFill>
              </w:rPr>
            </w:pPr>
            <w:r>
              <w:rPr>
                <w:rFonts w:hint="eastAsia" w:ascii="宋体" w:hAnsi="宋体" w:eastAsia="宋体" w:cs="宋体"/>
                <w:color w:val="000000" w:themeColor="text1"/>
                <w:kern w:val="21"/>
                <w:sz w:val="21"/>
                <w:szCs w:val="21"/>
                <w:lang w:val="en-US" w:eastAsia="zh-CN" w:bidi="ar"/>
                <w14:textFill>
                  <w14:solidFill>
                    <w14:schemeClr w14:val="tx1"/>
                  </w14:solidFill>
                </w14:textFill>
              </w:rPr>
              <w:t>一般固废</w:t>
            </w:r>
          </w:p>
        </w:tc>
        <w:tc>
          <w:tcPr>
            <w:tcW w:w="1786" w:type="dxa"/>
            <w:noWrap w:val="0"/>
            <w:vAlign w:val="center"/>
          </w:tcPr>
          <w:p>
            <w:pPr>
              <w:pStyle w:val="20"/>
              <w:keepNext w:val="0"/>
              <w:keepLines w:val="0"/>
              <w:widowControl w:val="0"/>
              <w:suppressLineNumbers w:val="0"/>
              <w:adjustRightInd w:val="0"/>
              <w:snapToGrid w:val="0"/>
              <w:spacing w:before="0" w:beforeAutospacing="0" w:after="0" w:afterAutospacing="0" w:line="320" w:lineRule="exact"/>
              <w:ind w:left="0" w:leftChars="0" w:right="0" w:rightChars="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收集粉尘</w:t>
            </w:r>
          </w:p>
        </w:tc>
        <w:tc>
          <w:tcPr>
            <w:tcW w:w="1881"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0</w:t>
            </w:r>
          </w:p>
        </w:tc>
        <w:tc>
          <w:tcPr>
            <w:tcW w:w="1118"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eastAsia" w:ascii="宋体" w:hAnsi="宋体" w:eastAsia="宋体" w:cs="宋体"/>
                <w:color w:val="000000" w:themeColor="text1"/>
                <w:kern w:val="21"/>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t>0</w:t>
            </w:r>
          </w:p>
        </w:tc>
        <w:tc>
          <w:tcPr>
            <w:tcW w:w="1754"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eastAsia" w:ascii="宋体" w:hAnsi="宋体" w:eastAsia="宋体" w:cs="宋体"/>
                <w:color w:val="000000" w:themeColor="text1"/>
                <w:kern w:val="21"/>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t>0</w:t>
            </w:r>
          </w:p>
        </w:tc>
        <w:tc>
          <w:tcPr>
            <w:tcW w:w="1638" w:type="dxa"/>
            <w:noWrap w:val="0"/>
            <w:vAlign w:val="center"/>
          </w:tcPr>
          <w:p>
            <w:pPr>
              <w:pStyle w:val="20"/>
              <w:keepNext w:val="0"/>
              <w:keepLines w:val="0"/>
              <w:widowControl w:val="0"/>
              <w:suppressLineNumbers w:val="0"/>
              <w:adjustRightInd w:val="0"/>
              <w:snapToGrid w:val="0"/>
              <w:spacing w:before="0" w:beforeAutospacing="0" w:after="0" w:afterAutospacing="0" w:line="320" w:lineRule="exact"/>
              <w:ind w:left="0" w:leftChars="0" w:right="0" w:rightChars="0"/>
              <w:jc w:val="center"/>
              <w:rPr>
                <w:rFonts w:hint="default" w:ascii="Times New Roman" w:hAnsi="Times New Roman" w:eastAsia="黑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14.26</w:t>
            </w:r>
            <w:r>
              <w:rPr>
                <w:rFonts w:hint="default" w:ascii="Times New Roman" w:hAnsi="Times New Roman" w:eastAsia="黑体" w:cs="Times New Roman"/>
                <w:color w:val="000000" w:themeColor="text1"/>
                <w:kern w:val="0"/>
                <w:sz w:val="21"/>
                <w:szCs w:val="21"/>
                <w:lang w:val="en-US" w:eastAsia="zh-CN" w:bidi="ar"/>
                <w14:textFill>
                  <w14:solidFill>
                    <w14:schemeClr w14:val="tx1"/>
                  </w14:solidFill>
                </w14:textFill>
              </w:rPr>
              <w:t>t/a</w:t>
            </w:r>
          </w:p>
        </w:tc>
        <w:tc>
          <w:tcPr>
            <w:tcW w:w="1655"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1"/>
                <w:sz w:val="21"/>
                <w:szCs w:val="21"/>
                <w:lang w:val="en-US" w:eastAsia="zh-CN" w:bidi="ar"/>
                <w14:textFill>
                  <w14:solidFill>
                    <w14:schemeClr w14:val="tx1"/>
                  </w14:solidFill>
                </w14:textFill>
              </w:rPr>
              <w:t>0</w:t>
            </w:r>
          </w:p>
        </w:tc>
        <w:tc>
          <w:tcPr>
            <w:tcW w:w="1928" w:type="dxa"/>
            <w:noWrap w:val="0"/>
            <w:vAlign w:val="center"/>
          </w:tcPr>
          <w:p>
            <w:pPr>
              <w:pStyle w:val="20"/>
              <w:keepNext w:val="0"/>
              <w:keepLines w:val="0"/>
              <w:widowControl w:val="0"/>
              <w:suppressLineNumbers w:val="0"/>
              <w:adjustRightInd w:val="0"/>
              <w:snapToGrid w:val="0"/>
              <w:spacing w:before="0" w:beforeAutospacing="0" w:after="0" w:afterAutospacing="0" w:line="320" w:lineRule="exact"/>
              <w:ind w:left="0" w:leftChars="0" w:right="0" w:rightChars="0"/>
              <w:jc w:val="center"/>
              <w:rPr>
                <w:rFonts w:hint="eastAsia" w:cs="Times New Roman"/>
                <w:b w:val="0"/>
                <w:bCs/>
                <w:color w:val="000000" w:themeColor="text1"/>
                <w:kern w:val="2"/>
                <w:sz w:val="21"/>
                <w:szCs w:val="21"/>
                <w:lang w:val="en-US" w:eastAsia="zh-CN" w:bidi="ar"/>
                <w14:textFill>
                  <w14:solidFill>
                    <w14:schemeClr w14:val="tx1"/>
                  </w14:solidFill>
                </w14:textFill>
              </w:rPr>
            </w:pPr>
            <w:r>
              <w:rPr>
                <w:rFonts w:hint="default" w:ascii="Times New Roman" w:hAnsi="Times New Roman" w:eastAsia="黑体" w:cs="Times New Roman"/>
                <w:color w:val="000000"/>
                <w:kern w:val="0"/>
                <w:sz w:val="21"/>
                <w:szCs w:val="21"/>
                <w:lang w:val="en-US" w:eastAsia="zh-CN" w:bidi="ar"/>
              </w:rPr>
              <w:t>14.26t/a</w:t>
            </w:r>
          </w:p>
        </w:tc>
        <w:tc>
          <w:tcPr>
            <w:tcW w:w="1055" w:type="dxa"/>
            <w:noWrap w:val="0"/>
            <w:vAlign w:val="center"/>
          </w:tcPr>
          <w:p>
            <w:pPr>
              <w:pStyle w:val="20"/>
              <w:keepNext w:val="0"/>
              <w:keepLines w:val="0"/>
              <w:widowControl w:val="0"/>
              <w:suppressLineNumbers w:val="0"/>
              <w:adjustRightInd w:val="0"/>
              <w:snapToGrid w:val="0"/>
              <w:spacing w:before="0" w:beforeAutospacing="0" w:after="0" w:afterAutospacing="0" w:line="320" w:lineRule="exact"/>
              <w:ind w:left="0" w:leftChars="0" w:right="0" w:rightChars="0"/>
              <w:jc w:val="center"/>
              <w:rPr>
                <w:rFonts w:hint="eastAsia" w:ascii="宋体" w:hAnsi="宋体" w:eastAsia="宋体" w:cs="宋体"/>
                <w:b/>
                <w:bCs/>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color w:val="000000"/>
                <w:kern w:val="0"/>
                <w:sz w:val="21"/>
                <w:szCs w:val="21"/>
                <w:lang w:val="en-US" w:eastAsia="zh-CN" w:bidi="ar"/>
              </w:rPr>
              <w:t>+</w:t>
            </w:r>
            <w:r>
              <w:rPr>
                <w:rFonts w:hint="default" w:ascii="Times New Roman" w:hAnsi="Times New Roman" w:eastAsia="黑体" w:cs="Times New Roman"/>
                <w:color w:val="000000"/>
                <w:kern w:val="0"/>
                <w:sz w:val="21"/>
                <w:szCs w:val="21"/>
                <w:lang w:val="en-US" w:eastAsia="zh-CN" w:bidi="ar"/>
              </w:rPr>
              <w:t>14.26t/a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73" w:type="dxa"/>
            <w:vMerge w:val="continue"/>
            <w:noWrap w:val="0"/>
            <w:vAlign w:val="center"/>
          </w:tcPr>
          <w:p>
            <w:pPr>
              <w:keepNext w:val="0"/>
              <w:keepLines w:val="0"/>
              <w:widowControl/>
              <w:suppressLineNumbers w:val="0"/>
              <w:adjustRightInd w:val="0"/>
              <w:snapToGrid w:val="0"/>
              <w:spacing w:before="0" w:beforeLines="0" w:beforeAutospacing="0" w:after="0" w:afterLines="0" w:afterAutospacing="0" w:line="256" w:lineRule="auto"/>
              <w:ind w:left="0" w:right="0"/>
              <w:jc w:val="center"/>
              <w:rPr>
                <w:rFonts w:hint="default" w:ascii="宋体" w:hAnsi="宋体" w:eastAsia="宋体" w:cs="宋体"/>
                <w:color w:val="000000" w:themeColor="text1"/>
                <w:kern w:val="21"/>
                <w:sz w:val="21"/>
                <w:szCs w:val="21"/>
                <w:lang w:val="en-US" w:eastAsia="zh-CN" w:bidi="ar"/>
                <w14:textFill>
                  <w14:solidFill>
                    <w14:schemeClr w14:val="tx1"/>
                  </w14:solidFill>
                </w14:textFill>
              </w:rPr>
            </w:pPr>
          </w:p>
        </w:tc>
        <w:tc>
          <w:tcPr>
            <w:tcW w:w="1786" w:type="dxa"/>
            <w:noWrap w:val="0"/>
            <w:vAlign w:val="center"/>
          </w:tcPr>
          <w:p>
            <w:pPr>
              <w:pStyle w:val="20"/>
              <w:keepNext w:val="0"/>
              <w:keepLines w:val="0"/>
              <w:widowControl w:val="0"/>
              <w:suppressLineNumbers w:val="0"/>
              <w:adjustRightInd w:val="0"/>
              <w:snapToGrid w:val="0"/>
              <w:spacing w:before="0" w:beforeAutospacing="0" w:after="0" w:afterAutospacing="0" w:line="320" w:lineRule="exact"/>
              <w:ind w:left="0" w:leftChars="0" w:right="0" w:rightChars="0"/>
              <w:jc w:val="center"/>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生活垃圾</w:t>
            </w:r>
          </w:p>
        </w:tc>
        <w:tc>
          <w:tcPr>
            <w:tcW w:w="1881" w:type="dxa"/>
            <w:noWrap w:val="0"/>
            <w:vAlign w:val="center"/>
          </w:tcPr>
          <w:p>
            <w:pPr>
              <w:keepNext w:val="0"/>
              <w:keepLines w:val="0"/>
              <w:widowControl w:val="0"/>
              <w:suppressLineNumbers w:val="0"/>
              <w:topLinePunct/>
              <w:spacing w:before="0" w:beforeAutospacing="0" w:after="0" w:afterAutospacing="0"/>
              <w:ind w:left="0" w:leftChars="0" w:right="0" w:rightChars="0"/>
              <w:jc w:val="center"/>
              <w:rPr>
                <w:rFonts w:hint="default"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kern w:val="2"/>
                <w:sz w:val="21"/>
                <w:szCs w:val="21"/>
                <w:lang w:val="en-US" w:eastAsia="zh-CN" w:bidi="ar-SA"/>
                <w14:textFill>
                  <w14:solidFill>
                    <w14:schemeClr w14:val="tx1"/>
                  </w14:solidFill>
                </w14:textFill>
              </w:rPr>
              <w:t>3.5t/a</w:t>
            </w:r>
          </w:p>
        </w:tc>
        <w:tc>
          <w:tcPr>
            <w:tcW w:w="1118"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754"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638" w:type="dxa"/>
            <w:noWrap w:val="0"/>
            <w:vAlign w:val="center"/>
          </w:tcPr>
          <w:p>
            <w:pPr>
              <w:pStyle w:val="20"/>
              <w:keepNext w:val="0"/>
              <w:keepLines w:val="0"/>
              <w:widowControl w:val="0"/>
              <w:suppressLineNumbers w:val="0"/>
              <w:adjustRightInd w:val="0"/>
              <w:snapToGrid w:val="0"/>
              <w:spacing w:before="0" w:beforeAutospacing="0" w:after="0" w:afterAutospacing="0" w:line="320" w:lineRule="exact"/>
              <w:ind w:left="0" w:leftChars="0" w:right="0" w:rightChars="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1.08</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t/a</w:t>
            </w:r>
          </w:p>
        </w:tc>
        <w:tc>
          <w:tcPr>
            <w:tcW w:w="1655" w:type="dxa"/>
            <w:noWrap w:val="0"/>
            <w:vAlign w:val="center"/>
          </w:tcPr>
          <w:p>
            <w:pPr>
              <w:keepNext w:val="0"/>
              <w:keepLines w:val="0"/>
              <w:widowControl w:val="0"/>
              <w:suppressLineNumbers w:val="0"/>
              <w:adjustRightInd w:val="0"/>
              <w:snapToGrid w:val="0"/>
              <w:spacing w:before="0" w:beforeLines="0" w:beforeAutospacing="0" w:after="0" w:afterLines="0" w:afterAutospacing="0" w:line="252" w:lineRule="auto"/>
              <w:ind w:left="0" w:leftChars="0" w:right="0" w:rightChars="0"/>
              <w:jc w:val="center"/>
              <w:rPr>
                <w:rFonts w:hint="default" w:cs="Times New Roman"/>
                <w:color w:val="000000" w:themeColor="text1"/>
                <w:kern w:val="21"/>
                <w:sz w:val="21"/>
                <w:szCs w:val="21"/>
                <w:lang w:val="en-US" w:eastAsia="zh-CN" w:bidi="ar"/>
                <w14:textFill>
                  <w14:solidFill>
                    <w14:schemeClr w14:val="tx1"/>
                  </w14:solidFill>
                </w14:textFill>
              </w:rPr>
            </w:pPr>
            <w:r>
              <w:rPr>
                <w:rFonts w:hint="eastAsia" w:cs="Times New Roman"/>
                <w:color w:val="000000" w:themeColor="text1"/>
                <w:kern w:val="21"/>
                <w:sz w:val="21"/>
                <w:szCs w:val="21"/>
                <w:lang w:val="en-US" w:eastAsia="zh-CN" w:bidi="ar"/>
                <w14:textFill>
                  <w14:solidFill>
                    <w14:schemeClr w14:val="tx1"/>
                  </w14:solidFill>
                </w14:textFill>
              </w:rPr>
              <w:t>0</w:t>
            </w:r>
          </w:p>
        </w:tc>
        <w:tc>
          <w:tcPr>
            <w:tcW w:w="1928" w:type="dxa"/>
            <w:noWrap w:val="0"/>
            <w:vAlign w:val="center"/>
          </w:tcPr>
          <w:p>
            <w:pPr>
              <w:pStyle w:val="20"/>
              <w:keepNext w:val="0"/>
              <w:keepLines w:val="0"/>
              <w:widowControl w:val="0"/>
              <w:suppressLineNumbers w:val="0"/>
              <w:adjustRightInd w:val="0"/>
              <w:snapToGrid w:val="0"/>
              <w:spacing w:before="0" w:beforeAutospacing="0" w:after="0" w:afterAutospacing="0" w:line="320" w:lineRule="exact"/>
              <w:ind w:left="0" w:leftChars="0" w:right="0" w:rightChars="0"/>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kern w:val="0"/>
                <w:sz w:val="21"/>
                <w:szCs w:val="21"/>
                <w:lang w:val="en-US" w:eastAsia="zh-CN" w:bidi="ar"/>
              </w:rPr>
              <w:t>4.5</w:t>
            </w:r>
            <w:r>
              <w:rPr>
                <w:rFonts w:hint="default" w:ascii="Times New Roman" w:hAnsi="Times New Roman" w:eastAsia="宋体" w:cs="Times New Roman"/>
                <w:color w:val="000000"/>
                <w:kern w:val="0"/>
                <w:sz w:val="21"/>
                <w:szCs w:val="21"/>
                <w:lang w:val="en-US" w:eastAsia="zh-CN" w:bidi="ar"/>
              </w:rPr>
              <w:t>8t/a</w:t>
            </w:r>
          </w:p>
        </w:tc>
        <w:tc>
          <w:tcPr>
            <w:tcW w:w="1055" w:type="dxa"/>
            <w:noWrap w:val="0"/>
            <w:vAlign w:val="center"/>
          </w:tcPr>
          <w:p>
            <w:pPr>
              <w:pStyle w:val="20"/>
              <w:keepNext w:val="0"/>
              <w:keepLines w:val="0"/>
              <w:widowControl w:val="0"/>
              <w:suppressLineNumbers w:val="0"/>
              <w:adjustRightInd w:val="0"/>
              <w:snapToGrid w:val="0"/>
              <w:spacing w:before="0" w:beforeAutospacing="0" w:after="0" w:afterAutospacing="0" w:line="320" w:lineRule="exact"/>
              <w:ind w:left="0" w:leftChars="0" w:right="0" w:rightChars="0"/>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1.08t/a</w:t>
            </w:r>
          </w:p>
        </w:tc>
      </w:tr>
    </w:tbl>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left="0" w:right="0"/>
        <w:jc w:val="left"/>
        <w:textAlignment w:val="auto"/>
        <w:rPr>
          <w:rFonts w:hint="eastAsia"/>
          <w:color w:val="000000" w:themeColor="text1"/>
          <w:lang w:eastAsia="zh-CN"/>
          <w14:textFill>
            <w14:solidFill>
              <w14:schemeClr w14:val="tx1"/>
            </w14:solidFill>
          </w14:textFill>
        </w:rPr>
      </w:pPr>
      <w:r>
        <w:rPr>
          <w:rFonts w:hint="eastAsia" w:ascii="宋体" w:hAnsi="宋体" w:eastAsia="宋体" w:cs="宋体"/>
          <w:color w:val="000000" w:themeColor="text1"/>
          <w:kern w:val="21"/>
          <w:sz w:val="21"/>
          <w:szCs w:val="21"/>
          <w:lang w:val="en-US" w:eastAsia="zh-CN" w:bidi="ar"/>
          <w14:textFill>
            <w14:solidFill>
              <w14:schemeClr w14:val="tx1"/>
            </w14:solidFill>
          </w14:textFill>
        </w:rPr>
        <w:t>注：</w:t>
      </w:r>
      <w:r>
        <w:rPr>
          <w:rFonts w:hint="eastAsia" w:ascii="宋体" w:hAnsi="宋体" w:eastAsia="宋体" w:cs="宋体"/>
          <w:color w:val="000000" w:themeColor="text1"/>
          <w:kern w:val="0"/>
          <w:sz w:val="21"/>
          <w:szCs w:val="21"/>
          <w:lang w:val="en-US" w:eastAsia="zh-CN" w:bidi="ar"/>
          <w14:textFill>
            <w14:solidFill>
              <w14:schemeClr w14:val="tx1"/>
            </w14:solidFill>
          </w14:textFill>
        </w:rPr>
        <w:t>⑥</w:t>
      </w:r>
      <w:r>
        <w:rPr>
          <w:rFonts w:hint="eastAsia" w:ascii="宋体" w:hAnsi="宋体" w:eastAsia="宋体" w:cs="宋体"/>
          <w:color w:val="000000" w:themeColor="text1"/>
          <w:spacing w:val="-16"/>
          <w:kern w:val="21"/>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①</w:t>
      </w:r>
      <w:r>
        <w:rPr>
          <w:rFonts w:hint="eastAsia" w:ascii="宋体" w:hAnsi="宋体" w:eastAsia="宋体" w:cs="宋体"/>
          <w:color w:val="000000" w:themeColor="text1"/>
          <w:spacing w:val="-6"/>
          <w:kern w:val="21"/>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③</w:t>
      </w:r>
      <w:r>
        <w:rPr>
          <w:rFonts w:hint="eastAsia" w:ascii="宋体" w:hAnsi="宋体" w:eastAsia="宋体" w:cs="宋体"/>
          <w:color w:val="000000" w:themeColor="text1"/>
          <w:spacing w:val="-6"/>
          <w:kern w:val="21"/>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④</w:t>
      </w:r>
      <w:r>
        <w:rPr>
          <w:rFonts w:hint="eastAsia" w:ascii="宋体" w:hAnsi="宋体" w:eastAsia="宋体" w:cs="宋体"/>
          <w:color w:val="000000" w:themeColor="text1"/>
          <w:spacing w:val="-6"/>
          <w:kern w:val="21"/>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⑤</w:t>
      </w:r>
      <w:r>
        <w:rPr>
          <w:rFonts w:hint="eastAsia" w:ascii="宋体" w:hAnsi="宋体" w:eastAsia="宋体" w:cs="宋体"/>
          <w:color w:val="000000" w:themeColor="text1"/>
          <w:spacing w:val="-16"/>
          <w:kern w:val="21"/>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⑦</w:t>
      </w:r>
      <w:r>
        <w:rPr>
          <w:rFonts w:hint="eastAsia" w:ascii="宋体" w:hAnsi="宋体" w:eastAsia="宋体" w:cs="宋体"/>
          <w:color w:val="000000" w:themeColor="text1"/>
          <w:spacing w:val="-6"/>
          <w:kern w:val="21"/>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⑥</w:t>
      </w:r>
      <w:r>
        <w:rPr>
          <w:rFonts w:hint="eastAsia" w:ascii="宋体" w:hAnsi="宋体" w:eastAsia="宋体" w:cs="宋体"/>
          <w:color w:val="000000" w:themeColor="text1"/>
          <w:spacing w:val="-16"/>
          <w:kern w:val="21"/>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①</w:t>
      </w:r>
    </w:p>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auto"/>
    <w:pitch w:val="default"/>
    <w:sig w:usb0="A10006FF" w:usb1="4000205B" w:usb2="00000010" w:usb3="00000000" w:csb0="2000019F" w:csb1="00000000"/>
  </w:font>
  <w:font w:name="Arial Unicode MS">
    <w:panose1 w:val="020B0604020202020204"/>
    <w:charset w:val="86"/>
    <w:family w:val="auto"/>
    <w:pitch w:val="default"/>
    <w:sig w:usb0="FFFFFFFF" w:usb1="E9FFFFFF" w:usb2="0000003F" w:usb3="00000000" w:csb0="603F01FF" w:csb1="FFFF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519672"/>
    <w:multiLevelType w:val="multilevel"/>
    <w:tmpl w:val="BE519672"/>
    <w:lvl w:ilvl="0" w:tentative="0">
      <w:start w:val="1"/>
      <w:numFmt w:val="bullet"/>
      <w:pStyle w:val="12"/>
      <w:lvlText w:val=""/>
      <w:lvlJc w:val="left"/>
      <w:pPr>
        <w:tabs>
          <w:tab w:val="left" w:pos="2040"/>
        </w:tabs>
        <w:ind w:left="2040" w:hanging="360"/>
      </w:pPr>
      <w:rPr>
        <w:rFonts w:hint="default" w:ascii="Wingdings" w:hAnsi="Wingdings"/>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D0F0E767"/>
    <w:multiLevelType w:val="multilevel"/>
    <w:tmpl w:val="D0F0E767"/>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jMjVjNmRlYTM1NzliYjExNjBjMjE3MzBiYjQ2MmUifQ=="/>
    <w:docVar w:name="KSO_WPS_MARK_KEY" w:val="1c5c2334-ca9c-4ad2-a0a0-1c8628dfc768"/>
  </w:docVars>
  <w:rsids>
    <w:rsidRoot w:val="00172A27"/>
    <w:rsid w:val="00092509"/>
    <w:rsid w:val="002410F1"/>
    <w:rsid w:val="00245594"/>
    <w:rsid w:val="0026130D"/>
    <w:rsid w:val="00285085"/>
    <w:rsid w:val="00311A5F"/>
    <w:rsid w:val="003550AC"/>
    <w:rsid w:val="003553C7"/>
    <w:rsid w:val="003A4DB8"/>
    <w:rsid w:val="003D21B2"/>
    <w:rsid w:val="003E38B6"/>
    <w:rsid w:val="00480B92"/>
    <w:rsid w:val="00537C28"/>
    <w:rsid w:val="005C6ADC"/>
    <w:rsid w:val="00627E6B"/>
    <w:rsid w:val="006836D3"/>
    <w:rsid w:val="006E4A62"/>
    <w:rsid w:val="00733F0F"/>
    <w:rsid w:val="008833E0"/>
    <w:rsid w:val="008E0C60"/>
    <w:rsid w:val="009049D8"/>
    <w:rsid w:val="00A12741"/>
    <w:rsid w:val="00A56685"/>
    <w:rsid w:val="00A87F74"/>
    <w:rsid w:val="00AF1302"/>
    <w:rsid w:val="00B656B7"/>
    <w:rsid w:val="00E865C2"/>
    <w:rsid w:val="00ED3BD8"/>
    <w:rsid w:val="00F27441"/>
    <w:rsid w:val="00F52A8D"/>
    <w:rsid w:val="01017684"/>
    <w:rsid w:val="010F3B4F"/>
    <w:rsid w:val="01101675"/>
    <w:rsid w:val="01174C50"/>
    <w:rsid w:val="011B6997"/>
    <w:rsid w:val="01207B0A"/>
    <w:rsid w:val="01282E62"/>
    <w:rsid w:val="012B4DCA"/>
    <w:rsid w:val="012C176E"/>
    <w:rsid w:val="013637D1"/>
    <w:rsid w:val="01374E54"/>
    <w:rsid w:val="01496DDF"/>
    <w:rsid w:val="01505F15"/>
    <w:rsid w:val="0156352C"/>
    <w:rsid w:val="015E6884"/>
    <w:rsid w:val="016D4D19"/>
    <w:rsid w:val="016E2F6B"/>
    <w:rsid w:val="016F5631"/>
    <w:rsid w:val="01875DDB"/>
    <w:rsid w:val="019404F8"/>
    <w:rsid w:val="0196601E"/>
    <w:rsid w:val="019F1CAA"/>
    <w:rsid w:val="01AB2997"/>
    <w:rsid w:val="01AB42B5"/>
    <w:rsid w:val="01BF5575"/>
    <w:rsid w:val="01CF1530"/>
    <w:rsid w:val="01D17D0E"/>
    <w:rsid w:val="01D44FF3"/>
    <w:rsid w:val="01D775B9"/>
    <w:rsid w:val="01D77DE2"/>
    <w:rsid w:val="01DA23AF"/>
    <w:rsid w:val="01E4054A"/>
    <w:rsid w:val="01E46D89"/>
    <w:rsid w:val="01F33470"/>
    <w:rsid w:val="01F571E8"/>
    <w:rsid w:val="01FB2325"/>
    <w:rsid w:val="01FE054D"/>
    <w:rsid w:val="02032FC1"/>
    <w:rsid w:val="020C008E"/>
    <w:rsid w:val="02182ED7"/>
    <w:rsid w:val="021D673F"/>
    <w:rsid w:val="02300221"/>
    <w:rsid w:val="02406216"/>
    <w:rsid w:val="02493090"/>
    <w:rsid w:val="025256CC"/>
    <w:rsid w:val="02555ED9"/>
    <w:rsid w:val="02587777"/>
    <w:rsid w:val="025C6318"/>
    <w:rsid w:val="025C7268"/>
    <w:rsid w:val="026956E5"/>
    <w:rsid w:val="0270686F"/>
    <w:rsid w:val="02775E4F"/>
    <w:rsid w:val="02781BC8"/>
    <w:rsid w:val="02854EBE"/>
    <w:rsid w:val="028E13EB"/>
    <w:rsid w:val="029702A0"/>
    <w:rsid w:val="02B250DA"/>
    <w:rsid w:val="02B64E2F"/>
    <w:rsid w:val="02B726F0"/>
    <w:rsid w:val="02C97F88"/>
    <w:rsid w:val="02CC42EB"/>
    <w:rsid w:val="02D335C0"/>
    <w:rsid w:val="02D45050"/>
    <w:rsid w:val="02F92D08"/>
    <w:rsid w:val="030A0A72"/>
    <w:rsid w:val="030A6CC4"/>
    <w:rsid w:val="030F42DA"/>
    <w:rsid w:val="03103BAE"/>
    <w:rsid w:val="03123DCA"/>
    <w:rsid w:val="031300DF"/>
    <w:rsid w:val="03163D5A"/>
    <w:rsid w:val="0323529C"/>
    <w:rsid w:val="03305FFE"/>
    <w:rsid w:val="03457CFC"/>
    <w:rsid w:val="034C72DC"/>
    <w:rsid w:val="03526942"/>
    <w:rsid w:val="03555A65"/>
    <w:rsid w:val="035937A7"/>
    <w:rsid w:val="035D07CE"/>
    <w:rsid w:val="03604004"/>
    <w:rsid w:val="03646528"/>
    <w:rsid w:val="03653EFA"/>
    <w:rsid w:val="0366538B"/>
    <w:rsid w:val="03685798"/>
    <w:rsid w:val="03716D43"/>
    <w:rsid w:val="0374413D"/>
    <w:rsid w:val="03765EF4"/>
    <w:rsid w:val="037737F4"/>
    <w:rsid w:val="03783060"/>
    <w:rsid w:val="03830824"/>
    <w:rsid w:val="03863E70"/>
    <w:rsid w:val="038A1948"/>
    <w:rsid w:val="038A1BB2"/>
    <w:rsid w:val="039D7B38"/>
    <w:rsid w:val="03AD764F"/>
    <w:rsid w:val="03B76677"/>
    <w:rsid w:val="03D129F8"/>
    <w:rsid w:val="03D13465"/>
    <w:rsid w:val="03D26FD0"/>
    <w:rsid w:val="03D31ED1"/>
    <w:rsid w:val="03D64DF8"/>
    <w:rsid w:val="03DE11A1"/>
    <w:rsid w:val="03E272F9"/>
    <w:rsid w:val="03E77005"/>
    <w:rsid w:val="03E94B2B"/>
    <w:rsid w:val="03F458A5"/>
    <w:rsid w:val="03FE48CF"/>
    <w:rsid w:val="03FE5DE2"/>
    <w:rsid w:val="040000C7"/>
    <w:rsid w:val="04096F7B"/>
    <w:rsid w:val="0410030A"/>
    <w:rsid w:val="04197F25"/>
    <w:rsid w:val="04245B63"/>
    <w:rsid w:val="042514FF"/>
    <w:rsid w:val="042E69E2"/>
    <w:rsid w:val="0430275A"/>
    <w:rsid w:val="043103E2"/>
    <w:rsid w:val="043162AA"/>
    <w:rsid w:val="04323463"/>
    <w:rsid w:val="0438160E"/>
    <w:rsid w:val="043D09D3"/>
    <w:rsid w:val="04567CE7"/>
    <w:rsid w:val="045C213B"/>
    <w:rsid w:val="045F4DED"/>
    <w:rsid w:val="04620A36"/>
    <w:rsid w:val="046C750A"/>
    <w:rsid w:val="046E3282"/>
    <w:rsid w:val="046E6DDE"/>
    <w:rsid w:val="047C774D"/>
    <w:rsid w:val="047D48B1"/>
    <w:rsid w:val="049329AF"/>
    <w:rsid w:val="049525BD"/>
    <w:rsid w:val="04974587"/>
    <w:rsid w:val="04A5362F"/>
    <w:rsid w:val="04AB1785"/>
    <w:rsid w:val="04B05649"/>
    <w:rsid w:val="04B50EB1"/>
    <w:rsid w:val="04BC391D"/>
    <w:rsid w:val="04C145C7"/>
    <w:rsid w:val="04CA53F7"/>
    <w:rsid w:val="04D255BF"/>
    <w:rsid w:val="04D97E0C"/>
    <w:rsid w:val="04DA0918"/>
    <w:rsid w:val="04E90B5B"/>
    <w:rsid w:val="04F27A0F"/>
    <w:rsid w:val="05092FAB"/>
    <w:rsid w:val="050B0AD1"/>
    <w:rsid w:val="050B6D23"/>
    <w:rsid w:val="051060E7"/>
    <w:rsid w:val="051211C6"/>
    <w:rsid w:val="0523406D"/>
    <w:rsid w:val="05243941"/>
    <w:rsid w:val="052676B9"/>
    <w:rsid w:val="052A53FB"/>
    <w:rsid w:val="052E47BF"/>
    <w:rsid w:val="05322502"/>
    <w:rsid w:val="05347B25"/>
    <w:rsid w:val="05394B20"/>
    <w:rsid w:val="054A5192"/>
    <w:rsid w:val="055A55B4"/>
    <w:rsid w:val="056A1C9B"/>
    <w:rsid w:val="056A67D2"/>
    <w:rsid w:val="056F4370"/>
    <w:rsid w:val="057B7B58"/>
    <w:rsid w:val="05852631"/>
    <w:rsid w:val="05A53BAB"/>
    <w:rsid w:val="05BC1DCB"/>
    <w:rsid w:val="05BC301C"/>
    <w:rsid w:val="05D62E8D"/>
    <w:rsid w:val="05DE7F94"/>
    <w:rsid w:val="06020616"/>
    <w:rsid w:val="06135E8F"/>
    <w:rsid w:val="061B2F96"/>
    <w:rsid w:val="06304C93"/>
    <w:rsid w:val="06345E06"/>
    <w:rsid w:val="063F4ED6"/>
    <w:rsid w:val="064249C6"/>
    <w:rsid w:val="06654211"/>
    <w:rsid w:val="06795FAF"/>
    <w:rsid w:val="0680595D"/>
    <w:rsid w:val="06896151"/>
    <w:rsid w:val="068A70D6"/>
    <w:rsid w:val="068E3768"/>
    <w:rsid w:val="069562F5"/>
    <w:rsid w:val="06A0349B"/>
    <w:rsid w:val="06A905A2"/>
    <w:rsid w:val="06AC1137"/>
    <w:rsid w:val="06AF5B76"/>
    <w:rsid w:val="06B156A8"/>
    <w:rsid w:val="06B42B65"/>
    <w:rsid w:val="06B55198"/>
    <w:rsid w:val="06BA3D1D"/>
    <w:rsid w:val="06BC02D5"/>
    <w:rsid w:val="06C529A1"/>
    <w:rsid w:val="06C61153"/>
    <w:rsid w:val="06D5193A"/>
    <w:rsid w:val="06D53ECC"/>
    <w:rsid w:val="06D62EC4"/>
    <w:rsid w:val="06D73361"/>
    <w:rsid w:val="06E337F1"/>
    <w:rsid w:val="06E670D4"/>
    <w:rsid w:val="06E8731C"/>
    <w:rsid w:val="06F03716"/>
    <w:rsid w:val="06F04422"/>
    <w:rsid w:val="06F83AC4"/>
    <w:rsid w:val="06F85085"/>
    <w:rsid w:val="06F913D7"/>
    <w:rsid w:val="070457D8"/>
    <w:rsid w:val="07221C4D"/>
    <w:rsid w:val="072B0FB7"/>
    <w:rsid w:val="07351E35"/>
    <w:rsid w:val="0737795B"/>
    <w:rsid w:val="07380D1C"/>
    <w:rsid w:val="07381338"/>
    <w:rsid w:val="075229E7"/>
    <w:rsid w:val="07543F1A"/>
    <w:rsid w:val="07584902"/>
    <w:rsid w:val="075E313A"/>
    <w:rsid w:val="076F17EB"/>
    <w:rsid w:val="077A3CEC"/>
    <w:rsid w:val="077C7570"/>
    <w:rsid w:val="077D1042"/>
    <w:rsid w:val="078360AB"/>
    <w:rsid w:val="07892A38"/>
    <w:rsid w:val="078A2181"/>
    <w:rsid w:val="078B414B"/>
    <w:rsid w:val="079E6DE1"/>
    <w:rsid w:val="07AD2313"/>
    <w:rsid w:val="07B436A2"/>
    <w:rsid w:val="07BE2472"/>
    <w:rsid w:val="07C35693"/>
    <w:rsid w:val="07C531B9"/>
    <w:rsid w:val="07CB4548"/>
    <w:rsid w:val="07E21FBD"/>
    <w:rsid w:val="07F16A9A"/>
    <w:rsid w:val="07F90F76"/>
    <w:rsid w:val="07F910B5"/>
    <w:rsid w:val="07FC0BA5"/>
    <w:rsid w:val="07FE2B8D"/>
    <w:rsid w:val="080D690E"/>
    <w:rsid w:val="081D1247"/>
    <w:rsid w:val="0822685D"/>
    <w:rsid w:val="08236132"/>
    <w:rsid w:val="08326898"/>
    <w:rsid w:val="08330197"/>
    <w:rsid w:val="08341B8C"/>
    <w:rsid w:val="08381BDD"/>
    <w:rsid w:val="083D5445"/>
    <w:rsid w:val="08404F36"/>
    <w:rsid w:val="084367D4"/>
    <w:rsid w:val="08446761"/>
    <w:rsid w:val="084A5DB4"/>
    <w:rsid w:val="085527C4"/>
    <w:rsid w:val="085546C8"/>
    <w:rsid w:val="0858402D"/>
    <w:rsid w:val="08683CDA"/>
    <w:rsid w:val="0870581B"/>
    <w:rsid w:val="08746586"/>
    <w:rsid w:val="08760957"/>
    <w:rsid w:val="08844E22"/>
    <w:rsid w:val="08872AB6"/>
    <w:rsid w:val="08872B64"/>
    <w:rsid w:val="08964B56"/>
    <w:rsid w:val="08B5322E"/>
    <w:rsid w:val="08C4219F"/>
    <w:rsid w:val="08D00067"/>
    <w:rsid w:val="08D5567E"/>
    <w:rsid w:val="08DC7A52"/>
    <w:rsid w:val="08DD2784"/>
    <w:rsid w:val="08E27D9B"/>
    <w:rsid w:val="08EC0C19"/>
    <w:rsid w:val="09016473"/>
    <w:rsid w:val="09056202"/>
    <w:rsid w:val="090954C9"/>
    <w:rsid w:val="091268D2"/>
    <w:rsid w:val="091F2D9D"/>
    <w:rsid w:val="09267C87"/>
    <w:rsid w:val="09476060"/>
    <w:rsid w:val="094E5430"/>
    <w:rsid w:val="09611DB9"/>
    <w:rsid w:val="0966277A"/>
    <w:rsid w:val="09664528"/>
    <w:rsid w:val="0969226A"/>
    <w:rsid w:val="09694CB3"/>
    <w:rsid w:val="096A04BC"/>
    <w:rsid w:val="096B7D90"/>
    <w:rsid w:val="0972111F"/>
    <w:rsid w:val="09734E97"/>
    <w:rsid w:val="097375F8"/>
    <w:rsid w:val="097430E9"/>
    <w:rsid w:val="097D1872"/>
    <w:rsid w:val="098A3732"/>
    <w:rsid w:val="098B3F8E"/>
    <w:rsid w:val="098C2DAC"/>
    <w:rsid w:val="098D1316"/>
    <w:rsid w:val="09954E0D"/>
    <w:rsid w:val="09962B0F"/>
    <w:rsid w:val="09B01C47"/>
    <w:rsid w:val="09B039F5"/>
    <w:rsid w:val="09B259BF"/>
    <w:rsid w:val="09B554AF"/>
    <w:rsid w:val="09B96D4E"/>
    <w:rsid w:val="09C13E54"/>
    <w:rsid w:val="09C474A0"/>
    <w:rsid w:val="09C83435"/>
    <w:rsid w:val="09CF6571"/>
    <w:rsid w:val="09D70748"/>
    <w:rsid w:val="09D718D9"/>
    <w:rsid w:val="09DB2ADE"/>
    <w:rsid w:val="09DC3CDC"/>
    <w:rsid w:val="09DD1CC0"/>
    <w:rsid w:val="09EA5B65"/>
    <w:rsid w:val="09ED2E9B"/>
    <w:rsid w:val="09EF37BE"/>
    <w:rsid w:val="0A083831"/>
    <w:rsid w:val="0A1038D5"/>
    <w:rsid w:val="0A146842"/>
    <w:rsid w:val="0A187F18"/>
    <w:rsid w:val="0A1D1F2E"/>
    <w:rsid w:val="0A200B7B"/>
    <w:rsid w:val="0A33375A"/>
    <w:rsid w:val="0A426D43"/>
    <w:rsid w:val="0A506FCC"/>
    <w:rsid w:val="0A516F86"/>
    <w:rsid w:val="0A5F5F76"/>
    <w:rsid w:val="0A622F41"/>
    <w:rsid w:val="0A6C2012"/>
    <w:rsid w:val="0A6D44A9"/>
    <w:rsid w:val="0A8F3F52"/>
    <w:rsid w:val="0A911A78"/>
    <w:rsid w:val="0A9652E1"/>
    <w:rsid w:val="0A9706BB"/>
    <w:rsid w:val="0A991CEE"/>
    <w:rsid w:val="0A9F752A"/>
    <w:rsid w:val="0AA263CF"/>
    <w:rsid w:val="0AA3355A"/>
    <w:rsid w:val="0AAC68B2"/>
    <w:rsid w:val="0AB67731"/>
    <w:rsid w:val="0ACF3715"/>
    <w:rsid w:val="0AD91735"/>
    <w:rsid w:val="0AE24082"/>
    <w:rsid w:val="0AE278DF"/>
    <w:rsid w:val="0AE75B3C"/>
    <w:rsid w:val="0B0A1624"/>
    <w:rsid w:val="0B0E5FF3"/>
    <w:rsid w:val="0B2B3C7B"/>
    <w:rsid w:val="0B2E72C7"/>
    <w:rsid w:val="0B316B36"/>
    <w:rsid w:val="0B36617C"/>
    <w:rsid w:val="0B380146"/>
    <w:rsid w:val="0B446AEB"/>
    <w:rsid w:val="0B464611"/>
    <w:rsid w:val="0B4C2DD4"/>
    <w:rsid w:val="0B510EC7"/>
    <w:rsid w:val="0B5B0ED3"/>
    <w:rsid w:val="0B5D195B"/>
    <w:rsid w:val="0B610D74"/>
    <w:rsid w:val="0B6158EF"/>
    <w:rsid w:val="0B646ACD"/>
    <w:rsid w:val="0B664CB3"/>
    <w:rsid w:val="0B6F7C8B"/>
    <w:rsid w:val="0B7C44D7"/>
    <w:rsid w:val="0B882908"/>
    <w:rsid w:val="0B8912CC"/>
    <w:rsid w:val="0B907F82"/>
    <w:rsid w:val="0B971310"/>
    <w:rsid w:val="0B972584"/>
    <w:rsid w:val="0B9E444D"/>
    <w:rsid w:val="0BA63302"/>
    <w:rsid w:val="0BBF43C3"/>
    <w:rsid w:val="0BCB0FBA"/>
    <w:rsid w:val="0BD31C1D"/>
    <w:rsid w:val="0BD53BE7"/>
    <w:rsid w:val="0BD67C96"/>
    <w:rsid w:val="0BE1433A"/>
    <w:rsid w:val="0BE36304"/>
    <w:rsid w:val="0BE43E2A"/>
    <w:rsid w:val="0BE61450"/>
    <w:rsid w:val="0BF63753"/>
    <w:rsid w:val="0BFE4EEC"/>
    <w:rsid w:val="0C085D6A"/>
    <w:rsid w:val="0C10060B"/>
    <w:rsid w:val="0C1110C3"/>
    <w:rsid w:val="0C142961"/>
    <w:rsid w:val="0C1A784C"/>
    <w:rsid w:val="0C1B6DA5"/>
    <w:rsid w:val="0C1E558E"/>
    <w:rsid w:val="0C236700"/>
    <w:rsid w:val="0C264442"/>
    <w:rsid w:val="0C270E46"/>
    <w:rsid w:val="0C282105"/>
    <w:rsid w:val="0C296930"/>
    <w:rsid w:val="0C300E1D"/>
    <w:rsid w:val="0C321039"/>
    <w:rsid w:val="0C3E6914"/>
    <w:rsid w:val="0C453227"/>
    <w:rsid w:val="0C4A0131"/>
    <w:rsid w:val="0C67530F"/>
    <w:rsid w:val="0C7358DA"/>
    <w:rsid w:val="0C915D60"/>
    <w:rsid w:val="0C990AD7"/>
    <w:rsid w:val="0C9D4705"/>
    <w:rsid w:val="0CA02447"/>
    <w:rsid w:val="0CBE725E"/>
    <w:rsid w:val="0CC021A1"/>
    <w:rsid w:val="0CC12F7F"/>
    <w:rsid w:val="0CC71781"/>
    <w:rsid w:val="0CCD48BE"/>
    <w:rsid w:val="0CD07375"/>
    <w:rsid w:val="0CD345CA"/>
    <w:rsid w:val="0CD619C5"/>
    <w:rsid w:val="0CE02843"/>
    <w:rsid w:val="0CE30634"/>
    <w:rsid w:val="0CE51325"/>
    <w:rsid w:val="0D053DFC"/>
    <w:rsid w:val="0D094B53"/>
    <w:rsid w:val="0D1A6835"/>
    <w:rsid w:val="0D234441"/>
    <w:rsid w:val="0D2C7836"/>
    <w:rsid w:val="0D3037CB"/>
    <w:rsid w:val="0D35493D"/>
    <w:rsid w:val="0D3753CD"/>
    <w:rsid w:val="0D3B51DE"/>
    <w:rsid w:val="0D3F6685"/>
    <w:rsid w:val="0D447276"/>
    <w:rsid w:val="0D51729D"/>
    <w:rsid w:val="0D523741"/>
    <w:rsid w:val="0D524EBA"/>
    <w:rsid w:val="0D6673A3"/>
    <w:rsid w:val="0D6E3004"/>
    <w:rsid w:val="0D786F20"/>
    <w:rsid w:val="0D7D54C3"/>
    <w:rsid w:val="0D8256A8"/>
    <w:rsid w:val="0D904269"/>
    <w:rsid w:val="0D9755F8"/>
    <w:rsid w:val="0D984ECC"/>
    <w:rsid w:val="0D9C46CC"/>
    <w:rsid w:val="0D9D0734"/>
    <w:rsid w:val="0DA77ED6"/>
    <w:rsid w:val="0DB15B58"/>
    <w:rsid w:val="0DB37F58"/>
    <w:rsid w:val="0DBD4932"/>
    <w:rsid w:val="0DC42165"/>
    <w:rsid w:val="0DEC101A"/>
    <w:rsid w:val="0DFC545B"/>
    <w:rsid w:val="0DFD40BE"/>
    <w:rsid w:val="0E06452B"/>
    <w:rsid w:val="0E090559"/>
    <w:rsid w:val="0E0A35FC"/>
    <w:rsid w:val="0E1515A6"/>
    <w:rsid w:val="0E19425F"/>
    <w:rsid w:val="0E1B7FD7"/>
    <w:rsid w:val="0E2055ED"/>
    <w:rsid w:val="0E2826F4"/>
    <w:rsid w:val="0E2D352B"/>
    <w:rsid w:val="0E3270CE"/>
    <w:rsid w:val="0E39045D"/>
    <w:rsid w:val="0E39220B"/>
    <w:rsid w:val="0E395A2C"/>
    <w:rsid w:val="0E3E3CC5"/>
    <w:rsid w:val="0E3E5A73"/>
    <w:rsid w:val="0E415F29"/>
    <w:rsid w:val="0E5057A7"/>
    <w:rsid w:val="0E611762"/>
    <w:rsid w:val="0E7A443E"/>
    <w:rsid w:val="0E912047"/>
    <w:rsid w:val="0EA24254"/>
    <w:rsid w:val="0EAC7EB5"/>
    <w:rsid w:val="0EAF071F"/>
    <w:rsid w:val="0EB977F0"/>
    <w:rsid w:val="0EBB3568"/>
    <w:rsid w:val="0ED95707"/>
    <w:rsid w:val="0EDB7766"/>
    <w:rsid w:val="0EE3661B"/>
    <w:rsid w:val="0EE53A0E"/>
    <w:rsid w:val="0EEC54CF"/>
    <w:rsid w:val="0EF6634E"/>
    <w:rsid w:val="0EFB1BB6"/>
    <w:rsid w:val="0F0E3698"/>
    <w:rsid w:val="0F113188"/>
    <w:rsid w:val="0F1134DA"/>
    <w:rsid w:val="0F205179"/>
    <w:rsid w:val="0F227143"/>
    <w:rsid w:val="0F2728E6"/>
    <w:rsid w:val="0F276507"/>
    <w:rsid w:val="0F2941FB"/>
    <w:rsid w:val="0F360E40"/>
    <w:rsid w:val="0F490B74"/>
    <w:rsid w:val="0F4A0448"/>
    <w:rsid w:val="0F521495"/>
    <w:rsid w:val="0F543075"/>
    <w:rsid w:val="0F5A68DD"/>
    <w:rsid w:val="0F696B20"/>
    <w:rsid w:val="0F704352"/>
    <w:rsid w:val="0F7756E1"/>
    <w:rsid w:val="0F783207"/>
    <w:rsid w:val="0F7A2ADB"/>
    <w:rsid w:val="0F7C60F1"/>
    <w:rsid w:val="0F7D25CB"/>
    <w:rsid w:val="0F9022FF"/>
    <w:rsid w:val="0F9F0794"/>
    <w:rsid w:val="0FA43FFC"/>
    <w:rsid w:val="0FA5134A"/>
    <w:rsid w:val="0FAC36EF"/>
    <w:rsid w:val="0FB321C9"/>
    <w:rsid w:val="0FB3423F"/>
    <w:rsid w:val="0FB83603"/>
    <w:rsid w:val="0FBD0C1A"/>
    <w:rsid w:val="0FD04DF1"/>
    <w:rsid w:val="0FDA1E25"/>
    <w:rsid w:val="0FDA3928"/>
    <w:rsid w:val="0FDC19E8"/>
    <w:rsid w:val="0FE5719E"/>
    <w:rsid w:val="0FEB198C"/>
    <w:rsid w:val="0FEC732E"/>
    <w:rsid w:val="0FEF1D9E"/>
    <w:rsid w:val="0FF07241"/>
    <w:rsid w:val="0FF22FB9"/>
    <w:rsid w:val="0FF860F6"/>
    <w:rsid w:val="0FFF1232"/>
    <w:rsid w:val="0FFF2259"/>
    <w:rsid w:val="10077B30"/>
    <w:rsid w:val="101051ED"/>
    <w:rsid w:val="1017657C"/>
    <w:rsid w:val="10240C99"/>
    <w:rsid w:val="10260EB5"/>
    <w:rsid w:val="102F2499"/>
    <w:rsid w:val="10305890"/>
    <w:rsid w:val="103300CE"/>
    <w:rsid w:val="10482BD9"/>
    <w:rsid w:val="104E5D16"/>
    <w:rsid w:val="105668F7"/>
    <w:rsid w:val="106339EB"/>
    <w:rsid w:val="10667503"/>
    <w:rsid w:val="10725EA8"/>
    <w:rsid w:val="10741C20"/>
    <w:rsid w:val="107B4D5D"/>
    <w:rsid w:val="107B5E5C"/>
    <w:rsid w:val="108911E5"/>
    <w:rsid w:val="108A4FA0"/>
    <w:rsid w:val="108D35E3"/>
    <w:rsid w:val="10931BAD"/>
    <w:rsid w:val="109D1177"/>
    <w:rsid w:val="109E4EEF"/>
    <w:rsid w:val="109E6C9D"/>
    <w:rsid w:val="10B169D0"/>
    <w:rsid w:val="10BE733F"/>
    <w:rsid w:val="10C25D3F"/>
    <w:rsid w:val="10C309A5"/>
    <w:rsid w:val="10CB0F1B"/>
    <w:rsid w:val="10CF50A9"/>
    <w:rsid w:val="10D601E5"/>
    <w:rsid w:val="10D704E2"/>
    <w:rsid w:val="10D768AB"/>
    <w:rsid w:val="10DE709A"/>
    <w:rsid w:val="10E16B8A"/>
    <w:rsid w:val="10EC17B7"/>
    <w:rsid w:val="110831BA"/>
    <w:rsid w:val="111331E7"/>
    <w:rsid w:val="111C4BC9"/>
    <w:rsid w:val="111D1A6D"/>
    <w:rsid w:val="111F62D1"/>
    <w:rsid w:val="112371A2"/>
    <w:rsid w:val="11254CC9"/>
    <w:rsid w:val="11267679"/>
    <w:rsid w:val="112F3D99"/>
    <w:rsid w:val="11382C4E"/>
    <w:rsid w:val="113A56E3"/>
    <w:rsid w:val="113B0990"/>
    <w:rsid w:val="11487E10"/>
    <w:rsid w:val="114C276E"/>
    <w:rsid w:val="114F7D86"/>
    <w:rsid w:val="11511F61"/>
    <w:rsid w:val="11513D10"/>
    <w:rsid w:val="115875F5"/>
    <w:rsid w:val="116337E5"/>
    <w:rsid w:val="116457F1"/>
    <w:rsid w:val="11671785"/>
    <w:rsid w:val="116A72A5"/>
    <w:rsid w:val="116C6D9B"/>
    <w:rsid w:val="117E54BB"/>
    <w:rsid w:val="11861309"/>
    <w:rsid w:val="118916FB"/>
    <w:rsid w:val="118934A9"/>
    <w:rsid w:val="11894298"/>
    <w:rsid w:val="118E286E"/>
    <w:rsid w:val="1193257A"/>
    <w:rsid w:val="11965BC6"/>
    <w:rsid w:val="11A13B66"/>
    <w:rsid w:val="11AC0F46"/>
    <w:rsid w:val="11B04EDA"/>
    <w:rsid w:val="11BA18B5"/>
    <w:rsid w:val="11E3421B"/>
    <w:rsid w:val="11E83E31"/>
    <w:rsid w:val="11F2137A"/>
    <w:rsid w:val="11F8418B"/>
    <w:rsid w:val="1218482D"/>
    <w:rsid w:val="12260CF8"/>
    <w:rsid w:val="122D3705"/>
    <w:rsid w:val="123258EF"/>
    <w:rsid w:val="12443874"/>
    <w:rsid w:val="12445622"/>
    <w:rsid w:val="12535865"/>
    <w:rsid w:val="12552C20"/>
    <w:rsid w:val="125C471A"/>
    <w:rsid w:val="12633CFA"/>
    <w:rsid w:val="126637EB"/>
    <w:rsid w:val="127739BD"/>
    <w:rsid w:val="12783836"/>
    <w:rsid w:val="12873342"/>
    <w:rsid w:val="128A11A0"/>
    <w:rsid w:val="12A06CFD"/>
    <w:rsid w:val="12A11A38"/>
    <w:rsid w:val="12A32349"/>
    <w:rsid w:val="12AD1419"/>
    <w:rsid w:val="12AE6C3F"/>
    <w:rsid w:val="12B24C82"/>
    <w:rsid w:val="12B96010"/>
    <w:rsid w:val="12C16C73"/>
    <w:rsid w:val="12C2199A"/>
    <w:rsid w:val="12D270D2"/>
    <w:rsid w:val="12D50273"/>
    <w:rsid w:val="12D76496"/>
    <w:rsid w:val="12DB47BF"/>
    <w:rsid w:val="12E017EF"/>
    <w:rsid w:val="12F232D0"/>
    <w:rsid w:val="12F64B6E"/>
    <w:rsid w:val="12F8201E"/>
    <w:rsid w:val="12FB3F33"/>
    <w:rsid w:val="130848A2"/>
    <w:rsid w:val="131F7D60"/>
    <w:rsid w:val="132E255A"/>
    <w:rsid w:val="132F62D2"/>
    <w:rsid w:val="1332191F"/>
    <w:rsid w:val="13345427"/>
    <w:rsid w:val="134578A4"/>
    <w:rsid w:val="134A7AD4"/>
    <w:rsid w:val="135247DB"/>
    <w:rsid w:val="136D47ED"/>
    <w:rsid w:val="137674DD"/>
    <w:rsid w:val="13785584"/>
    <w:rsid w:val="13867D9E"/>
    <w:rsid w:val="138C7281"/>
    <w:rsid w:val="139B3968"/>
    <w:rsid w:val="139B74C4"/>
    <w:rsid w:val="139C7437"/>
    <w:rsid w:val="13A4281C"/>
    <w:rsid w:val="13B862C8"/>
    <w:rsid w:val="13BA0499"/>
    <w:rsid w:val="13BD743A"/>
    <w:rsid w:val="13C54541"/>
    <w:rsid w:val="13C870AE"/>
    <w:rsid w:val="13C95DDF"/>
    <w:rsid w:val="13CC1D73"/>
    <w:rsid w:val="13CE4D2F"/>
    <w:rsid w:val="13D529D6"/>
    <w:rsid w:val="13DB5B12"/>
    <w:rsid w:val="13DF5603"/>
    <w:rsid w:val="13E42C19"/>
    <w:rsid w:val="13ED41C3"/>
    <w:rsid w:val="13F554D9"/>
    <w:rsid w:val="13F82B68"/>
    <w:rsid w:val="13F84D28"/>
    <w:rsid w:val="13FC61B5"/>
    <w:rsid w:val="140432BB"/>
    <w:rsid w:val="14123C2A"/>
    <w:rsid w:val="14321BD6"/>
    <w:rsid w:val="14327E28"/>
    <w:rsid w:val="143516C6"/>
    <w:rsid w:val="144D4C62"/>
    <w:rsid w:val="144E09DA"/>
    <w:rsid w:val="14551D69"/>
    <w:rsid w:val="145D4144"/>
    <w:rsid w:val="145F4995"/>
    <w:rsid w:val="14691370"/>
    <w:rsid w:val="14726477"/>
    <w:rsid w:val="1473312A"/>
    <w:rsid w:val="147E12BF"/>
    <w:rsid w:val="14844525"/>
    <w:rsid w:val="14861F22"/>
    <w:rsid w:val="148E0DD7"/>
    <w:rsid w:val="1490098E"/>
    <w:rsid w:val="14922675"/>
    <w:rsid w:val="149E54BE"/>
    <w:rsid w:val="14B06F9F"/>
    <w:rsid w:val="14B25ED3"/>
    <w:rsid w:val="14B43B61"/>
    <w:rsid w:val="14B73730"/>
    <w:rsid w:val="14C54C9A"/>
    <w:rsid w:val="14C71D49"/>
    <w:rsid w:val="14C8078D"/>
    <w:rsid w:val="14D013EF"/>
    <w:rsid w:val="14D64C58"/>
    <w:rsid w:val="14DC2AD9"/>
    <w:rsid w:val="14DF2340"/>
    <w:rsid w:val="14E05AD6"/>
    <w:rsid w:val="14E76E65"/>
    <w:rsid w:val="14F02343"/>
    <w:rsid w:val="14FD0C11"/>
    <w:rsid w:val="14FF295C"/>
    <w:rsid w:val="150D2643"/>
    <w:rsid w:val="150D43F1"/>
    <w:rsid w:val="150F0169"/>
    <w:rsid w:val="151E0D02"/>
    <w:rsid w:val="152534E9"/>
    <w:rsid w:val="152C39EC"/>
    <w:rsid w:val="152D462B"/>
    <w:rsid w:val="152E5F68"/>
    <w:rsid w:val="15425E2D"/>
    <w:rsid w:val="15485429"/>
    <w:rsid w:val="15490101"/>
    <w:rsid w:val="15512530"/>
    <w:rsid w:val="155E4C4D"/>
    <w:rsid w:val="155F6B7B"/>
    <w:rsid w:val="15632263"/>
    <w:rsid w:val="15634011"/>
    <w:rsid w:val="15654590"/>
    <w:rsid w:val="156F6E5A"/>
    <w:rsid w:val="1571672E"/>
    <w:rsid w:val="15724254"/>
    <w:rsid w:val="15731C8A"/>
    <w:rsid w:val="15781D72"/>
    <w:rsid w:val="15785D0F"/>
    <w:rsid w:val="158B33E1"/>
    <w:rsid w:val="1594241D"/>
    <w:rsid w:val="15944F11"/>
    <w:rsid w:val="15962639"/>
    <w:rsid w:val="159A542D"/>
    <w:rsid w:val="159E5049"/>
    <w:rsid w:val="15A44D56"/>
    <w:rsid w:val="15A44E0E"/>
    <w:rsid w:val="15A46C74"/>
    <w:rsid w:val="15AF449D"/>
    <w:rsid w:val="15B11221"/>
    <w:rsid w:val="15C9656A"/>
    <w:rsid w:val="15D649A0"/>
    <w:rsid w:val="15DB004C"/>
    <w:rsid w:val="15E52C78"/>
    <w:rsid w:val="15E61F15"/>
    <w:rsid w:val="15E64428"/>
    <w:rsid w:val="15E6711C"/>
    <w:rsid w:val="15EF3AF7"/>
    <w:rsid w:val="15F1786F"/>
    <w:rsid w:val="15F630D7"/>
    <w:rsid w:val="16027CCE"/>
    <w:rsid w:val="1606331B"/>
    <w:rsid w:val="160E1EA1"/>
    <w:rsid w:val="16113A6D"/>
    <w:rsid w:val="161D68B6"/>
    <w:rsid w:val="161F262E"/>
    <w:rsid w:val="161F43DC"/>
    <w:rsid w:val="162437A1"/>
    <w:rsid w:val="16257519"/>
    <w:rsid w:val="162E461F"/>
    <w:rsid w:val="1632649C"/>
    <w:rsid w:val="163C3060"/>
    <w:rsid w:val="164125A5"/>
    <w:rsid w:val="16421E79"/>
    <w:rsid w:val="16473933"/>
    <w:rsid w:val="16556050"/>
    <w:rsid w:val="1658169C"/>
    <w:rsid w:val="165A5414"/>
    <w:rsid w:val="165F2A2B"/>
    <w:rsid w:val="16642960"/>
    <w:rsid w:val="166E0EC0"/>
    <w:rsid w:val="167209B0"/>
    <w:rsid w:val="16783AEC"/>
    <w:rsid w:val="167A5AB7"/>
    <w:rsid w:val="16810523"/>
    <w:rsid w:val="1699418F"/>
    <w:rsid w:val="169F376F"/>
    <w:rsid w:val="16A20B69"/>
    <w:rsid w:val="16BA4105"/>
    <w:rsid w:val="16C17241"/>
    <w:rsid w:val="16D8458B"/>
    <w:rsid w:val="16EA7CB4"/>
    <w:rsid w:val="16EB60A3"/>
    <w:rsid w:val="16F17BF6"/>
    <w:rsid w:val="16F27746"/>
    <w:rsid w:val="16F72C63"/>
    <w:rsid w:val="16FA5928"/>
    <w:rsid w:val="16FC471D"/>
    <w:rsid w:val="170649D4"/>
    <w:rsid w:val="17094F41"/>
    <w:rsid w:val="170F798E"/>
    <w:rsid w:val="17125CEF"/>
    <w:rsid w:val="172B6DB1"/>
    <w:rsid w:val="172C5003"/>
    <w:rsid w:val="172D53B4"/>
    <w:rsid w:val="1732013F"/>
    <w:rsid w:val="173352AB"/>
    <w:rsid w:val="17465999"/>
    <w:rsid w:val="174C1201"/>
    <w:rsid w:val="175005C5"/>
    <w:rsid w:val="17667DE9"/>
    <w:rsid w:val="17683B61"/>
    <w:rsid w:val="178F6412"/>
    <w:rsid w:val="179130B8"/>
    <w:rsid w:val="1799003C"/>
    <w:rsid w:val="179B5CE4"/>
    <w:rsid w:val="17A4103D"/>
    <w:rsid w:val="17AD77C6"/>
    <w:rsid w:val="17B01A7F"/>
    <w:rsid w:val="17B374D2"/>
    <w:rsid w:val="17CC2342"/>
    <w:rsid w:val="17DC7511"/>
    <w:rsid w:val="17E21D1B"/>
    <w:rsid w:val="17E56F60"/>
    <w:rsid w:val="17EC4792"/>
    <w:rsid w:val="17F62350"/>
    <w:rsid w:val="180513B0"/>
    <w:rsid w:val="18083A36"/>
    <w:rsid w:val="180B5648"/>
    <w:rsid w:val="180F2B2B"/>
    <w:rsid w:val="182F5CA8"/>
    <w:rsid w:val="183445BD"/>
    <w:rsid w:val="184C3483"/>
    <w:rsid w:val="184D16A1"/>
    <w:rsid w:val="184E2D57"/>
    <w:rsid w:val="18583BD5"/>
    <w:rsid w:val="18651CE6"/>
    <w:rsid w:val="1869193F"/>
    <w:rsid w:val="187C5B16"/>
    <w:rsid w:val="187C78C4"/>
    <w:rsid w:val="188D7D23"/>
    <w:rsid w:val="189310B2"/>
    <w:rsid w:val="18954E2A"/>
    <w:rsid w:val="189C7F66"/>
    <w:rsid w:val="18AB01A9"/>
    <w:rsid w:val="18AD3F21"/>
    <w:rsid w:val="18C13587"/>
    <w:rsid w:val="18C43019"/>
    <w:rsid w:val="18C640F0"/>
    <w:rsid w:val="18D00012"/>
    <w:rsid w:val="18DA283C"/>
    <w:rsid w:val="18E90CD1"/>
    <w:rsid w:val="18EA783A"/>
    <w:rsid w:val="18ED6A14"/>
    <w:rsid w:val="18F30493"/>
    <w:rsid w:val="18FF4051"/>
    <w:rsid w:val="19081158"/>
    <w:rsid w:val="19157D18"/>
    <w:rsid w:val="19183BAB"/>
    <w:rsid w:val="19263CD4"/>
    <w:rsid w:val="192A672F"/>
    <w:rsid w:val="192B3098"/>
    <w:rsid w:val="1934019F"/>
    <w:rsid w:val="194303E2"/>
    <w:rsid w:val="19436634"/>
    <w:rsid w:val="19524AC9"/>
    <w:rsid w:val="19570555"/>
    <w:rsid w:val="19622F5E"/>
    <w:rsid w:val="19650358"/>
    <w:rsid w:val="19662322"/>
    <w:rsid w:val="196A1E12"/>
    <w:rsid w:val="197607B7"/>
    <w:rsid w:val="19762565"/>
    <w:rsid w:val="197D7D98"/>
    <w:rsid w:val="19874772"/>
    <w:rsid w:val="198C2179"/>
    <w:rsid w:val="198D22B3"/>
    <w:rsid w:val="19953D51"/>
    <w:rsid w:val="19A5109C"/>
    <w:rsid w:val="19AA0461"/>
    <w:rsid w:val="19B4308D"/>
    <w:rsid w:val="19B97996"/>
    <w:rsid w:val="19BB266E"/>
    <w:rsid w:val="19BE3EE6"/>
    <w:rsid w:val="19C534ED"/>
    <w:rsid w:val="19D45385"/>
    <w:rsid w:val="19E60EEB"/>
    <w:rsid w:val="19E86BB0"/>
    <w:rsid w:val="19EA6AAF"/>
    <w:rsid w:val="19FB7038"/>
    <w:rsid w:val="1A14157C"/>
    <w:rsid w:val="1A141D7E"/>
    <w:rsid w:val="1A18361C"/>
    <w:rsid w:val="1A2C356C"/>
    <w:rsid w:val="1A330456"/>
    <w:rsid w:val="1A3F55D3"/>
    <w:rsid w:val="1A491A28"/>
    <w:rsid w:val="1A4F0ED2"/>
    <w:rsid w:val="1A516B2E"/>
    <w:rsid w:val="1A55661F"/>
    <w:rsid w:val="1A5D1977"/>
    <w:rsid w:val="1A64450C"/>
    <w:rsid w:val="1A72293E"/>
    <w:rsid w:val="1A75281D"/>
    <w:rsid w:val="1A8A259F"/>
    <w:rsid w:val="1A8E7D82"/>
    <w:rsid w:val="1A930EF5"/>
    <w:rsid w:val="1A951111"/>
    <w:rsid w:val="1AA72BF2"/>
    <w:rsid w:val="1AA81F13"/>
    <w:rsid w:val="1AB5530F"/>
    <w:rsid w:val="1AB64BE3"/>
    <w:rsid w:val="1AB76247"/>
    <w:rsid w:val="1ABB19ED"/>
    <w:rsid w:val="1ABC4E4B"/>
    <w:rsid w:val="1AC15722"/>
    <w:rsid w:val="1AD02149"/>
    <w:rsid w:val="1AD4757D"/>
    <w:rsid w:val="1AE1509F"/>
    <w:rsid w:val="1AE9634C"/>
    <w:rsid w:val="1AEC6FBA"/>
    <w:rsid w:val="1AF23E6D"/>
    <w:rsid w:val="1AF57E02"/>
    <w:rsid w:val="1AF66C34"/>
    <w:rsid w:val="1AFC6A9A"/>
    <w:rsid w:val="1B040045"/>
    <w:rsid w:val="1B0D0CA7"/>
    <w:rsid w:val="1B0E4A1F"/>
    <w:rsid w:val="1B1464DA"/>
    <w:rsid w:val="1B284EAE"/>
    <w:rsid w:val="1B2A0E44"/>
    <w:rsid w:val="1B2B3823"/>
    <w:rsid w:val="1B494CDD"/>
    <w:rsid w:val="1B4A005F"/>
    <w:rsid w:val="1B56689D"/>
    <w:rsid w:val="1B5B5230"/>
    <w:rsid w:val="1B656D35"/>
    <w:rsid w:val="1B803B6F"/>
    <w:rsid w:val="1B8C2CA0"/>
    <w:rsid w:val="1B8E5F87"/>
    <w:rsid w:val="1B950C9D"/>
    <w:rsid w:val="1B9969DF"/>
    <w:rsid w:val="1BB05AD7"/>
    <w:rsid w:val="1BC47EA9"/>
    <w:rsid w:val="1BCC2910"/>
    <w:rsid w:val="1BDB2B53"/>
    <w:rsid w:val="1BEC6B0F"/>
    <w:rsid w:val="1BEF65FF"/>
    <w:rsid w:val="1BF260EF"/>
    <w:rsid w:val="1BF807B0"/>
    <w:rsid w:val="1BFB4844"/>
    <w:rsid w:val="1C0302FC"/>
    <w:rsid w:val="1C085913"/>
    <w:rsid w:val="1C085D97"/>
    <w:rsid w:val="1C0C0F5F"/>
    <w:rsid w:val="1C1147C7"/>
    <w:rsid w:val="1C161DDD"/>
    <w:rsid w:val="1C2838BF"/>
    <w:rsid w:val="1C35474B"/>
    <w:rsid w:val="1C4032FE"/>
    <w:rsid w:val="1C422BD3"/>
    <w:rsid w:val="1C5B3C94"/>
    <w:rsid w:val="1C5D17BA"/>
    <w:rsid w:val="1C5D7A0C"/>
    <w:rsid w:val="1C613CCA"/>
    <w:rsid w:val="1C623275"/>
    <w:rsid w:val="1C6F14EE"/>
    <w:rsid w:val="1C752FA8"/>
    <w:rsid w:val="1C7F3E27"/>
    <w:rsid w:val="1C8B27CB"/>
    <w:rsid w:val="1C965B92"/>
    <w:rsid w:val="1CA23671"/>
    <w:rsid w:val="1CA53161"/>
    <w:rsid w:val="1CA67605"/>
    <w:rsid w:val="1CA92C52"/>
    <w:rsid w:val="1CB57848"/>
    <w:rsid w:val="1CBF4223"/>
    <w:rsid w:val="1CCE00ED"/>
    <w:rsid w:val="1CD6156D"/>
    <w:rsid w:val="1CDD0B4D"/>
    <w:rsid w:val="1CDD6D9F"/>
    <w:rsid w:val="1CE22E5A"/>
    <w:rsid w:val="1CE302D5"/>
    <w:rsid w:val="1CEB5018"/>
    <w:rsid w:val="1CFA57DE"/>
    <w:rsid w:val="1CFF0AC4"/>
    <w:rsid w:val="1D022362"/>
    <w:rsid w:val="1D126A49"/>
    <w:rsid w:val="1D136A25"/>
    <w:rsid w:val="1D181B85"/>
    <w:rsid w:val="1D214EDE"/>
    <w:rsid w:val="1D366B78"/>
    <w:rsid w:val="1D4666F2"/>
    <w:rsid w:val="1D4E37F9"/>
    <w:rsid w:val="1D4E79D0"/>
    <w:rsid w:val="1D5726AE"/>
    <w:rsid w:val="1D5A03F0"/>
    <w:rsid w:val="1D6B3D6D"/>
    <w:rsid w:val="1D721781"/>
    <w:rsid w:val="1D725739"/>
    <w:rsid w:val="1D74500E"/>
    <w:rsid w:val="1D76400B"/>
    <w:rsid w:val="1D774AFE"/>
    <w:rsid w:val="1D7F0A96"/>
    <w:rsid w:val="1D941F77"/>
    <w:rsid w:val="1D943902"/>
    <w:rsid w:val="1D9F120E"/>
    <w:rsid w:val="1DA808AF"/>
    <w:rsid w:val="1DAD49C3"/>
    <w:rsid w:val="1DB775F0"/>
    <w:rsid w:val="1DCD4EF1"/>
    <w:rsid w:val="1DD7559C"/>
    <w:rsid w:val="1DDA43AF"/>
    <w:rsid w:val="1DDB32DF"/>
    <w:rsid w:val="1DE06B47"/>
    <w:rsid w:val="1DE400EF"/>
    <w:rsid w:val="1DE84C1D"/>
    <w:rsid w:val="1DE877AA"/>
    <w:rsid w:val="1DFC3255"/>
    <w:rsid w:val="1E0B5246"/>
    <w:rsid w:val="1E0C3498"/>
    <w:rsid w:val="1E29229C"/>
    <w:rsid w:val="1E2D5F4A"/>
    <w:rsid w:val="1E320A25"/>
    <w:rsid w:val="1E323437"/>
    <w:rsid w:val="1E326C77"/>
    <w:rsid w:val="1E34151D"/>
    <w:rsid w:val="1E401394"/>
    <w:rsid w:val="1E4F15D7"/>
    <w:rsid w:val="1E5F5CBE"/>
    <w:rsid w:val="1E736E31"/>
    <w:rsid w:val="1E796654"/>
    <w:rsid w:val="1E7A34EA"/>
    <w:rsid w:val="1E805C34"/>
    <w:rsid w:val="1E94348E"/>
    <w:rsid w:val="1E9811D0"/>
    <w:rsid w:val="1E9C205D"/>
    <w:rsid w:val="1EA00084"/>
    <w:rsid w:val="1EA53100"/>
    <w:rsid w:val="1EB15DEE"/>
    <w:rsid w:val="1EB40295"/>
    <w:rsid w:val="1EB53B30"/>
    <w:rsid w:val="1EBC7DE8"/>
    <w:rsid w:val="1EBF3208"/>
    <w:rsid w:val="1EBF49AE"/>
    <w:rsid w:val="1EC1144A"/>
    <w:rsid w:val="1EC21DA9"/>
    <w:rsid w:val="1EC51899"/>
    <w:rsid w:val="1ECC2C27"/>
    <w:rsid w:val="1EDC730E"/>
    <w:rsid w:val="1EDF41B4"/>
    <w:rsid w:val="1EFB5FCC"/>
    <w:rsid w:val="1EFC3F56"/>
    <w:rsid w:val="1F0C44A1"/>
    <w:rsid w:val="1F176598"/>
    <w:rsid w:val="1F1F544D"/>
    <w:rsid w:val="1F1F71FB"/>
    <w:rsid w:val="1F2C055B"/>
    <w:rsid w:val="1F3507CD"/>
    <w:rsid w:val="1F3E1D77"/>
    <w:rsid w:val="1F500054"/>
    <w:rsid w:val="1F501FDA"/>
    <w:rsid w:val="1F5350F7"/>
    <w:rsid w:val="1F5F0027"/>
    <w:rsid w:val="1F6E24EB"/>
    <w:rsid w:val="1F6F1F60"/>
    <w:rsid w:val="1F7A2683"/>
    <w:rsid w:val="1F7C13B4"/>
    <w:rsid w:val="1F7C5FF9"/>
    <w:rsid w:val="1F8B4890"/>
    <w:rsid w:val="1F947BE9"/>
    <w:rsid w:val="1F9574BD"/>
    <w:rsid w:val="1F9C4CF0"/>
    <w:rsid w:val="1FA37E2C"/>
    <w:rsid w:val="1FA80624"/>
    <w:rsid w:val="1FB2746D"/>
    <w:rsid w:val="1FBE4C66"/>
    <w:rsid w:val="1FC63B1B"/>
    <w:rsid w:val="1FD51BC5"/>
    <w:rsid w:val="1FD61FB0"/>
    <w:rsid w:val="1FD90950"/>
    <w:rsid w:val="1FE81CE3"/>
    <w:rsid w:val="1FED72F9"/>
    <w:rsid w:val="1FEE5573"/>
    <w:rsid w:val="1FF37588"/>
    <w:rsid w:val="1FF65CAF"/>
    <w:rsid w:val="1FF95C9E"/>
    <w:rsid w:val="20047510"/>
    <w:rsid w:val="20062169"/>
    <w:rsid w:val="20084133"/>
    <w:rsid w:val="200F54C2"/>
    <w:rsid w:val="20140D2A"/>
    <w:rsid w:val="20166850"/>
    <w:rsid w:val="2019376E"/>
    <w:rsid w:val="201E74B3"/>
    <w:rsid w:val="20216FA3"/>
    <w:rsid w:val="20270A5D"/>
    <w:rsid w:val="202F7912"/>
    <w:rsid w:val="203647FC"/>
    <w:rsid w:val="20431C6A"/>
    <w:rsid w:val="20482782"/>
    <w:rsid w:val="204C2072"/>
    <w:rsid w:val="20523600"/>
    <w:rsid w:val="205B6C65"/>
    <w:rsid w:val="205E12AA"/>
    <w:rsid w:val="20605D1D"/>
    <w:rsid w:val="20803CC9"/>
    <w:rsid w:val="208337BA"/>
    <w:rsid w:val="20847AFF"/>
    <w:rsid w:val="20850C64"/>
    <w:rsid w:val="208539D6"/>
    <w:rsid w:val="20881604"/>
    <w:rsid w:val="208C266E"/>
    <w:rsid w:val="208F3CD4"/>
    <w:rsid w:val="20944CAE"/>
    <w:rsid w:val="20A200E4"/>
    <w:rsid w:val="20AC0F62"/>
    <w:rsid w:val="20B47E17"/>
    <w:rsid w:val="20C20786"/>
    <w:rsid w:val="20D504B9"/>
    <w:rsid w:val="20D86C97"/>
    <w:rsid w:val="20F326ED"/>
    <w:rsid w:val="20FA7F20"/>
    <w:rsid w:val="20FC3C98"/>
    <w:rsid w:val="20FC5B73"/>
    <w:rsid w:val="210163ED"/>
    <w:rsid w:val="211508B6"/>
    <w:rsid w:val="211B39F2"/>
    <w:rsid w:val="211D2450"/>
    <w:rsid w:val="21234242"/>
    <w:rsid w:val="21234C89"/>
    <w:rsid w:val="21244F9D"/>
    <w:rsid w:val="21313216"/>
    <w:rsid w:val="21317B31"/>
    <w:rsid w:val="21415B4F"/>
    <w:rsid w:val="214956C3"/>
    <w:rsid w:val="214C62A1"/>
    <w:rsid w:val="214D44F3"/>
    <w:rsid w:val="214E3DC8"/>
    <w:rsid w:val="21507632"/>
    <w:rsid w:val="21514317"/>
    <w:rsid w:val="215869F4"/>
    <w:rsid w:val="21604585"/>
    <w:rsid w:val="21667363"/>
    <w:rsid w:val="217F6677"/>
    <w:rsid w:val="21884BA0"/>
    <w:rsid w:val="218D11C8"/>
    <w:rsid w:val="219739C1"/>
    <w:rsid w:val="219914E7"/>
    <w:rsid w:val="21A45BDD"/>
    <w:rsid w:val="21B31E7D"/>
    <w:rsid w:val="21BB2D5A"/>
    <w:rsid w:val="21C30CBF"/>
    <w:rsid w:val="21C706C4"/>
    <w:rsid w:val="21CB366A"/>
    <w:rsid w:val="21CD1190"/>
    <w:rsid w:val="21D267A7"/>
    <w:rsid w:val="21D7200F"/>
    <w:rsid w:val="21DD6EFA"/>
    <w:rsid w:val="21E464DA"/>
    <w:rsid w:val="21EB7868"/>
    <w:rsid w:val="21F91F85"/>
    <w:rsid w:val="221B2C40"/>
    <w:rsid w:val="22281B88"/>
    <w:rsid w:val="22284619"/>
    <w:rsid w:val="222B1769"/>
    <w:rsid w:val="22317971"/>
    <w:rsid w:val="224F1BA5"/>
    <w:rsid w:val="224F66C7"/>
    <w:rsid w:val="22596EC8"/>
    <w:rsid w:val="22627FA1"/>
    <w:rsid w:val="22637523"/>
    <w:rsid w:val="226F3F88"/>
    <w:rsid w:val="2274785E"/>
    <w:rsid w:val="22837AA1"/>
    <w:rsid w:val="228407AF"/>
    <w:rsid w:val="228F3C30"/>
    <w:rsid w:val="22974EB8"/>
    <w:rsid w:val="22995516"/>
    <w:rsid w:val="229C1BF7"/>
    <w:rsid w:val="22AD3B23"/>
    <w:rsid w:val="22AE0FC2"/>
    <w:rsid w:val="22B61C24"/>
    <w:rsid w:val="22C80558"/>
    <w:rsid w:val="22CA1B74"/>
    <w:rsid w:val="22D14CB0"/>
    <w:rsid w:val="22E5250A"/>
    <w:rsid w:val="22F17100"/>
    <w:rsid w:val="22FB3ADB"/>
    <w:rsid w:val="22FF596F"/>
    <w:rsid w:val="23061517"/>
    <w:rsid w:val="230C5CE8"/>
    <w:rsid w:val="23152DEF"/>
    <w:rsid w:val="231904AB"/>
    <w:rsid w:val="231D1CA3"/>
    <w:rsid w:val="231F5A1C"/>
    <w:rsid w:val="2321236E"/>
    <w:rsid w:val="23272B22"/>
    <w:rsid w:val="2328736D"/>
    <w:rsid w:val="232C704F"/>
    <w:rsid w:val="232E3AD5"/>
    <w:rsid w:val="23356FED"/>
    <w:rsid w:val="234436D4"/>
    <w:rsid w:val="23476D20"/>
    <w:rsid w:val="235D02F2"/>
    <w:rsid w:val="23880ED2"/>
    <w:rsid w:val="239161EE"/>
    <w:rsid w:val="23952182"/>
    <w:rsid w:val="23955CDE"/>
    <w:rsid w:val="239634D6"/>
    <w:rsid w:val="239A3F37"/>
    <w:rsid w:val="23A103BA"/>
    <w:rsid w:val="23AD1279"/>
    <w:rsid w:val="23B02B18"/>
    <w:rsid w:val="23B148CF"/>
    <w:rsid w:val="23C71C0F"/>
    <w:rsid w:val="23C95987"/>
    <w:rsid w:val="23D34F10"/>
    <w:rsid w:val="23DA1943"/>
    <w:rsid w:val="23DA7B95"/>
    <w:rsid w:val="23E266EC"/>
    <w:rsid w:val="23E32EED"/>
    <w:rsid w:val="23E629DD"/>
    <w:rsid w:val="23EF62AD"/>
    <w:rsid w:val="23F23130"/>
    <w:rsid w:val="23FF6434"/>
    <w:rsid w:val="23FF75FB"/>
    <w:rsid w:val="240A66CC"/>
    <w:rsid w:val="240B2444"/>
    <w:rsid w:val="240F38B0"/>
    <w:rsid w:val="24350E4B"/>
    <w:rsid w:val="243F3E9B"/>
    <w:rsid w:val="244514B2"/>
    <w:rsid w:val="246B4C91"/>
    <w:rsid w:val="246D0A09"/>
    <w:rsid w:val="24723A42"/>
    <w:rsid w:val="24741D97"/>
    <w:rsid w:val="2474262E"/>
    <w:rsid w:val="247F624D"/>
    <w:rsid w:val="24885842"/>
    <w:rsid w:val="24945F95"/>
    <w:rsid w:val="24A563F4"/>
    <w:rsid w:val="24A87C93"/>
    <w:rsid w:val="24AE34FB"/>
    <w:rsid w:val="24B16B47"/>
    <w:rsid w:val="24C83E91"/>
    <w:rsid w:val="24D171E9"/>
    <w:rsid w:val="24DC7FD2"/>
    <w:rsid w:val="24DD46E4"/>
    <w:rsid w:val="24DE1906"/>
    <w:rsid w:val="24EE7D9B"/>
    <w:rsid w:val="24EF58C2"/>
    <w:rsid w:val="24F46A34"/>
    <w:rsid w:val="24F9229C"/>
    <w:rsid w:val="24FB012C"/>
    <w:rsid w:val="24FB4266"/>
    <w:rsid w:val="2500362B"/>
    <w:rsid w:val="251D5F8B"/>
    <w:rsid w:val="25216B98"/>
    <w:rsid w:val="252217F3"/>
    <w:rsid w:val="252559ED"/>
    <w:rsid w:val="25292B82"/>
    <w:rsid w:val="252959D3"/>
    <w:rsid w:val="252D2133"/>
    <w:rsid w:val="25407ECB"/>
    <w:rsid w:val="254158BB"/>
    <w:rsid w:val="25457290"/>
    <w:rsid w:val="25461977"/>
    <w:rsid w:val="2548359B"/>
    <w:rsid w:val="255316BA"/>
    <w:rsid w:val="255B6AB3"/>
    <w:rsid w:val="255E0351"/>
    <w:rsid w:val="256C2A6E"/>
    <w:rsid w:val="2573204F"/>
    <w:rsid w:val="257A518B"/>
    <w:rsid w:val="25807B05"/>
    <w:rsid w:val="2586262A"/>
    <w:rsid w:val="25896E9D"/>
    <w:rsid w:val="259D0E7A"/>
    <w:rsid w:val="25A8281F"/>
    <w:rsid w:val="25B12B77"/>
    <w:rsid w:val="25BF5294"/>
    <w:rsid w:val="25CD1079"/>
    <w:rsid w:val="25CD7611"/>
    <w:rsid w:val="25E44CFA"/>
    <w:rsid w:val="25E66CC5"/>
    <w:rsid w:val="25E92311"/>
    <w:rsid w:val="25EE39F5"/>
    <w:rsid w:val="25F27756"/>
    <w:rsid w:val="26086C3B"/>
    <w:rsid w:val="2610789E"/>
    <w:rsid w:val="2614603E"/>
    <w:rsid w:val="261601FD"/>
    <w:rsid w:val="261C7656"/>
    <w:rsid w:val="262E41C8"/>
    <w:rsid w:val="263120F6"/>
    <w:rsid w:val="26373F08"/>
    <w:rsid w:val="263E440B"/>
    <w:rsid w:val="26404627"/>
    <w:rsid w:val="26600825"/>
    <w:rsid w:val="26630315"/>
    <w:rsid w:val="2668592C"/>
    <w:rsid w:val="266A3452"/>
    <w:rsid w:val="267E6EFD"/>
    <w:rsid w:val="26842F7C"/>
    <w:rsid w:val="2685203A"/>
    <w:rsid w:val="26865DB2"/>
    <w:rsid w:val="26881B2A"/>
    <w:rsid w:val="269404CF"/>
    <w:rsid w:val="26A3791C"/>
    <w:rsid w:val="26A5448A"/>
    <w:rsid w:val="26B24DF9"/>
    <w:rsid w:val="26B75F6B"/>
    <w:rsid w:val="26BD5C77"/>
    <w:rsid w:val="26C32B62"/>
    <w:rsid w:val="26CF1879"/>
    <w:rsid w:val="26D466C0"/>
    <w:rsid w:val="26D94133"/>
    <w:rsid w:val="26D96C0D"/>
    <w:rsid w:val="26E50D2A"/>
    <w:rsid w:val="26F96584"/>
    <w:rsid w:val="26FE003E"/>
    <w:rsid w:val="27005C89"/>
    <w:rsid w:val="27027B2E"/>
    <w:rsid w:val="270A0791"/>
    <w:rsid w:val="27181100"/>
    <w:rsid w:val="271D2DE6"/>
    <w:rsid w:val="27221F7E"/>
    <w:rsid w:val="27225ADA"/>
    <w:rsid w:val="2734580E"/>
    <w:rsid w:val="273677D8"/>
    <w:rsid w:val="27400656"/>
    <w:rsid w:val="27433CA3"/>
    <w:rsid w:val="275107A2"/>
    <w:rsid w:val="2753038A"/>
    <w:rsid w:val="275639D6"/>
    <w:rsid w:val="2757665C"/>
    <w:rsid w:val="275A34C6"/>
    <w:rsid w:val="275D6B12"/>
    <w:rsid w:val="27666C36"/>
    <w:rsid w:val="276A7481"/>
    <w:rsid w:val="276C758E"/>
    <w:rsid w:val="276F4617"/>
    <w:rsid w:val="27741BE7"/>
    <w:rsid w:val="27767BD4"/>
    <w:rsid w:val="277A3B68"/>
    <w:rsid w:val="277F4CDB"/>
    <w:rsid w:val="27802801"/>
    <w:rsid w:val="2786250D"/>
    <w:rsid w:val="27875585"/>
    <w:rsid w:val="2794444A"/>
    <w:rsid w:val="27A74232"/>
    <w:rsid w:val="27AC6781"/>
    <w:rsid w:val="27AE736E"/>
    <w:rsid w:val="27B36BED"/>
    <w:rsid w:val="27D72D69"/>
    <w:rsid w:val="27E17743"/>
    <w:rsid w:val="27E75899"/>
    <w:rsid w:val="27F37477"/>
    <w:rsid w:val="27FA0805"/>
    <w:rsid w:val="27FE1889"/>
    <w:rsid w:val="28081174"/>
    <w:rsid w:val="2812669E"/>
    <w:rsid w:val="28164F13"/>
    <w:rsid w:val="281B09D9"/>
    <w:rsid w:val="281C4C20"/>
    <w:rsid w:val="28243AD4"/>
    <w:rsid w:val="283C0E1E"/>
    <w:rsid w:val="283D093C"/>
    <w:rsid w:val="28447CD2"/>
    <w:rsid w:val="284D7F03"/>
    <w:rsid w:val="28506677"/>
    <w:rsid w:val="28590201"/>
    <w:rsid w:val="285C721C"/>
    <w:rsid w:val="28602527"/>
    <w:rsid w:val="286B0E54"/>
    <w:rsid w:val="286E4D4F"/>
    <w:rsid w:val="287C121A"/>
    <w:rsid w:val="287C74F6"/>
    <w:rsid w:val="28884333"/>
    <w:rsid w:val="28885E11"/>
    <w:rsid w:val="28887BBF"/>
    <w:rsid w:val="28902F18"/>
    <w:rsid w:val="289142BC"/>
    <w:rsid w:val="28A54C15"/>
    <w:rsid w:val="28A718C1"/>
    <w:rsid w:val="28B70075"/>
    <w:rsid w:val="28C11323"/>
    <w:rsid w:val="28C35470"/>
    <w:rsid w:val="28CC7625"/>
    <w:rsid w:val="28CD7CC8"/>
    <w:rsid w:val="28DD0894"/>
    <w:rsid w:val="28E2190E"/>
    <w:rsid w:val="28E54BC4"/>
    <w:rsid w:val="28EF4559"/>
    <w:rsid w:val="28F25980"/>
    <w:rsid w:val="28F60FCD"/>
    <w:rsid w:val="290D4568"/>
    <w:rsid w:val="29121211"/>
    <w:rsid w:val="29133E84"/>
    <w:rsid w:val="29146F63"/>
    <w:rsid w:val="291919F2"/>
    <w:rsid w:val="29247EA6"/>
    <w:rsid w:val="293146FB"/>
    <w:rsid w:val="293837C4"/>
    <w:rsid w:val="293E4722"/>
    <w:rsid w:val="294061A6"/>
    <w:rsid w:val="29451F54"/>
    <w:rsid w:val="294A57BC"/>
    <w:rsid w:val="294F4B81"/>
    <w:rsid w:val="295B3526"/>
    <w:rsid w:val="29600B3C"/>
    <w:rsid w:val="296028EA"/>
    <w:rsid w:val="296543A4"/>
    <w:rsid w:val="296644B1"/>
    <w:rsid w:val="29777BB7"/>
    <w:rsid w:val="298018B9"/>
    <w:rsid w:val="298F4F7D"/>
    <w:rsid w:val="29910CF5"/>
    <w:rsid w:val="29946A38"/>
    <w:rsid w:val="29A2436F"/>
    <w:rsid w:val="29A547A1"/>
    <w:rsid w:val="29A95C95"/>
    <w:rsid w:val="29AC5151"/>
    <w:rsid w:val="29B35110"/>
    <w:rsid w:val="29B665AC"/>
    <w:rsid w:val="29B669AE"/>
    <w:rsid w:val="29C54E43"/>
    <w:rsid w:val="29C6396F"/>
    <w:rsid w:val="29D37560"/>
    <w:rsid w:val="29E82EC9"/>
    <w:rsid w:val="29EB48A9"/>
    <w:rsid w:val="29F714A0"/>
    <w:rsid w:val="29F85218"/>
    <w:rsid w:val="29FD45DD"/>
    <w:rsid w:val="2A027E45"/>
    <w:rsid w:val="2A07545B"/>
    <w:rsid w:val="2A126C9D"/>
    <w:rsid w:val="2A203841"/>
    <w:rsid w:val="2A377D3A"/>
    <w:rsid w:val="2A385615"/>
    <w:rsid w:val="2A447D2A"/>
    <w:rsid w:val="2A4D10C0"/>
    <w:rsid w:val="2A574846"/>
    <w:rsid w:val="2A587A65"/>
    <w:rsid w:val="2A5B72A5"/>
    <w:rsid w:val="2A5E151F"/>
    <w:rsid w:val="2A5F0DF4"/>
    <w:rsid w:val="2A6428AE"/>
    <w:rsid w:val="2A6576FA"/>
    <w:rsid w:val="2A6C1342"/>
    <w:rsid w:val="2A7725E1"/>
    <w:rsid w:val="2A7C5075"/>
    <w:rsid w:val="2A803D1F"/>
    <w:rsid w:val="2A84085A"/>
    <w:rsid w:val="2A8C2814"/>
    <w:rsid w:val="2A9F7442"/>
    <w:rsid w:val="2AA30295"/>
    <w:rsid w:val="2AA607D0"/>
    <w:rsid w:val="2AAA4765"/>
    <w:rsid w:val="2AB47391"/>
    <w:rsid w:val="2ABA42D1"/>
    <w:rsid w:val="2ABB0720"/>
    <w:rsid w:val="2ABC7FF4"/>
    <w:rsid w:val="2AC31382"/>
    <w:rsid w:val="2AC90D0B"/>
    <w:rsid w:val="2AC9279A"/>
    <w:rsid w:val="2AD73080"/>
    <w:rsid w:val="2AE337D3"/>
    <w:rsid w:val="2AE7611D"/>
    <w:rsid w:val="2AF94DA4"/>
    <w:rsid w:val="2AFB4FC0"/>
    <w:rsid w:val="2B065713"/>
    <w:rsid w:val="2B1475A1"/>
    <w:rsid w:val="2B177920"/>
    <w:rsid w:val="2B195446"/>
    <w:rsid w:val="2B255B99"/>
    <w:rsid w:val="2B342280"/>
    <w:rsid w:val="2B361B54"/>
    <w:rsid w:val="2B3E6C5B"/>
    <w:rsid w:val="2B465B0F"/>
    <w:rsid w:val="2B473D61"/>
    <w:rsid w:val="2B523C29"/>
    <w:rsid w:val="2B536BB8"/>
    <w:rsid w:val="2B5B15BB"/>
    <w:rsid w:val="2B5B780D"/>
    <w:rsid w:val="2B5E4FF9"/>
    <w:rsid w:val="2B732DA8"/>
    <w:rsid w:val="2B7408CF"/>
    <w:rsid w:val="2B894909"/>
    <w:rsid w:val="2B8A5CFF"/>
    <w:rsid w:val="2B9A14B1"/>
    <w:rsid w:val="2B9F5CDF"/>
    <w:rsid w:val="2BA246D3"/>
    <w:rsid w:val="2BA74800"/>
    <w:rsid w:val="2BB60EE7"/>
    <w:rsid w:val="2BBB02AC"/>
    <w:rsid w:val="2BBD2276"/>
    <w:rsid w:val="2BC5112A"/>
    <w:rsid w:val="2BD33847"/>
    <w:rsid w:val="2BDF21EC"/>
    <w:rsid w:val="2BE3680A"/>
    <w:rsid w:val="2BEC66B7"/>
    <w:rsid w:val="2C0734F1"/>
    <w:rsid w:val="2C163734"/>
    <w:rsid w:val="2C2422F5"/>
    <w:rsid w:val="2C2960C4"/>
    <w:rsid w:val="2C3A38C6"/>
    <w:rsid w:val="2C400CE0"/>
    <w:rsid w:val="2C46226B"/>
    <w:rsid w:val="2C477D91"/>
    <w:rsid w:val="2C4958B7"/>
    <w:rsid w:val="2C626979"/>
    <w:rsid w:val="2C6646BB"/>
    <w:rsid w:val="2C6664EC"/>
    <w:rsid w:val="2C6D3C9C"/>
    <w:rsid w:val="2C7708D6"/>
    <w:rsid w:val="2C770D0A"/>
    <w:rsid w:val="2C7768C8"/>
    <w:rsid w:val="2C7C6542"/>
    <w:rsid w:val="2C7E7C57"/>
    <w:rsid w:val="2C8979E5"/>
    <w:rsid w:val="2C9114AA"/>
    <w:rsid w:val="2C954FA0"/>
    <w:rsid w:val="2C970D19"/>
    <w:rsid w:val="2C974875"/>
    <w:rsid w:val="2CA3146B"/>
    <w:rsid w:val="2CA60F5C"/>
    <w:rsid w:val="2CAB0320"/>
    <w:rsid w:val="2CB74F17"/>
    <w:rsid w:val="2CBF3DCB"/>
    <w:rsid w:val="2CC118F2"/>
    <w:rsid w:val="2CC66F08"/>
    <w:rsid w:val="2CC80ED2"/>
    <w:rsid w:val="2CD31625"/>
    <w:rsid w:val="2CD77367"/>
    <w:rsid w:val="2CD930DF"/>
    <w:rsid w:val="2CDE24A4"/>
    <w:rsid w:val="2CE030A8"/>
    <w:rsid w:val="2CE37ABA"/>
    <w:rsid w:val="2CE47597"/>
    <w:rsid w:val="2CE756FF"/>
    <w:rsid w:val="2CE83322"/>
    <w:rsid w:val="2D02588D"/>
    <w:rsid w:val="2D0E5CE4"/>
    <w:rsid w:val="2D1759B5"/>
    <w:rsid w:val="2D1C121E"/>
    <w:rsid w:val="2D1F486A"/>
    <w:rsid w:val="2D360D07"/>
    <w:rsid w:val="2D39072B"/>
    <w:rsid w:val="2D3A48A0"/>
    <w:rsid w:val="2D3E1194"/>
    <w:rsid w:val="2D5921BF"/>
    <w:rsid w:val="2D662499"/>
    <w:rsid w:val="2D6706EB"/>
    <w:rsid w:val="2D682FA8"/>
    <w:rsid w:val="2D742E08"/>
    <w:rsid w:val="2D7B41F9"/>
    <w:rsid w:val="2D7B7CF2"/>
    <w:rsid w:val="2D8C0151"/>
    <w:rsid w:val="2D962D7E"/>
    <w:rsid w:val="2D986AF6"/>
    <w:rsid w:val="2D9E66A8"/>
    <w:rsid w:val="2DA57465"/>
    <w:rsid w:val="2DA76D39"/>
    <w:rsid w:val="2DAC07F4"/>
    <w:rsid w:val="2DB17BB8"/>
    <w:rsid w:val="2DBE0D5B"/>
    <w:rsid w:val="2DBE22D5"/>
    <w:rsid w:val="2DBF0527"/>
    <w:rsid w:val="2DC25921"/>
    <w:rsid w:val="2DCF003E"/>
    <w:rsid w:val="2DCF6290"/>
    <w:rsid w:val="2DD77724"/>
    <w:rsid w:val="2DD90EBD"/>
    <w:rsid w:val="2DDD275B"/>
    <w:rsid w:val="2DF61EFF"/>
    <w:rsid w:val="2DFB0E33"/>
    <w:rsid w:val="2E072E13"/>
    <w:rsid w:val="2E0917A2"/>
    <w:rsid w:val="2E0C3040"/>
    <w:rsid w:val="2E112405"/>
    <w:rsid w:val="2E114AFB"/>
    <w:rsid w:val="2E205C6C"/>
    <w:rsid w:val="2E2A34C6"/>
    <w:rsid w:val="2E4A5917"/>
    <w:rsid w:val="2E4F2F2D"/>
    <w:rsid w:val="2E5A0250"/>
    <w:rsid w:val="2E5C3BD0"/>
    <w:rsid w:val="2E5D564A"/>
    <w:rsid w:val="2E690493"/>
    <w:rsid w:val="2E761C2B"/>
    <w:rsid w:val="2E7B1F74"/>
    <w:rsid w:val="2E7C6418"/>
    <w:rsid w:val="2E920422"/>
    <w:rsid w:val="2E944F06"/>
    <w:rsid w:val="2E9A064C"/>
    <w:rsid w:val="2EAD5F5D"/>
    <w:rsid w:val="2EB34D60"/>
    <w:rsid w:val="2EC41B6D"/>
    <w:rsid w:val="2EC61441"/>
    <w:rsid w:val="2EC90F31"/>
    <w:rsid w:val="2ED33B5E"/>
    <w:rsid w:val="2ED746A2"/>
    <w:rsid w:val="2EDA6C9B"/>
    <w:rsid w:val="2EE1627B"/>
    <w:rsid w:val="2EFD5C22"/>
    <w:rsid w:val="2EFD7872"/>
    <w:rsid w:val="2F070FC0"/>
    <w:rsid w:val="2F0C0731"/>
    <w:rsid w:val="2F266384"/>
    <w:rsid w:val="2F2C764F"/>
    <w:rsid w:val="2F2D326E"/>
    <w:rsid w:val="2F3565C7"/>
    <w:rsid w:val="2F394689"/>
    <w:rsid w:val="2F397D16"/>
    <w:rsid w:val="2F3B658B"/>
    <w:rsid w:val="2F4F58DB"/>
    <w:rsid w:val="2F61560E"/>
    <w:rsid w:val="2F6230DC"/>
    <w:rsid w:val="2F650C5A"/>
    <w:rsid w:val="2F7475A9"/>
    <w:rsid w:val="2F756F0F"/>
    <w:rsid w:val="2F7E7F6E"/>
    <w:rsid w:val="2F807842"/>
    <w:rsid w:val="2F837332"/>
    <w:rsid w:val="2F8F3F29"/>
    <w:rsid w:val="2F91569A"/>
    <w:rsid w:val="2F917CA1"/>
    <w:rsid w:val="2F9E4A54"/>
    <w:rsid w:val="2FA06136"/>
    <w:rsid w:val="2FB120F1"/>
    <w:rsid w:val="2FC00586"/>
    <w:rsid w:val="2FC5794B"/>
    <w:rsid w:val="2FCA31B3"/>
    <w:rsid w:val="2FD32181"/>
    <w:rsid w:val="2FD63906"/>
    <w:rsid w:val="2FD656B4"/>
    <w:rsid w:val="2FE222AB"/>
    <w:rsid w:val="2FE73D65"/>
    <w:rsid w:val="2FE778C1"/>
    <w:rsid w:val="2FEF49C8"/>
    <w:rsid w:val="2FF87D20"/>
    <w:rsid w:val="30043934"/>
    <w:rsid w:val="30055F99"/>
    <w:rsid w:val="300B63B9"/>
    <w:rsid w:val="300F6E18"/>
    <w:rsid w:val="301A5EE8"/>
    <w:rsid w:val="301D7787"/>
    <w:rsid w:val="30202DD3"/>
    <w:rsid w:val="30240CA1"/>
    <w:rsid w:val="302A28F2"/>
    <w:rsid w:val="302C0287"/>
    <w:rsid w:val="302E54F0"/>
    <w:rsid w:val="30382E3E"/>
    <w:rsid w:val="30401638"/>
    <w:rsid w:val="30402AAB"/>
    <w:rsid w:val="30431B66"/>
    <w:rsid w:val="30442F65"/>
    <w:rsid w:val="30521EBD"/>
    <w:rsid w:val="30596140"/>
    <w:rsid w:val="305C6C09"/>
    <w:rsid w:val="306A22A0"/>
    <w:rsid w:val="30711881"/>
    <w:rsid w:val="30761226"/>
    <w:rsid w:val="30782C0F"/>
    <w:rsid w:val="3080086A"/>
    <w:rsid w:val="30836F9C"/>
    <w:rsid w:val="30845BA5"/>
    <w:rsid w:val="3088745D"/>
    <w:rsid w:val="30A82B7A"/>
    <w:rsid w:val="30AE4883"/>
    <w:rsid w:val="30B31E99"/>
    <w:rsid w:val="30B37612"/>
    <w:rsid w:val="30B55C11"/>
    <w:rsid w:val="30B978AD"/>
    <w:rsid w:val="30C904CC"/>
    <w:rsid w:val="30CD5E27"/>
    <w:rsid w:val="30D77936"/>
    <w:rsid w:val="30E96541"/>
    <w:rsid w:val="30F12FA2"/>
    <w:rsid w:val="30F74D89"/>
    <w:rsid w:val="30FF6E8C"/>
    <w:rsid w:val="3102072B"/>
    <w:rsid w:val="31053BE8"/>
    <w:rsid w:val="31182F22"/>
    <w:rsid w:val="31215055"/>
    <w:rsid w:val="31250D9D"/>
    <w:rsid w:val="312F24D3"/>
    <w:rsid w:val="313703D4"/>
    <w:rsid w:val="313C6F2D"/>
    <w:rsid w:val="314236B9"/>
    <w:rsid w:val="31440D43"/>
    <w:rsid w:val="314B3E80"/>
    <w:rsid w:val="3158707F"/>
    <w:rsid w:val="315A2315"/>
    <w:rsid w:val="315C608D"/>
    <w:rsid w:val="31603DCF"/>
    <w:rsid w:val="31666843"/>
    <w:rsid w:val="316A69FC"/>
    <w:rsid w:val="316F4012"/>
    <w:rsid w:val="3180563A"/>
    <w:rsid w:val="31921AAF"/>
    <w:rsid w:val="31992E3D"/>
    <w:rsid w:val="319E48F7"/>
    <w:rsid w:val="31A746CE"/>
    <w:rsid w:val="31C52D59"/>
    <w:rsid w:val="31D73965"/>
    <w:rsid w:val="31DE2F46"/>
    <w:rsid w:val="31E06CBE"/>
    <w:rsid w:val="31E34468"/>
    <w:rsid w:val="31E85DEA"/>
    <w:rsid w:val="31EE7CDE"/>
    <w:rsid w:val="31F42769"/>
    <w:rsid w:val="31F44517"/>
    <w:rsid w:val="31F77B64"/>
    <w:rsid w:val="32002EBC"/>
    <w:rsid w:val="32193F7E"/>
    <w:rsid w:val="321E3342"/>
    <w:rsid w:val="32263B47"/>
    <w:rsid w:val="322E7A29"/>
    <w:rsid w:val="322F37A1"/>
    <w:rsid w:val="323236C1"/>
    <w:rsid w:val="3234700A"/>
    <w:rsid w:val="3237550A"/>
    <w:rsid w:val="32392E46"/>
    <w:rsid w:val="323D047B"/>
    <w:rsid w:val="323D5EBE"/>
    <w:rsid w:val="323D7C6C"/>
    <w:rsid w:val="324042ED"/>
    <w:rsid w:val="32490E7F"/>
    <w:rsid w:val="32496611"/>
    <w:rsid w:val="324E00CB"/>
    <w:rsid w:val="32546D64"/>
    <w:rsid w:val="325841C6"/>
    <w:rsid w:val="32621481"/>
    <w:rsid w:val="326A47D9"/>
    <w:rsid w:val="32803C7B"/>
    <w:rsid w:val="3281224F"/>
    <w:rsid w:val="32883A6D"/>
    <w:rsid w:val="329F0927"/>
    <w:rsid w:val="329F26D5"/>
    <w:rsid w:val="32B819E9"/>
    <w:rsid w:val="32C53763"/>
    <w:rsid w:val="32C97287"/>
    <w:rsid w:val="32D00AE0"/>
    <w:rsid w:val="32D13F58"/>
    <w:rsid w:val="32D54349"/>
    <w:rsid w:val="32DB1233"/>
    <w:rsid w:val="32DB4443"/>
    <w:rsid w:val="32E13EC8"/>
    <w:rsid w:val="32EE7A3D"/>
    <w:rsid w:val="32FA495D"/>
    <w:rsid w:val="33012F73"/>
    <w:rsid w:val="3302598D"/>
    <w:rsid w:val="331D184C"/>
    <w:rsid w:val="33244988"/>
    <w:rsid w:val="332901F1"/>
    <w:rsid w:val="332A457E"/>
    <w:rsid w:val="33354DE7"/>
    <w:rsid w:val="33370B5F"/>
    <w:rsid w:val="334B47D6"/>
    <w:rsid w:val="334E7C57"/>
    <w:rsid w:val="33501C21"/>
    <w:rsid w:val="335C6818"/>
    <w:rsid w:val="336104AE"/>
    <w:rsid w:val="33641E7A"/>
    <w:rsid w:val="337413A2"/>
    <w:rsid w:val="33751688"/>
    <w:rsid w:val="337A0D03"/>
    <w:rsid w:val="33811DDB"/>
    <w:rsid w:val="338A5133"/>
    <w:rsid w:val="33AA1331"/>
    <w:rsid w:val="33B2468A"/>
    <w:rsid w:val="33BA709B"/>
    <w:rsid w:val="33D307EF"/>
    <w:rsid w:val="33D91C17"/>
    <w:rsid w:val="33DF6B01"/>
    <w:rsid w:val="33E81E5A"/>
    <w:rsid w:val="33F34D14"/>
    <w:rsid w:val="33FB7DDF"/>
    <w:rsid w:val="33FD7BDF"/>
    <w:rsid w:val="33FF4230"/>
    <w:rsid w:val="34050C5E"/>
    <w:rsid w:val="34264730"/>
    <w:rsid w:val="34313753"/>
    <w:rsid w:val="343926B5"/>
    <w:rsid w:val="343B3202"/>
    <w:rsid w:val="34425A0E"/>
    <w:rsid w:val="34445759"/>
    <w:rsid w:val="344A62AA"/>
    <w:rsid w:val="3457176D"/>
    <w:rsid w:val="34621C0C"/>
    <w:rsid w:val="34684D49"/>
    <w:rsid w:val="346B5ED5"/>
    <w:rsid w:val="34730D03"/>
    <w:rsid w:val="34766607"/>
    <w:rsid w:val="347D25A2"/>
    <w:rsid w:val="347E456C"/>
    <w:rsid w:val="348C4974"/>
    <w:rsid w:val="3491604D"/>
    <w:rsid w:val="349A13A6"/>
    <w:rsid w:val="34A66EB5"/>
    <w:rsid w:val="34A83397"/>
    <w:rsid w:val="34AD1ACF"/>
    <w:rsid w:val="34B007E3"/>
    <w:rsid w:val="34B21C73"/>
    <w:rsid w:val="34B8182C"/>
    <w:rsid w:val="34B87A7E"/>
    <w:rsid w:val="34C16BFD"/>
    <w:rsid w:val="34CA1BA5"/>
    <w:rsid w:val="34CE54F3"/>
    <w:rsid w:val="34DD5737"/>
    <w:rsid w:val="34EB1C02"/>
    <w:rsid w:val="34F244DF"/>
    <w:rsid w:val="34FA0097"/>
    <w:rsid w:val="34FB107A"/>
    <w:rsid w:val="35020CF9"/>
    <w:rsid w:val="35022A5B"/>
    <w:rsid w:val="3502519D"/>
    <w:rsid w:val="350A0719"/>
    <w:rsid w:val="350B22A4"/>
    <w:rsid w:val="350B3962"/>
    <w:rsid w:val="350C361A"/>
    <w:rsid w:val="35123632"/>
    <w:rsid w:val="35166392"/>
    <w:rsid w:val="3518676F"/>
    <w:rsid w:val="35222F1E"/>
    <w:rsid w:val="352275ED"/>
    <w:rsid w:val="352E1AEE"/>
    <w:rsid w:val="35531555"/>
    <w:rsid w:val="355A6D87"/>
    <w:rsid w:val="355E0625"/>
    <w:rsid w:val="355E2D1F"/>
    <w:rsid w:val="35683252"/>
    <w:rsid w:val="3571067D"/>
    <w:rsid w:val="35717C54"/>
    <w:rsid w:val="357E2A76"/>
    <w:rsid w:val="35845BB2"/>
    <w:rsid w:val="35847960"/>
    <w:rsid w:val="358D285D"/>
    <w:rsid w:val="35973B37"/>
    <w:rsid w:val="359D0A22"/>
    <w:rsid w:val="35A16F13"/>
    <w:rsid w:val="35A324DC"/>
    <w:rsid w:val="35AE732E"/>
    <w:rsid w:val="35AF0E81"/>
    <w:rsid w:val="35C661CB"/>
    <w:rsid w:val="35CE6E2D"/>
    <w:rsid w:val="35D25EE4"/>
    <w:rsid w:val="35D5640E"/>
    <w:rsid w:val="35E36D7D"/>
    <w:rsid w:val="35EA0FD5"/>
    <w:rsid w:val="35F10D56"/>
    <w:rsid w:val="35F745D6"/>
    <w:rsid w:val="36075FB2"/>
    <w:rsid w:val="362178A5"/>
    <w:rsid w:val="362C5AB0"/>
    <w:rsid w:val="363D46DF"/>
    <w:rsid w:val="363F66F6"/>
    <w:rsid w:val="364A0BAA"/>
    <w:rsid w:val="364C4922"/>
    <w:rsid w:val="3659228A"/>
    <w:rsid w:val="3659703F"/>
    <w:rsid w:val="365B4B65"/>
    <w:rsid w:val="366B13C1"/>
    <w:rsid w:val="366D776D"/>
    <w:rsid w:val="3679323D"/>
    <w:rsid w:val="36835E6A"/>
    <w:rsid w:val="368816D2"/>
    <w:rsid w:val="369D33CF"/>
    <w:rsid w:val="36AF3103"/>
    <w:rsid w:val="36BD137C"/>
    <w:rsid w:val="36C30D04"/>
    <w:rsid w:val="36C616EF"/>
    <w:rsid w:val="36C941C4"/>
    <w:rsid w:val="36C97D20"/>
    <w:rsid w:val="36CA1CEB"/>
    <w:rsid w:val="36D14E27"/>
    <w:rsid w:val="36D31F4C"/>
    <w:rsid w:val="36D641EB"/>
    <w:rsid w:val="36DB50C1"/>
    <w:rsid w:val="36DD557A"/>
    <w:rsid w:val="36E56B24"/>
    <w:rsid w:val="36EB733D"/>
    <w:rsid w:val="36EE62FB"/>
    <w:rsid w:val="36F56CF6"/>
    <w:rsid w:val="36F9476C"/>
    <w:rsid w:val="370208D1"/>
    <w:rsid w:val="37025991"/>
    <w:rsid w:val="370E48E2"/>
    <w:rsid w:val="371200A8"/>
    <w:rsid w:val="371511B8"/>
    <w:rsid w:val="37160A8C"/>
    <w:rsid w:val="37184804"/>
    <w:rsid w:val="3720190B"/>
    <w:rsid w:val="37222EC1"/>
    <w:rsid w:val="3744384B"/>
    <w:rsid w:val="374724FE"/>
    <w:rsid w:val="374802DF"/>
    <w:rsid w:val="374E546F"/>
    <w:rsid w:val="37547436"/>
    <w:rsid w:val="375F34D0"/>
    <w:rsid w:val="376A2F93"/>
    <w:rsid w:val="377162B2"/>
    <w:rsid w:val="37762DDA"/>
    <w:rsid w:val="377B461C"/>
    <w:rsid w:val="377F74D8"/>
    <w:rsid w:val="378123A9"/>
    <w:rsid w:val="37826121"/>
    <w:rsid w:val="378400EB"/>
    <w:rsid w:val="378C0D4E"/>
    <w:rsid w:val="378D51F2"/>
    <w:rsid w:val="379A790F"/>
    <w:rsid w:val="379F6CD3"/>
    <w:rsid w:val="37A10C9D"/>
    <w:rsid w:val="37A662B4"/>
    <w:rsid w:val="37AB7A9F"/>
    <w:rsid w:val="37AE5168"/>
    <w:rsid w:val="37B26A07"/>
    <w:rsid w:val="37BA58BB"/>
    <w:rsid w:val="37C65437"/>
    <w:rsid w:val="37C9429B"/>
    <w:rsid w:val="37DE137B"/>
    <w:rsid w:val="37F85BE5"/>
    <w:rsid w:val="37FC4126"/>
    <w:rsid w:val="380C20FD"/>
    <w:rsid w:val="380E6B49"/>
    <w:rsid w:val="38156F95"/>
    <w:rsid w:val="38207E14"/>
    <w:rsid w:val="382C4A0B"/>
    <w:rsid w:val="38327B47"/>
    <w:rsid w:val="3837515E"/>
    <w:rsid w:val="383C09C6"/>
    <w:rsid w:val="384004B6"/>
    <w:rsid w:val="384635F3"/>
    <w:rsid w:val="384E7D53"/>
    <w:rsid w:val="38527B75"/>
    <w:rsid w:val="385C2E16"/>
    <w:rsid w:val="38673C95"/>
    <w:rsid w:val="386A108F"/>
    <w:rsid w:val="386D5023"/>
    <w:rsid w:val="38796C47"/>
    <w:rsid w:val="387A6966"/>
    <w:rsid w:val="387B329C"/>
    <w:rsid w:val="38832151"/>
    <w:rsid w:val="38871C41"/>
    <w:rsid w:val="3891486E"/>
    <w:rsid w:val="389425B0"/>
    <w:rsid w:val="389D1465"/>
    <w:rsid w:val="38B13162"/>
    <w:rsid w:val="38B30C88"/>
    <w:rsid w:val="38C1182E"/>
    <w:rsid w:val="38C5276A"/>
    <w:rsid w:val="38C76818"/>
    <w:rsid w:val="38CD7870"/>
    <w:rsid w:val="38CF183A"/>
    <w:rsid w:val="38CF5396"/>
    <w:rsid w:val="38D21D7C"/>
    <w:rsid w:val="38D32489"/>
    <w:rsid w:val="38D62BC9"/>
    <w:rsid w:val="38DB376B"/>
    <w:rsid w:val="38E3340E"/>
    <w:rsid w:val="38EA33E2"/>
    <w:rsid w:val="38FB43DD"/>
    <w:rsid w:val="38FB7790"/>
    <w:rsid w:val="38FD0155"/>
    <w:rsid w:val="390B0AC4"/>
    <w:rsid w:val="390C0398"/>
    <w:rsid w:val="390F7E89"/>
    <w:rsid w:val="39137979"/>
    <w:rsid w:val="39167469"/>
    <w:rsid w:val="391D25A6"/>
    <w:rsid w:val="392A081F"/>
    <w:rsid w:val="392D0F5C"/>
    <w:rsid w:val="392D7280"/>
    <w:rsid w:val="392E6561"/>
    <w:rsid w:val="393618B9"/>
    <w:rsid w:val="393A2AC7"/>
    <w:rsid w:val="393D2C48"/>
    <w:rsid w:val="394A2C6F"/>
    <w:rsid w:val="394C2E8B"/>
    <w:rsid w:val="395104A1"/>
    <w:rsid w:val="396E1053"/>
    <w:rsid w:val="396F26D5"/>
    <w:rsid w:val="39707E46"/>
    <w:rsid w:val="39736669"/>
    <w:rsid w:val="39755F3E"/>
    <w:rsid w:val="3979167E"/>
    <w:rsid w:val="397D4DF2"/>
    <w:rsid w:val="39840F1A"/>
    <w:rsid w:val="39882115"/>
    <w:rsid w:val="39A06271"/>
    <w:rsid w:val="39AB5E03"/>
    <w:rsid w:val="39AB663C"/>
    <w:rsid w:val="39AD3929"/>
    <w:rsid w:val="39C94A9B"/>
    <w:rsid w:val="39D0586A"/>
    <w:rsid w:val="39D528AA"/>
    <w:rsid w:val="39E906DA"/>
    <w:rsid w:val="39EA103D"/>
    <w:rsid w:val="39EC3D26"/>
    <w:rsid w:val="39F45627"/>
    <w:rsid w:val="39F72183"/>
    <w:rsid w:val="39F96B6F"/>
    <w:rsid w:val="39FF7EFD"/>
    <w:rsid w:val="3A03179B"/>
    <w:rsid w:val="3A064DE8"/>
    <w:rsid w:val="3A080F09"/>
    <w:rsid w:val="3A111CC4"/>
    <w:rsid w:val="3A175247"/>
    <w:rsid w:val="3A345DF9"/>
    <w:rsid w:val="3A361B71"/>
    <w:rsid w:val="3A461688"/>
    <w:rsid w:val="3A4F49E1"/>
    <w:rsid w:val="3A647D60"/>
    <w:rsid w:val="3A652BE6"/>
    <w:rsid w:val="3A654204"/>
    <w:rsid w:val="3A695C44"/>
    <w:rsid w:val="3A881CA1"/>
    <w:rsid w:val="3A8B651F"/>
    <w:rsid w:val="3A8F1281"/>
    <w:rsid w:val="3A900B55"/>
    <w:rsid w:val="3A90242E"/>
    <w:rsid w:val="3A9E3272"/>
    <w:rsid w:val="3AA82343"/>
    <w:rsid w:val="3AB807D8"/>
    <w:rsid w:val="3AD273C0"/>
    <w:rsid w:val="3AD62A0C"/>
    <w:rsid w:val="3AE55345"/>
    <w:rsid w:val="3AE8464E"/>
    <w:rsid w:val="3AE92834"/>
    <w:rsid w:val="3AEA64B7"/>
    <w:rsid w:val="3AF154E0"/>
    <w:rsid w:val="3AF9520F"/>
    <w:rsid w:val="3AFB2473"/>
    <w:rsid w:val="3B0C0B24"/>
    <w:rsid w:val="3B111C96"/>
    <w:rsid w:val="3B2D45F6"/>
    <w:rsid w:val="3B365BA1"/>
    <w:rsid w:val="3B3933FA"/>
    <w:rsid w:val="3B3B4F65"/>
    <w:rsid w:val="3B3F2170"/>
    <w:rsid w:val="3B3F2CA7"/>
    <w:rsid w:val="3B514788"/>
    <w:rsid w:val="3B5A188F"/>
    <w:rsid w:val="3B5F6EA5"/>
    <w:rsid w:val="3B64175D"/>
    <w:rsid w:val="3B6C15C2"/>
    <w:rsid w:val="3B7A783B"/>
    <w:rsid w:val="3B892174"/>
    <w:rsid w:val="3B8B1A48"/>
    <w:rsid w:val="3B903503"/>
    <w:rsid w:val="3BB0325D"/>
    <w:rsid w:val="3BC27434"/>
    <w:rsid w:val="3BC60CD2"/>
    <w:rsid w:val="3BC82C9D"/>
    <w:rsid w:val="3BD41BB4"/>
    <w:rsid w:val="3BD553B9"/>
    <w:rsid w:val="3BDA652C"/>
    <w:rsid w:val="3BDE296C"/>
    <w:rsid w:val="3BE21884"/>
    <w:rsid w:val="3BE657CC"/>
    <w:rsid w:val="3BEB24E7"/>
    <w:rsid w:val="3BEE61FC"/>
    <w:rsid w:val="3BF47EEA"/>
    <w:rsid w:val="3BFF41E4"/>
    <w:rsid w:val="3C065573"/>
    <w:rsid w:val="3C0A7D0D"/>
    <w:rsid w:val="3C247D87"/>
    <w:rsid w:val="3C2B4FD9"/>
    <w:rsid w:val="3C3A2FE6"/>
    <w:rsid w:val="3C3B65CC"/>
    <w:rsid w:val="3C40381C"/>
    <w:rsid w:val="3C432323"/>
    <w:rsid w:val="3C481BE8"/>
    <w:rsid w:val="3C490C26"/>
    <w:rsid w:val="3C4B4FFA"/>
    <w:rsid w:val="3C501577"/>
    <w:rsid w:val="3C522566"/>
    <w:rsid w:val="3C5C5AD0"/>
    <w:rsid w:val="3C5E0F0B"/>
    <w:rsid w:val="3C653D35"/>
    <w:rsid w:val="3C667DC0"/>
    <w:rsid w:val="3C722C08"/>
    <w:rsid w:val="3C7515A7"/>
    <w:rsid w:val="3C8B5A78"/>
    <w:rsid w:val="3C8C1F1C"/>
    <w:rsid w:val="3CA04EC4"/>
    <w:rsid w:val="3CA453DE"/>
    <w:rsid w:val="3CA8507D"/>
    <w:rsid w:val="3CAC49B8"/>
    <w:rsid w:val="3CB607E1"/>
    <w:rsid w:val="3CBB1C4D"/>
    <w:rsid w:val="3CBD2112"/>
    <w:rsid w:val="3CD13DD3"/>
    <w:rsid w:val="3CD43720"/>
    <w:rsid w:val="3CDD4FE7"/>
    <w:rsid w:val="3CE60F00"/>
    <w:rsid w:val="3CEA06BA"/>
    <w:rsid w:val="3CEA279F"/>
    <w:rsid w:val="3CEA6C43"/>
    <w:rsid w:val="3CEF6007"/>
    <w:rsid w:val="3CF03B2D"/>
    <w:rsid w:val="3CF25AF7"/>
    <w:rsid w:val="3CF90C34"/>
    <w:rsid w:val="3CFD6976"/>
    <w:rsid w:val="3D0D1D41"/>
    <w:rsid w:val="3D0D2931"/>
    <w:rsid w:val="3D1141CF"/>
    <w:rsid w:val="3D131931"/>
    <w:rsid w:val="3D146A9B"/>
    <w:rsid w:val="3D180DA9"/>
    <w:rsid w:val="3D1837B0"/>
    <w:rsid w:val="3D1A276F"/>
    <w:rsid w:val="3D2A703F"/>
    <w:rsid w:val="3D2C725B"/>
    <w:rsid w:val="3D324146"/>
    <w:rsid w:val="3D3900A3"/>
    <w:rsid w:val="3D3B2FFA"/>
    <w:rsid w:val="3D4520CB"/>
    <w:rsid w:val="3D566086"/>
    <w:rsid w:val="3D5A1148"/>
    <w:rsid w:val="3D610D50"/>
    <w:rsid w:val="3D71311A"/>
    <w:rsid w:val="3D7661AB"/>
    <w:rsid w:val="3D7C49F9"/>
    <w:rsid w:val="3D8861BA"/>
    <w:rsid w:val="3D8A2389"/>
    <w:rsid w:val="3D8C258A"/>
    <w:rsid w:val="3D9611E6"/>
    <w:rsid w:val="3DA6700D"/>
    <w:rsid w:val="3DA74B34"/>
    <w:rsid w:val="3DAD7631"/>
    <w:rsid w:val="3DB01C3A"/>
    <w:rsid w:val="3DB54ED1"/>
    <w:rsid w:val="3DB64D77"/>
    <w:rsid w:val="3DB81B78"/>
    <w:rsid w:val="3DBB413B"/>
    <w:rsid w:val="3DCD157A"/>
    <w:rsid w:val="3DD05E38"/>
    <w:rsid w:val="3DD31485"/>
    <w:rsid w:val="3DD50037"/>
    <w:rsid w:val="3DE86088"/>
    <w:rsid w:val="3DEE2762"/>
    <w:rsid w:val="3DF17618"/>
    <w:rsid w:val="3DFC6C2D"/>
    <w:rsid w:val="3DFF227A"/>
    <w:rsid w:val="3E175815"/>
    <w:rsid w:val="3E1C107E"/>
    <w:rsid w:val="3E1C6312"/>
    <w:rsid w:val="3E210442"/>
    <w:rsid w:val="3E230DCF"/>
    <w:rsid w:val="3E234384"/>
    <w:rsid w:val="3E304B29"/>
    <w:rsid w:val="3E416D36"/>
    <w:rsid w:val="3E495BEB"/>
    <w:rsid w:val="3E5720B6"/>
    <w:rsid w:val="3E5D58DB"/>
    <w:rsid w:val="3E5F71BC"/>
    <w:rsid w:val="3E602D40"/>
    <w:rsid w:val="3E6D25DC"/>
    <w:rsid w:val="3E6D3687"/>
    <w:rsid w:val="3E6E3125"/>
    <w:rsid w:val="3E887045"/>
    <w:rsid w:val="3E907376"/>
    <w:rsid w:val="3E9230EE"/>
    <w:rsid w:val="3E9450B8"/>
    <w:rsid w:val="3E970F63"/>
    <w:rsid w:val="3E980B99"/>
    <w:rsid w:val="3E9C2119"/>
    <w:rsid w:val="3EA30B03"/>
    <w:rsid w:val="3EAC535E"/>
    <w:rsid w:val="3EBD6A03"/>
    <w:rsid w:val="3EC15781"/>
    <w:rsid w:val="3ECC729E"/>
    <w:rsid w:val="3ED109ED"/>
    <w:rsid w:val="3ED43641"/>
    <w:rsid w:val="3ED6747E"/>
    <w:rsid w:val="3ED71449"/>
    <w:rsid w:val="3EDF33D2"/>
    <w:rsid w:val="3EE15E23"/>
    <w:rsid w:val="3EF23B8C"/>
    <w:rsid w:val="3EF73899"/>
    <w:rsid w:val="3F057993"/>
    <w:rsid w:val="3F141D55"/>
    <w:rsid w:val="3F2521B4"/>
    <w:rsid w:val="3F253F62"/>
    <w:rsid w:val="3F32042D"/>
    <w:rsid w:val="3F3D74FE"/>
    <w:rsid w:val="3F3E5024"/>
    <w:rsid w:val="3F3F5764"/>
    <w:rsid w:val="3F402B4A"/>
    <w:rsid w:val="3F482232"/>
    <w:rsid w:val="3F487C50"/>
    <w:rsid w:val="3F4C702D"/>
    <w:rsid w:val="3F51536E"/>
    <w:rsid w:val="3F53354F"/>
    <w:rsid w:val="3F5A14FB"/>
    <w:rsid w:val="3F60143E"/>
    <w:rsid w:val="3F6173B1"/>
    <w:rsid w:val="3F650535"/>
    <w:rsid w:val="3F6820A1"/>
    <w:rsid w:val="3F7722E4"/>
    <w:rsid w:val="3F7D5B4C"/>
    <w:rsid w:val="3F8419BD"/>
    <w:rsid w:val="3F93711E"/>
    <w:rsid w:val="3F971AD6"/>
    <w:rsid w:val="3FA014B2"/>
    <w:rsid w:val="3FA96941"/>
    <w:rsid w:val="3FBD419A"/>
    <w:rsid w:val="3FBE05A3"/>
    <w:rsid w:val="3FBF6165"/>
    <w:rsid w:val="3FC42055"/>
    <w:rsid w:val="3FC965DA"/>
    <w:rsid w:val="3FCE0156"/>
    <w:rsid w:val="3FCF27C2"/>
    <w:rsid w:val="3FE94F8F"/>
    <w:rsid w:val="3FF53B8A"/>
    <w:rsid w:val="3FF74C02"/>
    <w:rsid w:val="40061FE5"/>
    <w:rsid w:val="40063D93"/>
    <w:rsid w:val="402B55A8"/>
    <w:rsid w:val="403D40DD"/>
    <w:rsid w:val="404448BC"/>
    <w:rsid w:val="404B72D3"/>
    <w:rsid w:val="405C39B3"/>
    <w:rsid w:val="40612D9E"/>
    <w:rsid w:val="40624D42"/>
    <w:rsid w:val="40646B4E"/>
    <w:rsid w:val="406960D0"/>
    <w:rsid w:val="406D3E12"/>
    <w:rsid w:val="40756736"/>
    <w:rsid w:val="407A652F"/>
    <w:rsid w:val="40A11D0E"/>
    <w:rsid w:val="40A64B37"/>
    <w:rsid w:val="40A9471F"/>
    <w:rsid w:val="40BC467D"/>
    <w:rsid w:val="40D20724"/>
    <w:rsid w:val="40D55514"/>
    <w:rsid w:val="40DA6FCE"/>
    <w:rsid w:val="40DD6CF5"/>
    <w:rsid w:val="40E26B54"/>
    <w:rsid w:val="40E57E4D"/>
    <w:rsid w:val="40E67721"/>
    <w:rsid w:val="40F2256A"/>
    <w:rsid w:val="40F97454"/>
    <w:rsid w:val="40FE2CBD"/>
    <w:rsid w:val="41005769"/>
    <w:rsid w:val="41042797"/>
    <w:rsid w:val="411249BA"/>
    <w:rsid w:val="412357EC"/>
    <w:rsid w:val="4137799A"/>
    <w:rsid w:val="414A7CB0"/>
    <w:rsid w:val="414C3A28"/>
    <w:rsid w:val="414C6B92"/>
    <w:rsid w:val="414C7C3B"/>
    <w:rsid w:val="414C7ECC"/>
    <w:rsid w:val="414F3518"/>
    <w:rsid w:val="41566655"/>
    <w:rsid w:val="416D73B4"/>
    <w:rsid w:val="41703F20"/>
    <w:rsid w:val="417D6B34"/>
    <w:rsid w:val="41913B31"/>
    <w:rsid w:val="41966172"/>
    <w:rsid w:val="41A41AB6"/>
    <w:rsid w:val="41B8730F"/>
    <w:rsid w:val="41C71300"/>
    <w:rsid w:val="41CA3D34"/>
    <w:rsid w:val="41EA4FEF"/>
    <w:rsid w:val="41EF0857"/>
    <w:rsid w:val="41F63994"/>
    <w:rsid w:val="4206489E"/>
    <w:rsid w:val="42072045"/>
    <w:rsid w:val="42116A20"/>
    <w:rsid w:val="421504C2"/>
    <w:rsid w:val="42162288"/>
    <w:rsid w:val="42213348"/>
    <w:rsid w:val="422229DB"/>
    <w:rsid w:val="422A188F"/>
    <w:rsid w:val="42366486"/>
    <w:rsid w:val="42386BE7"/>
    <w:rsid w:val="425012F6"/>
    <w:rsid w:val="42523E1F"/>
    <w:rsid w:val="4262727B"/>
    <w:rsid w:val="427174BE"/>
    <w:rsid w:val="4275318F"/>
    <w:rsid w:val="428A09AA"/>
    <w:rsid w:val="428C07D7"/>
    <w:rsid w:val="428F18F3"/>
    <w:rsid w:val="42997882"/>
    <w:rsid w:val="42A06AFA"/>
    <w:rsid w:val="42BA3501"/>
    <w:rsid w:val="42DC398C"/>
    <w:rsid w:val="42DC702D"/>
    <w:rsid w:val="42E163F2"/>
    <w:rsid w:val="42E91A76"/>
    <w:rsid w:val="42EE31BB"/>
    <w:rsid w:val="42F112EB"/>
    <w:rsid w:val="42F239F7"/>
    <w:rsid w:val="42F75C15"/>
    <w:rsid w:val="430640AA"/>
    <w:rsid w:val="43086074"/>
    <w:rsid w:val="430A1DED"/>
    <w:rsid w:val="43107679"/>
    <w:rsid w:val="43192030"/>
    <w:rsid w:val="431D70DF"/>
    <w:rsid w:val="432A644C"/>
    <w:rsid w:val="432F53AF"/>
    <w:rsid w:val="43345BA0"/>
    <w:rsid w:val="434725DC"/>
    <w:rsid w:val="434F008F"/>
    <w:rsid w:val="43530AEB"/>
    <w:rsid w:val="4355293C"/>
    <w:rsid w:val="435D7A57"/>
    <w:rsid w:val="436808C1"/>
    <w:rsid w:val="43686B13"/>
    <w:rsid w:val="43693B59"/>
    <w:rsid w:val="43762FDE"/>
    <w:rsid w:val="43812696"/>
    <w:rsid w:val="43860D47"/>
    <w:rsid w:val="43911BC6"/>
    <w:rsid w:val="43925E19"/>
    <w:rsid w:val="439416B6"/>
    <w:rsid w:val="43AD1BA4"/>
    <w:rsid w:val="43B0088F"/>
    <w:rsid w:val="43B51684"/>
    <w:rsid w:val="43B835F7"/>
    <w:rsid w:val="43BB30E7"/>
    <w:rsid w:val="43C006FD"/>
    <w:rsid w:val="43C45BD5"/>
    <w:rsid w:val="43CD4BC8"/>
    <w:rsid w:val="43EF4B3E"/>
    <w:rsid w:val="43F87E97"/>
    <w:rsid w:val="43FB7987"/>
    <w:rsid w:val="44056110"/>
    <w:rsid w:val="44071E88"/>
    <w:rsid w:val="440E72B6"/>
    <w:rsid w:val="4416656F"/>
    <w:rsid w:val="441B73F7"/>
    <w:rsid w:val="441E176A"/>
    <w:rsid w:val="44203542"/>
    <w:rsid w:val="442E38B9"/>
    <w:rsid w:val="442F052B"/>
    <w:rsid w:val="442F13DF"/>
    <w:rsid w:val="44427364"/>
    <w:rsid w:val="44517B59"/>
    <w:rsid w:val="44592435"/>
    <w:rsid w:val="44625310"/>
    <w:rsid w:val="44626E27"/>
    <w:rsid w:val="44691B4C"/>
    <w:rsid w:val="447B4624"/>
    <w:rsid w:val="447F6DDC"/>
    <w:rsid w:val="447F75FC"/>
    <w:rsid w:val="44884662"/>
    <w:rsid w:val="448E07FB"/>
    <w:rsid w:val="44935E12"/>
    <w:rsid w:val="449556E6"/>
    <w:rsid w:val="449C4CC6"/>
    <w:rsid w:val="449F6565"/>
    <w:rsid w:val="44A41DCD"/>
    <w:rsid w:val="44A8366B"/>
    <w:rsid w:val="44B518E4"/>
    <w:rsid w:val="44BC0EC5"/>
    <w:rsid w:val="44BF6C07"/>
    <w:rsid w:val="44C0751C"/>
    <w:rsid w:val="44D30B0A"/>
    <w:rsid w:val="44D77AAC"/>
    <w:rsid w:val="44D83825"/>
    <w:rsid w:val="44DA57EF"/>
    <w:rsid w:val="44DD155D"/>
    <w:rsid w:val="44E67CEF"/>
    <w:rsid w:val="44E87F0C"/>
    <w:rsid w:val="44F00B6E"/>
    <w:rsid w:val="44F87A23"/>
    <w:rsid w:val="44FA7C3F"/>
    <w:rsid w:val="44FC39B7"/>
    <w:rsid w:val="44FD328B"/>
    <w:rsid w:val="45045908"/>
    <w:rsid w:val="45126D36"/>
    <w:rsid w:val="451E1B7F"/>
    <w:rsid w:val="45204143"/>
    <w:rsid w:val="45275022"/>
    <w:rsid w:val="452B604A"/>
    <w:rsid w:val="452C4B03"/>
    <w:rsid w:val="452F7005"/>
    <w:rsid w:val="453749EF"/>
    <w:rsid w:val="453942C3"/>
    <w:rsid w:val="453E18DA"/>
    <w:rsid w:val="45433394"/>
    <w:rsid w:val="45435142"/>
    <w:rsid w:val="45486BFC"/>
    <w:rsid w:val="454B049A"/>
    <w:rsid w:val="455049EC"/>
    <w:rsid w:val="45531301"/>
    <w:rsid w:val="457B2B2E"/>
    <w:rsid w:val="458319E2"/>
    <w:rsid w:val="458860D6"/>
    <w:rsid w:val="45886FF9"/>
    <w:rsid w:val="458F5CCF"/>
    <w:rsid w:val="45900D3F"/>
    <w:rsid w:val="45927E77"/>
    <w:rsid w:val="45945AC3"/>
    <w:rsid w:val="45962386"/>
    <w:rsid w:val="45992FB4"/>
    <w:rsid w:val="459F2CBB"/>
    <w:rsid w:val="45A00D58"/>
    <w:rsid w:val="45A02594"/>
    <w:rsid w:val="45A73923"/>
    <w:rsid w:val="45A8633B"/>
    <w:rsid w:val="45AC2316"/>
    <w:rsid w:val="45C142B9"/>
    <w:rsid w:val="45C63557"/>
    <w:rsid w:val="45CC5137"/>
    <w:rsid w:val="45D94892"/>
    <w:rsid w:val="45E2495B"/>
    <w:rsid w:val="45E7499C"/>
    <w:rsid w:val="45F14B9E"/>
    <w:rsid w:val="45F305DE"/>
    <w:rsid w:val="45F66658"/>
    <w:rsid w:val="46062D1A"/>
    <w:rsid w:val="4618037D"/>
    <w:rsid w:val="461865CE"/>
    <w:rsid w:val="461940F5"/>
    <w:rsid w:val="463351B6"/>
    <w:rsid w:val="46362EF9"/>
    <w:rsid w:val="46364CA7"/>
    <w:rsid w:val="463B050F"/>
    <w:rsid w:val="463B1639"/>
    <w:rsid w:val="463B406B"/>
    <w:rsid w:val="463D7DE3"/>
    <w:rsid w:val="463F7FFF"/>
    <w:rsid w:val="46414B0C"/>
    <w:rsid w:val="46582E6F"/>
    <w:rsid w:val="465905B1"/>
    <w:rsid w:val="465F5FAB"/>
    <w:rsid w:val="466C06C8"/>
    <w:rsid w:val="467F03FC"/>
    <w:rsid w:val="46830FA7"/>
    <w:rsid w:val="4689127A"/>
    <w:rsid w:val="469043B7"/>
    <w:rsid w:val="469519CD"/>
    <w:rsid w:val="46963997"/>
    <w:rsid w:val="46B27A2A"/>
    <w:rsid w:val="46BB51AC"/>
    <w:rsid w:val="46BD7176"/>
    <w:rsid w:val="46BF4C9C"/>
    <w:rsid w:val="46C06243"/>
    <w:rsid w:val="46C93D6D"/>
    <w:rsid w:val="46CB1C3E"/>
    <w:rsid w:val="46CE3131"/>
    <w:rsid w:val="46E8368C"/>
    <w:rsid w:val="46EC35B7"/>
    <w:rsid w:val="46F012F9"/>
    <w:rsid w:val="470E352E"/>
    <w:rsid w:val="47150D60"/>
    <w:rsid w:val="47154F60"/>
    <w:rsid w:val="471A45C8"/>
    <w:rsid w:val="4728058E"/>
    <w:rsid w:val="472B40E0"/>
    <w:rsid w:val="473A4E9A"/>
    <w:rsid w:val="47462CC7"/>
    <w:rsid w:val="4746395C"/>
    <w:rsid w:val="474B4782"/>
    <w:rsid w:val="475813C6"/>
    <w:rsid w:val="475A49C5"/>
    <w:rsid w:val="47613FA5"/>
    <w:rsid w:val="476D1CB4"/>
    <w:rsid w:val="476D64A6"/>
    <w:rsid w:val="476F0470"/>
    <w:rsid w:val="477517FF"/>
    <w:rsid w:val="47783C39"/>
    <w:rsid w:val="477C0DDF"/>
    <w:rsid w:val="477F61D9"/>
    <w:rsid w:val="4783216D"/>
    <w:rsid w:val="47884C12"/>
    <w:rsid w:val="478C7274"/>
    <w:rsid w:val="478D08F6"/>
    <w:rsid w:val="47962B4D"/>
    <w:rsid w:val="47A345BE"/>
    <w:rsid w:val="47AD1D4E"/>
    <w:rsid w:val="47CA1B4A"/>
    <w:rsid w:val="47D779DD"/>
    <w:rsid w:val="47E10C42"/>
    <w:rsid w:val="47EC3B41"/>
    <w:rsid w:val="47EC7D13"/>
    <w:rsid w:val="47F72214"/>
    <w:rsid w:val="47FA32CD"/>
    <w:rsid w:val="48052B82"/>
    <w:rsid w:val="48087ABB"/>
    <w:rsid w:val="480B05B7"/>
    <w:rsid w:val="48105536"/>
    <w:rsid w:val="48140818"/>
    <w:rsid w:val="481D7ECC"/>
    <w:rsid w:val="482A0BD7"/>
    <w:rsid w:val="482D79B6"/>
    <w:rsid w:val="482E20D9"/>
    <w:rsid w:val="483E1B1F"/>
    <w:rsid w:val="48447281"/>
    <w:rsid w:val="4847319B"/>
    <w:rsid w:val="4851401A"/>
    <w:rsid w:val="48590561"/>
    <w:rsid w:val="486245E6"/>
    <w:rsid w:val="486957B0"/>
    <w:rsid w:val="486A0C38"/>
    <w:rsid w:val="487446A9"/>
    <w:rsid w:val="487C04D9"/>
    <w:rsid w:val="4880045B"/>
    <w:rsid w:val="4888456C"/>
    <w:rsid w:val="489906CD"/>
    <w:rsid w:val="489B7043"/>
    <w:rsid w:val="48A005E1"/>
    <w:rsid w:val="48A134AB"/>
    <w:rsid w:val="48A26623"/>
    <w:rsid w:val="48A405ED"/>
    <w:rsid w:val="48A46D10"/>
    <w:rsid w:val="48B3438D"/>
    <w:rsid w:val="48BB3BE7"/>
    <w:rsid w:val="48C4659A"/>
    <w:rsid w:val="48D04F3E"/>
    <w:rsid w:val="48D26B8A"/>
    <w:rsid w:val="48D569F9"/>
    <w:rsid w:val="48DA523C"/>
    <w:rsid w:val="48DF33D4"/>
    <w:rsid w:val="48E7672C"/>
    <w:rsid w:val="48F03833"/>
    <w:rsid w:val="48F52BF7"/>
    <w:rsid w:val="490177EE"/>
    <w:rsid w:val="49064E04"/>
    <w:rsid w:val="49075188"/>
    <w:rsid w:val="49084785"/>
    <w:rsid w:val="49090450"/>
    <w:rsid w:val="490D3758"/>
    <w:rsid w:val="49145536"/>
    <w:rsid w:val="491E2A22"/>
    <w:rsid w:val="492334DC"/>
    <w:rsid w:val="4929464F"/>
    <w:rsid w:val="492B7D6D"/>
    <w:rsid w:val="49396F88"/>
    <w:rsid w:val="494D47E1"/>
    <w:rsid w:val="49507E2D"/>
    <w:rsid w:val="495B4CA5"/>
    <w:rsid w:val="4965008B"/>
    <w:rsid w:val="496C4368"/>
    <w:rsid w:val="496E2058"/>
    <w:rsid w:val="4970227E"/>
    <w:rsid w:val="497F581D"/>
    <w:rsid w:val="49867CF3"/>
    <w:rsid w:val="49894A08"/>
    <w:rsid w:val="498B70B7"/>
    <w:rsid w:val="49940662"/>
    <w:rsid w:val="49A168DB"/>
    <w:rsid w:val="49A61280"/>
    <w:rsid w:val="49AE646E"/>
    <w:rsid w:val="49B02FC2"/>
    <w:rsid w:val="49B22896"/>
    <w:rsid w:val="49B74350"/>
    <w:rsid w:val="49B77EAC"/>
    <w:rsid w:val="49B948F7"/>
    <w:rsid w:val="49C34AA3"/>
    <w:rsid w:val="49CD147E"/>
    <w:rsid w:val="49EC3FFA"/>
    <w:rsid w:val="49F03DB2"/>
    <w:rsid w:val="49F42EAF"/>
    <w:rsid w:val="49F44C5D"/>
    <w:rsid w:val="49F67A8C"/>
    <w:rsid w:val="4A027CA4"/>
    <w:rsid w:val="4A050411"/>
    <w:rsid w:val="4A0C644A"/>
    <w:rsid w:val="4A0D21C2"/>
    <w:rsid w:val="4A0D75CB"/>
    <w:rsid w:val="4A0F7CE8"/>
    <w:rsid w:val="4A1D48CA"/>
    <w:rsid w:val="4A25750C"/>
    <w:rsid w:val="4A4C0CA0"/>
    <w:rsid w:val="4A544F06"/>
    <w:rsid w:val="4A547DF1"/>
    <w:rsid w:val="4A6E0EB3"/>
    <w:rsid w:val="4A745D9D"/>
    <w:rsid w:val="4A7604FF"/>
    <w:rsid w:val="4A851D59"/>
    <w:rsid w:val="4A8A62E2"/>
    <w:rsid w:val="4A8E3F79"/>
    <w:rsid w:val="4A91694F"/>
    <w:rsid w:val="4A946440"/>
    <w:rsid w:val="4A987CDE"/>
    <w:rsid w:val="4A9B261A"/>
    <w:rsid w:val="4A9F106C"/>
    <w:rsid w:val="4A9F6F2A"/>
    <w:rsid w:val="4AAE7501"/>
    <w:rsid w:val="4AAF6DD6"/>
    <w:rsid w:val="4AC07235"/>
    <w:rsid w:val="4AC27530"/>
    <w:rsid w:val="4ACF1226"/>
    <w:rsid w:val="4ACF1D04"/>
    <w:rsid w:val="4AD4683C"/>
    <w:rsid w:val="4AD5073A"/>
    <w:rsid w:val="4ADA185F"/>
    <w:rsid w:val="4AE01685"/>
    <w:rsid w:val="4B09298A"/>
    <w:rsid w:val="4B0C247A"/>
    <w:rsid w:val="4B0E65F3"/>
    <w:rsid w:val="4B155BCD"/>
    <w:rsid w:val="4B1A0AF3"/>
    <w:rsid w:val="4B2E0642"/>
    <w:rsid w:val="4B3317B5"/>
    <w:rsid w:val="4B36505C"/>
    <w:rsid w:val="4B3E025D"/>
    <w:rsid w:val="4B3F45FD"/>
    <w:rsid w:val="4B412124"/>
    <w:rsid w:val="4B431CC8"/>
    <w:rsid w:val="4B4B6AFE"/>
    <w:rsid w:val="4B500DD8"/>
    <w:rsid w:val="4B5D2CD5"/>
    <w:rsid w:val="4B644064"/>
    <w:rsid w:val="4B667DDC"/>
    <w:rsid w:val="4B700C5B"/>
    <w:rsid w:val="4B711A65"/>
    <w:rsid w:val="4B7C4635"/>
    <w:rsid w:val="4B7D3906"/>
    <w:rsid w:val="4B7F2C4C"/>
    <w:rsid w:val="4B840262"/>
    <w:rsid w:val="4B8464B4"/>
    <w:rsid w:val="4B8B09BD"/>
    <w:rsid w:val="4B92472D"/>
    <w:rsid w:val="4B9304A5"/>
    <w:rsid w:val="4B971D44"/>
    <w:rsid w:val="4BA17066"/>
    <w:rsid w:val="4BB64CBA"/>
    <w:rsid w:val="4BB74194"/>
    <w:rsid w:val="4BB87F0C"/>
    <w:rsid w:val="4BBC17AA"/>
    <w:rsid w:val="4BBF74EC"/>
    <w:rsid w:val="4BC17CF1"/>
    <w:rsid w:val="4BCF321E"/>
    <w:rsid w:val="4BCF543D"/>
    <w:rsid w:val="4BD41C5C"/>
    <w:rsid w:val="4BD75857"/>
    <w:rsid w:val="4BDA4326"/>
    <w:rsid w:val="4BDC3BFA"/>
    <w:rsid w:val="4BE531C8"/>
    <w:rsid w:val="4BE60F1D"/>
    <w:rsid w:val="4BF15F63"/>
    <w:rsid w:val="4BF36A46"/>
    <w:rsid w:val="4BF90C50"/>
    <w:rsid w:val="4C06511B"/>
    <w:rsid w:val="4C0C0983"/>
    <w:rsid w:val="4C184159"/>
    <w:rsid w:val="4C1C43B4"/>
    <w:rsid w:val="4C207F8B"/>
    <w:rsid w:val="4C231829"/>
    <w:rsid w:val="4C2630C7"/>
    <w:rsid w:val="4C341C88"/>
    <w:rsid w:val="4C4874E2"/>
    <w:rsid w:val="4C5B5467"/>
    <w:rsid w:val="4C650094"/>
    <w:rsid w:val="4C667968"/>
    <w:rsid w:val="4C6A5B8B"/>
    <w:rsid w:val="4C714C8A"/>
    <w:rsid w:val="4C8732DE"/>
    <w:rsid w:val="4C8A7AFA"/>
    <w:rsid w:val="4C8C73CE"/>
    <w:rsid w:val="4C9269AF"/>
    <w:rsid w:val="4C995F8F"/>
    <w:rsid w:val="4CA01641"/>
    <w:rsid w:val="4CA566E2"/>
    <w:rsid w:val="4CB776A6"/>
    <w:rsid w:val="4CBD57DA"/>
    <w:rsid w:val="4CC06C90"/>
    <w:rsid w:val="4CC4300C"/>
    <w:rsid w:val="4CC72AFC"/>
    <w:rsid w:val="4CC76658"/>
    <w:rsid w:val="4CCD745E"/>
    <w:rsid w:val="4CD42D6B"/>
    <w:rsid w:val="4CD53A7B"/>
    <w:rsid w:val="4CD945DE"/>
    <w:rsid w:val="4CE4545C"/>
    <w:rsid w:val="4CEC71D0"/>
    <w:rsid w:val="4D007DBC"/>
    <w:rsid w:val="4D0A4797"/>
    <w:rsid w:val="4D145C7E"/>
    <w:rsid w:val="4D1A0E7E"/>
    <w:rsid w:val="4D316B33"/>
    <w:rsid w:val="4D317F76"/>
    <w:rsid w:val="4D4E05EF"/>
    <w:rsid w:val="4D5A74CD"/>
    <w:rsid w:val="4D5F4AE3"/>
    <w:rsid w:val="4D65282F"/>
    <w:rsid w:val="4D665E71"/>
    <w:rsid w:val="4D6C0D42"/>
    <w:rsid w:val="4D74656C"/>
    <w:rsid w:val="4D7C38E7"/>
    <w:rsid w:val="4D7F512C"/>
    <w:rsid w:val="4D8207D1"/>
    <w:rsid w:val="4D862070"/>
    <w:rsid w:val="4D8871FB"/>
    <w:rsid w:val="4D8E53C8"/>
    <w:rsid w:val="4D9329DF"/>
    <w:rsid w:val="4D981DA3"/>
    <w:rsid w:val="4DA92202"/>
    <w:rsid w:val="4DBA06F0"/>
    <w:rsid w:val="4DBE3EFF"/>
    <w:rsid w:val="4DBE5CAD"/>
    <w:rsid w:val="4DC82688"/>
    <w:rsid w:val="4DCA372B"/>
    <w:rsid w:val="4DD52FF7"/>
    <w:rsid w:val="4DD943B3"/>
    <w:rsid w:val="4DDE00FE"/>
    <w:rsid w:val="4DE1199C"/>
    <w:rsid w:val="4DEB45C9"/>
    <w:rsid w:val="4DF74D1B"/>
    <w:rsid w:val="4E09432E"/>
    <w:rsid w:val="4E0A55CB"/>
    <w:rsid w:val="4E113488"/>
    <w:rsid w:val="4E2F2707"/>
    <w:rsid w:val="4E3046D1"/>
    <w:rsid w:val="4E3464AB"/>
    <w:rsid w:val="4E49127D"/>
    <w:rsid w:val="4E582E6B"/>
    <w:rsid w:val="4E5959D6"/>
    <w:rsid w:val="4E5B42C9"/>
    <w:rsid w:val="4E704ACE"/>
    <w:rsid w:val="4E724CEA"/>
    <w:rsid w:val="4E8011B5"/>
    <w:rsid w:val="4E807407"/>
    <w:rsid w:val="4E8A29F9"/>
    <w:rsid w:val="4E8B1908"/>
    <w:rsid w:val="4E946A0E"/>
    <w:rsid w:val="4E9D7836"/>
    <w:rsid w:val="4EA71B98"/>
    <w:rsid w:val="4EA86CA1"/>
    <w:rsid w:val="4EAD187E"/>
    <w:rsid w:val="4EB229B5"/>
    <w:rsid w:val="4EB250E6"/>
    <w:rsid w:val="4EBE5990"/>
    <w:rsid w:val="4EC217CD"/>
    <w:rsid w:val="4EC7668E"/>
    <w:rsid w:val="4ED96776"/>
    <w:rsid w:val="4EDD6607"/>
    <w:rsid w:val="4EE23C1E"/>
    <w:rsid w:val="4EE96D5A"/>
    <w:rsid w:val="4EEB563D"/>
    <w:rsid w:val="4EF13E61"/>
    <w:rsid w:val="4EF86F9D"/>
    <w:rsid w:val="4EFA709E"/>
    <w:rsid w:val="4F0467B7"/>
    <w:rsid w:val="4F084ABB"/>
    <w:rsid w:val="4F195AA4"/>
    <w:rsid w:val="4F271630"/>
    <w:rsid w:val="4F2935FA"/>
    <w:rsid w:val="4F304989"/>
    <w:rsid w:val="4F361873"/>
    <w:rsid w:val="4F664600"/>
    <w:rsid w:val="4F672375"/>
    <w:rsid w:val="4F7B197C"/>
    <w:rsid w:val="4F7C1B25"/>
    <w:rsid w:val="4F7C5E20"/>
    <w:rsid w:val="4F7F321A"/>
    <w:rsid w:val="4F8335AA"/>
    <w:rsid w:val="4F8534D4"/>
    <w:rsid w:val="4F860A4D"/>
    <w:rsid w:val="4F863333"/>
    <w:rsid w:val="4F905428"/>
    <w:rsid w:val="4F9071D6"/>
    <w:rsid w:val="4F95786C"/>
    <w:rsid w:val="4FB01626"/>
    <w:rsid w:val="4FB10643"/>
    <w:rsid w:val="4FBA7845"/>
    <w:rsid w:val="4FC652ED"/>
    <w:rsid w:val="4FC82E13"/>
    <w:rsid w:val="4FD17559"/>
    <w:rsid w:val="4FD80B7D"/>
    <w:rsid w:val="4FDA74AF"/>
    <w:rsid w:val="50067498"/>
    <w:rsid w:val="500A342C"/>
    <w:rsid w:val="500D6A78"/>
    <w:rsid w:val="501112F3"/>
    <w:rsid w:val="5019541D"/>
    <w:rsid w:val="501C40E7"/>
    <w:rsid w:val="501F6080"/>
    <w:rsid w:val="50260C2C"/>
    <w:rsid w:val="502F4C40"/>
    <w:rsid w:val="50371D47"/>
    <w:rsid w:val="503F29AA"/>
    <w:rsid w:val="50483F54"/>
    <w:rsid w:val="504A7CCC"/>
    <w:rsid w:val="504C7D03"/>
    <w:rsid w:val="505301A3"/>
    <w:rsid w:val="505C6D00"/>
    <w:rsid w:val="5061019D"/>
    <w:rsid w:val="506B19F1"/>
    <w:rsid w:val="50714A55"/>
    <w:rsid w:val="50795EBC"/>
    <w:rsid w:val="507D6BE7"/>
    <w:rsid w:val="507E7976"/>
    <w:rsid w:val="508449AD"/>
    <w:rsid w:val="50874A7C"/>
    <w:rsid w:val="508B1035"/>
    <w:rsid w:val="508D1967"/>
    <w:rsid w:val="508D5E0B"/>
    <w:rsid w:val="50A70C7B"/>
    <w:rsid w:val="50AA0C23"/>
    <w:rsid w:val="50B05655"/>
    <w:rsid w:val="50B138A7"/>
    <w:rsid w:val="50C07F8E"/>
    <w:rsid w:val="50C23C17"/>
    <w:rsid w:val="50C8299F"/>
    <w:rsid w:val="50D25CF9"/>
    <w:rsid w:val="50E517A3"/>
    <w:rsid w:val="50EE68AA"/>
    <w:rsid w:val="50F177AD"/>
    <w:rsid w:val="50F934A0"/>
    <w:rsid w:val="51022355"/>
    <w:rsid w:val="510E00F4"/>
    <w:rsid w:val="51100BBB"/>
    <w:rsid w:val="51103F0C"/>
    <w:rsid w:val="51125DD4"/>
    <w:rsid w:val="511300BE"/>
    <w:rsid w:val="511E4CB5"/>
    <w:rsid w:val="51213ED6"/>
    <w:rsid w:val="512247A5"/>
    <w:rsid w:val="512C1C96"/>
    <w:rsid w:val="513444D8"/>
    <w:rsid w:val="51383FC9"/>
    <w:rsid w:val="51385D77"/>
    <w:rsid w:val="513B2C5D"/>
    <w:rsid w:val="513D45E3"/>
    <w:rsid w:val="514566E6"/>
    <w:rsid w:val="5153670D"/>
    <w:rsid w:val="51600E2A"/>
    <w:rsid w:val="516319EA"/>
    <w:rsid w:val="516C77CE"/>
    <w:rsid w:val="51730B5D"/>
    <w:rsid w:val="517F5754"/>
    <w:rsid w:val="518857FD"/>
    <w:rsid w:val="518C60C3"/>
    <w:rsid w:val="518E2DCE"/>
    <w:rsid w:val="51986815"/>
    <w:rsid w:val="51A46F68"/>
    <w:rsid w:val="51A5446D"/>
    <w:rsid w:val="51B318A1"/>
    <w:rsid w:val="51BC69A8"/>
    <w:rsid w:val="51C411DD"/>
    <w:rsid w:val="51C4760A"/>
    <w:rsid w:val="51C85434"/>
    <w:rsid w:val="51C964AC"/>
    <w:rsid w:val="51D112E0"/>
    <w:rsid w:val="51D27836"/>
    <w:rsid w:val="51DD247A"/>
    <w:rsid w:val="51E11F6A"/>
    <w:rsid w:val="51E470AB"/>
    <w:rsid w:val="51EE2FB0"/>
    <w:rsid w:val="51EF4DA7"/>
    <w:rsid w:val="51FA127E"/>
    <w:rsid w:val="51FC4FF6"/>
    <w:rsid w:val="51FD2B1C"/>
    <w:rsid w:val="520B0F63"/>
    <w:rsid w:val="520D74FE"/>
    <w:rsid w:val="52140592"/>
    <w:rsid w:val="52181704"/>
    <w:rsid w:val="521A1920"/>
    <w:rsid w:val="521F2A93"/>
    <w:rsid w:val="522105B9"/>
    <w:rsid w:val="52212DA7"/>
    <w:rsid w:val="52326C6A"/>
    <w:rsid w:val="52350508"/>
    <w:rsid w:val="523A78CD"/>
    <w:rsid w:val="52465E71"/>
    <w:rsid w:val="524B7D2C"/>
    <w:rsid w:val="52595FA5"/>
    <w:rsid w:val="525F10E1"/>
    <w:rsid w:val="526861E8"/>
    <w:rsid w:val="52707792"/>
    <w:rsid w:val="5272350A"/>
    <w:rsid w:val="52781BEB"/>
    <w:rsid w:val="527821AB"/>
    <w:rsid w:val="5279028E"/>
    <w:rsid w:val="527C7EE5"/>
    <w:rsid w:val="5285323E"/>
    <w:rsid w:val="5290573F"/>
    <w:rsid w:val="52957C54"/>
    <w:rsid w:val="529E60AD"/>
    <w:rsid w:val="52B94C95"/>
    <w:rsid w:val="52BD470A"/>
    <w:rsid w:val="52BE04FE"/>
    <w:rsid w:val="52C5188C"/>
    <w:rsid w:val="52C757C8"/>
    <w:rsid w:val="52C8137C"/>
    <w:rsid w:val="52CD24EF"/>
    <w:rsid w:val="52D27B05"/>
    <w:rsid w:val="52D715BF"/>
    <w:rsid w:val="52D94528"/>
    <w:rsid w:val="52DC1670"/>
    <w:rsid w:val="52EB50B9"/>
    <w:rsid w:val="52EC506B"/>
    <w:rsid w:val="52F42171"/>
    <w:rsid w:val="530C3017"/>
    <w:rsid w:val="530F48B5"/>
    <w:rsid w:val="53146370"/>
    <w:rsid w:val="53177C0E"/>
    <w:rsid w:val="531A7B14"/>
    <w:rsid w:val="532E44BD"/>
    <w:rsid w:val="532F1CC3"/>
    <w:rsid w:val="533B5CF7"/>
    <w:rsid w:val="53426A39"/>
    <w:rsid w:val="53511372"/>
    <w:rsid w:val="53670B95"/>
    <w:rsid w:val="53671AC7"/>
    <w:rsid w:val="536969B1"/>
    <w:rsid w:val="5371731E"/>
    <w:rsid w:val="538F3E27"/>
    <w:rsid w:val="539354E6"/>
    <w:rsid w:val="53A5521A"/>
    <w:rsid w:val="53A70F92"/>
    <w:rsid w:val="53A72D40"/>
    <w:rsid w:val="53AB1EBF"/>
    <w:rsid w:val="53AB51FF"/>
    <w:rsid w:val="53AC65A8"/>
    <w:rsid w:val="53BD6A07"/>
    <w:rsid w:val="53BF0356"/>
    <w:rsid w:val="53C03E02"/>
    <w:rsid w:val="53C41B44"/>
    <w:rsid w:val="53CB1124"/>
    <w:rsid w:val="53D1600F"/>
    <w:rsid w:val="53D654FE"/>
    <w:rsid w:val="53DF48D1"/>
    <w:rsid w:val="53E32EB2"/>
    <w:rsid w:val="53EB166D"/>
    <w:rsid w:val="53EE71C7"/>
    <w:rsid w:val="53FB308C"/>
    <w:rsid w:val="5408687A"/>
    <w:rsid w:val="540B32CF"/>
    <w:rsid w:val="541C54DC"/>
    <w:rsid w:val="541D76E8"/>
    <w:rsid w:val="543A3BB4"/>
    <w:rsid w:val="544669FD"/>
    <w:rsid w:val="54534C76"/>
    <w:rsid w:val="545D5AF4"/>
    <w:rsid w:val="54624EB9"/>
    <w:rsid w:val="5463135D"/>
    <w:rsid w:val="546A4E45"/>
    <w:rsid w:val="546B1C78"/>
    <w:rsid w:val="54754BEC"/>
    <w:rsid w:val="54796C2E"/>
    <w:rsid w:val="548553F0"/>
    <w:rsid w:val="54856C18"/>
    <w:rsid w:val="548D0188"/>
    <w:rsid w:val="548F43E5"/>
    <w:rsid w:val="54905ECA"/>
    <w:rsid w:val="54A156D1"/>
    <w:rsid w:val="54AF434B"/>
    <w:rsid w:val="54B020C8"/>
    <w:rsid w:val="54B24092"/>
    <w:rsid w:val="54B758E5"/>
    <w:rsid w:val="54BE47E5"/>
    <w:rsid w:val="54BF29F6"/>
    <w:rsid w:val="54C0055D"/>
    <w:rsid w:val="54C23F02"/>
    <w:rsid w:val="54C87412"/>
    <w:rsid w:val="54EA55DA"/>
    <w:rsid w:val="54F06A37"/>
    <w:rsid w:val="54F2448F"/>
    <w:rsid w:val="54F603A5"/>
    <w:rsid w:val="54FF08CA"/>
    <w:rsid w:val="5505549C"/>
    <w:rsid w:val="550B5550"/>
    <w:rsid w:val="55120F68"/>
    <w:rsid w:val="55197C6D"/>
    <w:rsid w:val="55230AEC"/>
    <w:rsid w:val="55280BE0"/>
    <w:rsid w:val="55354676"/>
    <w:rsid w:val="553E1482"/>
    <w:rsid w:val="55480552"/>
    <w:rsid w:val="554D5B69"/>
    <w:rsid w:val="55540CA5"/>
    <w:rsid w:val="55564A1D"/>
    <w:rsid w:val="555E1B24"/>
    <w:rsid w:val="555E38D2"/>
    <w:rsid w:val="55751D88"/>
    <w:rsid w:val="558A2919"/>
    <w:rsid w:val="559F4616"/>
    <w:rsid w:val="55B160F8"/>
    <w:rsid w:val="55B94FAC"/>
    <w:rsid w:val="55C366D5"/>
    <w:rsid w:val="55D1679A"/>
    <w:rsid w:val="55D2338D"/>
    <w:rsid w:val="55D31E6A"/>
    <w:rsid w:val="55D911AB"/>
    <w:rsid w:val="55DC3BE0"/>
    <w:rsid w:val="55E24500"/>
    <w:rsid w:val="55F934FA"/>
    <w:rsid w:val="55FB55C5"/>
    <w:rsid w:val="55FC3817"/>
    <w:rsid w:val="56044479"/>
    <w:rsid w:val="5612303A"/>
    <w:rsid w:val="56181412"/>
    <w:rsid w:val="5627460C"/>
    <w:rsid w:val="563F54B2"/>
    <w:rsid w:val="564367C8"/>
    <w:rsid w:val="564B654C"/>
    <w:rsid w:val="56530F5D"/>
    <w:rsid w:val="56545044"/>
    <w:rsid w:val="5657690C"/>
    <w:rsid w:val="565C6063"/>
    <w:rsid w:val="5664316A"/>
    <w:rsid w:val="566E3FE9"/>
    <w:rsid w:val="567710EF"/>
    <w:rsid w:val="56794E67"/>
    <w:rsid w:val="567A0BDF"/>
    <w:rsid w:val="568832FC"/>
    <w:rsid w:val="569012C6"/>
    <w:rsid w:val="56976D15"/>
    <w:rsid w:val="56993AEF"/>
    <w:rsid w:val="56A02990"/>
    <w:rsid w:val="56AD4B11"/>
    <w:rsid w:val="56B20E24"/>
    <w:rsid w:val="56B23ED5"/>
    <w:rsid w:val="56B55E9E"/>
    <w:rsid w:val="56BC6B02"/>
    <w:rsid w:val="56C87B9D"/>
    <w:rsid w:val="56CD27F8"/>
    <w:rsid w:val="56D402F0"/>
    <w:rsid w:val="56D77DE0"/>
    <w:rsid w:val="56DB78D0"/>
    <w:rsid w:val="56DE42BB"/>
    <w:rsid w:val="56EA21F6"/>
    <w:rsid w:val="56F269C8"/>
    <w:rsid w:val="56FC15F5"/>
    <w:rsid w:val="570010E5"/>
    <w:rsid w:val="57064221"/>
    <w:rsid w:val="570D735E"/>
    <w:rsid w:val="57134F3F"/>
    <w:rsid w:val="571760EF"/>
    <w:rsid w:val="571C1C97"/>
    <w:rsid w:val="57236B81"/>
    <w:rsid w:val="57287836"/>
    <w:rsid w:val="57324481"/>
    <w:rsid w:val="573C7C43"/>
    <w:rsid w:val="57455ACF"/>
    <w:rsid w:val="57460AC2"/>
    <w:rsid w:val="574A05B2"/>
    <w:rsid w:val="575D0F41"/>
    <w:rsid w:val="57713D91"/>
    <w:rsid w:val="57723665"/>
    <w:rsid w:val="5773111E"/>
    <w:rsid w:val="57754204"/>
    <w:rsid w:val="577F4502"/>
    <w:rsid w:val="57874C1F"/>
    <w:rsid w:val="57875362"/>
    <w:rsid w:val="578A30A4"/>
    <w:rsid w:val="578E4942"/>
    <w:rsid w:val="57914433"/>
    <w:rsid w:val="579B2BBB"/>
    <w:rsid w:val="57A9177C"/>
    <w:rsid w:val="57B05C93"/>
    <w:rsid w:val="57B343A9"/>
    <w:rsid w:val="57B67E00"/>
    <w:rsid w:val="57CD79FF"/>
    <w:rsid w:val="57D15B6F"/>
    <w:rsid w:val="57DB3900"/>
    <w:rsid w:val="57E073CC"/>
    <w:rsid w:val="57EB6DC4"/>
    <w:rsid w:val="57EE2E21"/>
    <w:rsid w:val="57F86260"/>
    <w:rsid w:val="57FB5D50"/>
    <w:rsid w:val="580249E9"/>
    <w:rsid w:val="58044C05"/>
    <w:rsid w:val="580C6C7B"/>
    <w:rsid w:val="58163B6B"/>
    <w:rsid w:val="5818420C"/>
    <w:rsid w:val="581B5AAA"/>
    <w:rsid w:val="581E4CCF"/>
    <w:rsid w:val="582A494F"/>
    <w:rsid w:val="58311772"/>
    <w:rsid w:val="58382B00"/>
    <w:rsid w:val="583A2906"/>
    <w:rsid w:val="583D5917"/>
    <w:rsid w:val="583F5C3D"/>
    <w:rsid w:val="5842572D"/>
    <w:rsid w:val="58443253"/>
    <w:rsid w:val="58461443"/>
    <w:rsid w:val="58496ABB"/>
    <w:rsid w:val="58516B1B"/>
    <w:rsid w:val="58523BC2"/>
    <w:rsid w:val="58533496"/>
    <w:rsid w:val="58570DFD"/>
    <w:rsid w:val="586423C0"/>
    <w:rsid w:val="58686AEC"/>
    <w:rsid w:val="58694A68"/>
    <w:rsid w:val="587358E6"/>
    <w:rsid w:val="587D0513"/>
    <w:rsid w:val="587F428B"/>
    <w:rsid w:val="587F5586"/>
    <w:rsid w:val="58801DB1"/>
    <w:rsid w:val="588C69A8"/>
    <w:rsid w:val="58902630"/>
    <w:rsid w:val="58975A79"/>
    <w:rsid w:val="589D1F31"/>
    <w:rsid w:val="58A106A5"/>
    <w:rsid w:val="58AB5080"/>
    <w:rsid w:val="58AC6C6B"/>
    <w:rsid w:val="58B45ACC"/>
    <w:rsid w:val="58B73A25"/>
    <w:rsid w:val="58BA3515"/>
    <w:rsid w:val="58BF28DA"/>
    <w:rsid w:val="58C16652"/>
    <w:rsid w:val="58D345D7"/>
    <w:rsid w:val="58D740C7"/>
    <w:rsid w:val="58DC7930"/>
    <w:rsid w:val="58E721D7"/>
    <w:rsid w:val="58EA01AF"/>
    <w:rsid w:val="58EA204C"/>
    <w:rsid w:val="58EB00E6"/>
    <w:rsid w:val="58F06F37"/>
    <w:rsid w:val="58F72073"/>
    <w:rsid w:val="58FA7CA6"/>
    <w:rsid w:val="58FC6629"/>
    <w:rsid w:val="590B4727"/>
    <w:rsid w:val="590F13E3"/>
    <w:rsid w:val="59142C25"/>
    <w:rsid w:val="5915074C"/>
    <w:rsid w:val="59215342"/>
    <w:rsid w:val="592B58F3"/>
    <w:rsid w:val="592D1F39"/>
    <w:rsid w:val="593037D7"/>
    <w:rsid w:val="593E7CA2"/>
    <w:rsid w:val="5943350B"/>
    <w:rsid w:val="594554D5"/>
    <w:rsid w:val="59480B21"/>
    <w:rsid w:val="59481887"/>
    <w:rsid w:val="59513E7A"/>
    <w:rsid w:val="5956326C"/>
    <w:rsid w:val="595E6596"/>
    <w:rsid w:val="59633BAD"/>
    <w:rsid w:val="596D2336"/>
    <w:rsid w:val="596E6F8E"/>
    <w:rsid w:val="596F60AE"/>
    <w:rsid w:val="597436C4"/>
    <w:rsid w:val="597731B4"/>
    <w:rsid w:val="597A4A53"/>
    <w:rsid w:val="597C6A1D"/>
    <w:rsid w:val="59825394"/>
    <w:rsid w:val="59832015"/>
    <w:rsid w:val="598A738C"/>
    <w:rsid w:val="598D29D8"/>
    <w:rsid w:val="599E4BE5"/>
    <w:rsid w:val="599E6993"/>
    <w:rsid w:val="59A55F73"/>
    <w:rsid w:val="59B2376B"/>
    <w:rsid w:val="59B85CA7"/>
    <w:rsid w:val="59BC46C1"/>
    <w:rsid w:val="59C52172"/>
    <w:rsid w:val="59C83A10"/>
    <w:rsid w:val="59CC52AE"/>
    <w:rsid w:val="59D40607"/>
    <w:rsid w:val="59DE1485"/>
    <w:rsid w:val="59ED3476"/>
    <w:rsid w:val="59F14D15"/>
    <w:rsid w:val="59F170C9"/>
    <w:rsid w:val="59F20A8D"/>
    <w:rsid w:val="59F36CDF"/>
    <w:rsid w:val="5A160C1F"/>
    <w:rsid w:val="5A1629CD"/>
    <w:rsid w:val="5A176854"/>
    <w:rsid w:val="5A215760"/>
    <w:rsid w:val="5A2450EA"/>
    <w:rsid w:val="5A250E62"/>
    <w:rsid w:val="5A3115B5"/>
    <w:rsid w:val="5A3966BC"/>
    <w:rsid w:val="5A3D2C10"/>
    <w:rsid w:val="5A53777D"/>
    <w:rsid w:val="5A5534F6"/>
    <w:rsid w:val="5A5D05FC"/>
    <w:rsid w:val="5A733A13"/>
    <w:rsid w:val="5A737E20"/>
    <w:rsid w:val="5A7476F4"/>
    <w:rsid w:val="5A7D2A4C"/>
    <w:rsid w:val="5A851901"/>
    <w:rsid w:val="5A8B33BB"/>
    <w:rsid w:val="5A8D7133"/>
    <w:rsid w:val="5A9167CB"/>
    <w:rsid w:val="5A9A1850"/>
    <w:rsid w:val="5AA71877"/>
    <w:rsid w:val="5AA91A93"/>
    <w:rsid w:val="5AAA2074"/>
    <w:rsid w:val="5AB262A1"/>
    <w:rsid w:val="5AB46C0D"/>
    <w:rsid w:val="5ADD173D"/>
    <w:rsid w:val="5AE900E2"/>
    <w:rsid w:val="5AE91E90"/>
    <w:rsid w:val="5AE96334"/>
    <w:rsid w:val="5AF01470"/>
    <w:rsid w:val="5AF918C9"/>
    <w:rsid w:val="5AFC6B40"/>
    <w:rsid w:val="5B0125AE"/>
    <w:rsid w:val="5B01542B"/>
    <w:rsid w:val="5B044F1C"/>
    <w:rsid w:val="5B047CFB"/>
    <w:rsid w:val="5B0925A8"/>
    <w:rsid w:val="5B0D401C"/>
    <w:rsid w:val="5B0E7B48"/>
    <w:rsid w:val="5B1A54BB"/>
    <w:rsid w:val="5B3475AF"/>
    <w:rsid w:val="5B3A093D"/>
    <w:rsid w:val="5B4041A6"/>
    <w:rsid w:val="5B431893"/>
    <w:rsid w:val="5B523ED9"/>
    <w:rsid w:val="5B5765A0"/>
    <w:rsid w:val="5B5E0F00"/>
    <w:rsid w:val="5B616909"/>
    <w:rsid w:val="5B67789D"/>
    <w:rsid w:val="5B6C30FB"/>
    <w:rsid w:val="5B6D0D13"/>
    <w:rsid w:val="5B765E19"/>
    <w:rsid w:val="5B7C09D9"/>
    <w:rsid w:val="5B8B735E"/>
    <w:rsid w:val="5B8F0C89"/>
    <w:rsid w:val="5B9718EC"/>
    <w:rsid w:val="5B9A0DFA"/>
    <w:rsid w:val="5BA34735"/>
    <w:rsid w:val="5BA87F9D"/>
    <w:rsid w:val="5BA9396F"/>
    <w:rsid w:val="5BBD6603"/>
    <w:rsid w:val="5BCE7D88"/>
    <w:rsid w:val="5BD40D92"/>
    <w:rsid w:val="5BE2525D"/>
    <w:rsid w:val="5BE54D4D"/>
    <w:rsid w:val="5C031DC6"/>
    <w:rsid w:val="5C0C05FB"/>
    <w:rsid w:val="5C0E34F4"/>
    <w:rsid w:val="5C1E200D"/>
    <w:rsid w:val="5C205D85"/>
    <w:rsid w:val="5C2A2760"/>
    <w:rsid w:val="5C300D8E"/>
    <w:rsid w:val="5C311D40"/>
    <w:rsid w:val="5C3929A3"/>
    <w:rsid w:val="5C4001D5"/>
    <w:rsid w:val="5C441A74"/>
    <w:rsid w:val="5C5F065B"/>
    <w:rsid w:val="5C606182"/>
    <w:rsid w:val="5C660FA0"/>
    <w:rsid w:val="5C6E4D42"/>
    <w:rsid w:val="5C7034EE"/>
    <w:rsid w:val="5C78171D"/>
    <w:rsid w:val="5C78796F"/>
    <w:rsid w:val="5C7D31D8"/>
    <w:rsid w:val="5C7D4F86"/>
    <w:rsid w:val="5C806824"/>
    <w:rsid w:val="5C8E0F41"/>
    <w:rsid w:val="5C907CBC"/>
    <w:rsid w:val="5C9D7700"/>
    <w:rsid w:val="5CA93FCD"/>
    <w:rsid w:val="5CA95D7B"/>
    <w:rsid w:val="5CB2227E"/>
    <w:rsid w:val="5CB306A5"/>
    <w:rsid w:val="5CB63FF4"/>
    <w:rsid w:val="5CBB1164"/>
    <w:rsid w:val="5CBC3D00"/>
    <w:rsid w:val="5CBD1826"/>
    <w:rsid w:val="5CC64EA9"/>
    <w:rsid w:val="5CCD5ACF"/>
    <w:rsid w:val="5CD01BD7"/>
    <w:rsid w:val="5CD34BA6"/>
    <w:rsid w:val="5CD5485F"/>
    <w:rsid w:val="5CDD15AC"/>
    <w:rsid w:val="5CE2128D"/>
    <w:rsid w:val="5CF039A9"/>
    <w:rsid w:val="5CF76AE6"/>
    <w:rsid w:val="5CFD7E74"/>
    <w:rsid w:val="5D011713"/>
    <w:rsid w:val="5D193156"/>
    <w:rsid w:val="5D211DB5"/>
    <w:rsid w:val="5D221689"/>
    <w:rsid w:val="5D28007D"/>
    <w:rsid w:val="5D2850E5"/>
    <w:rsid w:val="5D2A716C"/>
    <w:rsid w:val="5D323FC2"/>
    <w:rsid w:val="5D340697"/>
    <w:rsid w:val="5D395350"/>
    <w:rsid w:val="5D3A2E77"/>
    <w:rsid w:val="5D3A4C25"/>
    <w:rsid w:val="5D5156FB"/>
    <w:rsid w:val="5D5A75BB"/>
    <w:rsid w:val="5D5C2DED"/>
    <w:rsid w:val="5D5D7D54"/>
    <w:rsid w:val="5D601D71"/>
    <w:rsid w:val="5D7F6ADB"/>
    <w:rsid w:val="5D801BF4"/>
    <w:rsid w:val="5D863087"/>
    <w:rsid w:val="5D892F88"/>
    <w:rsid w:val="5D9407D9"/>
    <w:rsid w:val="5DB04EE7"/>
    <w:rsid w:val="5DB93D9B"/>
    <w:rsid w:val="5DDA07FC"/>
    <w:rsid w:val="5DDE3802"/>
    <w:rsid w:val="5DDE524A"/>
    <w:rsid w:val="5DE54B90"/>
    <w:rsid w:val="5DE66B5A"/>
    <w:rsid w:val="5DEF3C61"/>
    <w:rsid w:val="5DEF4C2F"/>
    <w:rsid w:val="5DF24D11"/>
    <w:rsid w:val="5DF50B4C"/>
    <w:rsid w:val="5DFA34A7"/>
    <w:rsid w:val="5DFA6CAA"/>
    <w:rsid w:val="5DFC012C"/>
    <w:rsid w:val="5DFC2E44"/>
    <w:rsid w:val="5DFC59C2"/>
    <w:rsid w:val="5E14191A"/>
    <w:rsid w:val="5E1B6804"/>
    <w:rsid w:val="5E1C257C"/>
    <w:rsid w:val="5E2002BE"/>
    <w:rsid w:val="5E23390B"/>
    <w:rsid w:val="5E287E1B"/>
    <w:rsid w:val="5E36363E"/>
    <w:rsid w:val="5E410677"/>
    <w:rsid w:val="5E4E693A"/>
    <w:rsid w:val="5E5469F0"/>
    <w:rsid w:val="5E5B5B3F"/>
    <w:rsid w:val="5E60690D"/>
    <w:rsid w:val="5E6301AB"/>
    <w:rsid w:val="5E690C5F"/>
    <w:rsid w:val="5E6F0831"/>
    <w:rsid w:val="5E781EA8"/>
    <w:rsid w:val="5E93712C"/>
    <w:rsid w:val="5E941DB9"/>
    <w:rsid w:val="5E9B16F3"/>
    <w:rsid w:val="5E9F5687"/>
    <w:rsid w:val="5EA70098"/>
    <w:rsid w:val="5EA92062"/>
    <w:rsid w:val="5EB56C59"/>
    <w:rsid w:val="5ED01686"/>
    <w:rsid w:val="5ED41ECF"/>
    <w:rsid w:val="5ED45F63"/>
    <w:rsid w:val="5EDD3CDD"/>
    <w:rsid w:val="5EE237C6"/>
    <w:rsid w:val="5EE66E12"/>
    <w:rsid w:val="5EEB267A"/>
    <w:rsid w:val="5EF157B7"/>
    <w:rsid w:val="5EF3152F"/>
    <w:rsid w:val="5EF57055"/>
    <w:rsid w:val="5EFD23AE"/>
    <w:rsid w:val="5F026CC0"/>
    <w:rsid w:val="5F040B01"/>
    <w:rsid w:val="5F0454EA"/>
    <w:rsid w:val="5F155949"/>
    <w:rsid w:val="5F261904"/>
    <w:rsid w:val="5F2D4540"/>
    <w:rsid w:val="5F325BD7"/>
    <w:rsid w:val="5F4B136B"/>
    <w:rsid w:val="5F4C640E"/>
    <w:rsid w:val="5F4E693C"/>
    <w:rsid w:val="5F5521EA"/>
    <w:rsid w:val="5F5875E4"/>
    <w:rsid w:val="5F593736"/>
    <w:rsid w:val="5F63742F"/>
    <w:rsid w:val="5F6E0BB6"/>
    <w:rsid w:val="5F732951"/>
    <w:rsid w:val="5F7E529D"/>
    <w:rsid w:val="5F866231"/>
    <w:rsid w:val="5F881C77"/>
    <w:rsid w:val="5F88611B"/>
    <w:rsid w:val="5F922D6E"/>
    <w:rsid w:val="5F930E29"/>
    <w:rsid w:val="5FA17D60"/>
    <w:rsid w:val="5FAA5F1C"/>
    <w:rsid w:val="5FB67AE9"/>
    <w:rsid w:val="5FC07E46"/>
    <w:rsid w:val="5FC8313A"/>
    <w:rsid w:val="5FDE3115"/>
    <w:rsid w:val="5FE61094"/>
    <w:rsid w:val="5FED0860"/>
    <w:rsid w:val="5FF76DFD"/>
    <w:rsid w:val="60051521"/>
    <w:rsid w:val="600532C8"/>
    <w:rsid w:val="600F4147"/>
    <w:rsid w:val="601428EB"/>
    <w:rsid w:val="60161979"/>
    <w:rsid w:val="601E25DC"/>
    <w:rsid w:val="602776E2"/>
    <w:rsid w:val="6028091D"/>
    <w:rsid w:val="602A0F80"/>
    <w:rsid w:val="602C34BB"/>
    <w:rsid w:val="602F47E9"/>
    <w:rsid w:val="603022F8"/>
    <w:rsid w:val="603242D9"/>
    <w:rsid w:val="603E75A0"/>
    <w:rsid w:val="60402552"/>
    <w:rsid w:val="604A1623"/>
    <w:rsid w:val="604F4E8B"/>
    <w:rsid w:val="6056092A"/>
    <w:rsid w:val="605B6744"/>
    <w:rsid w:val="60624BBE"/>
    <w:rsid w:val="606326E4"/>
    <w:rsid w:val="60636A6E"/>
    <w:rsid w:val="606C3347"/>
    <w:rsid w:val="607937A5"/>
    <w:rsid w:val="60804C8D"/>
    <w:rsid w:val="608F7035"/>
    <w:rsid w:val="6097029B"/>
    <w:rsid w:val="609A38F7"/>
    <w:rsid w:val="609A4358"/>
    <w:rsid w:val="609E54CA"/>
    <w:rsid w:val="60A76A75"/>
    <w:rsid w:val="60A8127C"/>
    <w:rsid w:val="60B60A66"/>
    <w:rsid w:val="60B82A30"/>
    <w:rsid w:val="60B8658C"/>
    <w:rsid w:val="60C44EA2"/>
    <w:rsid w:val="60C72C73"/>
    <w:rsid w:val="60CE7B5E"/>
    <w:rsid w:val="60CF59EC"/>
    <w:rsid w:val="60E07891"/>
    <w:rsid w:val="60EA0710"/>
    <w:rsid w:val="60EC6236"/>
    <w:rsid w:val="60F31CBA"/>
    <w:rsid w:val="60F33A68"/>
    <w:rsid w:val="60F4333C"/>
    <w:rsid w:val="6105633A"/>
    <w:rsid w:val="61113EEE"/>
    <w:rsid w:val="61167757"/>
    <w:rsid w:val="611C550E"/>
    <w:rsid w:val="613569A0"/>
    <w:rsid w:val="613F092F"/>
    <w:rsid w:val="613F280A"/>
    <w:rsid w:val="61430FC0"/>
    <w:rsid w:val="614442C4"/>
    <w:rsid w:val="61493688"/>
    <w:rsid w:val="614B33BB"/>
    <w:rsid w:val="614B38A4"/>
    <w:rsid w:val="61500EBB"/>
    <w:rsid w:val="61581B1D"/>
    <w:rsid w:val="616042DE"/>
    <w:rsid w:val="61662887"/>
    <w:rsid w:val="616676DC"/>
    <w:rsid w:val="617526CF"/>
    <w:rsid w:val="61772B87"/>
    <w:rsid w:val="617A1A94"/>
    <w:rsid w:val="617C1CB0"/>
    <w:rsid w:val="61890B85"/>
    <w:rsid w:val="61891EA4"/>
    <w:rsid w:val="618B1E56"/>
    <w:rsid w:val="61913112"/>
    <w:rsid w:val="619E0D4B"/>
    <w:rsid w:val="61A15272"/>
    <w:rsid w:val="61A161B8"/>
    <w:rsid w:val="61A34C65"/>
    <w:rsid w:val="61AB4343"/>
    <w:rsid w:val="61B41449"/>
    <w:rsid w:val="61B81794"/>
    <w:rsid w:val="61BE5E24"/>
    <w:rsid w:val="61C471B3"/>
    <w:rsid w:val="61E433B1"/>
    <w:rsid w:val="61EE04F2"/>
    <w:rsid w:val="61F950AE"/>
    <w:rsid w:val="61FD419A"/>
    <w:rsid w:val="62053A53"/>
    <w:rsid w:val="62090166"/>
    <w:rsid w:val="621A71DD"/>
    <w:rsid w:val="621B3277"/>
    <w:rsid w:val="621C0D9D"/>
    <w:rsid w:val="622A06E2"/>
    <w:rsid w:val="622D678C"/>
    <w:rsid w:val="623F4DBD"/>
    <w:rsid w:val="62516C98"/>
    <w:rsid w:val="625B18C5"/>
    <w:rsid w:val="625D2211"/>
    <w:rsid w:val="625D388F"/>
    <w:rsid w:val="62612C54"/>
    <w:rsid w:val="626544F2"/>
    <w:rsid w:val="626A7834"/>
    <w:rsid w:val="626C5880"/>
    <w:rsid w:val="626F6813"/>
    <w:rsid w:val="62792788"/>
    <w:rsid w:val="62974752"/>
    <w:rsid w:val="629E7A04"/>
    <w:rsid w:val="62A274F4"/>
    <w:rsid w:val="62A50D92"/>
    <w:rsid w:val="62A96AD4"/>
    <w:rsid w:val="62B66AFB"/>
    <w:rsid w:val="62B72874"/>
    <w:rsid w:val="62B815BD"/>
    <w:rsid w:val="62BD432E"/>
    <w:rsid w:val="62C85CBA"/>
    <w:rsid w:val="62CA07F9"/>
    <w:rsid w:val="62CA25A7"/>
    <w:rsid w:val="62CC203B"/>
    <w:rsid w:val="62CF7BBD"/>
    <w:rsid w:val="62D5564A"/>
    <w:rsid w:val="62E21FE6"/>
    <w:rsid w:val="62E76322"/>
    <w:rsid w:val="62EA49F7"/>
    <w:rsid w:val="62FF4B07"/>
    <w:rsid w:val="63033C02"/>
    <w:rsid w:val="630D5543"/>
    <w:rsid w:val="630E4B89"/>
    <w:rsid w:val="63125C0A"/>
    <w:rsid w:val="631D301E"/>
    <w:rsid w:val="63206B1D"/>
    <w:rsid w:val="63220635"/>
    <w:rsid w:val="632752FC"/>
    <w:rsid w:val="633174A8"/>
    <w:rsid w:val="63544A34"/>
    <w:rsid w:val="63575023"/>
    <w:rsid w:val="636A0884"/>
    <w:rsid w:val="637013A0"/>
    <w:rsid w:val="63830D8D"/>
    <w:rsid w:val="63862972"/>
    <w:rsid w:val="63892ADC"/>
    <w:rsid w:val="638C5AAE"/>
    <w:rsid w:val="6390272B"/>
    <w:rsid w:val="639332E1"/>
    <w:rsid w:val="639C2195"/>
    <w:rsid w:val="63AE011A"/>
    <w:rsid w:val="63B53257"/>
    <w:rsid w:val="63B93362"/>
    <w:rsid w:val="63BB7512"/>
    <w:rsid w:val="63C4349A"/>
    <w:rsid w:val="63C67212"/>
    <w:rsid w:val="63D336DD"/>
    <w:rsid w:val="63E21183"/>
    <w:rsid w:val="63E853DA"/>
    <w:rsid w:val="63FA3360"/>
    <w:rsid w:val="64025D70"/>
    <w:rsid w:val="64027259"/>
    <w:rsid w:val="64061D04"/>
    <w:rsid w:val="641E2BAA"/>
    <w:rsid w:val="642B3519"/>
    <w:rsid w:val="642E6B65"/>
    <w:rsid w:val="64436AB5"/>
    <w:rsid w:val="64466360"/>
    <w:rsid w:val="6461518D"/>
    <w:rsid w:val="6468651B"/>
    <w:rsid w:val="646A2293"/>
    <w:rsid w:val="64721148"/>
    <w:rsid w:val="6472739A"/>
    <w:rsid w:val="647E5D3F"/>
    <w:rsid w:val="648220A1"/>
    <w:rsid w:val="64852C29"/>
    <w:rsid w:val="648669A1"/>
    <w:rsid w:val="64874BF3"/>
    <w:rsid w:val="648B3FB8"/>
    <w:rsid w:val="649B5C7B"/>
    <w:rsid w:val="64A27E5C"/>
    <w:rsid w:val="64AF5EF8"/>
    <w:rsid w:val="64BB489D"/>
    <w:rsid w:val="64C64FF0"/>
    <w:rsid w:val="64D140C0"/>
    <w:rsid w:val="64D15E6F"/>
    <w:rsid w:val="64E50EB6"/>
    <w:rsid w:val="64E831B8"/>
    <w:rsid w:val="64E85052"/>
    <w:rsid w:val="64EA1CF3"/>
    <w:rsid w:val="64EE0C48"/>
    <w:rsid w:val="64EE6A20"/>
    <w:rsid w:val="64F34037"/>
    <w:rsid w:val="65167D25"/>
    <w:rsid w:val="65183A9D"/>
    <w:rsid w:val="652266CA"/>
    <w:rsid w:val="6525440C"/>
    <w:rsid w:val="652C7549"/>
    <w:rsid w:val="65346BE8"/>
    <w:rsid w:val="65372775"/>
    <w:rsid w:val="65414DC6"/>
    <w:rsid w:val="654523B9"/>
    <w:rsid w:val="654A79CF"/>
    <w:rsid w:val="655F16CC"/>
    <w:rsid w:val="656E5DB3"/>
    <w:rsid w:val="65735178"/>
    <w:rsid w:val="657D389C"/>
    <w:rsid w:val="65870C23"/>
    <w:rsid w:val="65907AD8"/>
    <w:rsid w:val="659C3D50"/>
    <w:rsid w:val="65B356DA"/>
    <w:rsid w:val="65B71A5A"/>
    <w:rsid w:val="65C54C9D"/>
    <w:rsid w:val="65CE0600"/>
    <w:rsid w:val="65D04378"/>
    <w:rsid w:val="65D57BE0"/>
    <w:rsid w:val="65DF0A5F"/>
    <w:rsid w:val="65E41BD1"/>
    <w:rsid w:val="65F31E15"/>
    <w:rsid w:val="65F53DDF"/>
    <w:rsid w:val="6604395E"/>
    <w:rsid w:val="661261B2"/>
    <w:rsid w:val="66134265"/>
    <w:rsid w:val="661F6A21"/>
    <w:rsid w:val="6626043C"/>
    <w:rsid w:val="66287D10"/>
    <w:rsid w:val="662E48D9"/>
    <w:rsid w:val="663441AC"/>
    <w:rsid w:val="663A5C95"/>
    <w:rsid w:val="663C1A0D"/>
    <w:rsid w:val="664451B4"/>
    <w:rsid w:val="66495ED8"/>
    <w:rsid w:val="66501015"/>
    <w:rsid w:val="665026D6"/>
    <w:rsid w:val="665C20B0"/>
    <w:rsid w:val="6663343E"/>
    <w:rsid w:val="666920D7"/>
    <w:rsid w:val="666F3B91"/>
    <w:rsid w:val="667271DD"/>
    <w:rsid w:val="66770C98"/>
    <w:rsid w:val="668A2779"/>
    <w:rsid w:val="668F4233"/>
    <w:rsid w:val="669B2BD8"/>
    <w:rsid w:val="66AD08CB"/>
    <w:rsid w:val="66BB0588"/>
    <w:rsid w:val="66BC48FC"/>
    <w:rsid w:val="66CA7019"/>
    <w:rsid w:val="66CC7F61"/>
    <w:rsid w:val="66CF4630"/>
    <w:rsid w:val="66CF63DE"/>
    <w:rsid w:val="66D95632"/>
    <w:rsid w:val="66DB4D83"/>
    <w:rsid w:val="66DC6D4D"/>
    <w:rsid w:val="66DD6E5E"/>
    <w:rsid w:val="66E225B5"/>
    <w:rsid w:val="66E53E53"/>
    <w:rsid w:val="66E64CB8"/>
    <w:rsid w:val="66F978FF"/>
    <w:rsid w:val="66FA78AE"/>
    <w:rsid w:val="67021BE4"/>
    <w:rsid w:val="670606CD"/>
    <w:rsid w:val="67073562"/>
    <w:rsid w:val="67133EEE"/>
    <w:rsid w:val="67140294"/>
    <w:rsid w:val="67226E55"/>
    <w:rsid w:val="672524A2"/>
    <w:rsid w:val="67271B88"/>
    <w:rsid w:val="673152EA"/>
    <w:rsid w:val="673B2979"/>
    <w:rsid w:val="67443528"/>
    <w:rsid w:val="67472881"/>
    <w:rsid w:val="67487DF8"/>
    <w:rsid w:val="674A1F08"/>
    <w:rsid w:val="67515045"/>
    <w:rsid w:val="67546B3E"/>
    <w:rsid w:val="67625461"/>
    <w:rsid w:val="6764700B"/>
    <w:rsid w:val="676827FB"/>
    <w:rsid w:val="676A4358"/>
    <w:rsid w:val="67776AF1"/>
    <w:rsid w:val="6779459B"/>
    <w:rsid w:val="677A1223"/>
    <w:rsid w:val="6784541A"/>
    <w:rsid w:val="67957627"/>
    <w:rsid w:val="67A23AF2"/>
    <w:rsid w:val="67A96C2F"/>
    <w:rsid w:val="67AF4BFD"/>
    <w:rsid w:val="67B473BE"/>
    <w:rsid w:val="67BA0E3C"/>
    <w:rsid w:val="67BA61E8"/>
    <w:rsid w:val="67BB2A76"/>
    <w:rsid w:val="67BB77DF"/>
    <w:rsid w:val="67C43A69"/>
    <w:rsid w:val="67D22629"/>
    <w:rsid w:val="67D61247"/>
    <w:rsid w:val="67E3284C"/>
    <w:rsid w:val="67E97C88"/>
    <w:rsid w:val="67EB7247"/>
    <w:rsid w:val="68060525"/>
    <w:rsid w:val="68073211"/>
    <w:rsid w:val="68077C25"/>
    <w:rsid w:val="68103152"/>
    <w:rsid w:val="68141FF2"/>
    <w:rsid w:val="681744E0"/>
    <w:rsid w:val="6827235B"/>
    <w:rsid w:val="682C3D4E"/>
    <w:rsid w:val="68376930"/>
    <w:rsid w:val="684212E8"/>
    <w:rsid w:val="68464DC5"/>
    <w:rsid w:val="684B3A4C"/>
    <w:rsid w:val="685079F2"/>
    <w:rsid w:val="685F19E3"/>
    <w:rsid w:val="68691E0D"/>
    <w:rsid w:val="68692862"/>
    <w:rsid w:val="686B35C2"/>
    <w:rsid w:val="687532F0"/>
    <w:rsid w:val="687C07E7"/>
    <w:rsid w:val="687E455F"/>
    <w:rsid w:val="68953657"/>
    <w:rsid w:val="689E2EB7"/>
    <w:rsid w:val="68A37B22"/>
    <w:rsid w:val="68A51535"/>
    <w:rsid w:val="68A52999"/>
    <w:rsid w:val="68A54746"/>
    <w:rsid w:val="68A95BA9"/>
    <w:rsid w:val="68AB2350"/>
    <w:rsid w:val="68B97345"/>
    <w:rsid w:val="68BE670A"/>
    <w:rsid w:val="68CA1553"/>
    <w:rsid w:val="68CB3DA3"/>
    <w:rsid w:val="68CD4B9F"/>
    <w:rsid w:val="68F16ADF"/>
    <w:rsid w:val="690507DD"/>
    <w:rsid w:val="691427CE"/>
    <w:rsid w:val="691D3625"/>
    <w:rsid w:val="693115D2"/>
    <w:rsid w:val="69480F83"/>
    <w:rsid w:val="69586B5E"/>
    <w:rsid w:val="696077C1"/>
    <w:rsid w:val="69670B4F"/>
    <w:rsid w:val="697274F4"/>
    <w:rsid w:val="6979579D"/>
    <w:rsid w:val="697D00CA"/>
    <w:rsid w:val="697F058F"/>
    <w:rsid w:val="69926809"/>
    <w:rsid w:val="69934FDB"/>
    <w:rsid w:val="699B2EEF"/>
    <w:rsid w:val="69A022B3"/>
    <w:rsid w:val="69A762C5"/>
    <w:rsid w:val="69A973BA"/>
    <w:rsid w:val="69AC07D7"/>
    <w:rsid w:val="69AD691D"/>
    <w:rsid w:val="69B813AB"/>
    <w:rsid w:val="69BC0859"/>
    <w:rsid w:val="69BD2E65"/>
    <w:rsid w:val="69CA10DE"/>
    <w:rsid w:val="69DA57C5"/>
    <w:rsid w:val="69DD3507"/>
    <w:rsid w:val="69E06B54"/>
    <w:rsid w:val="69E95A08"/>
    <w:rsid w:val="69EC54F9"/>
    <w:rsid w:val="69F04FE9"/>
    <w:rsid w:val="69F36887"/>
    <w:rsid w:val="6A050368"/>
    <w:rsid w:val="6A162576"/>
    <w:rsid w:val="6A20004C"/>
    <w:rsid w:val="6A3245DF"/>
    <w:rsid w:val="6A386990"/>
    <w:rsid w:val="6A4E3ABD"/>
    <w:rsid w:val="6A4E464A"/>
    <w:rsid w:val="6A570BC4"/>
    <w:rsid w:val="6A57691A"/>
    <w:rsid w:val="6A627569"/>
    <w:rsid w:val="6A6908F7"/>
    <w:rsid w:val="6A6D6639"/>
    <w:rsid w:val="6A752DBB"/>
    <w:rsid w:val="6A770441"/>
    <w:rsid w:val="6A7C4ACE"/>
    <w:rsid w:val="6A8501C9"/>
    <w:rsid w:val="6A9040D6"/>
    <w:rsid w:val="6A9E4A45"/>
    <w:rsid w:val="6AA302AD"/>
    <w:rsid w:val="6AA42F83"/>
    <w:rsid w:val="6AAD6C2C"/>
    <w:rsid w:val="6AB00B08"/>
    <w:rsid w:val="6AB06526"/>
    <w:rsid w:val="6AB23432"/>
    <w:rsid w:val="6AB53B3C"/>
    <w:rsid w:val="6AB87A25"/>
    <w:rsid w:val="6AC01C9F"/>
    <w:rsid w:val="6AC326FD"/>
    <w:rsid w:val="6AC344AB"/>
    <w:rsid w:val="6AD20B92"/>
    <w:rsid w:val="6AD761A9"/>
    <w:rsid w:val="6ADB527E"/>
    <w:rsid w:val="6AE34B4E"/>
    <w:rsid w:val="6AE368FC"/>
    <w:rsid w:val="6AE52674"/>
    <w:rsid w:val="6AED1528"/>
    <w:rsid w:val="6AF44665"/>
    <w:rsid w:val="6AF4494F"/>
    <w:rsid w:val="6AF723A7"/>
    <w:rsid w:val="6AFC79BD"/>
    <w:rsid w:val="6AFE54E3"/>
    <w:rsid w:val="6B0D3978"/>
    <w:rsid w:val="6B106FC5"/>
    <w:rsid w:val="6B1E16E2"/>
    <w:rsid w:val="6B234F4A"/>
    <w:rsid w:val="6B321631"/>
    <w:rsid w:val="6B431148"/>
    <w:rsid w:val="6B4F21E3"/>
    <w:rsid w:val="6B574D43"/>
    <w:rsid w:val="6B642526"/>
    <w:rsid w:val="6B6622ED"/>
    <w:rsid w:val="6B76151E"/>
    <w:rsid w:val="6B881251"/>
    <w:rsid w:val="6B916358"/>
    <w:rsid w:val="6B947BF6"/>
    <w:rsid w:val="6BA047ED"/>
    <w:rsid w:val="6BA22313"/>
    <w:rsid w:val="6BA73DCD"/>
    <w:rsid w:val="6BD12BF8"/>
    <w:rsid w:val="6BD821D8"/>
    <w:rsid w:val="6BDA70C5"/>
    <w:rsid w:val="6BE06273"/>
    <w:rsid w:val="6C053635"/>
    <w:rsid w:val="6C0857B1"/>
    <w:rsid w:val="6C0E5BFA"/>
    <w:rsid w:val="6C152AE5"/>
    <w:rsid w:val="6C172D01"/>
    <w:rsid w:val="6C1A634D"/>
    <w:rsid w:val="6C2C6080"/>
    <w:rsid w:val="6C33611A"/>
    <w:rsid w:val="6C472EBA"/>
    <w:rsid w:val="6C542A86"/>
    <w:rsid w:val="6C64581A"/>
    <w:rsid w:val="6C733CAF"/>
    <w:rsid w:val="6C7C2B64"/>
    <w:rsid w:val="6C8639E2"/>
    <w:rsid w:val="6C8C4060"/>
    <w:rsid w:val="6C976A2F"/>
    <w:rsid w:val="6C992354"/>
    <w:rsid w:val="6C9A17B5"/>
    <w:rsid w:val="6C9A56E0"/>
    <w:rsid w:val="6CA43D4D"/>
    <w:rsid w:val="6CA80908"/>
    <w:rsid w:val="6CB82FDF"/>
    <w:rsid w:val="6CB95B66"/>
    <w:rsid w:val="6CC2493C"/>
    <w:rsid w:val="6CC60283"/>
    <w:rsid w:val="6CCA7D73"/>
    <w:rsid w:val="6CD4466D"/>
    <w:rsid w:val="6CDE737B"/>
    <w:rsid w:val="6CE8644B"/>
    <w:rsid w:val="6CFA7F2C"/>
    <w:rsid w:val="6D1053FB"/>
    <w:rsid w:val="6D12171A"/>
    <w:rsid w:val="6D1B05CF"/>
    <w:rsid w:val="6D1F1741"/>
    <w:rsid w:val="6D201D79"/>
    <w:rsid w:val="6D205B47"/>
    <w:rsid w:val="6D286848"/>
    <w:rsid w:val="6D3100FE"/>
    <w:rsid w:val="6D3A657B"/>
    <w:rsid w:val="6D4713C4"/>
    <w:rsid w:val="6D4D0FE0"/>
    <w:rsid w:val="6D5238C5"/>
    <w:rsid w:val="6D567859"/>
    <w:rsid w:val="6D5835D1"/>
    <w:rsid w:val="6D7218AB"/>
    <w:rsid w:val="6D7B2E1B"/>
    <w:rsid w:val="6D8819DC"/>
    <w:rsid w:val="6D8D2031"/>
    <w:rsid w:val="6D916D07"/>
    <w:rsid w:val="6D94212F"/>
    <w:rsid w:val="6DA00AD4"/>
    <w:rsid w:val="6DA85BDA"/>
    <w:rsid w:val="6DA93E2C"/>
    <w:rsid w:val="6DAA7EA2"/>
    <w:rsid w:val="6DAF0D17"/>
    <w:rsid w:val="6DBB3321"/>
    <w:rsid w:val="6DBB7B94"/>
    <w:rsid w:val="6DC24EEE"/>
    <w:rsid w:val="6DCC1204"/>
    <w:rsid w:val="6DD93FE6"/>
    <w:rsid w:val="6DDD1EA2"/>
    <w:rsid w:val="6DE54739"/>
    <w:rsid w:val="6DED797A"/>
    <w:rsid w:val="6DFD5F26"/>
    <w:rsid w:val="6E005A16"/>
    <w:rsid w:val="6E0472B5"/>
    <w:rsid w:val="6E0948CB"/>
    <w:rsid w:val="6E0F17B6"/>
    <w:rsid w:val="6E11552E"/>
    <w:rsid w:val="6E146DCC"/>
    <w:rsid w:val="6E1D0376"/>
    <w:rsid w:val="6E1D45CF"/>
    <w:rsid w:val="6E2C2368"/>
    <w:rsid w:val="6E4764CF"/>
    <w:rsid w:val="6E492F1A"/>
    <w:rsid w:val="6E5416F9"/>
    <w:rsid w:val="6E5B1B92"/>
    <w:rsid w:val="6E6733A0"/>
    <w:rsid w:val="6E6E3624"/>
    <w:rsid w:val="6E720963"/>
    <w:rsid w:val="6E731D44"/>
    <w:rsid w:val="6E733287"/>
    <w:rsid w:val="6E737F96"/>
    <w:rsid w:val="6E750A32"/>
    <w:rsid w:val="6E7D0E15"/>
    <w:rsid w:val="6E82467D"/>
    <w:rsid w:val="6E891568"/>
    <w:rsid w:val="6E910E00"/>
    <w:rsid w:val="6E930639"/>
    <w:rsid w:val="6E9323E7"/>
    <w:rsid w:val="6E9537B8"/>
    <w:rsid w:val="6EA2277C"/>
    <w:rsid w:val="6EA77C40"/>
    <w:rsid w:val="6EB072A6"/>
    <w:rsid w:val="6EC24A7A"/>
    <w:rsid w:val="6ECF4E11"/>
    <w:rsid w:val="6ED5688B"/>
    <w:rsid w:val="6ED57241"/>
    <w:rsid w:val="6ED8429D"/>
    <w:rsid w:val="6EE80984"/>
    <w:rsid w:val="6EEF1CC9"/>
    <w:rsid w:val="6F15104E"/>
    <w:rsid w:val="6F233E14"/>
    <w:rsid w:val="6F2B19F9"/>
    <w:rsid w:val="6F3516F0"/>
    <w:rsid w:val="6F4436E1"/>
    <w:rsid w:val="6F505649"/>
    <w:rsid w:val="6F524050"/>
    <w:rsid w:val="6F651FD5"/>
    <w:rsid w:val="6F6E5EF4"/>
    <w:rsid w:val="6F881820"/>
    <w:rsid w:val="6F887A72"/>
    <w:rsid w:val="6F8F7052"/>
    <w:rsid w:val="6F997818"/>
    <w:rsid w:val="6F9B1553"/>
    <w:rsid w:val="6FA26D85"/>
    <w:rsid w:val="6FA53B98"/>
    <w:rsid w:val="6FAC5D4C"/>
    <w:rsid w:val="6FBC771B"/>
    <w:rsid w:val="6FCA5B8E"/>
    <w:rsid w:val="6FD84D24"/>
    <w:rsid w:val="6FDB2297"/>
    <w:rsid w:val="6FE56C72"/>
    <w:rsid w:val="6FEA24DA"/>
    <w:rsid w:val="6FF173C5"/>
    <w:rsid w:val="6FF45107"/>
    <w:rsid w:val="6FFC5031"/>
    <w:rsid w:val="70001CFE"/>
    <w:rsid w:val="70165B22"/>
    <w:rsid w:val="70177532"/>
    <w:rsid w:val="701B6B38"/>
    <w:rsid w:val="70221C74"/>
    <w:rsid w:val="702B1AF1"/>
    <w:rsid w:val="704D09C5"/>
    <w:rsid w:val="70585696"/>
    <w:rsid w:val="705D0EFE"/>
    <w:rsid w:val="706470A7"/>
    <w:rsid w:val="706A7177"/>
    <w:rsid w:val="707029DF"/>
    <w:rsid w:val="70716758"/>
    <w:rsid w:val="708C3591"/>
    <w:rsid w:val="70910BA8"/>
    <w:rsid w:val="70A529FB"/>
    <w:rsid w:val="70A628A5"/>
    <w:rsid w:val="70B30B1E"/>
    <w:rsid w:val="70BA6A2B"/>
    <w:rsid w:val="70C44AD9"/>
    <w:rsid w:val="70C9020A"/>
    <w:rsid w:val="70CA3B20"/>
    <w:rsid w:val="70D0347E"/>
    <w:rsid w:val="70E138DD"/>
    <w:rsid w:val="70EF39C8"/>
    <w:rsid w:val="70F2376D"/>
    <w:rsid w:val="70F57389"/>
    <w:rsid w:val="70F955AF"/>
    <w:rsid w:val="70FE623D"/>
    <w:rsid w:val="71014508"/>
    <w:rsid w:val="71092E34"/>
    <w:rsid w:val="710D46D2"/>
    <w:rsid w:val="710D7763"/>
    <w:rsid w:val="71167C89"/>
    <w:rsid w:val="711F61B4"/>
    <w:rsid w:val="712437CA"/>
    <w:rsid w:val="712509BC"/>
    <w:rsid w:val="7126316E"/>
    <w:rsid w:val="712832BA"/>
    <w:rsid w:val="712D71E5"/>
    <w:rsid w:val="713752AB"/>
    <w:rsid w:val="7141612A"/>
    <w:rsid w:val="714A76D4"/>
    <w:rsid w:val="71502811"/>
    <w:rsid w:val="715416A2"/>
    <w:rsid w:val="715E6CDC"/>
    <w:rsid w:val="71744751"/>
    <w:rsid w:val="717C17AF"/>
    <w:rsid w:val="71803FDE"/>
    <w:rsid w:val="71867FE1"/>
    <w:rsid w:val="71A072F4"/>
    <w:rsid w:val="71A16BC9"/>
    <w:rsid w:val="71B00852"/>
    <w:rsid w:val="71B047FB"/>
    <w:rsid w:val="71B763EC"/>
    <w:rsid w:val="71B903B6"/>
    <w:rsid w:val="71C50B09"/>
    <w:rsid w:val="71CF3736"/>
    <w:rsid w:val="71D40D4C"/>
    <w:rsid w:val="71DB032D"/>
    <w:rsid w:val="71DC40A5"/>
    <w:rsid w:val="71E13469"/>
    <w:rsid w:val="71FE1370"/>
    <w:rsid w:val="720F2993"/>
    <w:rsid w:val="721101F2"/>
    <w:rsid w:val="721319A2"/>
    <w:rsid w:val="72161365"/>
    <w:rsid w:val="721A258A"/>
    <w:rsid w:val="721F368B"/>
    <w:rsid w:val="7229553C"/>
    <w:rsid w:val="722C13C8"/>
    <w:rsid w:val="7238577F"/>
    <w:rsid w:val="724203AC"/>
    <w:rsid w:val="724461BD"/>
    <w:rsid w:val="72534367"/>
    <w:rsid w:val="72570271"/>
    <w:rsid w:val="725A3947"/>
    <w:rsid w:val="72624060"/>
    <w:rsid w:val="726A7902"/>
    <w:rsid w:val="726B5797"/>
    <w:rsid w:val="72793F7F"/>
    <w:rsid w:val="727B1B10"/>
    <w:rsid w:val="727D0249"/>
    <w:rsid w:val="72916C3D"/>
    <w:rsid w:val="72AA7CFF"/>
    <w:rsid w:val="72D03C09"/>
    <w:rsid w:val="72D66D46"/>
    <w:rsid w:val="72DA05E4"/>
    <w:rsid w:val="72E94CCB"/>
    <w:rsid w:val="72EA1149"/>
    <w:rsid w:val="72F86CBC"/>
    <w:rsid w:val="72FC49FE"/>
    <w:rsid w:val="73025D8D"/>
    <w:rsid w:val="73055F83"/>
    <w:rsid w:val="731009FB"/>
    <w:rsid w:val="731358A4"/>
    <w:rsid w:val="7318110C"/>
    <w:rsid w:val="731C5698"/>
    <w:rsid w:val="73306456"/>
    <w:rsid w:val="73373C88"/>
    <w:rsid w:val="73552361"/>
    <w:rsid w:val="7366631C"/>
    <w:rsid w:val="73682094"/>
    <w:rsid w:val="737B56D2"/>
    <w:rsid w:val="73846EE7"/>
    <w:rsid w:val="73A40B53"/>
    <w:rsid w:val="73A6131C"/>
    <w:rsid w:val="73B9548B"/>
    <w:rsid w:val="73BF36C6"/>
    <w:rsid w:val="73C82B32"/>
    <w:rsid w:val="73C851B2"/>
    <w:rsid w:val="73CB43D1"/>
    <w:rsid w:val="73CB617F"/>
    <w:rsid w:val="73D74B24"/>
    <w:rsid w:val="73EA5610"/>
    <w:rsid w:val="73F73418"/>
    <w:rsid w:val="73FE3585"/>
    <w:rsid w:val="740456D0"/>
    <w:rsid w:val="740578E3"/>
    <w:rsid w:val="7423420D"/>
    <w:rsid w:val="742835D1"/>
    <w:rsid w:val="742B11E1"/>
    <w:rsid w:val="742C2C43"/>
    <w:rsid w:val="742F4960"/>
    <w:rsid w:val="742F670E"/>
    <w:rsid w:val="743261FE"/>
    <w:rsid w:val="74363F40"/>
    <w:rsid w:val="743957DE"/>
    <w:rsid w:val="744877CF"/>
    <w:rsid w:val="744D4DE6"/>
    <w:rsid w:val="744E6323"/>
    <w:rsid w:val="74583EB6"/>
    <w:rsid w:val="745919DD"/>
    <w:rsid w:val="746E36DA"/>
    <w:rsid w:val="746E79A9"/>
    <w:rsid w:val="74841862"/>
    <w:rsid w:val="7487654A"/>
    <w:rsid w:val="748F7D4E"/>
    <w:rsid w:val="74912BED"/>
    <w:rsid w:val="7491561A"/>
    <w:rsid w:val="749D5D6D"/>
    <w:rsid w:val="74A47341"/>
    <w:rsid w:val="74AB4C63"/>
    <w:rsid w:val="74AC4202"/>
    <w:rsid w:val="74BF33CF"/>
    <w:rsid w:val="74C079E8"/>
    <w:rsid w:val="74CE4179"/>
    <w:rsid w:val="74CE5F27"/>
    <w:rsid w:val="74CF6F02"/>
    <w:rsid w:val="74D608C2"/>
    <w:rsid w:val="74F00593"/>
    <w:rsid w:val="74F33BDF"/>
    <w:rsid w:val="74F4525D"/>
    <w:rsid w:val="74FF6497"/>
    <w:rsid w:val="750758DC"/>
    <w:rsid w:val="75295853"/>
    <w:rsid w:val="75422471"/>
    <w:rsid w:val="755C0456"/>
    <w:rsid w:val="755D1340"/>
    <w:rsid w:val="755D54FC"/>
    <w:rsid w:val="755F1275"/>
    <w:rsid w:val="7569147C"/>
    <w:rsid w:val="756B5F0D"/>
    <w:rsid w:val="756D1C2A"/>
    <w:rsid w:val="75734D20"/>
    <w:rsid w:val="757879DB"/>
    <w:rsid w:val="757935E5"/>
    <w:rsid w:val="757A4300"/>
    <w:rsid w:val="758D1BD9"/>
    <w:rsid w:val="7592164A"/>
    <w:rsid w:val="759877E0"/>
    <w:rsid w:val="75A82C1C"/>
    <w:rsid w:val="75A9488E"/>
    <w:rsid w:val="75B3511C"/>
    <w:rsid w:val="75B55338"/>
    <w:rsid w:val="75B65A74"/>
    <w:rsid w:val="75B710B1"/>
    <w:rsid w:val="75BE243F"/>
    <w:rsid w:val="75BF1D13"/>
    <w:rsid w:val="75C335B1"/>
    <w:rsid w:val="75C97D26"/>
    <w:rsid w:val="75D67789"/>
    <w:rsid w:val="75D73DE6"/>
    <w:rsid w:val="75DE03EB"/>
    <w:rsid w:val="75E31EA6"/>
    <w:rsid w:val="75E451D0"/>
    <w:rsid w:val="76037E52"/>
    <w:rsid w:val="760F0AE0"/>
    <w:rsid w:val="76143E0D"/>
    <w:rsid w:val="761756AB"/>
    <w:rsid w:val="762A1882"/>
    <w:rsid w:val="76375D4D"/>
    <w:rsid w:val="763B4A01"/>
    <w:rsid w:val="764A3CD3"/>
    <w:rsid w:val="764A5A81"/>
    <w:rsid w:val="765B6CEC"/>
    <w:rsid w:val="765D3A06"/>
    <w:rsid w:val="76607052"/>
    <w:rsid w:val="76656599"/>
    <w:rsid w:val="76660DF8"/>
    <w:rsid w:val="766823AB"/>
    <w:rsid w:val="766D5989"/>
    <w:rsid w:val="766D79C1"/>
    <w:rsid w:val="767C1D04"/>
    <w:rsid w:val="769136B0"/>
    <w:rsid w:val="76964D55"/>
    <w:rsid w:val="76987ECA"/>
    <w:rsid w:val="76997919"/>
    <w:rsid w:val="769D3E02"/>
    <w:rsid w:val="76AE4262"/>
    <w:rsid w:val="76B64EC4"/>
    <w:rsid w:val="76BF021D"/>
    <w:rsid w:val="76DA5057"/>
    <w:rsid w:val="76E2215D"/>
    <w:rsid w:val="76E61C4D"/>
    <w:rsid w:val="76E934EC"/>
    <w:rsid w:val="771327F8"/>
    <w:rsid w:val="77297D8C"/>
    <w:rsid w:val="772B58B2"/>
    <w:rsid w:val="772C33D8"/>
    <w:rsid w:val="773C19E8"/>
    <w:rsid w:val="773D297D"/>
    <w:rsid w:val="77505319"/>
    <w:rsid w:val="77531241"/>
    <w:rsid w:val="77534E09"/>
    <w:rsid w:val="7755292F"/>
    <w:rsid w:val="77617526"/>
    <w:rsid w:val="77650CEA"/>
    <w:rsid w:val="776E4819"/>
    <w:rsid w:val="77844FC2"/>
    <w:rsid w:val="77925931"/>
    <w:rsid w:val="77A14F9D"/>
    <w:rsid w:val="77A2369A"/>
    <w:rsid w:val="77A94A29"/>
    <w:rsid w:val="77B05DB7"/>
    <w:rsid w:val="77B227F5"/>
    <w:rsid w:val="77B77146"/>
    <w:rsid w:val="77BA6C36"/>
    <w:rsid w:val="77BD2282"/>
    <w:rsid w:val="77C83101"/>
    <w:rsid w:val="77CC73D4"/>
    <w:rsid w:val="77CE491C"/>
    <w:rsid w:val="77CF2FF0"/>
    <w:rsid w:val="77D16EA3"/>
    <w:rsid w:val="77E37F3B"/>
    <w:rsid w:val="77E40775"/>
    <w:rsid w:val="77E66784"/>
    <w:rsid w:val="77EF68E0"/>
    <w:rsid w:val="77F739E6"/>
    <w:rsid w:val="78006D3F"/>
    <w:rsid w:val="78063C29"/>
    <w:rsid w:val="780F6F82"/>
    <w:rsid w:val="78106856"/>
    <w:rsid w:val="781A1483"/>
    <w:rsid w:val="782C7B34"/>
    <w:rsid w:val="78374616"/>
    <w:rsid w:val="783A7A21"/>
    <w:rsid w:val="783B1B25"/>
    <w:rsid w:val="783C589D"/>
    <w:rsid w:val="783F5760"/>
    <w:rsid w:val="78485FF0"/>
    <w:rsid w:val="78511348"/>
    <w:rsid w:val="78563D60"/>
    <w:rsid w:val="7858183F"/>
    <w:rsid w:val="785B2405"/>
    <w:rsid w:val="785B25AF"/>
    <w:rsid w:val="786646C8"/>
    <w:rsid w:val="786A2535"/>
    <w:rsid w:val="787426CF"/>
    <w:rsid w:val="78760DAF"/>
    <w:rsid w:val="78782D79"/>
    <w:rsid w:val="787E1A12"/>
    <w:rsid w:val="78800C01"/>
    <w:rsid w:val="78811502"/>
    <w:rsid w:val="78A84F1B"/>
    <w:rsid w:val="78A97BE6"/>
    <w:rsid w:val="78AA6CAB"/>
    <w:rsid w:val="78AB5B6B"/>
    <w:rsid w:val="78AF2513"/>
    <w:rsid w:val="78B10039"/>
    <w:rsid w:val="78B43685"/>
    <w:rsid w:val="78C34B9B"/>
    <w:rsid w:val="78C8581A"/>
    <w:rsid w:val="78CD04CA"/>
    <w:rsid w:val="78CF4963"/>
    <w:rsid w:val="78EC72C3"/>
    <w:rsid w:val="78F41CD4"/>
    <w:rsid w:val="790E2D96"/>
    <w:rsid w:val="791B29B4"/>
    <w:rsid w:val="792533AB"/>
    <w:rsid w:val="792627D5"/>
    <w:rsid w:val="7927654D"/>
    <w:rsid w:val="792C5912"/>
    <w:rsid w:val="792E3438"/>
    <w:rsid w:val="79366790"/>
    <w:rsid w:val="79417C99"/>
    <w:rsid w:val="79515378"/>
    <w:rsid w:val="79570BE0"/>
    <w:rsid w:val="79595923"/>
    <w:rsid w:val="795F2A44"/>
    <w:rsid w:val="796E5F2A"/>
    <w:rsid w:val="79701CA2"/>
    <w:rsid w:val="797352EE"/>
    <w:rsid w:val="797416D4"/>
    <w:rsid w:val="7974624F"/>
    <w:rsid w:val="79786DA9"/>
    <w:rsid w:val="797A042B"/>
    <w:rsid w:val="79975481"/>
    <w:rsid w:val="799F60E4"/>
    <w:rsid w:val="79A25BD4"/>
    <w:rsid w:val="79A669E4"/>
    <w:rsid w:val="79B17BC5"/>
    <w:rsid w:val="79BD47BC"/>
    <w:rsid w:val="79BF7A8D"/>
    <w:rsid w:val="79C124FE"/>
    <w:rsid w:val="79C8388C"/>
    <w:rsid w:val="79C97604"/>
    <w:rsid w:val="79CE4C1B"/>
    <w:rsid w:val="79D55FA9"/>
    <w:rsid w:val="79D57D57"/>
    <w:rsid w:val="79DC7338"/>
    <w:rsid w:val="79EB757B"/>
    <w:rsid w:val="79F3256C"/>
    <w:rsid w:val="7A0F052D"/>
    <w:rsid w:val="7A1268B5"/>
    <w:rsid w:val="7A140880"/>
    <w:rsid w:val="7A1B7E60"/>
    <w:rsid w:val="7A230AC3"/>
    <w:rsid w:val="7A2F56B9"/>
    <w:rsid w:val="7A314A9E"/>
    <w:rsid w:val="7A3F3423"/>
    <w:rsid w:val="7A3F6886"/>
    <w:rsid w:val="7A445F8E"/>
    <w:rsid w:val="7A523952"/>
    <w:rsid w:val="7A6D1959"/>
    <w:rsid w:val="7A792DD8"/>
    <w:rsid w:val="7A8157E9"/>
    <w:rsid w:val="7A944950"/>
    <w:rsid w:val="7A992B33"/>
    <w:rsid w:val="7AA21FFC"/>
    <w:rsid w:val="7AA5772A"/>
    <w:rsid w:val="7AA76657"/>
    <w:rsid w:val="7AAB2866"/>
    <w:rsid w:val="7ABD6AC1"/>
    <w:rsid w:val="7AC21BD9"/>
    <w:rsid w:val="7AD87AFF"/>
    <w:rsid w:val="7AE75F94"/>
    <w:rsid w:val="7B0010B5"/>
    <w:rsid w:val="7B0307ED"/>
    <w:rsid w:val="7B1B3AB6"/>
    <w:rsid w:val="7B256388"/>
    <w:rsid w:val="7B2A5E81"/>
    <w:rsid w:val="7B42141C"/>
    <w:rsid w:val="7B453D8F"/>
    <w:rsid w:val="7B537186"/>
    <w:rsid w:val="7B64059F"/>
    <w:rsid w:val="7B6D5AA5"/>
    <w:rsid w:val="7B6E3FBF"/>
    <w:rsid w:val="7B6E3FC8"/>
    <w:rsid w:val="7B6F1AE6"/>
    <w:rsid w:val="7B7B6930"/>
    <w:rsid w:val="7B8E4662"/>
    <w:rsid w:val="7B9003DA"/>
    <w:rsid w:val="7B930D0F"/>
    <w:rsid w:val="7B9A4A9E"/>
    <w:rsid w:val="7BA7682E"/>
    <w:rsid w:val="7BA93249"/>
    <w:rsid w:val="7BB120FE"/>
    <w:rsid w:val="7BBC11CF"/>
    <w:rsid w:val="7BC736D0"/>
    <w:rsid w:val="7BD82954"/>
    <w:rsid w:val="7BE44282"/>
    <w:rsid w:val="7BF81ADB"/>
    <w:rsid w:val="7C0B5CB2"/>
    <w:rsid w:val="7C0E57A2"/>
    <w:rsid w:val="7C181A1E"/>
    <w:rsid w:val="7C245A73"/>
    <w:rsid w:val="7C2F57E8"/>
    <w:rsid w:val="7C303693"/>
    <w:rsid w:val="7C3E1BE4"/>
    <w:rsid w:val="7C3F5DF4"/>
    <w:rsid w:val="7C466CEA"/>
    <w:rsid w:val="7C535A01"/>
    <w:rsid w:val="7C5E5DE2"/>
    <w:rsid w:val="7C6678A7"/>
    <w:rsid w:val="7C7A090E"/>
    <w:rsid w:val="7C7A4BE6"/>
    <w:rsid w:val="7C857813"/>
    <w:rsid w:val="7C8B542B"/>
    <w:rsid w:val="7C8D4919"/>
    <w:rsid w:val="7C930412"/>
    <w:rsid w:val="7C9E6B26"/>
    <w:rsid w:val="7CA54CE8"/>
    <w:rsid w:val="7CA6258E"/>
    <w:rsid w:val="7CB400F8"/>
    <w:rsid w:val="7CB92CB8"/>
    <w:rsid w:val="7CC04CEF"/>
    <w:rsid w:val="7CC55E61"/>
    <w:rsid w:val="7CCB3A99"/>
    <w:rsid w:val="7CD75B94"/>
    <w:rsid w:val="7CD80802"/>
    <w:rsid w:val="7CEA3B1A"/>
    <w:rsid w:val="7CFC1A95"/>
    <w:rsid w:val="7D0B74BD"/>
    <w:rsid w:val="7D16490F"/>
    <w:rsid w:val="7D172435"/>
    <w:rsid w:val="7D192594"/>
    <w:rsid w:val="7D1D4449"/>
    <w:rsid w:val="7D2420E5"/>
    <w:rsid w:val="7D24527D"/>
    <w:rsid w:val="7D2C5EE0"/>
    <w:rsid w:val="7D2E0876"/>
    <w:rsid w:val="7D3354C1"/>
    <w:rsid w:val="7D384A55"/>
    <w:rsid w:val="7D480840"/>
    <w:rsid w:val="7D611993"/>
    <w:rsid w:val="7D627B54"/>
    <w:rsid w:val="7D641E37"/>
    <w:rsid w:val="7D7B29C4"/>
    <w:rsid w:val="7D891584"/>
    <w:rsid w:val="7D983576"/>
    <w:rsid w:val="7DA77C5D"/>
    <w:rsid w:val="7DAA73ED"/>
    <w:rsid w:val="7DAB72EA"/>
    <w:rsid w:val="7DC77FD0"/>
    <w:rsid w:val="7DD16A88"/>
    <w:rsid w:val="7DDC57AE"/>
    <w:rsid w:val="7DDD71DA"/>
    <w:rsid w:val="7DE60785"/>
    <w:rsid w:val="7DEB76A3"/>
    <w:rsid w:val="7DF2712A"/>
    <w:rsid w:val="7E0724A9"/>
    <w:rsid w:val="7E0C450C"/>
    <w:rsid w:val="7E0D5EFC"/>
    <w:rsid w:val="7E1846B6"/>
    <w:rsid w:val="7E282B4B"/>
    <w:rsid w:val="7E2C13B7"/>
    <w:rsid w:val="7E2D0FCE"/>
    <w:rsid w:val="7E2F6A52"/>
    <w:rsid w:val="7E353820"/>
    <w:rsid w:val="7E370FE0"/>
    <w:rsid w:val="7E4E00D8"/>
    <w:rsid w:val="7E672870"/>
    <w:rsid w:val="7E694F12"/>
    <w:rsid w:val="7E831622"/>
    <w:rsid w:val="7E8B6C36"/>
    <w:rsid w:val="7E901F38"/>
    <w:rsid w:val="7E9567D4"/>
    <w:rsid w:val="7E9910C5"/>
    <w:rsid w:val="7E9E4BBC"/>
    <w:rsid w:val="7EAA3560"/>
    <w:rsid w:val="7EB51F05"/>
    <w:rsid w:val="7ECB1729"/>
    <w:rsid w:val="7ECB797B"/>
    <w:rsid w:val="7ECC7269"/>
    <w:rsid w:val="7ED93E46"/>
    <w:rsid w:val="7EDC3936"/>
    <w:rsid w:val="7EE06F82"/>
    <w:rsid w:val="7EE92D4C"/>
    <w:rsid w:val="7EF13537"/>
    <w:rsid w:val="7EF944E8"/>
    <w:rsid w:val="7EFB200E"/>
    <w:rsid w:val="7EFC6774"/>
    <w:rsid w:val="7F085B8F"/>
    <w:rsid w:val="7F096107"/>
    <w:rsid w:val="7F1E5CFC"/>
    <w:rsid w:val="7F280929"/>
    <w:rsid w:val="7F3379FA"/>
    <w:rsid w:val="7F354965"/>
    <w:rsid w:val="7F437DEF"/>
    <w:rsid w:val="7F4E65E2"/>
    <w:rsid w:val="7F5B0CFF"/>
    <w:rsid w:val="7F73228D"/>
    <w:rsid w:val="7F833DB1"/>
    <w:rsid w:val="7F8518D8"/>
    <w:rsid w:val="7F8B5075"/>
    <w:rsid w:val="7F8D5471"/>
    <w:rsid w:val="7FA426A6"/>
    <w:rsid w:val="7FAE7080"/>
    <w:rsid w:val="7FBA441B"/>
    <w:rsid w:val="7FBD72C3"/>
    <w:rsid w:val="7FBF3FCA"/>
    <w:rsid w:val="7FC9696D"/>
    <w:rsid w:val="7FD36AE7"/>
    <w:rsid w:val="7FDE1F36"/>
    <w:rsid w:val="7FE24F7C"/>
    <w:rsid w:val="7FE40CF4"/>
    <w:rsid w:val="7FE707E4"/>
    <w:rsid w:val="7FEE04DC"/>
    <w:rsid w:val="7FF151BF"/>
    <w:rsid w:val="7FF30F37"/>
    <w:rsid w:val="7FF80EF7"/>
    <w:rsid w:val="7FFB603E"/>
    <w:rsid w:val="7FFC1E5C"/>
    <w:rsid w:val="7FFE11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360" w:lineRule="auto"/>
      <w:jc w:val="left"/>
      <w:outlineLvl w:val="0"/>
    </w:pPr>
    <w:rPr>
      <w:rFonts w:ascii="Times New Roman" w:hAnsi="Times New Roman" w:eastAsia="宋体"/>
      <w:b/>
      <w:kern w:val="44"/>
    </w:rPr>
  </w:style>
  <w:style w:type="paragraph" w:styleId="3">
    <w:name w:val="heading 2"/>
    <w:basedOn w:val="1"/>
    <w:next w:val="1"/>
    <w:unhideWhenUsed/>
    <w:qFormat/>
    <w:uiPriority w:val="0"/>
    <w:pPr>
      <w:keepNext/>
      <w:keepLines/>
      <w:spacing w:beforeLines="0" w:beforeAutospacing="0" w:afterLines="0" w:afterAutospacing="0" w:line="360" w:lineRule="auto"/>
      <w:ind w:firstLine="600" w:firstLineChars="200"/>
      <w:outlineLvl w:val="1"/>
    </w:pPr>
    <w:rPr>
      <w:rFonts w:ascii="Times New Roman" w:hAnsi="Times New Roman" w:eastAsia="宋体"/>
    </w:rPr>
  </w:style>
  <w:style w:type="paragraph" w:styleId="4">
    <w:name w:val="heading 3"/>
    <w:basedOn w:val="1"/>
    <w:next w:val="1"/>
    <w:link w:val="39"/>
    <w:unhideWhenUsed/>
    <w:qFormat/>
    <w:uiPriority w:val="0"/>
    <w:pPr>
      <w:keepNext/>
      <w:keepLines/>
      <w:widowControl w:val="0"/>
      <w:suppressLineNumbers w:val="0"/>
      <w:spacing w:before="0" w:beforeAutospacing="0" w:after="0" w:afterAutospacing="0" w:line="360" w:lineRule="auto"/>
      <w:ind w:left="0" w:right="0" w:firstLine="600" w:firstLineChars="200"/>
      <w:jc w:val="left"/>
      <w:outlineLvl w:val="2"/>
    </w:pPr>
    <w:rPr>
      <w:rFonts w:ascii="Times New Roman" w:hAnsi="Times New Roman" w:eastAsia="宋体"/>
      <w:bCs/>
      <w:szCs w:val="32"/>
      <w:lang w:bidi="ar"/>
    </w:rPr>
  </w:style>
  <w:style w:type="paragraph" w:styleId="5">
    <w:name w:val="heading 4"/>
    <w:basedOn w:val="1"/>
    <w:next w:val="1"/>
    <w:qFormat/>
    <w:uiPriority w:val="0"/>
    <w:pPr>
      <w:keepNext/>
      <w:keepLines/>
      <w:spacing w:line="360" w:lineRule="auto"/>
      <w:ind w:firstLine="600" w:firstLineChars="200"/>
      <w:outlineLvl w:val="3"/>
    </w:pPr>
    <w:rPr>
      <w:rFonts w:ascii="Times New Roman" w:hAnsi="Times New Roman" w:eastAsia="宋体"/>
      <w:bCs/>
      <w:szCs w:val="28"/>
    </w:rPr>
  </w:style>
  <w:style w:type="paragraph" w:styleId="6">
    <w:name w:val="heading 5"/>
    <w:basedOn w:val="1"/>
    <w:next w:val="1"/>
    <w:unhideWhenUsed/>
    <w:qFormat/>
    <w:uiPriority w:val="0"/>
    <w:pPr>
      <w:keepNext/>
      <w:keepLines/>
      <w:spacing w:beforeLines="0" w:beforeAutospacing="0" w:afterLines="0" w:afterAutospacing="0" w:line="360" w:lineRule="auto"/>
      <w:ind w:firstLine="600" w:firstLineChars="200"/>
      <w:outlineLvl w:val="4"/>
    </w:pPr>
    <w:rPr>
      <w:rFonts w:ascii="Times New Roman" w:hAnsi="Times New Roman" w:eastAsia="宋体"/>
    </w:rPr>
  </w:style>
  <w:style w:type="character" w:default="1" w:styleId="25">
    <w:name w:val="Default Paragraph Font"/>
    <w:semiHidden/>
    <w:qFormat/>
    <w:uiPriority w:val="0"/>
  </w:style>
  <w:style w:type="table" w:default="1" w:styleId="2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next w:val="8"/>
    <w:qFormat/>
    <w:uiPriority w:val="0"/>
    <w:pPr>
      <w:spacing w:line="600" w:lineRule="exact"/>
      <w:ind w:firstLine="420"/>
    </w:pPr>
    <w:rPr>
      <w:rFonts w:ascii="宋体"/>
      <w:sz w:val="32"/>
    </w:rPr>
  </w:style>
  <w:style w:type="paragraph" w:styleId="8">
    <w:name w:val="toc 1"/>
    <w:basedOn w:val="1"/>
    <w:next w:val="1"/>
    <w:qFormat/>
    <w:uiPriority w:val="0"/>
    <w:pPr>
      <w:keepNext w:val="0"/>
      <w:keepLines w:val="0"/>
      <w:widowControl w:val="0"/>
      <w:suppressLineNumbers w:val="0"/>
      <w:spacing w:beforeLines="0" w:beforeAutospacing="0" w:afterLines="0" w:afterAutospacing="0"/>
      <w:jc w:val="both"/>
    </w:pPr>
    <w:rPr>
      <w:rFonts w:hint="default" w:ascii="Times New Roman" w:hAnsi="Times New Roman" w:eastAsia="宋体" w:cs="Times New Roman"/>
      <w:kern w:val="2"/>
      <w:sz w:val="21"/>
      <w:szCs w:val="21"/>
      <w:lang w:val="en-US" w:eastAsia="zh-CN" w:bidi="ar"/>
    </w:rPr>
  </w:style>
  <w:style w:type="paragraph" w:styleId="9">
    <w:name w:val="annotation text"/>
    <w:basedOn w:val="1"/>
    <w:semiHidden/>
    <w:qFormat/>
    <w:uiPriority w:val="0"/>
    <w:pPr>
      <w:jc w:val="left"/>
    </w:pPr>
    <w:rPr>
      <w:kern w:val="0"/>
      <w:sz w:val="24"/>
      <w:szCs w:val="20"/>
    </w:rPr>
  </w:style>
  <w:style w:type="paragraph" w:styleId="10">
    <w:name w:val="Salutation"/>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styleId="11">
    <w:name w:val="Body Text"/>
    <w:basedOn w:val="1"/>
    <w:next w:val="12"/>
    <w:qFormat/>
    <w:uiPriority w:val="0"/>
    <w:pPr>
      <w:widowControl/>
      <w:snapToGrid w:val="0"/>
      <w:spacing w:before="60" w:after="160" w:line="259" w:lineRule="auto"/>
      <w:ind w:right="113"/>
    </w:pPr>
    <w:rPr>
      <w:kern w:val="0"/>
      <w:sz w:val="18"/>
      <w:szCs w:val="20"/>
    </w:rPr>
  </w:style>
  <w:style w:type="paragraph" w:styleId="12">
    <w:name w:val="List Bullet 5"/>
    <w:basedOn w:val="1"/>
    <w:qFormat/>
    <w:uiPriority w:val="0"/>
    <w:pPr>
      <w:numPr>
        <w:ilvl w:val="0"/>
        <w:numId w:val="1"/>
      </w:numPr>
    </w:pPr>
  </w:style>
  <w:style w:type="paragraph" w:styleId="13">
    <w:name w:val="Body Text Indent"/>
    <w:basedOn w:val="1"/>
    <w:qFormat/>
    <w:uiPriority w:val="0"/>
    <w:pPr>
      <w:spacing w:after="120"/>
      <w:ind w:left="420" w:leftChars="200"/>
    </w:pPr>
    <w:rPr>
      <w:kern w:val="0"/>
      <w:sz w:val="24"/>
      <w:szCs w:val="20"/>
    </w:rPr>
  </w:style>
  <w:style w:type="paragraph" w:styleId="14">
    <w:name w:val="toc 3"/>
    <w:basedOn w:val="1"/>
    <w:next w:val="1"/>
    <w:qFormat/>
    <w:uiPriority w:val="0"/>
    <w:pPr>
      <w:ind w:left="840" w:leftChars="400"/>
    </w:pPr>
  </w:style>
  <w:style w:type="paragraph" w:styleId="15">
    <w:name w:val="Plain Text"/>
    <w:basedOn w:val="1"/>
    <w:next w:val="10"/>
    <w:qFormat/>
    <w:uiPriority w:val="0"/>
    <w:pPr>
      <w:keepNext w:val="0"/>
      <w:keepLines w:val="0"/>
      <w:widowControl w:val="0"/>
      <w:suppressLineNumbers w:val="0"/>
      <w:spacing w:before="0" w:beforeAutospacing="0" w:after="0" w:afterAutospacing="0"/>
      <w:ind w:left="0" w:right="0"/>
      <w:jc w:val="both"/>
    </w:pPr>
    <w:rPr>
      <w:rFonts w:hint="default" w:ascii="宋体" w:hAnsi="Courier New" w:eastAsia="仿宋_GB2312" w:cs="宋体"/>
      <w:kern w:val="2"/>
      <w:sz w:val="28"/>
      <w:szCs w:val="28"/>
      <w:lang w:val="en-US" w:eastAsia="zh-CN" w:bidi="ar"/>
    </w:rPr>
  </w:style>
  <w:style w:type="paragraph" w:styleId="16">
    <w:name w:val="footer"/>
    <w:basedOn w:val="1"/>
    <w:qFormat/>
    <w:uiPriority w:val="99"/>
    <w:pPr>
      <w:tabs>
        <w:tab w:val="center" w:pos="4153"/>
        <w:tab w:val="right" w:pos="8306"/>
      </w:tabs>
      <w:snapToGrid w:val="0"/>
      <w:jc w:val="left"/>
    </w:pPr>
    <w:rPr>
      <w:kern w:val="0"/>
      <w:sz w:val="18"/>
      <w:szCs w:val="20"/>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List"/>
    <w:basedOn w:val="1"/>
    <w:qFormat/>
    <w:uiPriority w:val="0"/>
    <w:pPr>
      <w:keepNext w:val="0"/>
      <w:keepLines w:val="0"/>
      <w:widowControl w:val="0"/>
      <w:suppressLineNumbers w:val="0"/>
      <w:spacing w:before="0" w:beforeAutospacing="0" w:after="0" w:afterAutospacing="0" w:line="320" w:lineRule="exact"/>
      <w:ind w:left="0" w:right="0"/>
      <w:jc w:val="center"/>
    </w:pPr>
    <w:rPr>
      <w:rFonts w:hint="default" w:ascii="Times New Roman" w:hAnsi="Times New Roman" w:cs="Times New Roman"/>
      <w:kern w:val="2"/>
      <w:sz w:val="22"/>
      <w:szCs w:val="22"/>
      <w:lang w:val="en-US" w:eastAsia="zh-CN" w:bidi="ar"/>
    </w:rPr>
  </w:style>
  <w:style w:type="paragraph" w:styleId="19">
    <w:name w:val="toc 2"/>
    <w:basedOn w:val="1"/>
    <w:next w:val="1"/>
    <w:qFormat/>
    <w:uiPriority w:val="0"/>
    <w:pPr>
      <w:ind w:left="420" w:leftChars="200"/>
    </w:pPr>
  </w:style>
  <w:style w:type="paragraph" w:styleId="20">
    <w:name w:val="Normal (Web)"/>
    <w:basedOn w:val="1"/>
    <w:qFormat/>
    <w:uiPriority w:val="0"/>
    <w:pPr>
      <w:pageBreakBefore/>
      <w:widowControl/>
      <w:spacing w:beforeAutospacing="0" w:afterAutospacing="0" w:line="240" w:lineRule="atLeast"/>
      <w:jc w:val="center"/>
      <w:textAlignment w:val="center"/>
    </w:pPr>
    <w:rPr>
      <w:rFonts w:ascii="宋体" w:hAnsi="宋体" w:eastAsia="黑体"/>
      <w:kern w:val="0"/>
      <w:sz w:val="30"/>
      <w:szCs w:val="20"/>
    </w:rPr>
  </w:style>
  <w:style w:type="paragraph" w:styleId="21">
    <w:name w:val="Body Text First Indent"/>
    <w:basedOn w:val="11"/>
    <w:qFormat/>
    <w:uiPriority w:val="0"/>
    <w:pPr>
      <w:ind w:firstLine="420" w:firstLineChars="100"/>
    </w:pPr>
  </w:style>
  <w:style w:type="paragraph" w:styleId="22">
    <w:name w:val="Body Text First Indent 2"/>
    <w:basedOn w:val="13"/>
    <w:qFormat/>
    <w:uiPriority w:val="0"/>
    <w:pPr>
      <w:keepNext w:val="0"/>
      <w:keepLines w:val="0"/>
      <w:widowControl w:val="0"/>
      <w:suppressLineNumbers w:val="0"/>
      <w:spacing w:line="480" w:lineRule="exact"/>
      <w:ind w:left="-123" w:firstLine="420" w:firstLineChars="200"/>
      <w:jc w:val="both"/>
    </w:pPr>
    <w:rPr>
      <w:rFonts w:hint="default" w:ascii="Times New Roman" w:hAnsi="Times New Roman" w:cs="Times New Roman"/>
      <w:kern w:val="2"/>
      <w:sz w:val="28"/>
      <w:szCs w:val="28"/>
      <w:lang w:val="en-US" w:eastAsia="zh-CN" w:bidi="ar"/>
    </w:rPr>
  </w:style>
  <w:style w:type="table" w:styleId="24">
    <w:name w:val="Table Grid"/>
    <w:basedOn w:val="23"/>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lang w:val="en-US"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6">
    <w:name w:val="Hyperlink"/>
    <w:basedOn w:val="25"/>
    <w:qFormat/>
    <w:uiPriority w:val="0"/>
    <w:rPr>
      <w:color w:val="0000FF"/>
      <w:u w:val="single"/>
    </w:rPr>
  </w:style>
  <w:style w:type="character" w:styleId="27">
    <w:name w:val="annotation reference"/>
    <w:semiHidden/>
    <w:qFormat/>
    <w:uiPriority w:val="0"/>
    <w:rPr>
      <w:sz w:val="21"/>
    </w:rPr>
  </w:style>
  <w:style w:type="paragraph" w:customStyle="1" w:styleId="28">
    <w:name w:val="表格内"/>
    <w:basedOn w:val="1"/>
    <w:qFormat/>
    <w:uiPriority w:val="0"/>
    <w:pPr>
      <w:keepNext w:val="0"/>
      <w:keepLines w:val="0"/>
      <w:widowControl/>
      <w:suppressLineNumbers w:val="0"/>
      <w:adjustRightInd w:val="0"/>
      <w:snapToGrid w:val="0"/>
      <w:spacing w:after="200" w:afterAutospacing="0" w:line="360" w:lineRule="exact"/>
      <w:jc w:val="center"/>
    </w:pPr>
    <w:rPr>
      <w:rFonts w:hint="default" w:ascii="Times New Roman" w:hAnsi="Times New Roman" w:eastAsia="微软雅黑" w:cs="Times New Roman"/>
      <w:kern w:val="0"/>
      <w:sz w:val="22"/>
      <w:szCs w:val="22"/>
      <w:lang w:val="en-US" w:eastAsia="zh-CN" w:bidi="ar"/>
    </w:rPr>
  </w:style>
  <w:style w:type="paragraph" w:customStyle="1" w:styleId="29">
    <w:name w:val="Default"/>
    <w:basedOn w:val="30"/>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0">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31">
    <w:name w:val="首行缩进"/>
    <w:basedOn w:val="1"/>
    <w:qFormat/>
    <w:uiPriority w:val="0"/>
    <w:pPr>
      <w:ind w:firstLine="480" w:firstLineChars="200"/>
    </w:pPr>
    <w:rPr>
      <w:lang w:val="zh-CN"/>
    </w:rPr>
  </w:style>
  <w:style w:type="character" w:customStyle="1" w:styleId="32">
    <w:name w:val="15"/>
    <w:basedOn w:val="25"/>
    <w:qFormat/>
    <w:uiPriority w:val="0"/>
    <w:rPr>
      <w:rFonts w:hint="default" w:ascii="Times New Roman" w:hAnsi="Times New Roman" w:cs="Times New Roman"/>
      <w:sz w:val="28"/>
      <w:szCs w:val="28"/>
    </w:rPr>
  </w:style>
  <w:style w:type="paragraph" w:customStyle="1" w:styleId="33">
    <w:name w:val="正文(首行缩进)"/>
    <w:basedOn w:val="1"/>
    <w:qFormat/>
    <w:uiPriority w:val="0"/>
    <w:pPr>
      <w:keepNext w:val="0"/>
      <w:keepLines w:val="0"/>
      <w:widowControl/>
      <w:suppressLineNumbers w:val="0"/>
      <w:adjustRightInd w:val="0"/>
      <w:spacing w:before="0" w:beforeAutospacing="0" w:after="0" w:afterAutospacing="0" w:line="360" w:lineRule="auto"/>
      <w:ind w:left="0" w:right="0" w:firstLine="540" w:firstLineChars="225"/>
      <w:jc w:val="left"/>
      <w:textAlignment w:val="baseline"/>
    </w:pPr>
    <w:rPr>
      <w:rFonts w:hint="eastAsia" w:ascii="宋体" w:hAnsi="宋体" w:eastAsia="宋体" w:cs="宋体"/>
      <w:color w:val="000000"/>
      <w:kern w:val="0"/>
      <w:sz w:val="24"/>
      <w:szCs w:val="24"/>
      <w:lang w:val="en-US" w:eastAsia="zh-CN" w:bidi="ar"/>
    </w:rPr>
  </w:style>
  <w:style w:type="paragraph" w:customStyle="1" w:styleId="34">
    <w:name w:val="样式4"/>
    <w:basedOn w:val="1"/>
    <w:qFormat/>
    <w:uiPriority w:val="0"/>
    <w:pPr>
      <w:keepNext w:val="0"/>
      <w:keepLines w:val="0"/>
      <w:widowControl w:val="0"/>
      <w:suppressLineNumbers w:val="0"/>
      <w:adjustRightInd w:val="0"/>
      <w:snapToGrid w:val="0"/>
      <w:spacing w:before="0" w:beforeAutospacing="0" w:after="0" w:afterAutospacing="0" w:line="500" w:lineRule="exact"/>
      <w:ind w:left="0" w:right="0"/>
      <w:jc w:val="center"/>
    </w:pPr>
    <w:rPr>
      <w:rFonts w:hint="default" w:ascii="Times New Roman" w:hAnsi="Times New Roman" w:cs="Times New Roman"/>
      <w:kern w:val="2"/>
      <w:sz w:val="21"/>
      <w:szCs w:val="21"/>
      <w:lang w:val="en-US" w:eastAsia="zh-CN" w:bidi="ar"/>
    </w:rPr>
  </w:style>
  <w:style w:type="paragraph" w:customStyle="1" w:styleId="35">
    <w:name w:val="表前文字"/>
    <w:basedOn w:val="1"/>
    <w:qFormat/>
    <w:uiPriority w:val="0"/>
    <w:pPr>
      <w:keepNext w:val="0"/>
      <w:keepLines w:val="0"/>
      <w:widowControl w:val="0"/>
      <w:suppressLineNumbers w:val="0"/>
      <w:adjustRightInd w:val="0"/>
      <w:spacing w:beforeLines="50" w:beforeAutospacing="0" w:line="360" w:lineRule="auto"/>
      <w:ind w:firstLine="480" w:firstLineChars="200"/>
      <w:jc w:val="both"/>
      <w:textAlignment w:val="baseline"/>
    </w:pPr>
    <w:rPr>
      <w:rFonts w:hint="default" w:ascii="Times New Roman" w:hAnsi="Times New Roman" w:cs="Times New Roman"/>
      <w:kern w:val="2"/>
      <w:sz w:val="24"/>
      <w:szCs w:val="24"/>
      <w:lang w:val="en-US" w:eastAsia="zh-CN" w:bidi="ar"/>
    </w:rPr>
  </w:style>
  <w:style w:type="paragraph" w:customStyle="1" w:styleId="36">
    <w:name w:val="正文邵"/>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Times New Roman" w:hAnsi="Times New Roman" w:cs="Times New Roman"/>
      <w:kern w:val="2"/>
      <w:sz w:val="24"/>
      <w:szCs w:val="24"/>
      <w:lang w:val="en-US" w:eastAsia="zh-CN" w:bidi="ar"/>
    </w:rPr>
  </w:style>
  <w:style w:type="paragraph" w:customStyle="1" w:styleId="37">
    <w:name w:val="正文文本缩进1"/>
    <w:basedOn w:val="1"/>
    <w:qFormat/>
    <w:uiPriority w:val="0"/>
    <w:pPr>
      <w:spacing w:after="120" w:afterLines="0"/>
      <w:ind w:left="420" w:leftChars="200"/>
    </w:pPr>
  </w:style>
  <w:style w:type="paragraph" w:customStyle="1" w:styleId="38">
    <w:name w:val="表格"/>
    <w:basedOn w:val="1"/>
    <w:next w:val="1"/>
    <w:qFormat/>
    <w:uiPriority w:val="0"/>
    <w:pPr>
      <w:adjustRightInd w:val="0"/>
      <w:snapToGrid w:val="0"/>
      <w:spacing w:beforeLines="10" w:afterLines="10" w:line="259" w:lineRule="auto"/>
      <w:jc w:val="center"/>
    </w:pPr>
    <w:rPr>
      <w:rFonts w:ascii="宋体"/>
      <w:kern w:val="0"/>
      <w:szCs w:val="20"/>
    </w:rPr>
  </w:style>
  <w:style w:type="character" w:customStyle="1" w:styleId="39">
    <w:name w:val="标题 3 Char"/>
    <w:link w:val="4"/>
    <w:qFormat/>
    <w:uiPriority w:val="0"/>
    <w:rPr>
      <w:rFonts w:ascii="Times New Roman" w:hAnsi="Times New Roman" w:eastAsia="宋体"/>
      <w:bCs/>
      <w:szCs w:val="32"/>
      <w:lang w:bidi="ar"/>
    </w:rPr>
  </w:style>
  <w:style w:type="paragraph" w:customStyle="1" w:styleId="40">
    <w:name w:val="居中正文"/>
    <w:basedOn w:val="1"/>
    <w:qFormat/>
    <w:uiPriority w:val="0"/>
    <w:pPr>
      <w:keepNext w:val="0"/>
      <w:keepLines w:val="0"/>
      <w:widowControl w:val="0"/>
      <w:suppressLineNumbers w:val="0"/>
      <w:adjustRightInd w:val="0"/>
      <w:spacing w:before="120" w:beforeAutospacing="0" w:after="0" w:afterAutospacing="0" w:line="360" w:lineRule="auto"/>
      <w:ind w:firstLine="0" w:firstLineChars="0"/>
      <w:jc w:val="center"/>
      <w:textAlignment w:val="baseline"/>
    </w:pPr>
    <w:rPr>
      <w:rFonts w:hint="eastAsia" w:ascii="宋体" w:hAnsi="宋体" w:eastAsia="宋体" w:cs="宋体"/>
      <w:kern w:val="28"/>
      <w:sz w:val="24"/>
      <w:szCs w:val="24"/>
      <w:lang w:val="en-US" w:eastAsia="zh-CN" w:bidi="ar"/>
    </w:rPr>
  </w:style>
  <w:style w:type="paragraph" w:customStyle="1" w:styleId="41">
    <w:name w:val="XQ表格文字"/>
    <w:basedOn w:val="1"/>
    <w:qFormat/>
    <w:uiPriority w:val="0"/>
    <w:pPr>
      <w:tabs>
        <w:tab w:val="left" w:pos="420"/>
        <w:tab w:val="center" w:pos="623"/>
      </w:tabs>
      <w:adjustRightInd w:val="0"/>
      <w:snapToGrid w:val="0"/>
      <w:jc w:val="center"/>
    </w:pPr>
    <w:rPr>
      <w:color w:val="000000"/>
      <w:kern w:val="0"/>
      <w:szCs w:val="21"/>
    </w:rPr>
  </w:style>
  <w:style w:type="paragraph" w:customStyle="1" w:styleId="42">
    <w:name w:val="表格1"/>
    <w:basedOn w:val="1"/>
    <w:qFormat/>
    <w:uiPriority w:val="0"/>
    <w:pPr>
      <w:adjustRightInd w:val="0"/>
      <w:snapToGrid w:val="0"/>
      <w:jc w:val="center"/>
    </w:pPr>
    <w:rPr>
      <w:rFonts w:eastAsia="方正仿宋_GBK"/>
      <w:color w:val="000000"/>
      <w:kern w:val="0"/>
      <w:szCs w:val="24"/>
    </w:rPr>
  </w:style>
  <w:style w:type="paragraph" w:styleId="43">
    <w:name w:val="List Paragraph"/>
    <w:basedOn w:val="1"/>
    <w:qFormat/>
    <w:uiPriority w:val="99"/>
    <w:pPr>
      <w:ind w:firstLine="420" w:firstLineChars="200"/>
    </w:pPr>
  </w:style>
  <w:style w:type="paragraph" w:customStyle="1" w:styleId="44">
    <w:name w:val="Table Paragraph"/>
    <w:basedOn w:val="1"/>
    <w:qFormat/>
    <w:uiPriority w:val="1"/>
    <w:pPr>
      <w:jc w:val="center"/>
    </w:pPr>
    <w:rPr>
      <w:rFonts w:ascii="宋体" w:hAnsi="宋体" w:eastAsia="宋体" w:cs="宋体"/>
      <w:lang w:val="zh-CN" w:eastAsia="zh-CN" w:bidi="zh-CN"/>
    </w:rPr>
  </w:style>
  <w:style w:type="paragraph" w:customStyle="1" w:styleId="45">
    <w:name w:val="样式6"/>
    <w:basedOn w:val="1"/>
    <w:qFormat/>
    <w:uiPriority w:val="0"/>
    <w:pPr>
      <w:keepNext w:val="0"/>
      <w:keepLines w:val="0"/>
      <w:widowControl w:val="0"/>
      <w:suppressLineNumbers w:val="0"/>
      <w:snapToGrid w:val="0"/>
      <w:spacing w:before="0" w:beforeAutospacing="0" w:after="0" w:afterAutospacing="0" w:line="620" w:lineRule="exact"/>
      <w:ind w:left="0" w:right="0" w:firstLine="200" w:firstLineChars="200"/>
      <w:jc w:val="both"/>
    </w:pPr>
    <w:rPr>
      <w:rFonts w:hint="eastAsia" w:ascii="宋体" w:hAnsi="宋体" w:eastAsia="宋体" w:cs="宋体"/>
      <w:kern w:val="2"/>
      <w:sz w:val="28"/>
      <w:szCs w:val="28"/>
      <w:lang w:val="en-US" w:eastAsia="zh-CN" w:bidi="ar"/>
    </w:rPr>
  </w:style>
  <w:style w:type="paragraph" w:customStyle="1" w:styleId="46">
    <w:name w:val="表头"/>
    <w:basedOn w:val="1"/>
    <w:qFormat/>
    <w:uiPriority w:val="0"/>
    <w:pPr>
      <w:keepNext w:val="0"/>
      <w:keepLines w:val="0"/>
      <w:widowControl w:val="0"/>
      <w:suppressLineNumbers w:val="0"/>
      <w:adjustRightInd w:val="0"/>
      <w:snapToGrid w:val="0"/>
      <w:spacing w:before="0" w:beforeAutospacing="0" w:after="0" w:afterAutospacing="0" w:line="360" w:lineRule="auto"/>
      <w:ind w:left="0" w:right="0" w:firstLine="480" w:firstLineChars="200"/>
      <w:jc w:val="center"/>
    </w:pPr>
    <w:rPr>
      <w:rFonts w:hint="eastAsia" w:ascii="黑体" w:hAnsi="宋体" w:eastAsia="黑体" w:cs="黑体"/>
      <w:kern w:val="2"/>
      <w:sz w:val="21"/>
      <w:szCs w:val="21"/>
      <w:lang w:val="en-US" w:eastAsia="zh-CN" w:bidi="ar"/>
    </w:rPr>
  </w:style>
  <w:style w:type="table" w:customStyle="1" w:styleId="47">
    <w:name w:val="Table Normal"/>
    <w:basedOn w:val="23"/>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customStyle="1" w:styleId="48">
    <w:name w:val="WPSOffice手动目录 1"/>
    <w:qFormat/>
    <w:uiPriority w:val="0"/>
    <w:pPr>
      <w:ind w:leftChars="0"/>
    </w:pPr>
    <w:rPr>
      <w:rFonts w:ascii="Times New Roman" w:hAnsi="Times New Roman" w:eastAsia="宋体" w:cs="Times New Roman"/>
      <w:sz w:val="20"/>
      <w:szCs w:val="20"/>
    </w:rPr>
  </w:style>
  <w:style w:type="paragraph" w:customStyle="1" w:styleId="49">
    <w:name w:val="[1]正文"/>
    <w:basedOn w:val="1"/>
    <w:hidden/>
    <w:qFormat/>
    <w:uiPriority w:val="0"/>
    <w:pPr>
      <w:keepNext w:val="0"/>
      <w:keepLines w:val="0"/>
      <w:widowControl w:val="0"/>
      <w:suppressLineNumbers w:val="0"/>
      <w:autoSpaceDE w:val="0"/>
      <w:autoSpaceDN w:val="0"/>
      <w:snapToGrid w:val="0"/>
      <w:spacing w:beforeLines="0" w:beforeAutospacing="0" w:afterLines="0" w:afterAutospacing="0"/>
      <w:ind w:firstLine="200"/>
      <w:jc w:val="both"/>
    </w:pPr>
    <w:rPr>
      <w:rFonts w:hint="default" w:ascii="Times New Roman" w:hAnsi="Times New Roman" w:eastAsia="宋体" w:cs="Times New Roman"/>
      <w:color w:val="000000"/>
      <w:kern w:val="0"/>
      <w:sz w:val="21"/>
      <w:szCs w:val="21"/>
      <w:lang w:val="en-US" w:eastAsia="zh-CN" w:bidi="ar"/>
    </w:rPr>
  </w:style>
  <w:style w:type="paragraph" w:customStyle="1" w:styleId="50">
    <w:name w:val="表格新"/>
    <w:basedOn w:val="1"/>
    <w:qFormat/>
    <w:uiPriority w:val="0"/>
    <w:pPr>
      <w:keepNext w:val="0"/>
      <w:keepLines w:val="0"/>
      <w:widowControl w:val="0"/>
      <w:suppressLineNumbers w:val="0"/>
      <w:spacing w:before="0" w:beforeAutospacing="0" w:after="0" w:afterAutospacing="0"/>
      <w:ind w:left="0" w:right="0"/>
      <w:jc w:val="center"/>
    </w:pPr>
    <w:rPr>
      <w:rFonts w:hint="default" w:ascii="Calibri" w:hAnsi="Calibri" w:eastAsia="宋体" w:cs="Times New Roman"/>
      <w:bCs/>
      <w:kern w:val="2"/>
      <w:sz w:val="21"/>
      <w:szCs w:val="21"/>
      <w:lang w:val="en-US" w:eastAsia="zh-CN" w:bidi="ar"/>
    </w:rPr>
  </w:style>
  <w:style w:type="paragraph" w:customStyle="1" w:styleId="51">
    <w:name w:val="报告书正文"/>
    <w:basedOn w:val="1"/>
    <w:qFormat/>
    <w:uiPriority w:val="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textAlignment w:val="baseline"/>
    </w:pPr>
    <w:rPr>
      <w:rFonts w:hint="default" w:ascii="Times New Roman" w:hAnsi="Times New Roman" w:eastAsia="宋体" w:cs="Times New Roman"/>
      <w:kern w:val="0"/>
      <w:sz w:val="24"/>
      <w:szCs w:val="24"/>
      <w:lang w:val="en-US" w:eastAsia="zh-CN" w:bidi="ar"/>
    </w:rPr>
  </w:style>
  <w:style w:type="paragraph" w:customStyle="1" w:styleId="52">
    <w:name w:val="表格内容1"/>
    <w:basedOn w:val="1"/>
    <w:qFormat/>
    <w:uiPriority w:val="0"/>
    <w:pPr>
      <w:keepNext w:val="0"/>
      <w:keepLines w:val="0"/>
      <w:widowControl w:val="0"/>
      <w:suppressLineNumbers w:val="0"/>
      <w:adjustRightInd w:val="0"/>
      <w:snapToGrid w:val="0"/>
      <w:spacing w:before="0" w:beforeAutospacing="0" w:after="0" w:afterAutospacing="0"/>
      <w:ind w:left="0" w:right="0" w:firstLine="0" w:firstLineChars="0"/>
      <w:jc w:val="center"/>
      <w:textAlignment w:val="baseline"/>
    </w:pPr>
    <w:rPr>
      <w:rFonts w:hint="default" w:ascii="Times New Roman" w:hAnsi="Times New Roman" w:eastAsia="宋体" w:cs="Times New Roman"/>
      <w:kern w:val="2"/>
      <w:sz w:val="21"/>
      <w:szCs w:val="21"/>
      <w:lang w:val="en-US" w:eastAsia="zh-CN" w:bidi="ar"/>
    </w:rPr>
  </w:style>
  <w:style w:type="paragraph" w:customStyle="1" w:styleId="53">
    <w:name w:val="A-表头-"/>
    <w:basedOn w:val="1"/>
    <w:qFormat/>
    <w:uiPriority w:val="0"/>
    <w:pPr>
      <w:keepNext w:val="0"/>
      <w:keepLines w:val="0"/>
      <w:widowControl w:val="0"/>
      <w:suppressLineNumbers w:val="0"/>
      <w:adjustRightInd w:val="0"/>
      <w:snapToGrid w:val="0"/>
      <w:spacing w:before="0" w:beforeAutospacing="0" w:after="0" w:afterAutospacing="0" w:line="560" w:lineRule="exact"/>
      <w:ind w:left="0" w:right="0" w:firstLine="0" w:firstLineChars="0"/>
      <w:jc w:val="center"/>
      <w:outlineLvl w:val="4"/>
    </w:pPr>
    <w:rPr>
      <w:rFonts w:hint="default" w:ascii="Times New Roman" w:hAnsi="Times New Roman" w:eastAsia="华文中宋" w:cs="Times New Roman"/>
      <w:b/>
      <w:bCs/>
      <w:color w:val="000000"/>
      <w:kern w:val="2"/>
      <w:sz w:val="24"/>
      <w:szCs w:val="24"/>
      <w:lang w:val="en-US" w:eastAsia="zh-CN" w:bidi="ar"/>
    </w:rPr>
  </w:style>
  <w:style w:type="paragraph" w:customStyle="1" w:styleId="54">
    <w:name w:val="Char"/>
    <w:basedOn w:val="1"/>
    <w:qFormat/>
    <w:uiPriority w:val="0"/>
    <w:pPr>
      <w:keepNext w:val="0"/>
      <w:keepLines w:val="0"/>
      <w:widowControl w:val="0"/>
      <w:suppressLineNumbers w:val="0"/>
      <w:spacing w:after="160" w:afterLines="0" w:afterAutospacing="0" w:line="240" w:lineRule="exact"/>
      <w:jc w:val="left"/>
    </w:pPr>
    <w:rPr>
      <w:rFonts w:hint="default" w:ascii="Arial" w:hAnsi="Arial" w:eastAsia="Times New Roman" w:cs="Verdana"/>
      <w:b/>
      <w:kern w:val="0"/>
      <w:sz w:val="24"/>
      <w:szCs w:val="24"/>
      <w:lang w:val="en-US" w:eastAsia="zh-CN" w:bidi="ar"/>
    </w:rPr>
  </w:style>
  <w:style w:type="paragraph" w:customStyle="1" w:styleId="55">
    <w:name w:val="正文首行缩进 2字符"/>
    <w:basedOn w:val="1"/>
    <w:qFormat/>
    <w:uiPriority w:val="0"/>
    <w:pPr>
      <w:keepNext w:val="0"/>
      <w:keepLines w:val="0"/>
      <w:widowControl/>
      <w:suppressLineNumbers w:val="0"/>
      <w:spacing w:before="0" w:beforeAutospacing="0" w:after="0" w:afterAutospacing="0"/>
      <w:ind w:left="0" w:right="0" w:firstLine="480"/>
      <w:jc w:val="left"/>
    </w:pPr>
    <w:rPr>
      <w:rFonts w:hint="default" w:ascii="Times New Roman" w:hAnsi="Times New Roman" w:eastAsia="宋体" w:cs="Times New Roman"/>
      <w:kern w:val="2"/>
      <w:sz w:val="21"/>
      <w:szCs w:val="21"/>
      <w:lang w:val="en-US" w:eastAsia="zh-CN" w:bidi="ar"/>
    </w:rPr>
  </w:style>
  <w:style w:type="paragraph" w:customStyle="1" w:styleId="56">
    <w:name w:val="表格内容"/>
    <w:basedOn w:val="1"/>
    <w:qFormat/>
    <w:uiPriority w:val="0"/>
    <w:pPr>
      <w:adjustRightInd w:val="0"/>
      <w:snapToGrid w:val="0"/>
      <w:spacing w:before="0" w:beforeAutospacing="0" w:after="0" w:afterAutospacing="0" w:line="360" w:lineRule="exact"/>
      <w:ind w:left="0" w:right="0"/>
      <w:jc w:val="center"/>
    </w:pPr>
    <w:rPr>
      <w:rFonts w:hint="default" w:ascii="Times New Roman" w:hAnsi="Times New Roman" w:eastAsia="宋体" w:cs="Times New Roman"/>
      <w:color w:val="000000"/>
      <w:kern w:val="0"/>
      <w:sz w:val="21"/>
      <w:szCs w:val="21"/>
      <w:lang w:val="en-US" w:eastAsia="zh-CN" w:bidi="ar"/>
    </w:rPr>
  </w:style>
  <w:style w:type="table" w:customStyle="1" w:styleId="57">
    <w:name w:val="网格型11"/>
    <w:basedOn w:val="23"/>
    <w:qFormat/>
    <w:uiPriority w:val="0"/>
    <w:pPr>
      <w:keepNext w:val="0"/>
      <w:keepLines w:val="0"/>
      <w:widowControl/>
      <w:suppressLineNumbers w:val="0"/>
      <w:spacing w:before="0" w:beforeAutospacing="0" w:after="0" w:afterAutospacing="0"/>
      <w:ind w:left="0" w:right="0"/>
    </w:pPr>
    <w:rPr>
      <w:rFonts w:hint="default" w:ascii="Calibri" w:hAnsi="Calibri"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58">
    <w:name w:val="表格文字"/>
    <w:basedOn w:val="1"/>
    <w:qFormat/>
    <w:uiPriority w:val="0"/>
    <w:pPr>
      <w:keepNext w:val="0"/>
      <w:keepLines w:val="0"/>
      <w:widowControl w:val="0"/>
      <w:suppressLineNumbers w:val="0"/>
      <w:autoSpaceDE w:val="0"/>
      <w:autoSpaceDN w:val="0"/>
      <w:adjustRightInd w:val="0"/>
      <w:spacing w:before="0" w:beforeAutospacing="0" w:after="0" w:afterAutospacing="0" w:line="360" w:lineRule="auto"/>
      <w:ind w:left="0" w:right="0" w:firstLine="0" w:firstLineChars="0"/>
      <w:jc w:val="center"/>
      <w:textAlignment w:val="baseline"/>
    </w:pPr>
    <w:rPr>
      <w:rFonts w:hint="default" w:ascii="Times New Roman" w:hAnsi="Times New Roman" w:eastAsia="宋体" w:cs="Times New Roman"/>
      <w:color w:val="000000"/>
      <w:kern w:val="2"/>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7844d8cb-9dfb-4075-83bf-477fdbfd81e2</errorID>
      <errorWord>-</errorWord>
      <group>L1_Format</group>
      <groupName>格式问题</groupName>
      <ability>L2_HalfPunc_CN</ability>
      <abilityName>全半角问题</abilityName>
      <candidateList>
        <item>－</item>
      </candidateList>
      <explain>文本全半角错误。</explain>
      <paraID>3020021C</paraID>
      <start>51</start>
      <end>52</end>
      <status>unmodified</status>
      <modifiedWord/>
      <trackRevisions>false</trackRevisions>
    </reviewItem>
    <reviewItem>
      <errorID>62cc748f-1363-4282-94c4-14fa1f829aed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2ACFA307</paraID>
      <start>22</start>
      <end>23</end>
      <status>unmodified</status>
      <modifiedWord/>
      <trackRevisions>false</trackRevisions>
    </reviewItem>
    <reviewItem>
      <errorID>a3ffc64b-0425-4b90-b1e0-cea9e89f9934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4F017E9F</paraID>
      <start>29</start>
      <end>30</end>
      <status>unmodified</status>
      <modifiedWord/>
      <trackRevisions>false</trackRevisions>
    </reviewItem>
    <reviewItem>
      <errorID>cbf6c2b7-1f6e-4ee0-83cf-ae4c582d54d5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73823922</paraID>
      <start>28</start>
      <end>29</end>
      <status>unmodified</status>
      <modifiedWord/>
      <trackRevisions>false</trackRevisions>
    </reviewItem>
    <reviewItem>
      <errorID>e01feac0-552a-4b74-87d8-71f6c8e9177e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48A7AE9A</paraID>
      <start>33</start>
      <end>34</end>
      <status>unmodified</status>
      <modifiedWord/>
      <trackRevisions>false</trackRevisions>
    </reviewItem>
    <reviewItem>
      <errorID>85d2160b-4daa-4f36-b391-59a1676a2861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4E58C674</paraID>
      <start>27</start>
      <end>28</end>
      <status>unmodified</status>
      <modifiedWord/>
      <trackRevisions>false</trackRevisions>
    </reviewItem>
    <reviewItem>
      <errorID>ae070ec1-df29-4210-bff7-d44bd7d07ab7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385D84D2</paraID>
      <start>27</start>
      <end>28</end>
      <status>unmodified</status>
      <modifiedWord/>
      <trackRevisions>false</trackRevisions>
    </reviewItem>
    <reviewItem>
      <errorID>82c9fcaa-9596-463e-a8e9-424304f278c8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385D84D2</paraID>
      <start>146</start>
      <end>147</end>
      <status>unmodified</status>
      <modifiedWord/>
      <trackRevisions>false</trackRevisions>
    </reviewItem>
    <reviewItem>
      <errorID>a350c12c-49a5-43c8-ba2c-eed30172fc7a</errorID>
      <errorWord>&lt;</errorWord>
      <group>L1_Format</group>
      <groupName>格式问题</groupName>
      <ability>L2_HalfPunc_CN</ability>
      <abilityName>全半角问题</abilityName>
      <candidateList>
        <item>〈</item>
      </candidateList>
      <explain>文本全半角错误。</explain>
      <paraID>58B8477A</paraID>
      <start>7</start>
      <end>8</end>
      <status>unmodified</status>
      <modifiedWord/>
      <trackRevisions>false</trackRevisions>
    </reviewItem>
    <reviewItem>
      <errorID>ddaa9b48-e098-46ef-a805-d1403399a7d9</errorID>
      <errorWord>&gt;的通知》</errorWord>
      <group>L1_Punc</group>
      <groupName>标点问题</groupName>
      <ability>L2_Punc_CN</ability>
      <abilityName>标点符号问题</abilityName>
      <candidateList>
        <item>〉的通知》</item>
      </candidateList>
      <explain/>
      <paraID>58B8477A</paraID>
      <start>30</start>
      <end>35</end>
      <status>unmodified</status>
      <modifiedWord/>
      <trackRevisions>false</trackRevisions>
    </reviewItem>
    <reviewItem>
      <errorID>2f6de4ff-bfbd-4654-9350-f572eb3ca121</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2C925895</paraID>
      <start>6</start>
      <end>13</end>
      <status>unmodified</status>
      <modifiedWord/>
      <trackRevisions>false</trackRevisions>
    </reviewItem>
    <reviewItem>
      <errorID>60f787d3-0188-47d5-b10e-fb9eac299e8f</errorID>
      <errorWord>&lt;</errorWord>
      <group>L1_Format</group>
      <groupName>格式问题</groupName>
      <ability>L2_HalfPunc_CN</ability>
      <abilityName>全半角问题</abilityName>
      <candidateList>
        <item>〈</item>
      </candidateList>
      <explain>文本全半角错误。</explain>
      <paraID>588EC0EA</paraID>
      <start>20</start>
      <end>21</end>
      <status>unmodified</status>
      <modifiedWord/>
      <trackRevisions>false</trackRevisions>
    </reviewItem>
    <reviewItem>
      <errorID>b5ab641a-79b3-46c5-af0c-14efbec1ee45</errorID>
      <errorWord>&gt;的通知》</errorWord>
      <group>L1_Punc</group>
      <groupName>标点问题</groupName>
      <ability>L2_Punc_CN</ability>
      <abilityName>标点符号问题</abilityName>
      <candidateList>
        <item>〉的通知》</item>
      </candidateList>
      <explain/>
      <paraID>588EC0EA</paraID>
      <start>43</start>
      <end>48</end>
      <status>unmodified</status>
      <modifiedWord/>
      <trackRevisions>false</trackRevisions>
    </reviewItem>
    <reviewItem>
      <errorID>4f3077b4-0d2b-46de-b412-cc9aac448aff</errorID>
      <errorWord>。</errorWord>
      <group>L1_Grammar</group>
      <groupName>语法问题</groupName>
      <ability>L2_Missing</ability>
      <abilityName>成分残缺</abilityName>
      <candidateList>
        <item>的稳定。</item>
      </candidateList>
      <explain>句子中可能存在主谓宾、修饰语或者必要的词语残缺。</explain>
      <paraID> 52C5E0E</paraID>
      <start>71</start>
      <end>72</end>
      <status>unmodified</status>
      <modifiedWord/>
      <trackRevisions>false</trackRevisions>
    </reviewItem>
    <reviewItem>
      <errorID>6b7e3404-fc26-439e-a90c-e12c997202b3</errorID>
      <errorWord>市</errorWord>
      <group>L1_Grammar</group>
      <groupName>语法问题</groupName>
      <ability>L2_Illogical</ability>
      <abilityName>不合逻辑</abilityName>
      <candidateList>
        <item>县</item>
      </candidateList>
      <explain>句子中可能存在因果关系错误、自相矛盾、概念误用、主客倒置、否定不当、前后缺乏呼应等问题。</explain>
      <paraID>42B9D444</paraID>
      <start>23</start>
      <end>24</end>
      <status>unmodified</status>
      <modifiedWord/>
      <trackRevisions>false</trackRevisions>
    </reviewItem>
    <reviewItem>
      <errorID>3b868b37-2314-4843-809c-2be5a9be6da3</errorID>
      <errorWord>-</errorWord>
      <group>L1_Format</group>
      <groupName>格式问题</groupName>
      <ability>L2_HalfPunc_CN</ability>
      <abilityName>全半角问题</abilityName>
      <candidateList>
        <item>－</item>
      </candidateList>
      <explain>文本全半角错误。</explain>
      <paraID> 2450DFB</paraID>
      <start>119</start>
      <end>120</end>
      <status>unmodified</status>
      <modifiedWord/>
      <trackRevisions>false</trackRevisions>
    </reviewItem>
    <reviewItem>
      <errorID>f57dd160-d6af-4054-a1f8-97341b02911c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2E45125B</paraID>
      <start>56</start>
      <end>57</end>
      <status>unmodified</status>
      <modifiedWord/>
      <trackRevisions>false</trackRevisions>
    </reviewItem>
    <reviewItem>
      <errorID>0a37b2f8-0df0-4cd2-ac1e-be0301a8a87f</errorID>
      <errorWord>（</errorWord>
      <group>L1_Format</group>
      <groupName>格式问题</groupName>
      <ability>L2_HalfPunc_CN</ability>
      <abilityName>全半角问题</abilityName>
      <candidateList>
        <item>(</item>
      </candidateList>
      <explain>文本全半角错误。</explain>
      <paraID>10C70487</paraID>
      <start>8</start>
      <end>9</end>
      <status>unmodified</status>
      <modifiedWord/>
      <trackRevisions>false</trackRevisions>
    </reviewItem>
    <reviewItem>
      <errorID>25e73c20-020d-4b3f-953e-667efd251b0c</errorID>
      <errorWord>）</errorWord>
      <group>L1_Format</group>
      <groupName>格式问题</groupName>
      <ability>L2_HalfPunc_CN</ability>
      <abilityName>全半角问题</abilityName>
      <candidateList>
        <item>)</item>
      </candidateList>
      <explain>文本全半角错误。</explain>
      <paraID>10C70487</paraID>
      <start>12</start>
      <end>13</end>
      <status>unmodified</status>
      <modifiedWord/>
      <trackRevisions>false</trackRevisions>
    </reviewItem>
    <reviewItem>
      <errorID>c6cf6780-5ae7-482f-9ce1-003aa03e2a15</errorID>
      <errorWord>（</errorWord>
      <group>L1_Format</group>
      <groupName>格式问题</groupName>
      <ability>L2_HalfPunc_CN</ability>
      <abilityName>全半角问题</abilityName>
      <candidateList>
        <item>(</item>
      </candidateList>
      <explain>文本全半角错误。</explain>
      <paraID>10C70487</paraID>
      <start>14</start>
      <end>15</end>
      <status>unmodified</status>
      <modifiedWord/>
      <trackRevisions>false</trackRevisions>
    </reviewItem>
    <reviewItem>
      <errorID>09929d1e-952a-4b18-aa05-317def465cb0</errorID>
      <errorWord>）</errorWord>
      <group>L1_Format</group>
      <groupName>格式问题</groupName>
      <ability>L2_HalfPunc_CN</ability>
      <abilityName>全半角问题</abilityName>
      <candidateList>
        <item>)</item>
      </candidateList>
      <explain>文本全半角错误。</explain>
      <paraID>10C70487</paraID>
      <start>20</start>
      <end>21</end>
      <status>unmodified</status>
      <modifiedWord/>
      <trackRevisions>false</trackRevisions>
    </reviewItem>
    <reviewItem>
      <errorID>e58f7fd7-6fe6-457e-ae09-1e634b9ea42d</errorID>
      <errorWord>（</errorWord>
      <group>L1_Format</group>
      <groupName>格式问题</groupName>
      <ability>L2_HalfPunc_CN</ability>
      <abilityName>全半角问题</abilityName>
      <candidateList>
        <item>(</item>
      </candidateList>
      <explain>文本全半角错误。</explain>
      <paraID>10C70487</paraID>
      <start>26</start>
      <end>27</end>
      <status>unmodified</status>
      <modifiedWord/>
      <trackRevisions>false</trackRevisions>
    </reviewItem>
    <reviewItem>
      <errorID>700cdb35-d334-4186-8aa4-ce4ee2e6b15b</errorID>
      <errorWord>）</errorWord>
      <group>L1_Format</group>
      <groupName>格式问题</groupName>
      <ability>L2_HalfPunc_CN</ability>
      <abilityName>全半角问题</abilityName>
      <candidateList>
        <item>)</item>
      </candidateList>
      <explain>文本全半角错误。</explain>
      <paraID>10C70487</paraID>
      <start>32</start>
      <end>33</end>
      <status>unmodified</status>
      <modifiedWord/>
      <trackRevisions>false</trackRevisions>
    </reviewItem>
    <reviewItem>
      <errorID>bc2c1fed-e3dc-42a2-a191-bd8f12cd91c4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13AB3428</paraID>
      <start>99</start>
      <end>100</end>
      <status>unmodified</status>
      <modifiedWord/>
      <trackRevisions>false</trackRevisions>
    </reviewItem>
    <reviewItem>
      <errorID>14b14742-ebda-4d4e-8adc-1a0f5742b771</errorID>
      <errorWord>；</errorWord>
      <group>L1_Format</group>
      <groupName>格式问题</groupName>
      <ability>L2_HalfPunc_CN</ability>
      <abilityName>全半角问题</abilityName>
      <candidateList>
        <item>;</item>
      </candidateList>
      <explain>文本全半角错误。</explain>
      <paraID>514EB68E</paraID>
      <start>6</start>
      <end>7</end>
      <status>unmodified</status>
      <modifiedWord/>
      <trackRevisions>false</trackRevisions>
    </reviewItem>
    <reviewItem>
      <errorID>c32f0202-22e7-4029-a7c3-0afeff092162</errorID>
      <errorWord>；</errorWord>
      <group>L1_Format</group>
      <groupName>格式问题</groupName>
      <ability>L2_HalfPunc_CN</ability>
      <abilityName>全半角问题</abilityName>
      <candidateList>
        <item>;</item>
      </candidateList>
      <explain>文本全半角错误。</explain>
      <paraID>514EB68E</paraID>
      <start>15</start>
      <end>16</end>
      <status>unmodified</status>
      <modifiedWord/>
      <trackRevisions>false</trackRevisions>
    </reviewItem>
    <reviewItem>
      <errorID>78989d5c-e70c-43e1-bc3e-33d965d6a81f</errorID>
      <errorWord>；</errorWord>
      <group>L1_Format</group>
      <groupName>格式问题</groupName>
      <ability>L2_HalfPunc_CN</ability>
      <abilityName>全半角问题</abilityName>
      <candidateList>
        <item>;</item>
      </candidateList>
      <explain>文本全半角错误。</explain>
      <paraID>392E694B</paraID>
      <start>7</start>
      <end>8</end>
      <status>unmodified</status>
      <modifiedWord/>
      <trackRevisions>false</trackRevisions>
    </reviewItem>
    <reviewItem>
      <errorID>5a85fe7e-0b43-42c6-a162-a1072f7e289a</errorID>
      <errorWord>；</errorWord>
      <group>L1_Format</group>
      <groupName>格式问题</groupName>
      <ability>L2_HalfPunc_CN</ability>
      <abilityName>全半角问题</abilityName>
      <candidateList>
        <item>;</item>
      </candidateList>
      <explain>文本全半角错误。</explain>
      <paraID>392E694B</paraID>
      <start>14</start>
      <end>15</end>
      <status>unmodified</status>
      <modifiedWord/>
      <trackRevisions>false</trackRevisions>
    </reviewItem>
    <reviewItem>
      <errorID>d20f2a6b-9b19-451d-ae51-cbdcdccc76ba</errorID>
      <errorWord>；</errorWord>
      <group>L1_Format</group>
      <groupName>格式问题</groupName>
      <ability>L2_HalfPunc_CN</ability>
      <abilityName>全半角问题</abilityName>
      <candidateList>
        <item>;</item>
      </candidateList>
      <explain>文本全半角错误。</explain>
      <paraID>57FB5285</paraID>
      <start>6</start>
      <end>7</end>
      <status>unmodified</status>
      <modifiedWord/>
      <trackRevisions>false</trackRevisions>
    </reviewItem>
    <reviewItem>
      <errorID>85d12bde-e457-41e8-8562-86050bb77401</errorID>
      <errorWord>；</errorWord>
      <group>L1_Format</group>
      <groupName>格式问题</groupName>
      <ability>L2_HalfPunc_CN</ability>
      <abilityName>全半角问题</abilityName>
      <candidateList>
        <item>;</item>
      </candidateList>
      <explain>文本全半角错误。</explain>
      <paraID>57FB5285</paraID>
      <start>15</start>
      <end>16</end>
      <status>unmodified</status>
      <modifiedWord/>
      <trackRevisions>false</trackRevisions>
    </reviewItem>
    <reviewItem>
      <errorID>a1199a04-6f88-4e17-9f45-9844bad101ad</errorID>
      <errorWord>；</errorWord>
      <group>L1_Format</group>
      <groupName>格式问题</groupName>
      <ability>L2_HalfPunc_CN</ability>
      <abilityName>全半角问题</abilityName>
      <candidateList>
        <item>;</item>
      </candidateList>
      <explain>文本全半角错误。</explain>
      <paraID>20021E3F</paraID>
      <start>7</start>
      <end>8</end>
      <status>unmodified</status>
      <modifiedWord/>
      <trackRevisions>false</trackRevisions>
    </reviewItem>
    <reviewItem>
      <errorID>9c8decb8-e772-4cda-8fbf-22158a011474</errorID>
      <errorWord>；</errorWord>
      <group>L1_Format</group>
      <groupName>格式问题</groupName>
      <ability>L2_HalfPunc_CN</ability>
      <abilityName>全半角问题</abilityName>
      <candidateList>
        <item>;</item>
      </candidateList>
      <explain>文本全半角错误。</explain>
      <paraID>20021E3F</paraID>
      <start>14</start>
      <end>15</end>
      <status>unmodified</status>
      <modifiedWord/>
      <trackRevisions>false</trackRevisions>
    </reviewItem>
    <reviewItem>
      <errorID>8474d843-33d3-4a1d-8d0f-707295e36aac</errorID>
      <errorWord>，</errorWord>
      <group>L1_Format</group>
      <groupName>格式问题</groupName>
      <ability>L2_HalfPunc_CN</ability>
      <abilityName>全半角问题</abilityName>
      <candidateList>
        <item>,</item>
      </candidateList>
      <explain>文本全半角错误。</explain>
      <paraID>3608DC0D</paraID>
      <start>12</start>
      <end>13</end>
      <status>unmodified</status>
      <modifiedWord/>
      <trackRevisions>false</trackRevisions>
    </reviewItem>
    <reviewItem>
      <errorID>68ea865c-bc05-435c-b22e-2be0afd1c08f</errorID>
      <errorWord>，</errorWord>
      <group>L1_Format</group>
      <groupName>格式问题</groupName>
      <ability>L2_HalfPunc_CN</ability>
      <abilityName>全半角问题</abilityName>
      <candidateList>
        <item>,</item>
      </candidateList>
      <explain>文本全半角错误。</explain>
      <paraID>5167783E</paraID>
      <start>11</start>
      <end>12</end>
      <status>unmodified</status>
      <modifiedWord/>
      <trackRevisions>false</trackRevisions>
    </reviewItem>
    <reviewItem>
      <errorID>eebb5b13-14eb-46cf-b551-f846f565126a</errorID>
      <errorWord>)</errorWord>
      <group>L1_Format</group>
      <groupName>格式问题</groupName>
      <ability>L2_HalfPunc_CN</ability>
      <abilityName>全半角问题</abilityName>
      <candidateList>
        <item>）</item>
      </candidateList>
      <explain>文本全半角错误。</explain>
      <paraID>204C5F84</paraID>
      <start>51</start>
      <end>52</end>
      <status>unmodified</status>
      <modifiedWord/>
      <trackRevisions>false</trackRevisions>
    </reviewItem>
    <reviewItem>
      <errorID>181be194-7e24-46c7-8e34-507cdc4e4b3c</errorID>
      <errorWord>程</errorWord>
      <group>L1_Word</group>
      <groupName>字词问题</groupName>
      <ability>L2_Typo</ability>
      <abilityName>字词错误</abilityName>
      <candidateList>
        <item>程中</item>
      </candidateList>
      <explain/>
      <paraID>3A8D2237</paraID>
      <start>9</start>
      <end>11</end>
      <status>modified</status>
      <modifiedWord>程中</modifiedWord>
      <trackRevisions>false</trackRevisions>
    </reviewItem>
    <reviewItem>
      <errorID>545543c2-e08a-4965-aca4-2b3d4c193a1b</errorID>
      <errorWord>-</errorWord>
      <group>L1_Format</group>
      <groupName>格式问题</groupName>
      <ability>L2_HalfPunc_CN</ability>
      <abilityName>全半角问题</abilityName>
      <candidateList>
        <item>－</item>
      </candidateList>
      <explain>文本全半角错误。</explain>
      <paraID>3A8D2237</paraID>
      <start>100</start>
      <end>101</end>
      <status>unmodified</status>
      <modifiedWord/>
      <trackRevisions>false</trackRevisions>
    </reviewItem>
    <reviewItem>
      <errorID>6ee19df8-6e80-4d9f-a731-e7f338916684</errorID>
      <errorWord>-</errorWord>
      <group>L1_Format</group>
      <groupName>格式问题</groupName>
      <ability>L2_HalfPunc_CN</ability>
      <abilityName>全半角问题</abilityName>
      <candidateList>
        <item>－</item>
      </candidateList>
      <explain>文本全半角错误。</explain>
      <paraID> 1EC039C</paraID>
      <start>128</start>
      <end>129</end>
      <status>unmodified</status>
      <modifiedWord/>
      <trackRevisions>false</trackRevisions>
    </reviewItem>
    <reviewItem>
      <errorID>3fe8e874-4d84-4ba8-8a66-aa65caddaf43</errorID>
      <errorWord>抛撒</errorWord>
      <group>L1_Word</group>
      <groupName>字词问题</groupName>
      <ability>L2_Typo</ability>
      <abilityName>字词错误</abilityName>
      <candidateList>
        <item>抛洒</item>
      </candidateList>
      <explain>存在发音相同字词的误用。</explain>
      <paraID>1C55AA54</paraID>
      <start>28</start>
      <end>30</end>
      <status>modified</status>
      <modifiedWord>抛洒</modifiedWord>
      <trackRevisions>false</trackRevisions>
    </reviewItem>
    <reviewItem>
      <errorID>2525bc34-46c6-4706-b84e-384eb9c13d5e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7D84FF0</paraID>
      <start>21</start>
      <end>22</end>
      <status>unmodified</status>
      <modifiedWord/>
      <trackRevisions>false</trackRevisions>
    </reviewItem>
    <reviewItem>
      <errorID>c02ec889-9076-4300-845b-0183fb9dae54</errorID>
      <errorWord>对于</errorWord>
      <group>L1_Word</group>
      <groupName>字词问题</groupName>
      <ability>L2_Typo</ability>
      <abilityName>字词错误</abilityName>
      <candidateList>
        <item>对</item>
      </candidateList>
      <explain/>
      <paraID>13DA8D29</paraID>
      <start>33</start>
      <end>34</end>
      <status>modified</status>
      <modifiedWord>对</modifiedWord>
      <trackRevisions>false</trackRevisions>
    </reviewItem>
    <reviewItem>
      <errorID>6d4837f4-c93c-4e9d-a3b6-20540c932463</errorID>
      <errorWord>II</errorWord>
      <group>L1_Knowledge</group>
      <groupName>知识性问题</groupName>
      <ability>L2_Knowledge</ability>
      <abilityName>其他知识</abilityName>
      <candidateList>
        <item>Ⅱ</item>
      </candidateList>
      <explain>中文环境下罗马数字格式错误。</explain>
      <paraID>78FD3F01</paraID>
      <start>46</start>
      <end>48</end>
      <status>unmodified</status>
      <modifiedWord/>
      <trackRevisions>false</trackRevisions>
    </reviewItem>
    <reviewItem>
      <errorID>9ef7860e-4c89-4552-a015-a2236b551033</errorID>
      <errorWord>II</errorWord>
      <group>L1_Knowledge</group>
      <groupName>知识性问题</groupName>
      <ability>L2_Knowledge</ability>
      <abilityName>其他知识</abilityName>
      <candidateList>
        <item>Ⅱ</item>
      </candidateList>
      <explain>中文环境下罗马数字格式错误。</explain>
      <paraID>78FD3F01</paraID>
      <start>49</start>
      <end>51</end>
      <status>unmodified</status>
      <modifiedWord/>
      <trackRevisions>false</trackRevisions>
    </reviewItem>
    <reviewItem>
      <errorID>745b4700-1e6a-4f95-a83d-edc1523857fd</errorID>
      <errorWord>III</errorWord>
      <group>L1_Word</group>
      <groupName>字词问题</groupName>
      <ability>L2_Typo</ability>
      <abilityName>字词错误</abilityName>
      <candidateList>
        <item>Ⅲ</item>
      </candidateList>
      <explain/>
      <paraID>14CCC903</paraID>
      <start>0</start>
      <end>3</end>
      <status>unmodified</status>
      <modifiedWord/>
      <trackRevisions>false</trackRevisions>
    </reviewItem>
    <reviewItem>
      <errorID>65bf35ea-ec3d-4d6a-9ae2-0ebb7bae336b</errorID>
      <errorWord>III</errorWord>
      <group>L1_Word</group>
      <groupName>字词问题</groupName>
      <ability>L2_Typo</ability>
      <abilityName>字词错误</abilityName>
      <candidateList>
        <item>Ⅲ</item>
      </candidateList>
      <explain/>
      <paraID>6F0A0BF1</paraID>
      <start>0</start>
      <end>3</end>
      <status>unmodified</status>
      <modifiedWord/>
      <trackRevisions>false</trackRevisions>
    </reviewItem>
    <reviewItem>
      <errorID>33765b44-10db-4c38-a2dd-c26c6187d9c3</errorID>
      <errorWord>III</errorWord>
      <group>L1_Word</group>
      <groupName>字词问题</groupName>
      <ability>L2_Typo</ability>
      <abilityName>字词错误</abilityName>
      <candidateList>
        <item>Ⅲ</item>
      </candidateList>
      <explain/>
      <paraID>7C2E22CB</paraID>
      <start>0</start>
      <end>3</end>
      <status>unmodified</status>
      <modifiedWord/>
      <trackRevisions>false</trackRevisions>
    </reviewItem>
    <reviewItem>
      <errorID>25a6ec6a-2eef-4c67-a8db-f8838fc6ef48</errorID>
      <errorWord>III</errorWord>
      <group>L1_Word</group>
      <groupName>字词问题</groupName>
      <ability>L2_Typo</ability>
      <abilityName>字词错误</abilityName>
      <candidateList>
        <item>Ⅲ</item>
      </candidateList>
      <explain/>
      <paraID>2344E3BA</paraID>
      <start>0</start>
      <end>3</end>
      <status>unmodified</status>
      <modifiedWord/>
      <trackRevisions>false</trackRevisions>
    </reviewItem>
    <reviewItem>
      <errorID>29960c86-24f2-44de-9859-a7098a831ce7</errorID>
      <errorWord>III</errorWord>
      <group>L1_Word</group>
      <groupName>字词问题</groupName>
      <ability>L2_Typo</ability>
      <abilityName>字词错误</abilityName>
      <candidateList>
        <item>Ⅲ</item>
      </candidateList>
      <explain/>
      <paraID>68F437C2</paraID>
      <start>0</start>
      <end>3</end>
      <status>unmodified</status>
      <modifiedWord/>
      <trackRevisions>false</trackRevisions>
    </reviewItem>
    <reviewItem>
      <errorID>1b566c80-4cd9-4ee1-93c2-1297d89ede9c</errorID>
      <errorWord>III</errorWord>
      <group>L1_Word</group>
      <groupName>字词问题</groupName>
      <ability>L2_Typo</ability>
      <abilityName>字词错误</abilityName>
      <candidateList>
        <item>Ⅲ</item>
      </candidateList>
      <explain/>
      <paraID>4FC982FF</paraID>
      <start>0</start>
      <end>3</end>
      <status>unmodified</status>
      <modifiedWord/>
      <trackRevisions>false</trackRevisions>
    </reviewItem>
    <reviewItem>
      <errorID>f474e843-1d69-4995-80f5-2d84ae4e33bc</errorID>
      <errorWord>IV</errorWord>
      <group>L1_Knowledge</group>
      <groupName>知识性问题</groupName>
      <ability>L2_Knowledge</ability>
      <abilityName>其他知识</abilityName>
      <candidateList>
        <item>Ⅳ</item>
      </candidateList>
      <explain>中文环境下罗马数字格式错误。</explain>
      <paraID>31EB700E</paraID>
      <start>2</start>
      <end>4</end>
      <status>unmodified</status>
      <modifiedWord/>
      <trackRevisions>false</trackRevisions>
    </reviewItem>
    <reviewItem>
      <errorID>ae19ffc2-9991-45dc-8870-12f54cccd079</errorID>
      <errorWord>IV</errorWord>
      <group>L1_Knowledge</group>
      <groupName>知识性问题</groupName>
      <ability>L2_Knowledge</ability>
      <abilityName>其他知识</abilityName>
      <candidateList>
        <item>Ⅳ</item>
      </candidateList>
      <explain>中文环境下罗马数字格式错误。</explain>
      <paraID>4B9AD3AF</paraID>
      <start>0</start>
      <end>2</end>
      <status>unmodified</status>
      <modifiedWord/>
      <trackRevisions>false</trackRevisions>
    </reviewItem>
    <reviewItem>
      <errorID>cb092653-72d5-4f28-950c-e78ff770bfae</errorID>
      <errorWord>III</errorWord>
      <group>L1_Word</group>
      <groupName>字词问题</groupName>
      <ability>L2_Typo</ability>
      <abilityName>字词错误</abilityName>
      <candidateList>
        <item>Ⅲ</item>
      </candidateList>
      <explain/>
      <paraID> 64FE818</paraID>
      <start>0</start>
      <end>3</end>
      <status>unmodified</status>
      <modifiedWord/>
      <trackRevisions>false</trackRevisions>
    </reviewItem>
    <reviewItem>
      <errorID>e50d75a7-9263-491f-b254-ce26a9386303</errorID>
      <errorWord>造成的</errorWord>
      <group>L1_Word</group>
      <groupName>字词问题</groupName>
      <ability>L2_Typo</ability>
      <abilityName>字词错误</abilityName>
      <candidateList>
        <item>造成</item>
      </candidateList>
      <explain/>
      <paraID> 14BFC29</paraID>
      <start>77</start>
      <end>79</end>
      <status>modified</status>
      <modifiedWord>造成</modifiedWord>
      <trackRevisions>false</trackRevisions>
    </reviewItem>
    <reviewItem>
      <errorID>3c1a6517-2d75-41bf-a4bd-f9b71e317f41</errorID>
      <errorWord>设</errorWord>
      <group>L1_Word</group>
      <groupName>字词问题</groupName>
      <ability>L2_Typo</ability>
      <abilityName>字词错误</abilityName>
      <candidateList>
        <item>设立</item>
      </candidateList>
      <explain/>
      <paraID>573A0573</paraID>
      <start>19</start>
      <end>21</end>
      <status>modified</status>
      <modifiedWord>设立</modifiedWord>
      <trackRevisions>false</trackRevisions>
    </reviewItem>
    <reviewItem>
      <errorID>c5b19109-abf3-496d-b7b5-37157c1b78e8</errorID>
      <errorWord>日</errorWord>
      <group>L1_Word</group>
      <groupName>字词问题</groupName>
      <ability>L2_Typo</ability>
      <abilityName>字词错误</abilityName>
      <candidateList>
        <item>日起</item>
      </candidateList>
      <explain/>
      <paraID>26580234</paraID>
      <start>39</start>
      <end>41</end>
      <status>modified</status>
      <modifiedWord>日起</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e81dc1-2e8f-4435-97b0-a661322ffbc5}">
  <ds:schemaRefs/>
</ds:datastoreItem>
</file>

<file path=docProps/app.xml><?xml version="1.0" encoding="utf-8"?>
<Properties xmlns="http://schemas.openxmlformats.org/officeDocument/2006/extended-properties" xmlns:vt="http://schemas.openxmlformats.org/officeDocument/2006/docPropsVTypes">
  <Template>Normal.dotm</Template>
  <Pages>49</Pages>
  <Words>16597</Words>
  <Characters>17884</Characters>
  <Lines>1</Lines>
  <Paragraphs>1</Paragraphs>
  <TotalTime>4</TotalTime>
  <ScaleCrop>false</ScaleCrop>
  <LinksUpToDate>false</LinksUpToDate>
  <CharactersWithSpaces>17973</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2021-08-02T05:26:00Z</dcterms:created>
  <dc:creator>Administrator</dc:creator>
  <cp:lastModifiedBy>嘿！我家里有矿</cp:lastModifiedBy>
  <dcterms:modified xsi:type="dcterms:W3CDTF">2026-09-17T08:37:33Z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22A8C5510F9A4CA3BEA869A8D7C2FE38</vt:lpwstr>
  </property>
  <property fmtid="{D5CDD505-2E9C-101B-9397-08002B2CF9AE}" pid="4" name="KSOTemplateDocerSaveRecord">
    <vt:lpwstr>eyJoZGlkIjoiMjEwN2ZmYjA2YWY4NDQxYmMzOTZkODkzNGY3ODYwYWUiLCJ1c2VySWQiOiI0NzY2MDk2MDEifQ==</vt:lpwstr>
  </property>
</Properties>
</file>