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AB799">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p>
    <w:p w14:paraId="43E8181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664A08B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0296D1F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70554A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6820A0D1">
      <w:pPr>
        <w:widowControl w:val="0"/>
        <w:spacing w:before="0" w:beforeLines="-2147483648" w:beforeAutospacing="0" w:after="0" w:afterLines="-2147483648" w:afterAutospacing="0" w:line="640" w:lineRule="exact"/>
        <w:jc w:val="center"/>
        <w:outlineLvl w:val="9"/>
        <w:rPr>
          <w:rFonts w:hint="eastAsia" w:ascii="方正小标宋_GBK" w:hAnsi="宋体" w:eastAsia="方正小标宋_GBK" w:cs="Times New Roman"/>
          <w:b w:val="0"/>
          <w:sz w:val="44"/>
          <w:szCs w:val="44"/>
          <w:highlight w:val="none"/>
        </w:rPr>
      </w:pPr>
      <w:r>
        <w:rPr>
          <w:rFonts w:hint="eastAsia" w:ascii="方正小标宋_GBK" w:hAnsi="宋体" w:eastAsia="方正小标宋_GBK" w:cs="Times New Roman"/>
          <w:b w:val="0"/>
          <w:sz w:val="44"/>
          <w:szCs w:val="44"/>
          <w:highlight w:val="none"/>
        </w:rPr>
        <w:t>昌吉高新区市政公用事业管理中心</w:t>
      </w:r>
    </w:p>
    <w:p w14:paraId="5DE37FEA">
      <w:pPr>
        <w:widowControl w:val="0"/>
        <w:spacing w:before="0" w:beforeLines="-2147483648" w:beforeAutospacing="0" w:after="0" w:afterLines="-2147483648" w:afterAutospacing="0" w:line="640" w:lineRule="exact"/>
        <w:jc w:val="center"/>
        <w:outlineLvl w:val="9"/>
        <w:rPr>
          <w:rFonts w:hint="eastAsia" w:ascii="方正小标宋_GBK" w:hAnsi="宋体" w:eastAsia="方正小标宋_GBK" w:cs="Times New Roman"/>
          <w:sz w:val="44"/>
          <w:szCs w:val="44"/>
          <w:highlight w:val="none"/>
        </w:rPr>
      </w:pPr>
      <w:r>
        <w:rPr>
          <w:rFonts w:hint="eastAsia" w:ascii="方正小标宋_GBK" w:hAnsi="宋体" w:eastAsia="方正小标宋_GBK" w:cs="Times New Roman"/>
          <w:b w:val="0"/>
          <w:sz w:val="44"/>
          <w:szCs w:val="44"/>
          <w:highlight w:val="none"/>
        </w:rPr>
        <w:t>2025年度部门决算公开说明</w:t>
      </w:r>
    </w:p>
    <w:p w14:paraId="502EEAD1">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3744AFD0">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BD3F4C3">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3F50B85F">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sz w:val="32"/>
          <w:szCs w:val="32"/>
          <w:highlight w:val="none"/>
        </w:rPr>
        <w:fldChar w:fldCharType="end"/>
      </w:r>
    </w:p>
    <w:p w14:paraId="596474DF">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A7CDA4F">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204EE8D2">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8674DC0">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73DF59B9">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60BF124">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17908FBE">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5639B3A9">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0732DD4D">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4E3123A3">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76542C35">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37D43FBA">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754EBD2D">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023E1FB3">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048B0441">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4A2BFE2">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7DF555E7">
      <w:pPr>
        <w:pStyle w:val="4"/>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1FF35F21">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5EA18780">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eastAsia="仿宋_GB2312"/>
          <w:highlight w:val="none"/>
          <w:lang w:val="en-US" w:eastAsia="zh-CN"/>
        </w:rPr>
      </w:pPr>
      <w:r>
        <w:rPr>
          <w:rFonts w:hint="eastAsia" w:ascii="仿宋_GB2312" w:hAnsi="仿宋_GB2312" w:eastAsia="仿宋_GB2312" w:cs="仿宋_GB2312"/>
          <w:kern w:val="2"/>
          <w:sz w:val="32"/>
          <w:szCs w:val="32"/>
          <w:highlight w:val="none"/>
          <w:lang w:val="en-US" w:eastAsia="zh-CN" w:bidi="ar-SA"/>
        </w:rPr>
        <w:t>十二、其他需说明的事项</w:t>
      </w:r>
    </w:p>
    <w:p w14:paraId="647AD045">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7D953783">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3DC0CCCF">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CE3D3D4">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368ED043">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109B9F32">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2115766A">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5E918228">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3FE95EB5">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6B379537">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6E973009">
      <w:pPr>
        <w:pStyle w:val="8"/>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494B671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黑体" w:hAnsi="黑体" w:eastAsia="黑体"/>
          <w:sz w:val="32"/>
          <w:szCs w:val="32"/>
          <w:highlight w:val="none"/>
        </w:rPr>
      </w:pPr>
      <w:r>
        <w:rPr>
          <w:rFonts w:hint="eastAsia" w:ascii="仿宋_GB2312" w:hAnsi="仿宋_GB2312" w:eastAsia="仿宋_GB2312" w:cs="仿宋_GB2312"/>
          <w:sz w:val="32"/>
          <w:szCs w:val="32"/>
          <w:highlight w:val="none"/>
        </w:rPr>
        <w:fldChar w:fldCharType="end"/>
      </w:r>
      <w:r>
        <w:rPr>
          <w:rFonts w:hint="eastAsia" w:ascii="仿宋_GB2312" w:eastAsia="仿宋_GB2312"/>
          <w:sz w:val="32"/>
          <w:szCs w:val="32"/>
          <w:highlight w:val="none"/>
        </w:rPr>
        <w:br w:type="page"/>
      </w:r>
      <w:bookmarkStart w:id="0" w:name="_Toc31918"/>
      <w:bookmarkStart w:id="1" w:name="_Toc24028"/>
      <w:r>
        <w:rPr>
          <w:rFonts w:hint="eastAsia" w:ascii="黑体" w:hAnsi="黑体" w:eastAsia="黑体" w:cs="宋体"/>
          <w:bCs/>
          <w:kern w:val="0"/>
          <w:sz w:val="32"/>
          <w:szCs w:val="32"/>
          <w:highlight w:val="none"/>
          <w:lang w:val="en-US" w:eastAsia="zh-CN"/>
        </w:rPr>
        <w:t>第一部分 部门（单位）概况</w:t>
      </w:r>
      <w:bookmarkEnd w:id="0"/>
      <w:bookmarkEnd w:id="1"/>
    </w:p>
    <w:p w14:paraId="00D052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2" w:name="_Toc2898"/>
      <w:bookmarkStart w:id="3" w:name="_Toc30738"/>
      <w:r>
        <w:rPr>
          <w:rFonts w:hint="eastAsia" w:ascii="黑体" w:hAnsi="黑体" w:eastAsia="黑体" w:cs="宋体"/>
          <w:bCs/>
          <w:kern w:val="0"/>
          <w:sz w:val="32"/>
          <w:szCs w:val="32"/>
          <w:highlight w:val="none"/>
          <w:lang w:val="en-US" w:eastAsia="zh-CN"/>
        </w:rPr>
        <w:t>一、主要职能</w:t>
      </w:r>
      <w:bookmarkEnd w:id="2"/>
      <w:bookmarkEnd w:id="3"/>
    </w:p>
    <w:p w14:paraId="442EE947">
      <w:pPr>
        <w:keepNext w:val="0"/>
        <w:keepLines w:val="0"/>
        <w:pageBreakBefore w:val="0"/>
        <w:widowControl/>
        <w:kinsoku/>
        <w:wordWrap/>
        <w:overflowPunct/>
        <w:topLinePunct w:val="0"/>
        <w:autoSpaceDE/>
        <w:autoSpaceDN/>
        <w:bidi w:val="0"/>
        <w:adjustRightInd/>
        <w:snapToGrid/>
        <w:spacing w:beforeLines="0" w:line="540" w:lineRule="exact"/>
        <w:ind w:firstLine="640" w:firstLineChars="200"/>
        <w:jc w:val="left"/>
        <w:textAlignment w:val="auto"/>
        <w:rPr>
          <w:rFonts w:hint="default" w:ascii="Times New Roman" w:hAnsi="Times New Roman" w:eastAsia="仿宋_GB2312" w:cs="Times New Roman"/>
          <w:bCs/>
          <w:color w:val="auto"/>
          <w:kern w:val="0"/>
          <w:sz w:val="32"/>
          <w:szCs w:val="32"/>
          <w:highlight w:val="none"/>
        </w:rPr>
      </w:pPr>
      <w:r>
        <w:rPr>
          <w:rFonts w:hint="eastAsia" w:ascii="仿宋_GB2312" w:hAnsi="黑体" w:eastAsia="仿宋_GB2312" w:cs="宋体"/>
          <w:bCs/>
          <w:kern w:val="0"/>
          <w:sz w:val="32"/>
          <w:szCs w:val="32"/>
          <w:lang w:val="en-US" w:eastAsia="zh-CN" w:bidi="ar-SA"/>
        </w:rPr>
        <w:t>昌吉高新区市政公用事业管理中心（本级）属昌吉高新技术产业开发区管理委员会全额拨款的二级法人事业单位。主要职能：负责辖区市政基础设施的维修养护工作。负责辖区环境卫生工作，收取卫生费。负责辖区园林绿化工作，做好重点区域管理服务工作。负责自来水和污水处理厂以及配套给排水管网的运行管理和维护，收取自来水费和污水处理费。负责项目落地及开工场地平整工作。负责辖区道路占用、挖掘和广告牌设置审批工作。负责做好辖区供电、供热、燃气、通讯等市政公用事业管理运营协调工作，确保服务到位。负责辖区城市管理、城市管理行政执法工作，协调市公安、运管部门做好辖区内道路交通执法工作。负责辖区市政、高空、环卫行业运营、作业市场的培育、发展和监督管理，推进城市管理公共服务的市场化、社会化、专业化。</w:t>
      </w:r>
    </w:p>
    <w:p w14:paraId="337CCEA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eastAsia="仿宋_GB2312"/>
          <w:b/>
          <w:bCs/>
          <w:sz w:val="32"/>
          <w:szCs w:val="32"/>
          <w:highlight w:val="none"/>
          <w:lang w:val="en-US" w:eastAsia="zh-CN"/>
        </w:rPr>
      </w:pPr>
      <w:bookmarkStart w:id="4" w:name="_Toc31238"/>
      <w:bookmarkStart w:id="5" w:name="_Toc1387"/>
      <w:r>
        <w:rPr>
          <w:rFonts w:hint="eastAsia" w:ascii="黑体" w:hAnsi="黑体" w:eastAsia="黑体" w:cs="宋体"/>
          <w:bCs/>
          <w:kern w:val="0"/>
          <w:sz w:val="32"/>
          <w:szCs w:val="32"/>
          <w:highlight w:val="none"/>
          <w:lang w:val="en-US" w:eastAsia="zh-CN"/>
        </w:rPr>
        <w:t>二、机构设置</w:t>
      </w:r>
      <w:bookmarkEnd w:id="4"/>
      <w:bookmarkEnd w:id="5"/>
    </w:p>
    <w:p w14:paraId="590C55EF">
      <w:pPr>
        <w:snapToGrid/>
        <w:spacing w:line="600" w:lineRule="exact"/>
        <w:ind w:firstLine="640" w:firstLineChars="200"/>
        <w:jc w:val="both"/>
        <w:rPr>
          <w:rFonts w:hint="default" w:ascii="Times New Roman" w:hAnsi="Times New Roman" w:eastAsia="仿宋_GB2312" w:cs="Times New Roman"/>
          <w:color w:val="auto"/>
          <w:kern w:val="0"/>
          <w:sz w:val="32"/>
          <w:szCs w:val="32"/>
          <w:highlight w:val="none"/>
        </w:rPr>
      </w:pPr>
      <w:r>
        <w:rPr>
          <w:rFonts w:hint="eastAsia" w:ascii="仿宋_GB2312" w:hAnsi="黑体" w:eastAsia="仿宋_GB2312" w:cs="宋体"/>
          <w:bCs/>
          <w:kern w:val="0"/>
          <w:sz w:val="32"/>
          <w:szCs w:val="32"/>
          <w:lang w:val="en-US" w:eastAsia="zh-CN" w:bidi="ar-SA"/>
        </w:rPr>
        <w:t>昌吉高新区市政公用事业管理中心</w:t>
      </w:r>
      <w:r>
        <w:rPr>
          <w:rFonts w:hint="default" w:ascii="Times New Roman" w:hAnsi="Times New Roman" w:eastAsia="仿宋_GB2312" w:cs="Times New Roman"/>
          <w:bCs/>
          <w:color w:val="auto"/>
          <w:kern w:val="0"/>
          <w:sz w:val="32"/>
          <w:szCs w:val="32"/>
          <w:highlight w:val="none"/>
        </w:rPr>
        <w:t>无下属预算单位</w:t>
      </w:r>
      <w:r>
        <w:rPr>
          <w:rFonts w:hint="default" w:ascii="Times New Roman" w:hAnsi="Times New Roman" w:eastAsia="仿宋_GB2312" w:cs="Times New Roman"/>
          <w:color w:val="auto"/>
          <w:kern w:val="0"/>
          <w:sz w:val="32"/>
          <w:szCs w:val="32"/>
          <w:highlight w:val="none"/>
        </w:rPr>
        <w:t>。</w:t>
      </w:r>
    </w:p>
    <w:p w14:paraId="3B783E54">
      <w:pPr>
        <w:pStyle w:val="2"/>
        <w:jc w:val="center"/>
        <w:rPr>
          <w:rFonts w:hint="default" w:ascii="Times New Roman" w:hAnsi="Times New Roman" w:eastAsia="仿宋_GB2312" w:cs="Times New Roman"/>
          <w:color w:val="auto"/>
          <w:kern w:val="0"/>
          <w:sz w:val="32"/>
          <w:szCs w:val="32"/>
          <w:highlight w:val="none"/>
        </w:rPr>
      </w:pPr>
    </w:p>
    <w:p w14:paraId="19BCDE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黑体" w:hAnsi="黑体" w:eastAsia="黑体" w:cs="宋体"/>
          <w:bCs/>
          <w:kern w:val="0"/>
          <w:sz w:val="32"/>
          <w:szCs w:val="32"/>
          <w:highlight w:val="none"/>
          <w:lang w:val="en-US" w:eastAsia="zh-CN"/>
        </w:rPr>
      </w:pPr>
      <w:bookmarkStart w:id="6" w:name="_Toc7559"/>
      <w:bookmarkStart w:id="7" w:name="_Toc3092"/>
      <w:r>
        <w:rPr>
          <w:rFonts w:hint="eastAsia" w:ascii="黑体" w:hAnsi="黑体" w:eastAsia="黑体" w:cs="宋体"/>
          <w:bCs/>
          <w:kern w:val="0"/>
          <w:sz w:val="32"/>
          <w:szCs w:val="32"/>
          <w:highlight w:val="none"/>
          <w:lang w:val="en-US" w:eastAsia="zh-CN"/>
        </w:rPr>
        <w:t>第二部分 部门决算情况说明</w:t>
      </w:r>
      <w:bookmarkEnd w:id="6"/>
      <w:bookmarkEnd w:id="7"/>
    </w:p>
    <w:p w14:paraId="683B158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8" w:name="_Toc6321"/>
      <w:bookmarkStart w:id="9" w:name="_Toc12566"/>
      <w:r>
        <w:rPr>
          <w:rFonts w:hint="eastAsia" w:ascii="黑体" w:hAnsi="黑体" w:eastAsia="黑体" w:cs="宋体"/>
          <w:bCs/>
          <w:kern w:val="0"/>
          <w:sz w:val="32"/>
          <w:szCs w:val="32"/>
          <w:highlight w:val="none"/>
          <w:lang w:val="en-US" w:eastAsia="zh-CN"/>
        </w:rPr>
        <w:t>一、收入支出决算总体情况说明</w:t>
      </w:r>
      <w:bookmarkEnd w:id="8"/>
      <w:bookmarkEnd w:id="9"/>
    </w:p>
    <w:p w14:paraId="17A16F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w:t>
      </w:r>
      <w:r>
        <w:rPr>
          <w:rFonts w:hint="eastAsia" w:ascii="仿宋_GB2312" w:eastAsia="仿宋_GB2312"/>
          <w:b/>
          <w:bCs/>
          <w:spacing w:val="0"/>
          <w:sz w:val="32"/>
          <w:szCs w:val="32"/>
          <w:highlight w:val="none"/>
          <w:lang w:val="en-US" w:eastAsia="zh-CN"/>
        </w:rPr>
        <w:t>收入总计</w:t>
      </w:r>
      <w:r>
        <w:rPr>
          <w:rFonts w:hint="eastAsia" w:ascii="仿宋_GB2312" w:hAnsi="Times New Roman" w:eastAsia="仿宋_GB2312" w:cs="Times New Roman"/>
          <w:b/>
          <w:bCs/>
          <w:sz w:val="32"/>
          <w:szCs w:val="32"/>
          <w:highlight w:val="none"/>
        </w:rPr>
        <w:t>3,317.95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其中：本年收入合计</w:t>
      </w:r>
      <w:r>
        <w:rPr>
          <w:rFonts w:hint="eastAsia" w:ascii="仿宋_GB2312" w:hAnsi="Times New Roman" w:eastAsia="仿宋_GB2312" w:cs="Times New Roman"/>
          <w:b w:val="0"/>
          <w:bCs w:val="0"/>
          <w:sz w:val="32"/>
          <w:szCs w:val="32"/>
          <w:highlight w:val="none"/>
        </w:rPr>
        <w:t>3,317.95</w:t>
      </w:r>
      <w:r>
        <w:rPr>
          <w:rFonts w:hint="eastAsia" w:ascii="仿宋_GB2312" w:eastAsia="仿宋_GB2312"/>
          <w:b w:val="0"/>
          <w:bCs w:val="0"/>
          <w:spacing w:val="0"/>
          <w:sz w:val="32"/>
          <w:szCs w:val="32"/>
          <w:highlight w:val="none"/>
          <w:lang w:eastAsia="zh-CN"/>
        </w:rPr>
        <w:t>万元，使用非财政拨款结余（含专用结余）</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万元，年初结转和结余</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w:t>
      </w:r>
    </w:p>
    <w:p w14:paraId="176800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2025年度支出</w:t>
      </w:r>
      <w:r>
        <w:rPr>
          <w:rFonts w:hint="eastAsia" w:ascii="仿宋_GB2312" w:eastAsia="仿宋_GB2312"/>
          <w:b/>
          <w:bCs/>
          <w:spacing w:val="0"/>
          <w:sz w:val="32"/>
          <w:szCs w:val="32"/>
          <w:highlight w:val="none"/>
          <w:lang w:val="en-US" w:eastAsia="zh-CN"/>
        </w:rPr>
        <w:t>总计</w:t>
      </w:r>
      <w:r>
        <w:rPr>
          <w:rFonts w:hint="eastAsia" w:ascii="仿宋_GB2312" w:hAnsi="Times New Roman" w:eastAsia="仿宋_GB2312" w:cs="Times New Roman"/>
          <w:b/>
          <w:bCs/>
          <w:sz w:val="32"/>
          <w:szCs w:val="32"/>
          <w:highlight w:val="none"/>
        </w:rPr>
        <w:t>3,317.95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其中：本年支出合计</w:t>
      </w:r>
      <w:r>
        <w:rPr>
          <w:rFonts w:hint="eastAsia" w:ascii="仿宋_GB2312" w:hAnsi="Times New Roman" w:eastAsia="仿宋_GB2312" w:cs="Times New Roman"/>
          <w:b w:val="0"/>
          <w:bCs w:val="0"/>
          <w:sz w:val="32"/>
          <w:szCs w:val="32"/>
          <w:highlight w:val="none"/>
        </w:rPr>
        <w:t>3,317.95</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结余分配</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万元，年末结转和结余</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w:t>
      </w:r>
    </w:p>
    <w:p w14:paraId="7A0A6EB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收入支出总体与上年相比，</w:t>
      </w:r>
      <w:r>
        <w:rPr>
          <w:rFonts w:ascii="仿宋_GB2312" w:eastAsia="仿宋_GB2312"/>
          <w:b w:val="0"/>
          <w:sz w:val="32"/>
          <w:szCs w:val="32"/>
        </w:rPr>
        <w:t>减少4,418.59万元</w:t>
      </w:r>
      <w:r>
        <w:rPr>
          <w:rFonts w:hint="eastAsia" w:ascii="仿宋_GB2312" w:eastAsia="仿宋_GB2312"/>
          <w:b w:val="0"/>
          <w:bCs w:val="0"/>
          <w:spacing w:val="0"/>
          <w:sz w:val="32"/>
          <w:szCs w:val="32"/>
          <w:highlight w:val="none"/>
          <w:lang w:eastAsia="zh-CN"/>
        </w:rPr>
        <w:t>，</w:t>
      </w:r>
      <w:r>
        <w:rPr>
          <w:rFonts w:ascii="仿宋_GB2312" w:eastAsia="仿宋_GB2312"/>
          <w:b w:val="0"/>
          <w:sz w:val="32"/>
          <w:szCs w:val="32"/>
        </w:rPr>
        <w:t>下降57.11%</w:t>
      </w:r>
      <w:r>
        <w:rPr>
          <w:rFonts w:hint="eastAsia" w:ascii="仿宋_GB2312" w:eastAsia="仿宋_GB2312"/>
          <w:b w:val="0"/>
          <w:bCs w:val="0"/>
          <w:spacing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按照</w:t>
      </w:r>
      <w:r>
        <w:rPr>
          <w:rFonts w:hint="eastAsia" w:ascii="仿宋_GB2312" w:hAnsi="Times New Roman" w:eastAsia="仿宋_GB2312" w:cs="Times New Roman"/>
          <w:sz w:val="32"/>
          <w:szCs w:val="32"/>
          <w:highlight w:val="none"/>
          <w:lang w:val="en-US" w:eastAsia="zh-CN"/>
        </w:rPr>
        <w:t>昌市党编委〔2025〕2号《关于调整昌吉高新技术产业开发区党工委管委会所属事业单位机构编制事宜的</w:t>
      </w:r>
      <w:r>
        <w:rPr>
          <w:rFonts w:hint="eastAsia" w:ascii="仿宋_GB2312" w:eastAsia="仿宋_GB2312" w:cs="Times New Roman"/>
          <w:sz w:val="32"/>
          <w:szCs w:val="32"/>
          <w:highlight w:val="none"/>
          <w:lang w:val="en-US" w:eastAsia="zh-CN"/>
        </w:rPr>
        <w:t>通知》要求</w:t>
      </w:r>
      <w:r>
        <w:rPr>
          <w:rFonts w:hint="eastAsia" w:ascii="仿宋_GB2312" w:hAnsi="Times New Roman" w:eastAsia="仿宋_GB2312" w:cs="Times New Roman"/>
          <w:sz w:val="32"/>
          <w:szCs w:val="32"/>
          <w:highlight w:val="none"/>
          <w:lang w:val="en-US" w:eastAsia="zh-CN"/>
        </w:rPr>
        <w:t>，市政中心开展清算注销流程，部分项目预算收入支出转至其他部门，</w:t>
      </w:r>
      <w:r>
        <w:rPr>
          <w:rFonts w:hint="eastAsia" w:ascii="仿宋_GB2312" w:eastAsia="仿宋_GB2312"/>
          <w:b w:val="0"/>
          <w:sz w:val="32"/>
          <w:szCs w:val="32"/>
          <w:lang w:val="en-US" w:eastAsia="zh-CN"/>
        </w:rPr>
        <w:t>收入支出总体减少</w:t>
      </w:r>
      <w:r>
        <w:rPr>
          <w:rFonts w:hint="eastAsia" w:ascii="仿宋_GB2312" w:eastAsia="仿宋_GB2312"/>
          <w:b w:val="0"/>
          <w:bCs w:val="0"/>
          <w:spacing w:val="0"/>
          <w:sz w:val="32"/>
          <w:szCs w:val="32"/>
          <w:highlight w:val="none"/>
          <w:lang w:eastAsia="zh-CN"/>
        </w:rPr>
        <w:t>。</w:t>
      </w:r>
    </w:p>
    <w:p w14:paraId="1DA2A68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eastAsia="仿宋_GB2312"/>
          <w:b w:val="0"/>
          <w:bCs w:val="0"/>
          <w:spacing w:val="0"/>
          <w:sz w:val="32"/>
          <w:szCs w:val="32"/>
          <w:highlight w:val="none"/>
          <w:lang w:eastAsia="zh-CN"/>
        </w:rPr>
      </w:pPr>
      <w:bookmarkStart w:id="10" w:name="_Toc1979"/>
      <w:bookmarkStart w:id="11" w:name="_Toc6311"/>
      <w:r>
        <w:rPr>
          <w:rFonts w:hint="eastAsia" w:ascii="黑体" w:hAnsi="黑体" w:eastAsia="黑体" w:cs="宋体"/>
          <w:bCs/>
          <w:kern w:val="0"/>
          <w:sz w:val="32"/>
          <w:szCs w:val="32"/>
          <w:highlight w:val="none"/>
          <w:lang w:val="en-US" w:eastAsia="zh-CN"/>
        </w:rPr>
        <w:t>二、收入决算情况说明</w:t>
      </w:r>
      <w:bookmarkEnd w:id="10"/>
      <w:bookmarkEnd w:id="11"/>
    </w:p>
    <w:p w14:paraId="3107F1D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rPr>
        <w:t>本年收入</w:t>
      </w:r>
      <w:r>
        <w:rPr>
          <w:rFonts w:hint="eastAsia" w:ascii="仿宋_GB2312" w:hAnsi="Times New Roman" w:eastAsia="仿宋_GB2312" w:cs="Times New Roman"/>
          <w:b/>
          <w:bCs/>
          <w:sz w:val="32"/>
          <w:szCs w:val="32"/>
          <w:highlight w:val="none"/>
        </w:rPr>
        <w:t>3,317.95</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其中：财政拨款收</w:t>
      </w:r>
      <w:r>
        <w:rPr>
          <w:rFonts w:hint="eastAsia" w:ascii="仿宋_GB2312" w:hAnsi="Times New Roman" w:eastAsia="仿宋_GB2312" w:cs="Times New Roman"/>
          <w:b w:val="0"/>
          <w:bCs w:val="0"/>
          <w:sz w:val="32"/>
          <w:szCs w:val="32"/>
          <w:highlight w:val="none"/>
        </w:rPr>
        <w:t>入3,317.95万元，占</w:t>
      </w:r>
      <w:r>
        <w:rPr>
          <w:rFonts w:ascii="仿宋_GB2312" w:eastAsia="仿宋_GB2312"/>
          <w:b w:val="0"/>
          <w:sz w:val="32"/>
          <w:szCs w:val="32"/>
        </w:rPr>
        <w:t>100.00</w:t>
      </w:r>
      <w:r>
        <w:rPr>
          <w:rFonts w:hint="eastAsia" w:ascii="仿宋_GB2312" w:hAnsi="Times New Roman" w:eastAsia="仿宋_GB2312" w:cs="Times New Roman"/>
          <w:b w:val="0"/>
          <w:bCs w:val="0"/>
          <w:sz w:val="32"/>
          <w:szCs w:val="32"/>
          <w:highlight w:val="none"/>
        </w:rPr>
        <w:t>%；上级补助收入</w:t>
      </w:r>
      <w:r>
        <w:rPr>
          <w:rFonts w:ascii="仿宋_GB2312" w:eastAsia="仿宋_GB2312"/>
          <w:b w:val="0"/>
          <w:sz w:val="32"/>
          <w:szCs w:val="32"/>
        </w:rPr>
        <w:t>0.00</w:t>
      </w:r>
      <w:r>
        <w:rPr>
          <w:rFonts w:hint="eastAsia" w:ascii="仿宋_GB2312" w:hAnsi="Times New Roman" w:eastAsia="仿宋_GB2312" w:cs="Times New Roman"/>
          <w:b w:val="0"/>
          <w:bCs w:val="0"/>
          <w:sz w:val="32"/>
          <w:szCs w:val="32"/>
          <w:highlight w:val="none"/>
        </w:rPr>
        <w:t>万元，占</w:t>
      </w:r>
      <w:r>
        <w:rPr>
          <w:rFonts w:ascii="仿宋_GB2312" w:eastAsia="仿宋_GB2312"/>
          <w:b w:val="0"/>
          <w:sz w:val="32"/>
          <w:szCs w:val="32"/>
        </w:rPr>
        <w:t>0.00</w:t>
      </w:r>
      <w:r>
        <w:rPr>
          <w:rFonts w:hint="eastAsia" w:ascii="仿宋_GB2312" w:hAnsi="Times New Roman" w:eastAsia="仿宋_GB2312" w:cs="Times New Roman"/>
          <w:b w:val="0"/>
          <w:bCs w:val="0"/>
          <w:sz w:val="32"/>
          <w:szCs w:val="32"/>
          <w:highlight w:val="none"/>
        </w:rPr>
        <w:t>%；事业收</w:t>
      </w:r>
      <w:r>
        <w:rPr>
          <w:rFonts w:hint="eastAsia" w:ascii="仿宋_GB2312" w:eastAsia="仿宋_GB2312"/>
          <w:b w:val="0"/>
          <w:bCs w:val="0"/>
          <w:sz w:val="32"/>
          <w:szCs w:val="32"/>
          <w:highlight w:val="none"/>
        </w:rPr>
        <w:t>入</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%；经营收入</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附属单位上缴收入</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%；其他收入</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w:t>
      </w:r>
    </w:p>
    <w:p w14:paraId="58098A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2" w:name="_Toc27961"/>
      <w:bookmarkStart w:id="13" w:name="_Toc20629"/>
      <w:r>
        <w:rPr>
          <w:rFonts w:hint="eastAsia" w:ascii="黑体" w:hAnsi="黑体" w:eastAsia="黑体" w:cs="宋体"/>
          <w:bCs/>
          <w:kern w:val="0"/>
          <w:sz w:val="32"/>
          <w:szCs w:val="32"/>
          <w:highlight w:val="none"/>
          <w:lang w:val="en-US" w:eastAsia="zh-CN"/>
        </w:rPr>
        <w:t>三、支出决算情况说明</w:t>
      </w:r>
      <w:bookmarkEnd w:id="12"/>
      <w:bookmarkEnd w:id="13"/>
    </w:p>
    <w:p w14:paraId="46F0AB6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z w:val="32"/>
          <w:szCs w:val="32"/>
          <w:highlight w:val="none"/>
          <w:lang w:eastAsia="zh-CN"/>
        </w:rPr>
      </w:pPr>
      <w:r>
        <w:rPr>
          <w:rFonts w:hint="eastAsia" w:ascii="仿宋_GB2312" w:eastAsia="仿宋_GB2312"/>
          <w:b/>
          <w:bCs/>
          <w:sz w:val="32"/>
          <w:szCs w:val="32"/>
          <w:highlight w:val="none"/>
        </w:rPr>
        <w:t>本年支出</w:t>
      </w:r>
      <w:r>
        <w:rPr>
          <w:rFonts w:hint="eastAsia" w:ascii="仿宋_GB2312" w:hAnsi="Times New Roman" w:eastAsia="仿宋_GB2312" w:cs="Times New Roman"/>
          <w:b/>
          <w:bCs/>
          <w:sz w:val="32"/>
          <w:szCs w:val="32"/>
          <w:highlight w:val="none"/>
        </w:rPr>
        <w:t>3,317.95</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其中：基本支出</w:t>
      </w:r>
      <w:r>
        <w:rPr>
          <w:rFonts w:ascii="仿宋_GB2312" w:eastAsia="仿宋_GB2312"/>
          <w:b w:val="0"/>
          <w:sz w:val="32"/>
          <w:szCs w:val="32"/>
        </w:rPr>
        <w:t>1,580.21</w:t>
      </w:r>
      <w:r>
        <w:rPr>
          <w:rFonts w:hint="eastAsia" w:ascii="仿宋_GB2312" w:eastAsia="仿宋_GB2312"/>
          <w:b w:val="0"/>
          <w:bCs w:val="0"/>
          <w:sz w:val="32"/>
          <w:szCs w:val="32"/>
          <w:highlight w:val="none"/>
        </w:rPr>
        <w:t>万元，占</w:t>
      </w:r>
      <w:r>
        <w:rPr>
          <w:rFonts w:ascii="仿宋_GB2312" w:eastAsia="仿宋_GB2312"/>
          <w:b w:val="0"/>
          <w:sz w:val="32"/>
          <w:szCs w:val="32"/>
        </w:rPr>
        <w:t>47.63</w:t>
      </w:r>
      <w:r>
        <w:rPr>
          <w:rFonts w:hint="eastAsia" w:ascii="仿宋_GB2312" w:eastAsia="仿宋_GB2312"/>
          <w:b w:val="0"/>
          <w:bCs w:val="0"/>
          <w:sz w:val="32"/>
          <w:szCs w:val="32"/>
          <w:highlight w:val="none"/>
        </w:rPr>
        <w:t>%；项目支出</w:t>
      </w:r>
      <w:r>
        <w:rPr>
          <w:rFonts w:ascii="仿宋_GB2312" w:eastAsia="仿宋_GB2312"/>
          <w:b w:val="0"/>
          <w:sz w:val="32"/>
          <w:szCs w:val="32"/>
        </w:rPr>
        <w:t>1,737.74</w:t>
      </w:r>
      <w:r>
        <w:rPr>
          <w:rFonts w:hint="eastAsia" w:ascii="仿宋_GB2312" w:eastAsia="仿宋_GB2312"/>
          <w:b w:val="0"/>
          <w:bCs w:val="0"/>
          <w:sz w:val="32"/>
          <w:szCs w:val="32"/>
          <w:highlight w:val="none"/>
        </w:rPr>
        <w:t>万元，占</w:t>
      </w:r>
      <w:r>
        <w:rPr>
          <w:rFonts w:ascii="仿宋_GB2312" w:eastAsia="仿宋_GB2312"/>
          <w:b w:val="0"/>
          <w:sz w:val="32"/>
          <w:szCs w:val="32"/>
        </w:rPr>
        <w:t>52.37</w:t>
      </w:r>
      <w:r>
        <w:rPr>
          <w:rFonts w:hint="eastAsia" w:ascii="仿宋_GB2312" w:eastAsia="仿宋_GB2312"/>
          <w:b w:val="0"/>
          <w:bCs w:val="0"/>
          <w:sz w:val="32"/>
          <w:szCs w:val="32"/>
          <w:highlight w:val="none"/>
        </w:rPr>
        <w:t>%；上缴上级支出</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%；经营支出</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%；对附属单位补助支出</w:t>
      </w:r>
      <w:r>
        <w:rPr>
          <w:rFonts w:ascii="仿宋_GB2312" w:eastAsia="仿宋_GB2312"/>
          <w:b w:val="0"/>
          <w:sz w:val="32"/>
          <w:szCs w:val="32"/>
        </w:rPr>
        <w:t>0.00</w:t>
      </w:r>
      <w:r>
        <w:rPr>
          <w:rFonts w:hint="eastAsia" w:ascii="仿宋_GB2312" w:eastAsia="仿宋_GB2312"/>
          <w:b w:val="0"/>
          <w:bCs w:val="0"/>
          <w:sz w:val="32"/>
          <w:szCs w:val="32"/>
          <w:highlight w:val="none"/>
        </w:rPr>
        <w:t>万元，占</w:t>
      </w:r>
      <w:r>
        <w:rPr>
          <w:rFonts w:ascii="仿宋_GB2312" w:eastAsia="仿宋_GB2312"/>
          <w:b w:val="0"/>
          <w:sz w:val="32"/>
          <w:szCs w:val="32"/>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w:t>
      </w:r>
    </w:p>
    <w:p w14:paraId="19FA04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4" w:name="_Toc7371"/>
      <w:bookmarkStart w:id="15" w:name="_Toc4393"/>
      <w:r>
        <w:rPr>
          <w:rFonts w:hint="eastAsia" w:ascii="黑体" w:hAnsi="黑体" w:eastAsia="黑体" w:cs="宋体"/>
          <w:bCs/>
          <w:kern w:val="0"/>
          <w:sz w:val="32"/>
          <w:szCs w:val="32"/>
          <w:highlight w:val="none"/>
          <w:lang w:val="en-US" w:eastAsia="zh-CN"/>
        </w:rPr>
        <w:t>四、财政拨款收入支出决算总体情况说明</w:t>
      </w:r>
      <w:bookmarkEnd w:id="14"/>
      <w:bookmarkEnd w:id="15"/>
    </w:p>
    <w:p w14:paraId="2A02749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lang w:eastAsia="zh-CN"/>
        </w:rPr>
      </w:pPr>
      <w:r>
        <w:rPr>
          <w:rFonts w:hint="eastAsia" w:ascii="仿宋_GB2312" w:eastAsia="仿宋_GB2312"/>
          <w:b/>
          <w:bCs/>
          <w:spacing w:val="0"/>
          <w:sz w:val="32"/>
          <w:szCs w:val="32"/>
          <w:highlight w:val="none"/>
          <w:lang w:eastAsia="zh-CN"/>
        </w:rPr>
        <w:t>2025年度财政拨款收入</w:t>
      </w:r>
      <w:r>
        <w:rPr>
          <w:rFonts w:hint="eastAsia" w:ascii="仿宋_GB2312" w:eastAsia="仿宋_GB2312"/>
          <w:b/>
          <w:bCs/>
          <w:spacing w:val="0"/>
          <w:sz w:val="32"/>
          <w:szCs w:val="32"/>
          <w:highlight w:val="none"/>
          <w:lang w:val="en-US" w:eastAsia="zh-CN"/>
        </w:rPr>
        <w:t>总计</w:t>
      </w:r>
      <w:r>
        <w:rPr>
          <w:rFonts w:hint="eastAsia" w:ascii="仿宋_GB2312" w:hAnsi="Times New Roman" w:eastAsia="仿宋_GB2312" w:cs="Times New Roman"/>
          <w:b/>
          <w:bCs/>
          <w:sz w:val="32"/>
          <w:szCs w:val="32"/>
          <w:highlight w:val="none"/>
        </w:rPr>
        <w:t>3,317.95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其中：年初财政拨款结转和结余</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本年财政拨款收入</w:t>
      </w:r>
      <w:r>
        <w:rPr>
          <w:rFonts w:hint="eastAsia" w:ascii="仿宋_GB2312" w:hAnsi="Times New Roman" w:eastAsia="仿宋_GB2312" w:cs="Times New Roman"/>
          <w:b w:val="0"/>
          <w:bCs w:val="0"/>
          <w:sz w:val="32"/>
          <w:szCs w:val="32"/>
          <w:highlight w:val="none"/>
        </w:rPr>
        <w:t>3,317.95</w:t>
      </w:r>
      <w:r>
        <w:rPr>
          <w:rFonts w:hint="eastAsia" w:ascii="仿宋_GB2312" w:eastAsia="仿宋_GB2312"/>
          <w:b w:val="0"/>
          <w:bCs w:val="0"/>
          <w:spacing w:val="0"/>
          <w:sz w:val="32"/>
          <w:szCs w:val="32"/>
          <w:highlight w:val="none"/>
          <w:lang w:eastAsia="zh-CN"/>
        </w:rPr>
        <w:t>万元。</w:t>
      </w:r>
      <w:r>
        <w:rPr>
          <w:rFonts w:hint="eastAsia" w:ascii="仿宋_GB2312" w:eastAsia="仿宋_GB2312"/>
          <w:b/>
          <w:bCs/>
          <w:spacing w:val="0"/>
          <w:sz w:val="32"/>
          <w:szCs w:val="32"/>
          <w:highlight w:val="none"/>
          <w:lang w:eastAsia="zh-CN"/>
        </w:rPr>
        <w:t>财政拨款支出</w:t>
      </w:r>
      <w:r>
        <w:rPr>
          <w:rFonts w:hint="eastAsia" w:ascii="仿宋_GB2312" w:eastAsia="仿宋_GB2312"/>
          <w:b/>
          <w:bCs/>
          <w:spacing w:val="0"/>
          <w:sz w:val="32"/>
          <w:szCs w:val="32"/>
          <w:highlight w:val="none"/>
          <w:lang w:val="en-US" w:eastAsia="zh-CN"/>
        </w:rPr>
        <w:t>总计</w:t>
      </w:r>
      <w:r>
        <w:rPr>
          <w:rFonts w:hint="eastAsia" w:ascii="仿宋_GB2312" w:hAnsi="Times New Roman" w:eastAsia="仿宋_GB2312" w:cs="Times New Roman"/>
          <w:b/>
          <w:bCs/>
          <w:sz w:val="32"/>
          <w:szCs w:val="32"/>
          <w:highlight w:val="none"/>
        </w:rPr>
        <w:t>3,317.95</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其中：年末财政拨款结转和结余</w:t>
      </w:r>
      <w:r>
        <w:rPr>
          <w:rFonts w:ascii="仿宋_GB2312" w:eastAsia="仿宋_GB2312"/>
          <w:b w:val="0"/>
          <w:sz w:val="32"/>
          <w:szCs w:val="32"/>
        </w:rPr>
        <w:t>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本年财政拨款支出</w:t>
      </w:r>
      <w:r>
        <w:rPr>
          <w:rFonts w:hint="eastAsia" w:ascii="仿宋_GB2312" w:hAnsi="Times New Roman" w:eastAsia="仿宋_GB2312" w:cs="Times New Roman"/>
          <w:b w:val="0"/>
          <w:bCs w:val="0"/>
          <w:sz w:val="32"/>
          <w:szCs w:val="32"/>
          <w:highlight w:val="none"/>
        </w:rPr>
        <w:t>3,317.95</w:t>
      </w:r>
      <w:r>
        <w:rPr>
          <w:rFonts w:hint="eastAsia" w:ascii="仿宋_GB2312" w:eastAsia="仿宋_GB2312"/>
          <w:b w:val="0"/>
          <w:bCs w:val="0"/>
          <w:spacing w:val="0"/>
          <w:sz w:val="32"/>
          <w:szCs w:val="32"/>
          <w:highlight w:val="none"/>
          <w:lang w:eastAsia="zh-CN"/>
        </w:rPr>
        <w:t>万元。</w:t>
      </w:r>
    </w:p>
    <w:p w14:paraId="4281039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bCs w:val="0"/>
          <w:kern w:val="0"/>
          <w:sz w:val="32"/>
          <w:szCs w:val="32"/>
          <w:highlight w:val="none"/>
          <w:lang w:eastAsia="zh-CN"/>
        </w:rPr>
        <w:t>财政拨款收入支出总体与上年相比，</w:t>
      </w:r>
      <w:r>
        <w:rPr>
          <w:rFonts w:ascii="仿宋_GB2312" w:eastAsia="仿宋_GB2312"/>
          <w:b w:val="0"/>
          <w:sz w:val="32"/>
          <w:szCs w:val="32"/>
        </w:rPr>
        <w:t>减少3,184.27</w:t>
      </w:r>
      <w:r>
        <w:rPr>
          <w:rFonts w:hint="eastAsia" w:ascii="仿宋_GB2312" w:hAnsi="仿宋_GB2312" w:eastAsia="仿宋_GB2312" w:cs="仿宋_GB2312"/>
          <w:b w:val="0"/>
          <w:bCs/>
          <w:kern w:val="0"/>
          <w:sz w:val="32"/>
          <w:szCs w:val="32"/>
          <w:highlight w:val="none"/>
          <w:lang w:eastAsia="zh-CN"/>
        </w:rPr>
        <w:t>万元，</w:t>
      </w:r>
      <w:r>
        <w:rPr>
          <w:rFonts w:ascii="仿宋_GB2312" w:eastAsia="仿宋_GB2312"/>
          <w:b w:val="0"/>
          <w:sz w:val="32"/>
          <w:szCs w:val="32"/>
        </w:rPr>
        <w:t>下降48.97</w:t>
      </w:r>
      <w:r>
        <w:rPr>
          <w:rFonts w:hint="eastAsia" w:ascii="仿宋_GB2312" w:hAnsi="仿宋_GB2312" w:eastAsia="仿宋_GB2312" w:cs="仿宋_GB2312"/>
          <w:b w:val="0"/>
          <w:bCs/>
          <w:kern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按照</w:t>
      </w:r>
      <w:r>
        <w:rPr>
          <w:rFonts w:hint="eastAsia" w:ascii="仿宋_GB2312" w:hAnsi="Times New Roman" w:eastAsia="仿宋_GB2312" w:cs="Times New Roman"/>
          <w:sz w:val="32"/>
          <w:szCs w:val="32"/>
          <w:highlight w:val="none"/>
          <w:lang w:val="en-US" w:eastAsia="zh-CN"/>
        </w:rPr>
        <w:t>昌市党编委〔2025〕2号《关于调整昌吉高新技术产业开发区党工委管委会所属事业单位机构编制事宜的</w:t>
      </w:r>
      <w:r>
        <w:rPr>
          <w:rFonts w:hint="eastAsia" w:ascii="仿宋_GB2312" w:eastAsia="仿宋_GB2312" w:cs="Times New Roman"/>
          <w:sz w:val="32"/>
          <w:szCs w:val="32"/>
          <w:highlight w:val="none"/>
          <w:lang w:val="en-US" w:eastAsia="zh-CN"/>
        </w:rPr>
        <w:t>通知》要求</w:t>
      </w:r>
      <w:r>
        <w:rPr>
          <w:rFonts w:hint="eastAsia" w:ascii="仿宋_GB2312" w:hAnsi="Times New Roman" w:eastAsia="仿宋_GB2312" w:cs="Times New Roman"/>
          <w:sz w:val="32"/>
          <w:szCs w:val="32"/>
          <w:highlight w:val="none"/>
          <w:lang w:val="en-US" w:eastAsia="zh-CN"/>
        </w:rPr>
        <w:t>，市政中心开展清算注销流程，部分项目预算收入支出转至其他部门，</w:t>
      </w:r>
      <w:r>
        <w:rPr>
          <w:rFonts w:hint="eastAsia" w:ascii="仿宋_GB2312" w:eastAsia="仿宋_GB2312"/>
          <w:b w:val="0"/>
          <w:sz w:val="32"/>
          <w:szCs w:val="32"/>
          <w:lang w:val="en-US" w:eastAsia="zh-CN"/>
        </w:rPr>
        <w:t>收入支出总体减少</w:t>
      </w:r>
      <w:r>
        <w:rPr>
          <w:rFonts w:hint="eastAsia" w:ascii="仿宋_GB2312" w:eastAsia="仿宋_GB2312"/>
          <w:b w:val="0"/>
          <w:bCs w:val="0"/>
          <w:spacing w:val="0"/>
          <w:sz w:val="32"/>
          <w:szCs w:val="32"/>
          <w:highlight w:val="none"/>
          <w:lang w:eastAsia="zh-CN"/>
        </w:rPr>
        <w:t>。</w:t>
      </w:r>
    </w:p>
    <w:p w14:paraId="3D3E5AB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hAnsi="仿宋_GB2312" w:eastAsia="仿宋_GB2312" w:cs="仿宋_GB2312"/>
          <w:b/>
          <w:bCs w:val="0"/>
          <w:kern w:val="0"/>
          <w:sz w:val="32"/>
          <w:szCs w:val="32"/>
          <w:highlight w:val="none"/>
          <w:lang w:eastAsia="zh-CN"/>
        </w:rPr>
        <w:t>与年初预算相比，</w:t>
      </w:r>
      <w:r>
        <w:rPr>
          <w:rFonts w:hint="eastAsia" w:ascii="仿宋_GB2312" w:hAnsi="仿宋_GB2312" w:eastAsia="仿宋_GB2312" w:cs="仿宋_GB2312"/>
          <w:b w:val="0"/>
          <w:bCs/>
          <w:kern w:val="0"/>
          <w:sz w:val="32"/>
          <w:szCs w:val="32"/>
          <w:highlight w:val="none"/>
          <w:lang w:eastAsia="zh-CN"/>
        </w:rPr>
        <w:t>年初预算数</w:t>
      </w:r>
      <w:r>
        <w:rPr>
          <w:rFonts w:ascii="仿宋_GB2312" w:eastAsia="仿宋_GB2312"/>
          <w:b w:val="0"/>
          <w:sz w:val="32"/>
          <w:szCs w:val="32"/>
        </w:rPr>
        <w:t>3,196.21</w:t>
      </w:r>
      <w:r>
        <w:rPr>
          <w:rFonts w:hint="eastAsia" w:ascii="仿宋_GB2312" w:hAnsi="仿宋_GB2312" w:eastAsia="仿宋_GB2312" w:cs="仿宋_GB2312"/>
          <w:b w:val="0"/>
          <w:bCs/>
          <w:kern w:val="0"/>
          <w:sz w:val="32"/>
          <w:szCs w:val="32"/>
          <w:highlight w:val="none"/>
          <w:lang w:eastAsia="zh-CN"/>
        </w:rPr>
        <w:t>万元，决算数</w:t>
      </w:r>
      <w:r>
        <w:rPr>
          <w:rFonts w:ascii="仿宋_GB2312" w:eastAsia="仿宋_GB2312"/>
          <w:b w:val="0"/>
          <w:sz w:val="32"/>
          <w:szCs w:val="32"/>
        </w:rPr>
        <w:t>3,317.95</w:t>
      </w:r>
      <w:r>
        <w:rPr>
          <w:rFonts w:hint="eastAsia" w:ascii="仿宋_GB2312" w:hAnsi="仿宋_GB2312" w:eastAsia="仿宋_GB2312" w:cs="仿宋_GB2312"/>
          <w:b w:val="0"/>
          <w:bCs/>
          <w:kern w:val="0"/>
          <w:sz w:val="32"/>
          <w:szCs w:val="32"/>
          <w:highlight w:val="none"/>
          <w:lang w:eastAsia="zh-CN"/>
        </w:rPr>
        <w:t>万元，预决算差异率</w:t>
      </w:r>
      <w:r>
        <w:rPr>
          <w:rFonts w:ascii="仿宋_GB2312" w:eastAsia="仿宋_GB2312"/>
          <w:b w:val="0"/>
          <w:sz w:val="32"/>
          <w:szCs w:val="32"/>
        </w:rPr>
        <w:t>3.81</w:t>
      </w:r>
      <w:r>
        <w:rPr>
          <w:rFonts w:hint="eastAsia" w:ascii="仿宋_GB2312" w:hAnsi="仿宋_GB2312" w:eastAsia="仿宋_GB2312" w:cs="仿宋_GB2312"/>
          <w:b w:val="0"/>
          <w:bCs/>
          <w:kern w:val="0"/>
          <w:sz w:val="32"/>
          <w:szCs w:val="32"/>
          <w:highlight w:val="none"/>
          <w:lang w:eastAsia="zh-CN"/>
        </w:rPr>
        <w:t>%，主要原因是：</w:t>
      </w:r>
      <w:r>
        <w:rPr>
          <w:rFonts w:hint="eastAsia" w:ascii="仿宋_GB2312" w:hAnsi="仿宋_GB2312" w:eastAsia="仿宋_GB2312" w:cs="仿宋_GB2312"/>
          <w:b w:val="0"/>
          <w:bCs/>
          <w:kern w:val="0"/>
          <w:sz w:val="32"/>
          <w:szCs w:val="32"/>
          <w:highlight w:val="none"/>
          <w:lang w:val="en-US" w:eastAsia="zh-CN"/>
        </w:rPr>
        <w:t>支付回购高新区集中医学观察点建设项目剩余资金</w:t>
      </w:r>
      <w:r>
        <w:rPr>
          <w:rFonts w:hint="eastAsia" w:ascii="仿宋_GB2312" w:hAnsi="仿宋_GB2312" w:eastAsia="仿宋_GB2312" w:cs="仿宋_GB2312"/>
          <w:b w:val="0"/>
          <w:bCs/>
          <w:kern w:val="0"/>
          <w:sz w:val="32"/>
          <w:szCs w:val="32"/>
          <w:highlight w:val="none"/>
          <w:lang w:eastAsia="zh-CN"/>
        </w:rPr>
        <w:t>。</w:t>
      </w:r>
    </w:p>
    <w:p w14:paraId="11E1D4B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6" w:name="_Toc13833"/>
      <w:bookmarkStart w:id="17" w:name="_Toc18905"/>
      <w:r>
        <w:rPr>
          <w:rFonts w:hint="eastAsia" w:ascii="黑体" w:hAnsi="黑体" w:eastAsia="黑体" w:cs="宋体"/>
          <w:bCs/>
          <w:kern w:val="0"/>
          <w:sz w:val="32"/>
          <w:szCs w:val="32"/>
          <w:highlight w:val="none"/>
          <w:lang w:val="en-US" w:eastAsia="zh-CN"/>
        </w:rPr>
        <w:t>五、一般公共预算财政拨款支出决算情况说明</w:t>
      </w:r>
      <w:bookmarkEnd w:id="16"/>
      <w:bookmarkEnd w:id="17"/>
    </w:p>
    <w:p w14:paraId="3E58C2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bookmarkStart w:id="18" w:name="_Toc1165"/>
      <w:r>
        <w:rPr>
          <w:rFonts w:hint="eastAsia" w:ascii="仿宋_GB2312" w:hAnsi="仿宋_GB2312" w:eastAsia="仿宋_GB2312" w:cs="仿宋_GB2312"/>
          <w:b w:val="0"/>
          <w:bCs/>
          <w:kern w:val="0"/>
          <w:sz w:val="32"/>
          <w:szCs w:val="32"/>
          <w:highlight w:val="none"/>
          <w:lang w:eastAsia="zh-CN"/>
        </w:rPr>
        <w:t>按照党中央、国务院关于党政机关习惯过紧日子的有关要求，厉行节约办一切事业，严控一般性支出。同时坚持有保有压，优化支出结构，提高资金使用效率，合理保障</w:t>
      </w:r>
      <w:r>
        <w:rPr>
          <w:rFonts w:hint="eastAsia" w:ascii="仿宋_GB2312" w:eastAsia="仿宋_GB2312"/>
          <w:b w:val="0"/>
          <w:bCs w:val="0"/>
          <w:spacing w:val="0"/>
          <w:sz w:val="32"/>
          <w:szCs w:val="32"/>
          <w:highlight w:val="none"/>
          <w:lang w:val="en-US" w:eastAsia="zh-CN"/>
        </w:rPr>
        <w:t>人员工资福利</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val="en-US" w:eastAsia="zh-CN"/>
        </w:rPr>
        <w:t>餐厅运行</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val="en-US" w:eastAsia="zh-CN"/>
        </w:rPr>
        <w:t>污水处理服务费</w:t>
      </w:r>
      <w:r>
        <w:rPr>
          <w:rFonts w:hint="eastAsia" w:ascii="仿宋_GB2312" w:hAnsi="仿宋_GB2312" w:eastAsia="仿宋_GB2312" w:cs="仿宋_GB2312"/>
          <w:b w:val="0"/>
          <w:bCs/>
          <w:kern w:val="0"/>
          <w:sz w:val="32"/>
          <w:szCs w:val="32"/>
          <w:highlight w:val="none"/>
          <w:lang w:eastAsia="zh-CN"/>
        </w:rPr>
        <w:t>等重点支出，体现在有关支出科目中。</w:t>
      </w:r>
    </w:p>
    <w:p w14:paraId="47667F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r>
        <w:rPr>
          <w:rFonts w:hint="eastAsia" w:ascii="仿宋_GB2312" w:hAnsi="仿宋_GB2312" w:eastAsia="仿宋_GB2312" w:cs="仿宋_GB2312"/>
          <w:b w:val="0"/>
          <w:bCs/>
          <w:kern w:val="0"/>
          <w:sz w:val="32"/>
          <w:szCs w:val="32"/>
          <w:highlight w:val="none"/>
          <w:lang w:eastAsia="zh-CN"/>
        </w:rPr>
        <w:t>按照支出功能分类，</w:t>
      </w:r>
      <w:r>
        <w:rPr>
          <w:rFonts w:ascii="仿宋_GB2312" w:eastAsia="仿宋_GB2312"/>
          <w:b w:val="0"/>
          <w:sz w:val="32"/>
          <w:szCs w:val="32"/>
        </w:rPr>
        <w:t>城乡社区支出（类）城乡社区管理事务（款）市政公用行业市场监管（项）</w:t>
      </w:r>
      <w:r>
        <w:rPr>
          <w:rFonts w:hint="eastAsia" w:ascii="仿宋_GB2312" w:hAnsi="仿宋_GB2312" w:eastAsia="仿宋_GB2312" w:cs="仿宋_GB2312"/>
          <w:kern w:val="0"/>
          <w:sz w:val="32"/>
          <w:szCs w:val="32"/>
          <w:highlight w:val="none"/>
        </w:rPr>
        <w:t>的支出</w:t>
      </w:r>
      <w:r>
        <w:rPr>
          <w:rFonts w:hint="eastAsia" w:ascii="仿宋_GB2312" w:hAnsi="仿宋_GB2312" w:eastAsia="仿宋_GB2312" w:cs="仿宋_GB2312"/>
          <w:b w:val="0"/>
          <w:bCs/>
          <w:kern w:val="0"/>
          <w:sz w:val="32"/>
          <w:szCs w:val="32"/>
          <w:highlight w:val="none"/>
          <w:lang w:eastAsia="zh-CN"/>
        </w:rPr>
        <w:t>占本年财政拨款支出总额的</w:t>
      </w:r>
      <w:r>
        <w:rPr>
          <w:rFonts w:hint="eastAsia" w:ascii="仿宋_GB2312" w:hAnsi="仿宋_GB2312" w:eastAsia="仿宋_GB2312" w:cs="仿宋_GB2312"/>
          <w:b w:val="0"/>
          <w:bCs/>
          <w:kern w:val="0"/>
          <w:sz w:val="32"/>
          <w:szCs w:val="32"/>
          <w:highlight w:val="none"/>
          <w:lang w:val="en-US" w:eastAsia="zh-CN"/>
        </w:rPr>
        <w:t>比重最高</w:t>
      </w:r>
      <w:r>
        <w:rPr>
          <w:rFonts w:hint="eastAsia" w:ascii="仿宋_GB2312" w:hAnsi="仿宋_GB2312" w:eastAsia="仿宋_GB2312" w:cs="仿宋_GB2312"/>
          <w:b w:val="0"/>
          <w:bCs/>
          <w:kern w:val="0"/>
          <w:sz w:val="32"/>
          <w:szCs w:val="32"/>
          <w:highlight w:val="none"/>
          <w:lang w:eastAsia="zh-CN"/>
        </w:rPr>
        <w:t>，2025年度决算数为</w:t>
      </w:r>
      <w:r>
        <w:rPr>
          <w:rFonts w:ascii="仿宋_GB2312" w:eastAsia="仿宋_GB2312"/>
          <w:b w:val="0"/>
          <w:sz w:val="32"/>
          <w:szCs w:val="32"/>
        </w:rPr>
        <w:t>996.18</w:t>
      </w:r>
      <w:r>
        <w:rPr>
          <w:rFonts w:hint="eastAsia" w:ascii="仿宋_GB2312" w:hAnsi="仿宋_GB2312" w:eastAsia="仿宋_GB2312" w:cs="仿宋_GB2312"/>
          <w:b w:val="0"/>
          <w:bCs/>
          <w:kern w:val="0"/>
          <w:sz w:val="32"/>
          <w:szCs w:val="32"/>
          <w:highlight w:val="none"/>
          <w:lang w:eastAsia="zh-CN"/>
        </w:rPr>
        <w:t>万元，占</w:t>
      </w:r>
      <w:r>
        <w:rPr>
          <w:rFonts w:hint="eastAsia" w:ascii="仿宋_GB2312" w:hAnsi="仿宋_GB2312" w:eastAsia="仿宋_GB2312" w:cs="仿宋_GB2312"/>
          <w:b w:val="0"/>
          <w:bCs/>
          <w:kern w:val="0"/>
          <w:sz w:val="32"/>
          <w:szCs w:val="32"/>
          <w:highlight w:val="none"/>
          <w:lang w:val="en-US" w:eastAsia="zh-CN"/>
        </w:rPr>
        <w:t>比</w:t>
      </w:r>
      <w:r>
        <w:rPr>
          <w:rFonts w:ascii="仿宋_GB2312" w:eastAsia="仿宋_GB2312"/>
          <w:b w:val="0"/>
          <w:sz w:val="32"/>
          <w:szCs w:val="32"/>
        </w:rPr>
        <w:t>30.02</w:t>
      </w:r>
      <w:r>
        <w:rPr>
          <w:rFonts w:hint="eastAsia" w:ascii="仿宋_GB2312" w:hAnsi="仿宋_GB2312" w:eastAsia="仿宋_GB2312" w:cs="仿宋_GB2312"/>
          <w:b w:val="0"/>
          <w:bCs/>
          <w:kern w:val="0"/>
          <w:sz w:val="32"/>
          <w:szCs w:val="32"/>
          <w:highlight w:val="none"/>
          <w:lang w:eastAsia="zh-CN"/>
        </w:rPr>
        <w:t>%，主要用于</w:t>
      </w:r>
      <w:r>
        <w:rPr>
          <w:rFonts w:hint="eastAsia" w:ascii="仿宋_GB2312" w:hAnsi="仿宋_GB2312" w:eastAsia="仿宋_GB2312" w:cs="仿宋_GB2312"/>
          <w:b w:val="0"/>
          <w:bCs/>
          <w:kern w:val="0"/>
          <w:sz w:val="32"/>
          <w:szCs w:val="32"/>
          <w:highlight w:val="none"/>
          <w:lang w:val="en-US" w:eastAsia="zh-CN"/>
        </w:rPr>
        <w:t>支付</w:t>
      </w:r>
      <w:r>
        <w:rPr>
          <w:rFonts w:hint="eastAsia" w:ascii="仿宋_GB2312" w:eastAsia="仿宋_GB2312"/>
          <w:b w:val="0"/>
          <w:bCs w:val="0"/>
          <w:spacing w:val="0"/>
          <w:sz w:val="32"/>
          <w:szCs w:val="32"/>
          <w:highlight w:val="none"/>
          <w:lang w:val="en-US" w:eastAsia="zh-CN"/>
        </w:rPr>
        <w:t>人员工资福利费用</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val="en-US" w:eastAsia="zh-CN"/>
        </w:rPr>
        <w:t>餐厅运行费用</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val="en-US" w:eastAsia="zh-CN"/>
        </w:rPr>
        <w:t>污水处理服务费及其他部门业务费用</w:t>
      </w:r>
      <w:r>
        <w:rPr>
          <w:rFonts w:hint="eastAsia" w:ascii="仿宋_GB2312" w:eastAsia="仿宋_GB2312"/>
          <w:b w:val="0"/>
          <w:bCs w:val="0"/>
          <w:spacing w:val="0"/>
          <w:sz w:val="32"/>
          <w:szCs w:val="32"/>
          <w:highlight w:val="none"/>
          <w:lang w:eastAsia="zh-CN"/>
        </w:rPr>
        <w:t>。</w:t>
      </w:r>
    </w:p>
    <w:p w14:paraId="5799F81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r>
        <w:rPr>
          <w:rFonts w:hint="eastAsia" w:ascii="楷体_GB2312" w:hAnsi="楷体_GB2312" w:eastAsia="楷体_GB2312" w:cs="楷体_GB2312"/>
          <w:b/>
          <w:bCs/>
          <w:sz w:val="32"/>
          <w:szCs w:val="32"/>
          <w:highlight w:val="none"/>
          <w:lang w:eastAsia="zh-CN"/>
        </w:rPr>
        <w:t>（一）一般公共预算财政拨款支出决算总体情况</w:t>
      </w:r>
      <w:bookmarkEnd w:id="18"/>
    </w:p>
    <w:p w14:paraId="30BA94D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2025年度一般公共预算财政拨款支</w:t>
      </w:r>
      <w:r>
        <w:rPr>
          <w:rFonts w:hint="eastAsia" w:ascii="仿宋_GB2312" w:hAnsi="Times New Roman" w:eastAsia="仿宋_GB2312" w:cs="Times New Roman"/>
          <w:b/>
          <w:bCs/>
          <w:spacing w:val="0"/>
          <w:sz w:val="32"/>
          <w:szCs w:val="32"/>
          <w:highlight w:val="none"/>
          <w:lang w:eastAsia="zh-CN"/>
        </w:rPr>
        <w:t>出</w:t>
      </w:r>
      <w:r>
        <w:rPr>
          <w:rFonts w:hint="eastAsia" w:ascii="仿宋_GB2312" w:hAnsi="Times New Roman" w:eastAsia="仿宋_GB2312" w:cs="Times New Roman"/>
          <w:b/>
          <w:bCs/>
          <w:sz w:val="32"/>
          <w:szCs w:val="32"/>
          <w:highlight w:val="none"/>
        </w:rPr>
        <w:t>2,793.52</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eastAsia="zh-CN"/>
        </w:rPr>
        <w:t>占本年支出合计的</w:t>
      </w:r>
      <w:r>
        <w:rPr>
          <w:rFonts w:ascii="仿宋_GB2312" w:eastAsia="仿宋_GB2312"/>
          <w:b w:val="0"/>
          <w:sz w:val="32"/>
          <w:szCs w:val="32"/>
        </w:rPr>
        <w:t>84.19</w:t>
      </w:r>
      <w:r>
        <w:rPr>
          <w:rFonts w:hint="eastAsia" w:ascii="仿宋_GB2312" w:eastAsia="仿宋_GB2312"/>
          <w:b w:val="0"/>
          <w:bCs w:val="0"/>
          <w:spacing w:val="0"/>
          <w:sz w:val="32"/>
          <w:szCs w:val="32"/>
          <w:highlight w:val="none"/>
          <w:lang w:eastAsia="zh-CN"/>
        </w:rPr>
        <w:t>%。</w:t>
      </w:r>
      <w:r>
        <w:rPr>
          <w:rFonts w:hint="eastAsia" w:ascii="仿宋_GB2312" w:eastAsia="仿宋_GB2312"/>
          <w:b/>
          <w:bCs/>
          <w:spacing w:val="0"/>
          <w:sz w:val="32"/>
          <w:szCs w:val="32"/>
          <w:highlight w:val="none"/>
          <w:lang w:eastAsia="zh-CN"/>
        </w:rPr>
        <w:t>与上年相比，</w:t>
      </w:r>
      <w:r>
        <w:rPr>
          <w:rFonts w:hint="eastAsia" w:ascii="仿宋_GB2312" w:eastAsia="仿宋_GB2312"/>
          <w:b w:val="0"/>
          <w:bCs w:val="0"/>
          <w:spacing w:val="0"/>
          <w:sz w:val="32"/>
          <w:szCs w:val="32"/>
          <w:highlight w:val="none"/>
          <w:lang w:eastAsia="zh-CN"/>
        </w:rPr>
        <w:t>减少</w:t>
      </w:r>
      <w:r>
        <w:rPr>
          <w:rFonts w:ascii="仿宋_GB2312" w:eastAsia="仿宋_GB2312"/>
          <w:b w:val="0"/>
          <w:sz w:val="32"/>
          <w:szCs w:val="32"/>
        </w:rPr>
        <w:t>3,250.61</w:t>
      </w:r>
      <w:r>
        <w:rPr>
          <w:rFonts w:hint="eastAsia" w:ascii="仿宋_GB2312" w:eastAsia="仿宋_GB2312"/>
          <w:b w:val="0"/>
          <w:bCs w:val="0"/>
          <w:spacing w:val="0"/>
          <w:sz w:val="32"/>
          <w:szCs w:val="32"/>
          <w:highlight w:val="none"/>
          <w:lang w:eastAsia="zh-CN"/>
        </w:rPr>
        <w:t>万元，</w:t>
      </w:r>
      <w:r>
        <w:rPr>
          <w:rFonts w:ascii="仿宋_GB2312" w:eastAsia="仿宋_GB2312"/>
          <w:b w:val="0"/>
          <w:sz w:val="32"/>
          <w:szCs w:val="32"/>
        </w:rPr>
        <w:t>下降53.78%</w:t>
      </w:r>
      <w:r>
        <w:rPr>
          <w:rFonts w:hint="eastAsia" w:ascii="仿宋_GB2312" w:eastAsia="仿宋_GB2312"/>
          <w:b w:val="0"/>
          <w:bCs w:val="0"/>
          <w:spacing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按照</w:t>
      </w:r>
      <w:r>
        <w:rPr>
          <w:rFonts w:hint="eastAsia" w:ascii="仿宋_GB2312" w:hAnsi="Times New Roman" w:eastAsia="仿宋_GB2312" w:cs="Times New Roman"/>
          <w:sz w:val="32"/>
          <w:szCs w:val="32"/>
          <w:highlight w:val="none"/>
          <w:lang w:val="en-US" w:eastAsia="zh-CN"/>
        </w:rPr>
        <w:t>昌市党编委〔2025〕2号《关于调整昌吉高新技术产业开发区党工委管委会所属事业单位机构编制事宜的</w:t>
      </w:r>
      <w:r>
        <w:rPr>
          <w:rFonts w:hint="eastAsia" w:ascii="仿宋_GB2312" w:eastAsia="仿宋_GB2312" w:cs="Times New Roman"/>
          <w:sz w:val="32"/>
          <w:szCs w:val="32"/>
          <w:highlight w:val="none"/>
          <w:lang w:val="en-US" w:eastAsia="zh-CN"/>
        </w:rPr>
        <w:t>通知》要求</w:t>
      </w:r>
      <w:r>
        <w:rPr>
          <w:rFonts w:hint="eastAsia" w:ascii="仿宋_GB2312" w:hAnsi="Times New Roman" w:eastAsia="仿宋_GB2312" w:cs="Times New Roman"/>
          <w:sz w:val="32"/>
          <w:szCs w:val="32"/>
          <w:highlight w:val="none"/>
          <w:lang w:val="en-US" w:eastAsia="zh-CN"/>
        </w:rPr>
        <w:t>，市政中心开展清算注销流程，部分项目预算转至其他部门，</w:t>
      </w:r>
      <w:r>
        <w:rPr>
          <w:rFonts w:hint="eastAsia" w:ascii="仿宋_GB2312" w:eastAsia="仿宋_GB2312"/>
          <w:b w:val="0"/>
          <w:sz w:val="32"/>
          <w:szCs w:val="32"/>
          <w:lang w:val="en-US" w:eastAsia="zh-CN"/>
        </w:rPr>
        <w:t>支出总体减少</w:t>
      </w:r>
      <w:r>
        <w:rPr>
          <w:rFonts w:hint="eastAsia" w:ascii="仿宋_GB2312" w:eastAsia="仿宋_GB2312"/>
          <w:b w:val="0"/>
          <w:bCs w:val="0"/>
          <w:spacing w:val="0"/>
          <w:sz w:val="32"/>
          <w:szCs w:val="32"/>
          <w:highlight w:val="none"/>
          <w:lang w:eastAsia="zh-CN"/>
        </w:rPr>
        <w:t>。</w:t>
      </w:r>
    </w:p>
    <w:p w14:paraId="2BD21AB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eastAsia="仿宋_GB2312"/>
          <w:spacing w:val="0"/>
          <w:sz w:val="32"/>
          <w:szCs w:val="32"/>
          <w:highlight w:val="none"/>
        </w:rPr>
      </w:pPr>
      <w:r>
        <w:rPr>
          <w:rFonts w:hint="eastAsia" w:ascii="仿宋_GB2312" w:eastAsia="仿宋_GB2312"/>
          <w:b/>
          <w:bCs/>
          <w:spacing w:val="0"/>
          <w:sz w:val="32"/>
          <w:szCs w:val="32"/>
          <w:highlight w:val="none"/>
          <w:lang w:eastAsia="zh-CN"/>
        </w:rPr>
        <w:t>与年初预算相比，</w:t>
      </w:r>
      <w:r>
        <w:rPr>
          <w:rFonts w:hint="eastAsia" w:ascii="仿宋_GB2312" w:eastAsia="仿宋_GB2312"/>
          <w:b w:val="0"/>
          <w:bCs w:val="0"/>
          <w:spacing w:val="0"/>
          <w:sz w:val="32"/>
          <w:szCs w:val="32"/>
          <w:highlight w:val="none"/>
          <w:lang w:eastAsia="zh-CN"/>
        </w:rPr>
        <w:t>年初预算数</w:t>
      </w:r>
      <w:r>
        <w:rPr>
          <w:rFonts w:ascii="仿宋_GB2312" w:eastAsia="仿宋_GB2312"/>
          <w:b w:val="0"/>
          <w:sz w:val="32"/>
          <w:szCs w:val="32"/>
        </w:rPr>
        <w:t>2,682.21</w:t>
      </w:r>
      <w:r>
        <w:rPr>
          <w:rFonts w:hint="eastAsia" w:ascii="仿宋_GB2312" w:eastAsia="仿宋_GB2312"/>
          <w:b w:val="0"/>
          <w:bCs w:val="0"/>
          <w:spacing w:val="0"/>
          <w:sz w:val="32"/>
          <w:szCs w:val="32"/>
          <w:highlight w:val="none"/>
          <w:lang w:eastAsia="zh-CN"/>
        </w:rPr>
        <w:t>万元，决算数</w:t>
      </w:r>
      <w:r>
        <w:rPr>
          <w:rFonts w:ascii="仿宋_GB2312" w:eastAsia="仿宋_GB2312"/>
          <w:b w:val="0"/>
          <w:sz w:val="32"/>
          <w:szCs w:val="32"/>
        </w:rPr>
        <w:t>2,793.52</w:t>
      </w:r>
      <w:r>
        <w:rPr>
          <w:rFonts w:hint="eastAsia" w:ascii="仿宋_GB2312" w:eastAsia="仿宋_GB2312"/>
          <w:b w:val="0"/>
          <w:bCs w:val="0"/>
          <w:spacing w:val="0"/>
          <w:sz w:val="32"/>
          <w:szCs w:val="32"/>
          <w:highlight w:val="none"/>
          <w:lang w:eastAsia="zh-CN"/>
        </w:rPr>
        <w:t>万元，预决算差异率</w:t>
      </w:r>
      <w:r>
        <w:rPr>
          <w:rFonts w:ascii="仿宋_GB2312" w:eastAsia="仿宋_GB2312"/>
          <w:b w:val="0"/>
          <w:sz w:val="32"/>
          <w:szCs w:val="32"/>
        </w:rPr>
        <w:t>4.15</w:t>
      </w:r>
      <w:r>
        <w:rPr>
          <w:rFonts w:hint="eastAsia" w:ascii="仿宋_GB2312" w:eastAsia="仿宋_GB2312"/>
          <w:b w:val="0"/>
          <w:bCs w:val="0"/>
          <w:spacing w:val="0"/>
          <w:sz w:val="32"/>
          <w:szCs w:val="32"/>
          <w:highlight w:val="none"/>
          <w:lang w:eastAsia="zh-CN"/>
        </w:rPr>
        <w:t>%，主要原因是：</w:t>
      </w:r>
      <w:r>
        <w:rPr>
          <w:rFonts w:hint="eastAsia" w:ascii="仿宋_GB2312" w:hAnsi="仿宋_GB2312" w:eastAsia="仿宋_GB2312" w:cs="仿宋_GB2312"/>
          <w:b w:val="0"/>
          <w:bCs/>
          <w:kern w:val="0"/>
          <w:sz w:val="32"/>
          <w:szCs w:val="32"/>
          <w:highlight w:val="none"/>
          <w:lang w:val="en-US" w:eastAsia="zh-CN"/>
        </w:rPr>
        <w:t>支付回购高新区集中医学观察点建设项目剩余资金</w:t>
      </w:r>
      <w:r>
        <w:rPr>
          <w:rFonts w:hint="eastAsia" w:ascii="仿宋_GB2312" w:hAnsi="仿宋_GB2312" w:eastAsia="仿宋_GB2312" w:cs="仿宋_GB2312"/>
          <w:b w:val="0"/>
          <w:bCs/>
          <w:kern w:val="0"/>
          <w:sz w:val="32"/>
          <w:szCs w:val="32"/>
          <w:highlight w:val="none"/>
          <w:lang w:eastAsia="zh-CN"/>
        </w:rPr>
        <w:t>。</w:t>
      </w:r>
    </w:p>
    <w:p w14:paraId="7761F2D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19" w:name="_Toc27147"/>
      <w:r>
        <w:rPr>
          <w:rFonts w:hint="eastAsia" w:ascii="楷体_GB2312" w:hAnsi="楷体_GB2312" w:eastAsia="楷体_GB2312" w:cs="楷体_GB2312"/>
          <w:b/>
          <w:bCs/>
          <w:sz w:val="32"/>
          <w:szCs w:val="32"/>
          <w:highlight w:val="none"/>
          <w:lang w:eastAsia="zh-CN"/>
        </w:rPr>
        <w:t>（二）一般公共预算</w:t>
      </w:r>
      <w:r>
        <w:rPr>
          <w:rFonts w:hint="eastAsia" w:ascii="楷体_GB2312" w:hAnsi="楷体_GB2312" w:eastAsia="楷体_GB2312" w:cs="楷体_GB2312"/>
          <w:b/>
          <w:bCs/>
          <w:sz w:val="32"/>
          <w:szCs w:val="32"/>
          <w:highlight w:val="none"/>
          <w:lang w:val="en-US" w:eastAsia="zh-CN"/>
        </w:rPr>
        <w:t>财政拨款支出决算</w:t>
      </w:r>
      <w:r>
        <w:rPr>
          <w:rFonts w:hint="eastAsia" w:ascii="楷体_GB2312" w:hAnsi="楷体_GB2312" w:eastAsia="楷体_GB2312" w:cs="楷体_GB2312"/>
          <w:b/>
          <w:bCs/>
          <w:sz w:val="32"/>
          <w:szCs w:val="32"/>
          <w:highlight w:val="none"/>
          <w:lang w:eastAsia="zh-CN"/>
        </w:rPr>
        <w:t>结构情况</w:t>
      </w:r>
      <w:bookmarkEnd w:id="19"/>
    </w:p>
    <w:p w14:paraId="5E641357">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1.公共安全支出（类）773.64万元，占27.69%。</w:t>
      </w:r>
    </w:p>
    <w:p w14:paraId="21EBD24A">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2.社会保障和就业支出（类）37.41万元，占1.34%。</w:t>
      </w:r>
    </w:p>
    <w:p w14:paraId="2DC0359C">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3.卫生健康支出（类）811.83万元，占29.06%。</w:t>
      </w:r>
    </w:p>
    <w:p w14:paraId="1C2671FB">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4.城乡社区支出（类）1,163.19万元，占41.64%。</w:t>
      </w:r>
    </w:p>
    <w:p w14:paraId="03EAF0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ascii="仿宋_GB2312" w:eastAsia="仿宋_GB2312"/>
          <w:b w:val="0"/>
          <w:sz w:val="32"/>
          <w:szCs w:val="32"/>
        </w:rPr>
      </w:pPr>
      <w:r>
        <w:rPr>
          <w:rFonts w:ascii="仿宋_GB2312" w:eastAsia="仿宋_GB2312"/>
          <w:b w:val="0"/>
          <w:sz w:val="32"/>
          <w:szCs w:val="32"/>
        </w:rPr>
        <w:t>5.住房保障支出（类）7.45万元，占0.27%。</w:t>
      </w:r>
      <w:bookmarkStart w:id="20" w:name="_Toc10037"/>
    </w:p>
    <w:p w14:paraId="67A20C5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r>
        <w:rPr>
          <w:rFonts w:hint="eastAsia" w:ascii="楷体_GB2312" w:hAnsi="楷体_GB2312" w:eastAsia="楷体_GB2312" w:cs="楷体_GB2312"/>
          <w:b/>
          <w:bCs/>
          <w:sz w:val="32"/>
          <w:szCs w:val="32"/>
          <w:highlight w:val="none"/>
          <w:lang w:eastAsia="zh-CN"/>
        </w:rPr>
        <w:t>（三）一般公共预算财政拨款支出决算具体情况</w:t>
      </w:r>
      <w:bookmarkEnd w:id="20"/>
    </w:p>
    <w:p w14:paraId="70710381">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b w:val="0"/>
          <w:sz w:val="32"/>
          <w:szCs w:val="32"/>
          <w:highlight w:val="none"/>
        </w:rPr>
        <w:t>1、公共安全支出（类）公安（款）行政运行（项）：支出决算数为773.64万元，比上年决算增加73.84万元，增长10.55%，主要原因是：</w:t>
      </w:r>
      <w:r>
        <w:rPr>
          <w:rFonts w:hint="eastAsia" w:ascii="仿宋_GB2312" w:hAnsi="Times New Roman" w:eastAsia="仿宋_GB2312" w:cs="Times New Roman"/>
          <w:b w:val="0"/>
          <w:sz w:val="32"/>
          <w:szCs w:val="32"/>
          <w:highlight w:val="none"/>
          <w:lang w:val="en-US" w:eastAsia="zh-CN"/>
        </w:rPr>
        <w:t>派出所人员工资增加。</w:t>
      </w:r>
    </w:p>
    <w:p w14:paraId="6959EC9D">
      <w:pPr>
        <w:widowControl w:val="0"/>
        <w:spacing w:before="0" w:beforeLines="-2147483648" w:beforeAutospacing="0" w:after="0" w:afterLines="-2147483648" w:afterAutospacing="0" w:line="600" w:lineRule="exact"/>
        <w:ind w:firstLine="640" w:firstLineChars="200"/>
        <w:rPr>
          <w:rFonts w:hint="default" w:ascii="仿宋_GB2312" w:eastAsia="仿宋_GB2312"/>
          <w:sz w:val="32"/>
          <w:szCs w:val="32"/>
          <w:lang w:val="en-US" w:eastAsia="zh-CN"/>
        </w:rPr>
      </w:pPr>
      <w:r>
        <w:rPr>
          <w:rFonts w:hint="eastAsia" w:ascii="仿宋_GB2312" w:hAnsi="Times New Roman" w:eastAsia="仿宋_GB2312" w:cs="Times New Roman"/>
          <w:b w:val="0"/>
          <w:sz w:val="32"/>
          <w:szCs w:val="32"/>
          <w:highlight w:val="none"/>
        </w:rPr>
        <w:t>2、科学技术支出（类）技术研究与开发（款）科技成果转化与扩散（项）：支出决算数为0.00万元，比上年决</w:t>
      </w:r>
      <w:r>
        <w:rPr>
          <w:rFonts w:ascii="仿宋_GB2312" w:eastAsia="仿宋_GB2312"/>
          <w:b w:val="0"/>
          <w:sz w:val="32"/>
          <w:szCs w:val="32"/>
        </w:rPr>
        <w:t>算减少637.10万元，下降100.00%，主要原因是：</w:t>
      </w:r>
      <w:r>
        <w:rPr>
          <w:rFonts w:hint="eastAsia" w:ascii="仿宋_GB2312" w:eastAsia="仿宋_GB2312"/>
          <w:b w:val="0"/>
          <w:sz w:val="32"/>
          <w:szCs w:val="32"/>
          <w:lang w:val="en-US" w:eastAsia="zh-CN"/>
        </w:rPr>
        <w:t>2024年支付历年账款，2025年无该功能分类科目项目支出。</w:t>
      </w:r>
    </w:p>
    <w:p w14:paraId="39C8FFF7">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b w:val="0"/>
          <w:sz w:val="32"/>
          <w:szCs w:val="32"/>
          <w:highlight w:val="none"/>
        </w:rPr>
        <w:t>3、社会保障和就业支出（类）行政事业单位养老支出（款）事业单位离退休（项）：支出决算数为2.07万元，比上年决算增加1.96万元，增长1,781.82%，主要原因是：</w:t>
      </w:r>
      <w:r>
        <w:rPr>
          <w:rFonts w:hint="eastAsia" w:ascii="仿宋_GB2312" w:hAnsi="Times New Roman" w:eastAsia="仿宋_GB2312" w:cs="Times New Roman"/>
          <w:b w:val="0"/>
          <w:sz w:val="32"/>
          <w:szCs w:val="32"/>
          <w:highlight w:val="none"/>
          <w:lang w:val="en-US" w:eastAsia="zh-CN"/>
        </w:rPr>
        <w:t>2024年退休人员绩效及采暖费未在该功能分类科目核算，2025年调整至该功能分类科目。</w:t>
      </w:r>
    </w:p>
    <w:p w14:paraId="5F1A7CB3">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b w:val="0"/>
          <w:sz w:val="32"/>
          <w:szCs w:val="32"/>
          <w:highlight w:val="none"/>
        </w:rPr>
        <w:t>4、社会保障和就业支出（类）行政事业单位养老支出（款）机关事业单位基本养老保险缴费支出（项）：支出决算数为9.49万元，比上年决算减少1.27万元，下降11.80%，主要原因是：</w:t>
      </w:r>
      <w:r>
        <w:rPr>
          <w:rFonts w:hint="eastAsia" w:ascii="仿宋_GB2312" w:hAnsi="Times New Roman" w:eastAsia="仿宋_GB2312" w:cs="Times New Roman"/>
          <w:b w:val="0"/>
          <w:sz w:val="32"/>
          <w:szCs w:val="32"/>
          <w:highlight w:val="none"/>
          <w:lang w:val="en-US" w:eastAsia="zh-CN"/>
        </w:rPr>
        <w:t>本年度较上年度减少1人。</w:t>
      </w:r>
    </w:p>
    <w:p w14:paraId="5C2D667B">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b w:val="0"/>
          <w:sz w:val="32"/>
          <w:szCs w:val="32"/>
          <w:highlight w:val="none"/>
        </w:rPr>
        <w:t>5、社会保障和就业支出（类）行政事业单位养老支出（款）机关事业单位职业年金缴费支出（项）：支出决算数为25.85万元，比上年决算增加20.47万元，增长380.48%，主要原因是：</w:t>
      </w:r>
      <w:r>
        <w:rPr>
          <w:rFonts w:hint="eastAsia" w:ascii="仿宋_GB2312" w:hAnsi="Times New Roman" w:eastAsia="仿宋_GB2312" w:cs="Times New Roman"/>
          <w:b w:val="0"/>
          <w:sz w:val="32"/>
          <w:szCs w:val="32"/>
          <w:highlight w:val="none"/>
          <w:lang w:val="en-US" w:eastAsia="zh-CN"/>
        </w:rPr>
        <w:t>本年度缴纳5名调出人员历年在职期间单位部分职业年金。</w:t>
      </w:r>
    </w:p>
    <w:p w14:paraId="5AD8CAA8">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6、卫生健康支出（类）公共卫生（款）突发公共卫生事件应急处置（项）：支出决算数为803.45万元，比上年决算增加803.45万元，增长100.00%，主要原因是：</w:t>
      </w:r>
      <w:r>
        <w:rPr>
          <w:rFonts w:hint="eastAsia" w:ascii="仿宋_GB2312" w:hAnsi="Times New Roman" w:eastAsia="仿宋_GB2312" w:cs="Times New Roman"/>
          <w:b w:val="0"/>
          <w:bCs w:val="0"/>
          <w:kern w:val="2"/>
          <w:sz w:val="32"/>
          <w:szCs w:val="32"/>
          <w:highlight w:val="none"/>
          <w:lang w:val="en-US" w:eastAsia="zh-CN"/>
        </w:rPr>
        <w:t>支付回购高新区集中医学观察点建设项目剩余资金</w:t>
      </w:r>
      <w:r>
        <w:rPr>
          <w:rFonts w:hint="eastAsia" w:ascii="仿宋_GB2312" w:hAnsi="Times New Roman" w:eastAsia="仿宋_GB2312" w:cs="Times New Roman"/>
          <w:b w:val="0"/>
          <w:bCs w:val="0"/>
          <w:kern w:val="2"/>
          <w:sz w:val="32"/>
          <w:szCs w:val="32"/>
          <w:highlight w:val="none"/>
          <w:lang w:eastAsia="zh-CN"/>
        </w:rPr>
        <w:t>。</w:t>
      </w:r>
    </w:p>
    <w:p w14:paraId="2C78B06C">
      <w:pPr>
        <w:spacing w:before="0" w:beforeAutospacing="0" w:after="0"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7、卫生健康支出（类）行政事业单位医疗（款）事业单位医疗（项）：支出决算数为5.46万元，比上年决算增加0.08万元，增长1.49%，主要原因是：</w:t>
      </w:r>
      <w:r>
        <w:rPr>
          <w:rFonts w:hint="eastAsia" w:ascii="仿宋_GB2312" w:hAnsi="Times New Roman" w:eastAsia="仿宋_GB2312" w:cs="Times New Roman"/>
          <w:kern w:val="2"/>
          <w:sz w:val="32"/>
          <w:szCs w:val="32"/>
          <w:highlight w:val="none"/>
          <w:lang w:val="en-US" w:eastAsia="zh-CN" w:bidi="ar-SA"/>
        </w:rPr>
        <w:t>职工基本医疗保险缴费基数提高，预算增加；</w:t>
      </w:r>
    </w:p>
    <w:p w14:paraId="0F9D58C2">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8、卫生健康支出（类）行政事业单位医疗（款）公务员医疗补助（项）：支出决算数为2.37万元，比上年决算增加1.70万元，增长253.73%，主要原因是：</w:t>
      </w:r>
      <w:r>
        <w:rPr>
          <w:rFonts w:hint="eastAsia" w:ascii="仿宋_GB2312" w:hAnsi="Times New Roman" w:eastAsia="仿宋_GB2312" w:cs="Times New Roman"/>
          <w:kern w:val="2"/>
          <w:sz w:val="32"/>
          <w:szCs w:val="32"/>
          <w:highlight w:val="none"/>
          <w:lang w:val="en-US" w:eastAsia="zh-CN" w:bidi="ar-SA"/>
        </w:rPr>
        <w:t>公务员医疗补助缴纳比例增加，预算增加；</w:t>
      </w:r>
    </w:p>
    <w:p w14:paraId="2B91237B">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9、卫生健康支出（类）行政事业单位医疗（款）其他行政事业单位医疗支出（项）：支出决算数为0.55万元，比上年决算减少0.04万元，下降6.78%，主要原因是：</w:t>
      </w:r>
      <w:r>
        <w:rPr>
          <w:rFonts w:hint="eastAsia" w:ascii="仿宋_GB2312" w:hAnsi="Times New Roman" w:eastAsia="仿宋_GB2312" w:cs="Times New Roman"/>
          <w:b w:val="0"/>
          <w:sz w:val="32"/>
          <w:szCs w:val="32"/>
          <w:highlight w:val="none"/>
          <w:lang w:val="en-US" w:eastAsia="zh-CN"/>
        </w:rPr>
        <w:t>本年度较上年度减少1人。</w:t>
      </w:r>
    </w:p>
    <w:p w14:paraId="3AA6765E">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10、城乡社区支出（类）城乡社区管理事务（款）市政公用行业市场监管（项）：支出决算数为996.18万元，比上年决算减少2,867.30万元，下降74.22%，主要原因是：</w:t>
      </w:r>
      <w:r>
        <w:rPr>
          <w:rFonts w:hint="eastAsia" w:ascii="仿宋_GB2312" w:hAnsi="Times New Roman" w:eastAsia="仿宋_GB2312" w:cs="Times New Roman"/>
          <w:sz w:val="32"/>
          <w:szCs w:val="32"/>
          <w:highlight w:val="none"/>
          <w:lang w:val="en-US" w:eastAsia="zh-CN"/>
        </w:rPr>
        <w:t>市政中心开展清算注销流程，部分项目预算转至其他部门，</w:t>
      </w:r>
      <w:r>
        <w:rPr>
          <w:rFonts w:hint="eastAsia" w:ascii="仿宋_GB2312" w:hAnsi="Times New Roman" w:eastAsia="仿宋_GB2312" w:cs="Times New Roman"/>
          <w:b w:val="0"/>
          <w:sz w:val="32"/>
          <w:szCs w:val="32"/>
          <w:highlight w:val="none"/>
          <w:lang w:val="en-US" w:eastAsia="zh-CN"/>
        </w:rPr>
        <w:t>支出减少</w:t>
      </w:r>
      <w:r>
        <w:rPr>
          <w:rFonts w:hint="eastAsia" w:ascii="仿宋_GB2312" w:hAnsi="Times New Roman" w:eastAsia="仿宋_GB2312" w:cs="Times New Roman"/>
          <w:b w:val="0"/>
          <w:bCs w:val="0"/>
          <w:spacing w:val="0"/>
          <w:sz w:val="32"/>
          <w:szCs w:val="32"/>
          <w:highlight w:val="none"/>
          <w:lang w:eastAsia="zh-CN"/>
        </w:rPr>
        <w:t>。</w:t>
      </w:r>
    </w:p>
    <w:p w14:paraId="5AE962BE">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11、城乡社区支出（类）城乡社区公共设施（款）其他城乡社区公共设施支出（项）：支出决算数为167.01万元，比上年决算减少644.90万元，下降79.43%，主要原因是：</w:t>
      </w:r>
      <w:r>
        <w:rPr>
          <w:rFonts w:hint="eastAsia" w:ascii="仿宋_GB2312" w:hAnsi="Times New Roman" w:eastAsia="仿宋_GB2312" w:cs="Times New Roman"/>
          <w:sz w:val="32"/>
          <w:szCs w:val="32"/>
          <w:highlight w:val="none"/>
          <w:lang w:val="en-US" w:eastAsia="zh-CN"/>
        </w:rPr>
        <w:t>市政中心开展清算注销流程，部分项目预算转至其他部门，</w:t>
      </w:r>
      <w:r>
        <w:rPr>
          <w:rFonts w:hint="eastAsia" w:ascii="仿宋_GB2312" w:hAnsi="Times New Roman" w:eastAsia="仿宋_GB2312" w:cs="Times New Roman"/>
          <w:b w:val="0"/>
          <w:sz w:val="32"/>
          <w:szCs w:val="32"/>
          <w:highlight w:val="none"/>
          <w:lang w:val="en-US" w:eastAsia="zh-CN"/>
        </w:rPr>
        <w:t>支出减少</w:t>
      </w:r>
      <w:r>
        <w:rPr>
          <w:rFonts w:hint="eastAsia" w:ascii="仿宋_GB2312" w:hAnsi="Times New Roman" w:eastAsia="仿宋_GB2312" w:cs="Times New Roman"/>
          <w:b w:val="0"/>
          <w:bCs w:val="0"/>
          <w:spacing w:val="0"/>
          <w:sz w:val="32"/>
          <w:szCs w:val="32"/>
          <w:highlight w:val="none"/>
          <w:lang w:eastAsia="zh-CN"/>
        </w:rPr>
        <w:t>。</w:t>
      </w:r>
    </w:p>
    <w:p w14:paraId="50578C3C">
      <w:pPr>
        <w:widowControl w:val="0"/>
        <w:spacing w:before="0" w:beforeLines="-2147483648" w:beforeAutospacing="0" w:after="0" w:afterLines="-2147483648" w:afterAutospacing="0" w:line="600" w:lineRule="exact"/>
        <w:ind w:firstLine="640" w:firstLineChars="200"/>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12、住房保障支出（类）住房改革支出（款）住房公积金（项）：支出决算数为7.45万元，比上年决算减少1.50万元，下降16.76%，主要原因是：</w:t>
      </w:r>
      <w:r>
        <w:rPr>
          <w:rFonts w:hint="eastAsia" w:ascii="仿宋_GB2312" w:hAnsi="Times New Roman" w:eastAsia="仿宋_GB2312" w:cs="Times New Roman"/>
          <w:b w:val="0"/>
          <w:sz w:val="32"/>
          <w:szCs w:val="32"/>
          <w:highlight w:val="none"/>
          <w:lang w:val="en-US" w:eastAsia="zh-CN"/>
        </w:rPr>
        <w:t>本年度较上年度减少1人。</w:t>
      </w:r>
    </w:p>
    <w:p w14:paraId="2C273A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1" w:name="_Toc23415"/>
      <w:bookmarkStart w:id="22" w:name="_Toc11146"/>
      <w:r>
        <w:rPr>
          <w:rFonts w:hint="eastAsia" w:ascii="黑体" w:hAnsi="黑体" w:eastAsia="黑体" w:cs="宋体"/>
          <w:bCs/>
          <w:kern w:val="0"/>
          <w:sz w:val="32"/>
          <w:szCs w:val="32"/>
          <w:highlight w:val="none"/>
          <w:lang w:val="en-US" w:eastAsia="zh-CN"/>
        </w:rPr>
        <w:t>六、一般公共预算财政拨款基本支出决算情况说明</w:t>
      </w:r>
      <w:bookmarkEnd w:id="21"/>
      <w:bookmarkEnd w:id="22"/>
    </w:p>
    <w:p w14:paraId="49676ED0">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2025年度一般公共预算财政拨款基本支出1,580.21万元，其中：</w:t>
      </w:r>
      <w:r>
        <w:rPr>
          <w:rFonts w:ascii="仿宋_GB2312" w:eastAsia="仿宋_GB2312"/>
          <w:b/>
          <w:bCs/>
          <w:sz w:val="32"/>
          <w:szCs w:val="32"/>
        </w:rPr>
        <w:t>人员经费1,166.73万元，</w:t>
      </w:r>
      <w:r>
        <w:rPr>
          <w:rFonts w:ascii="仿宋_GB2312" w:eastAsia="仿宋_GB2312"/>
          <w:b w:val="0"/>
          <w:sz w:val="32"/>
          <w:szCs w:val="32"/>
        </w:rPr>
        <w:t>包括：基本工资、津贴补贴、奖金、绩效工资、机关事业单位基本养老保险缴费、职业年金缴费、职工基本医疗保险缴费、公务员医疗补助缴费、其他社会保障缴费、住房公积金、其他工资福利支出、退休费和奖励金。</w:t>
      </w:r>
    </w:p>
    <w:p w14:paraId="4127A0C7">
      <w:pPr>
        <w:keepNext w:val="0"/>
        <w:keepLines w:val="0"/>
        <w:pageBreakBefore w:val="0"/>
        <w:widowControl/>
        <w:kinsoku/>
        <w:wordWrap/>
        <w:overflowPunct/>
        <w:topLinePunct w:val="0"/>
        <w:autoSpaceDE/>
        <w:autoSpaceDN/>
        <w:bidi w:val="0"/>
        <w:adjustRightInd/>
        <w:snapToGrid/>
        <w:spacing w:beforeLines="0" w:afterLines="0" w:line="240" w:lineRule="auto"/>
        <w:ind w:firstLine="643" w:firstLineChars="200"/>
        <w:textAlignment w:val="auto"/>
        <w:rPr>
          <w:rFonts w:hint="eastAsia" w:ascii="仿宋_GB2312" w:hAnsi="宋体" w:eastAsia="仿宋_GB2312" w:cs="宋体"/>
          <w:kern w:val="0"/>
          <w:sz w:val="32"/>
          <w:szCs w:val="32"/>
          <w:highlight w:val="none"/>
        </w:rPr>
      </w:pPr>
      <w:r>
        <w:rPr>
          <w:rFonts w:ascii="仿宋_GB2312" w:eastAsia="仿宋_GB2312"/>
          <w:b/>
          <w:bCs/>
          <w:sz w:val="32"/>
          <w:szCs w:val="32"/>
        </w:rPr>
        <w:t>公用经费413.48万元，</w:t>
      </w:r>
      <w:r>
        <w:rPr>
          <w:rFonts w:ascii="仿宋_GB2312" w:eastAsia="仿宋_GB2312"/>
          <w:b w:val="0"/>
          <w:sz w:val="32"/>
          <w:szCs w:val="32"/>
        </w:rPr>
        <w:t>包括：办公费、印刷费、水费、电费、维修（护）费、劳务费、委托业务费、工会经费、福利费、税金及附加费用和其他商品和服务支出。</w:t>
      </w:r>
    </w:p>
    <w:p w14:paraId="25D8B2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3" w:name="_Toc7523"/>
      <w:bookmarkStart w:id="24" w:name="_Toc7927"/>
      <w:r>
        <w:rPr>
          <w:rFonts w:hint="eastAsia" w:ascii="黑体" w:hAnsi="黑体" w:eastAsia="黑体" w:cs="宋体"/>
          <w:bCs/>
          <w:kern w:val="0"/>
          <w:sz w:val="32"/>
          <w:szCs w:val="32"/>
          <w:highlight w:val="none"/>
          <w:lang w:val="en-US" w:eastAsia="zh-CN"/>
        </w:rPr>
        <w:t>七、政府性基金预算财政拨款收入支出决算情况说明</w:t>
      </w:r>
      <w:bookmarkEnd w:id="23"/>
      <w:bookmarkEnd w:id="24"/>
    </w:p>
    <w:p w14:paraId="1D8E6FCF">
      <w:pPr>
        <w:widowControl/>
        <w:spacing w:before="0" w:beforeLines="0" w:beforeAutospacing="0" w:after="0" w:afterLines="0" w:afterAutospacing="0" w:line="240" w:lineRule="auto"/>
        <w:ind w:firstLine="640" w:firstLineChars="200"/>
        <w:jc w:val="left"/>
        <w:rPr>
          <w:rFonts w:ascii="仿宋_GB2312" w:eastAsia="仿宋_GB2312"/>
          <w:sz w:val="32"/>
          <w:szCs w:val="32"/>
        </w:rPr>
      </w:pPr>
      <w:r>
        <w:rPr>
          <w:rFonts w:ascii="仿宋_GB2312" w:eastAsia="仿宋_GB2312"/>
          <w:b w:val="0"/>
          <w:sz w:val="32"/>
          <w:szCs w:val="32"/>
        </w:rPr>
        <w:t>按照党中央、国务院关于党政机关习惯过紧日子的有关要求，厉行节约办一切事业，严控一般性支出。同时坚持有保有压，优化支出结构，提高资金使用效率，合理保障</w:t>
      </w:r>
      <w:r>
        <w:rPr>
          <w:rFonts w:hint="eastAsia" w:ascii="仿宋_GB2312" w:eastAsia="仿宋_GB2312"/>
          <w:b w:val="0"/>
          <w:sz w:val="32"/>
          <w:szCs w:val="32"/>
          <w:lang w:val="en-US" w:eastAsia="zh-CN"/>
        </w:rPr>
        <w:t>污水处理服务费</w:t>
      </w:r>
      <w:r>
        <w:rPr>
          <w:rFonts w:ascii="仿宋_GB2312" w:eastAsia="仿宋_GB2312"/>
          <w:b w:val="0"/>
          <w:sz w:val="32"/>
          <w:szCs w:val="32"/>
        </w:rPr>
        <w:t>等重点支出，体现在有关支出科目中。</w:t>
      </w:r>
    </w:p>
    <w:p w14:paraId="4AF97053">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2025年度政府性基金预算财政拨款收入总计524.43万元，其中：年初结转和结余0.00万元，本年收入524.43万元。政府性基金预算财政拨款支出总计524.43万元，其中：年末结转和结余0.00万元，本年支出524.43万元。</w:t>
      </w:r>
    </w:p>
    <w:p w14:paraId="1216C3E0">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政府性基金预算财政拨款收入支出总体与上年相比，增加66.34万元，增长14.48%，主要原因是：</w:t>
      </w:r>
      <w:r>
        <w:rPr>
          <w:rFonts w:hint="eastAsia" w:ascii="仿宋_GB2312" w:eastAsia="仿宋_GB2312"/>
          <w:b w:val="0"/>
          <w:sz w:val="32"/>
          <w:szCs w:val="32"/>
          <w:lang w:val="en-US" w:eastAsia="zh-CN"/>
        </w:rPr>
        <w:t>一</w:t>
      </w:r>
      <w:r>
        <w:rPr>
          <w:rFonts w:hint="eastAsia" w:ascii="仿宋_GB2312" w:hAnsi="宋体" w:eastAsia="仿宋_GB2312" w:cs="宋体"/>
          <w:color w:val="auto"/>
          <w:kern w:val="0"/>
          <w:sz w:val="32"/>
          <w:szCs w:val="32"/>
          <w:highlight w:val="none"/>
          <w:lang w:val="en-US" w:eastAsia="zh-CN"/>
        </w:rPr>
        <w:t>部分污水处理服务费从政府性基金预算中安排</w:t>
      </w:r>
      <w:r>
        <w:rPr>
          <w:rFonts w:ascii="仿宋_GB2312" w:eastAsia="仿宋_GB2312"/>
          <w:b w:val="0"/>
          <w:sz w:val="32"/>
          <w:szCs w:val="32"/>
        </w:rPr>
        <w:t>。与年初预算相比，年初预算数514.00万元，决算数524.43万元，预决算差异率2.03%，主要原因是：</w:t>
      </w:r>
      <w:r>
        <w:rPr>
          <w:rFonts w:hint="eastAsia" w:ascii="仿宋_GB2312" w:eastAsia="仿宋_GB2312"/>
          <w:b w:val="0"/>
          <w:sz w:val="32"/>
          <w:szCs w:val="32"/>
          <w:lang w:val="en-US" w:eastAsia="zh-CN"/>
        </w:rPr>
        <w:t>支付债券项目相关费用</w:t>
      </w:r>
      <w:r>
        <w:rPr>
          <w:rFonts w:ascii="仿宋_GB2312" w:eastAsia="仿宋_GB2312"/>
          <w:b w:val="0"/>
          <w:sz w:val="32"/>
          <w:szCs w:val="32"/>
        </w:rPr>
        <w:t>。</w:t>
      </w:r>
    </w:p>
    <w:p w14:paraId="1B4D89B4">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政府性基金预算财政拨款本年支出524.43万元。具体情况如下：</w:t>
      </w:r>
    </w:p>
    <w:p w14:paraId="2E3C9E80">
      <w:pPr>
        <w:widowControl/>
        <w:spacing w:before="0" w:beforeLines="0" w:beforeAutospacing="0" w:after="0" w:afterLines="0" w:afterAutospacing="0" w:line="240" w:lineRule="auto"/>
        <w:ind w:firstLine="640" w:firstLineChars="200"/>
        <w:rPr>
          <w:rFonts w:hint="default" w:ascii="仿宋_GB2312" w:eastAsia="仿宋_GB2312"/>
          <w:sz w:val="32"/>
          <w:szCs w:val="32"/>
          <w:lang w:val="en-US"/>
        </w:rPr>
      </w:pPr>
      <w:r>
        <w:rPr>
          <w:rFonts w:ascii="仿宋_GB2312" w:eastAsia="仿宋_GB2312"/>
          <w:b w:val="0"/>
          <w:sz w:val="32"/>
          <w:szCs w:val="32"/>
        </w:rPr>
        <w:t>1、城乡社区支出（类）城市基础设施配套费安排的支出（款）城市公共设施（项）：支出决算数为37.50万元，与上年相比无变化，主要原因是：</w:t>
      </w:r>
      <w:r>
        <w:rPr>
          <w:rFonts w:hint="eastAsia" w:ascii="仿宋_GB2312" w:eastAsia="仿宋_GB2312"/>
          <w:b w:val="0"/>
          <w:sz w:val="32"/>
          <w:szCs w:val="32"/>
          <w:lang w:val="en-US" w:eastAsia="zh-CN"/>
        </w:rPr>
        <w:t>债券项目相关费用与上年度相比无变化。</w:t>
      </w:r>
    </w:p>
    <w:p w14:paraId="5DF93A09">
      <w:pPr>
        <w:widowControl/>
        <w:spacing w:before="0" w:beforeLines="0" w:beforeAutospacing="0" w:after="0" w:afterLines="0" w:afterAutospacing="0" w:line="240" w:lineRule="auto"/>
        <w:ind w:firstLine="640" w:firstLineChars="200"/>
        <w:rPr>
          <w:rFonts w:hint="default" w:ascii="仿宋_GB2312" w:eastAsia="仿宋_GB2312"/>
          <w:sz w:val="32"/>
          <w:szCs w:val="32"/>
          <w:lang w:val="en-US"/>
        </w:rPr>
      </w:pPr>
      <w:r>
        <w:rPr>
          <w:rFonts w:ascii="仿宋_GB2312" w:eastAsia="仿宋_GB2312"/>
          <w:b w:val="0"/>
          <w:sz w:val="32"/>
          <w:szCs w:val="32"/>
        </w:rPr>
        <w:t>2、城乡社区支出（类）污水处理费安排的支出（款）污水处理设施建设和运营（项）：支出决算数为129.00万元，比上年决算增加129.00万元，增长100.00%，主要原因是：</w:t>
      </w:r>
      <w:r>
        <w:rPr>
          <w:rFonts w:hint="eastAsia" w:ascii="仿宋_GB2312" w:hAnsi="宋体" w:eastAsia="仿宋_GB2312" w:cs="宋体"/>
          <w:color w:val="auto"/>
          <w:kern w:val="0"/>
          <w:sz w:val="32"/>
          <w:szCs w:val="32"/>
          <w:highlight w:val="none"/>
          <w:lang w:val="en-US" w:eastAsia="zh-CN"/>
        </w:rPr>
        <w:t>部分污水处理服务费预算安排至该</w:t>
      </w:r>
      <w:r>
        <w:rPr>
          <w:rFonts w:hint="eastAsia" w:ascii="仿宋_GB2312" w:hAnsi="Times New Roman" w:eastAsia="仿宋_GB2312" w:cs="Times New Roman"/>
          <w:b w:val="0"/>
          <w:sz w:val="32"/>
          <w:szCs w:val="32"/>
          <w:highlight w:val="none"/>
          <w:lang w:val="en-US" w:eastAsia="zh-CN"/>
        </w:rPr>
        <w:t>功能分类科目。</w:t>
      </w:r>
    </w:p>
    <w:p w14:paraId="29E675E7">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3、城乡社区支出（类）污水处理费安排的支出（款）其他污水处理费安排的支出（项）：支出决算数为357.93万元，比上年决算减少62.66万元，下降14.90%，主要原因是：</w:t>
      </w:r>
      <w:r>
        <w:rPr>
          <w:rFonts w:hint="eastAsia" w:ascii="仿宋_GB2312" w:hAnsi="宋体" w:eastAsia="仿宋_GB2312" w:cs="宋体"/>
          <w:color w:val="auto"/>
          <w:kern w:val="0"/>
          <w:sz w:val="32"/>
          <w:szCs w:val="32"/>
          <w:highlight w:val="none"/>
          <w:lang w:val="en-US" w:eastAsia="zh-CN"/>
        </w:rPr>
        <w:t>部分污水处理服务费预算安排至</w:t>
      </w:r>
      <w:r>
        <w:rPr>
          <w:rFonts w:ascii="仿宋_GB2312" w:eastAsia="仿宋_GB2312"/>
          <w:b w:val="0"/>
          <w:sz w:val="32"/>
          <w:szCs w:val="32"/>
        </w:rPr>
        <w:t>城乡社区支出（类）污水处理费安排的支出（款）污水处理设施建设和运营（项）</w:t>
      </w:r>
      <w:r>
        <w:rPr>
          <w:rFonts w:hint="eastAsia" w:ascii="仿宋_GB2312" w:eastAsia="仿宋_GB2312"/>
          <w:b w:val="0"/>
          <w:sz w:val="32"/>
          <w:szCs w:val="32"/>
          <w:lang w:eastAsia="zh-CN"/>
        </w:rPr>
        <w:t>。</w:t>
      </w:r>
    </w:p>
    <w:p w14:paraId="02AD042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5" w:name="_Toc5563"/>
      <w:r>
        <w:rPr>
          <w:rFonts w:hint="eastAsia" w:ascii="黑体" w:hAnsi="黑体" w:eastAsia="黑体" w:cs="宋体"/>
          <w:bCs/>
          <w:kern w:val="0"/>
          <w:sz w:val="32"/>
          <w:szCs w:val="32"/>
          <w:highlight w:val="none"/>
          <w:lang w:val="en-US" w:eastAsia="zh-CN"/>
        </w:rPr>
        <w:t>八、国有资本经营预算财政拨款收入支出决算情况说明</w:t>
      </w:r>
      <w:bookmarkEnd w:id="25"/>
    </w:p>
    <w:p w14:paraId="5ED00BA6">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本单位本年度无国有资本经营预算财政拨款收入、支出及结转和结余，国有资本经营预算财政拨款收入支出决算表为空表。</w:t>
      </w:r>
    </w:p>
    <w:p w14:paraId="7DDC4CF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6" w:name="_Toc7190"/>
      <w:bookmarkStart w:id="27" w:name="_Toc9161"/>
      <w:r>
        <w:rPr>
          <w:rFonts w:hint="eastAsia" w:ascii="黑体" w:hAnsi="黑体" w:eastAsia="黑体" w:cs="宋体"/>
          <w:bCs/>
          <w:kern w:val="0"/>
          <w:sz w:val="32"/>
          <w:szCs w:val="32"/>
          <w:highlight w:val="none"/>
          <w:lang w:val="en-US" w:eastAsia="zh-CN"/>
        </w:rPr>
        <w:t>九、财政拨款“三公”经费支出决算情况说明</w:t>
      </w:r>
      <w:bookmarkEnd w:id="26"/>
      <w:bookmarkEnd w:id="27"/>
    </w:p>
    <w:p w14:paraId="6FA979E0">
      <w:pPr>
        <w:widowControl/>
        <w:spacing w:before="0" w:beforeLines="0" w:beforeAutospacing="0" w:after="0" w:afterLines="0" w:afterAutospacing="0" w:line="240" w:lineRule="auto"/>
        <w:ind w:firstLine="643" w:firstLineChars="200"/>
        <w:jc w:val="both"/>
        <w:rPr>
          <w:rFonts w:ascii="仿宋_GB2312" w:eastAsia="仿宋_GB2312"/>
          <w:sz w:val="32"/>
          <w:szCs w:val="32"/>
        </w:rPr>
      </w:pPr>
      <w:r>
        <w:rPr>
          <w:rFonts w:ascii="仿宋_GB2312" w:eastAsia="仿宋_GB2312"/>
          <w:b/>
          <w:bCs/>
          <w:sz w:val="32"/>
          <w:szCs w:val="32"/>
        </w:rPr>
        <w:t>2025年度财政拨款“三公”经费支出0.00万元，</w:t>
      </w:r>
      <w:r>
        <w:rPr>
          <w:rFonts w:ascii="仿宋_GB2312" w:eastAsia="仿宋_GB2312"/>
          <w:b w:val="0"/>
          <w:sz w:val="32"/>
          <w:szCs w:val="32"/>
        </w:rPr>
        <w:t>比上年减少0.69万元，下降100%，主要原因是：</w:t>
      </w:r>
      <w:r>
        <w:rPr>
          <w:rFonts w:hint="eastAsia" w:ascii="仿宋_GB2312" w:eastAsia="仿宋_GB2312"/>
          <w:b w:val="0"/>
          <w:sz w:val="32"/>
          <w:szCs w:val="32"/>
          <w:lang w:val="en-US" w:eastAsia="zh-CN"/>
        </w:rPr>
        <w:t>公务用车运行费由管委会综合办统一管理，本部门无公务用车运行费预算。</w:t>
      </w:r>
      <w:r>
        <w:rPr>
          <w:rFonts w:ascii="仿宋_GB2312" w:eastAsia="仿宋_GB2312"/>
          <w:b w:val="0"/>
          <w:sz w:val="32"/>
          <w:szCs w:val="32"/>
        </w:rPr>
        <w:t>其中：因公出国（境）费用支出0.00万元,占0.00%，与上年相比无变化，主要原因是：</w:t>
      </w:r>
      <w:r>
        <w:rPr>
          <w:rFonts w:hint="eastAsia" w:ascii="仿宋_GB2312" w:hAnsi="宋体" w:eastAsia="仿宋_GB2312" w:cs="宋体"/>
          <w:color w:val="auto"/>
          <w:kern w:val="0"/>
          <w:sz w:val="32"/>
          <w:szCs w:val="32"/>
          <w:lang w:val="en-US" w:eastAsia="zh-CN" w:bidi="ar-SA"/>
        </w:rPr>
        <w:t>本年未安排人员因公出国</w:t>
      </w:r>
      <w:r>
        <w:rPr>
          <w:rFonts w:ascii="仿宋_GB2312" w:eastAsia="仿宋_GB2312"/>
          <w:b w:val="0"/>
          <w:sz w:val="32"/>
          <w:szCs w:val="32"/>
        </w:rPr>
        <w:t>；公务用车购置及运行维护费支出0.00万元，占0.00%，比上年减少0.69万元，下降100%，主要原因是</w:t>
      </w:r>
      <w:r>
        <w:rPr>
          <w:rFonts w:hint="eastAsia" w:ascii="仿宋_GB2312" w:eastAsia="仿宋_GB2312"/>
          <w:b w:val="0"/>
          <w:sz w:val="32"/>
          <w:szCs w:val="32"/>
          <w:lang w:eastAsia="zh-CN"/>
        </w:rPr>
        <w:t>：</w:t>
      </w:r>
      <w:r>
        <w:rPr>
          <w:rFonts w:hint="eastAsia" w:ascii="仿宋_GB2312" w:hAnsi="宋体" w:eastAsia="仿宋_GB2312" w:cs="宋体"/>
          <w:color w:val="auto"/>
          <w:kern w:val="0"/>
          <w:sz w:val="32"/>
          <w:szCs w:val="32"/>
          <w:lang w:val="en-US" w:eastAsia="zh-CN" w:bidi="ar-SA"/>
        </w:rPr>
        <w:t>本年未安排</w:t>
      </w:r>
      <w:r>
        <w:rPr>
          <w:rFonts w:ascii="仿宋_GB2312" w:eastAsia="仿宋_GB2312"/>
          <w:b w:val="0"/>
          <w:sz w:val="32"/>
          <w:szCs w:val="32"/>
        </w:rPr>
        <w:t>公务用车购置及运行维护费；公务接待费支出0.00万元，占0.00%，与上年相比无变化，主要原因是：</w:t>
      </w:r>
      <w:r>
        <w:rPr>
          <w:rFonts w:hint="eastAsia" w:ascii="仿宋_GB2312" w:hAnsi="宋体" w:eastAsia="仿宋_GB2312" w:cs="宋体"/>
          <w:color w:val="auto"/>
          <w:kern w:val="0"/>
          <w:sz w:val="32"/>
          <w:szCs w:val="32"/>
          <w:lang w:val="en-US" w:eastAsia="zh-CN" w:bidi="ar-SA"/>
        </w:rPr>
        <w:t>无公务接待事项、无此项支出</w:t>
      </w:r>
      <w:r>
        <w:rPr>
          <w:rFonts w:ascii="仿宋_GB2312" w:eastAsia="仿宋_GB2312"/>
          <w:b w:val="0"/>
          <w:sz w:val="32"/>
          <w:szCs w:val="32"/>
        </w:rPr>
        <w:t>。</w:t>
      </w:r>
    </w:p>
    <w:p w14:paraId="0BCF5BA2">
      <w:pPr>
        <w:widowControl/>
        <w:spacing w:before="0" w:beforeLines="0" w:beforeAutospacing="0" w:after="0" w:afterLines="0" w:afterAutospacing="0" w:line="240" w:lineRule="auto"/>
        <w:ind w:firstLine="643" w:firstLineChars="200"/>
        <w:jc w:val="left"/>
        <w:rPr>
          <w:rFonts w:ascii="仿宋_GB2312" w:eastAsia="仿宋_GB2312"/>
          <w:sz w:val="32"/>
          <w:szCs w:val="32"/>
        </w:rPr>
      </w:pPr>
      <w:r>
        <w:rPr>
          <w:rFonts w:ascii="仿宋_GB2312" w:eastAsia="仿宋_GB2312"/>
          <w:b/>
          <w:bCs/>
          <w:sz w:val="32"/>
          <w:szCs w:val="32"/>
        </w:rPr>
        <w:t>具体情况如下：</w:t>
      </w:r>
    </w:p>
    <w:p w14:paraId="4D9A292B">
      <w:pPr>
        <w:widowControl w:val="0"/>
        <w:spacing w:before="0" w:beforeLines="-2147483648" w:beforeAutospacing="0" w:after="0" w:afterLines="-2147483648" w:afterAutospacing="0" w:line="600" w:lineRule="exact"/>
        <w:ind w:firstLine="640" w:firstLineChars="200"/>
        <w:jc w:val="left"/>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因公出国（境）费用0.00万元，开支内容包括。单位全年安排的因公出国（境）团组0个，因公出国（境）0人次。</w:t>
      </w:r>
    </w:p>
    <w:p w14:paraId="4E7F61BB">
      <w:pPr>
        <w:widowControl w:val="0"/>
        <w:spacing w:before="0" w:beforeLines="-2147483648" w:beforeAutospacing="0" w:after="0" w:afterLines="-2147483648" w:afterAutospacing="0" w:line="600" w:lineRule="exact"/>
        <w:ind w:firstLine="640" w:firstLineChars="200"/>
        <w:jc w:val="left"/>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公务用车购置及运行维护费0.00万元，其中：公务用车购置费0.00万元，公务用车运行维护费0.00万元。公务用车运行维护费开支内容包括。公务用车购置数0辆，公务用车保有量0辆。国有资产占用情况中固定资产车辆32辆，与公务用车保有量差异原因是：</w:t>
      </w:r>
      <w:r>
        <w:rPr>
          <w:rFonts w:hint="eastAsia" w:ascii="仿宋_GB2312" w:eastAsia="仿宋_GB2312"/>
          <w:b w:val="0"/>
          <w:sz w:val="32"/>
          <w:szCs w:val="32"/>
          <w:lang w:val="en-US" w:eastAsia="zh-CN"/>
        </w:rPr>
        <w:t>其他车辆为业务车辆、清扫车、高空作业车等</w:t>
      </w:r>
      <w:r>
        <w:rPr>
          <w:rFonts w:hint="eastAsia" w:ascii="仿宋_GB2312" w:hAnsi="Times New Roman" w:eastAsia="仿宋_GB2312" w:cs="Times New Roman"/>
          <w:b w:val="0"/>
          <w:sz w:val="32"/>
          <w:szCs w:val="32"/>
          <w:highlight w:val="none"/>
        </w:rPr>
        <w:t>。</w:t>
      </w:r>
    </w:p>
    <w:p w14:paraId="42B87340">
      <w:pPr>
        <w:widowControl w:val="0"/>
        <w:spacing w:before="0" w:beforeLines="-2147483648" w:beforeAutospacing="0" w:after="0" w:afterLines="-2147483648" w:afterAutospacing="0" w:line="600" w:lineRule="exact"/>
        <w:ind w:firstLine="640" w:firstLineChars="200"/>
        <w:jc w:val="left"/>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b w:val="0"/>
          <w:sz w:val="32"/>
          <w:szCs w:val="32"/>
          <w:highlight w:val="none"/>
        </w:rPr>
        <w:t>公务接待费0.00万元，开支内容包括。单位全年安排的国内公务接待0批次，0人次。</w:t>
      </w:r>
    </w:p>
    <w:p w14:paraId="2B8F5250">
      <w:pPr>
        <w:widowControl/>
        <w:spacing w:before="0" w:beforeLines="0" w:beforeAutospacing="0" w:after="0" w:afterLines="0" w:afterAutospacing="0" w:line="240" w:lineRule="auto"/>
        <w:ind w:firstLine="643" w:firstLineChars="200"/>
        <w:jc w:val="both"/>
        <w:rPr>
          <w:rFonts w:ascii="仿宋_GB2312" w:eastAsia="仿宋_GB2312"/>
          <w:sz w:val="32"/>
          <w:szCs w:val="32"/>
        </w:rPr>
      </w:pPr>
      <w:r>
        <w:rPr>
          <w:rFonts w:ascii="仿宋_GB2312" w:eastAsia="仿宋_GB2312"/>
          <w:b/>
          <w:bCs/>
          <w:sz w:val="32"/>
          <w:szCs w:val="32"/>
        </w:rPr>
        <w:t>与全年预算相比，</w:t>
      </w:r>
      <w:r>
        <w:rPr>
          <w:rFonts w:ascii="仿宋_GB2312" w:eastAsia="仿宋_GB2312"/>
          <w:b w:val="0"/>
          <w:sz w:val="32"/>
          <w:szCs w:val="32"/>
        </w:rPr>
        <w:t>财政拨款“三公”经费支出全年预算数0.00万元，决算数0.00万元，预决算差异率0.00%，主要原因是：</w:t>
      </w:r>
      <w:r>
        <w:rPr>
          <w:rFonts w:hint="eastAsia" w:ascii="仿宋_GB2312" w:eastAsia="仿宋_GB2312"/>
          <w:b w:val="0"/>
          <w:sz w:val="32"/>
          <w:szCs w:val="32"/>
          <w:lang w:val="en-US" w:eastAsia="zh-CN"/>
        </w:rPr>
        <w:t>本部门无公务用车运行费预算，无</w:t>
      </w:r>
      <w:r>
        <w:rPr>
          <w:rFonts w:hint="eastAsia" w:ascii="仿宋_GB2312" w:hAnsi="Times New Roman" w:eastAsia="仿宋_GB2312" w:cs="Times New Roman"/>
          <w:b w:val="0"/>
          <w:sz w:val="32"/>
          <w:szCs w:val="32"/>
          <w:highlight w:val="none"/>
        </w:rPr>
        <w:t>因公出国（境）</w:t>
      </w:r>
      <w:r>
        <w:rPr>
          <w:rFonts w:hint="eastAsia" w:ascii="仿宋_GB2312" w:hAnsi="Times New Roman" w:eastAsia="仿宋_GB2312" w:cs="Times New Roman"/>
          <w:b w:val="0"/>
          <w:sz w:val="32"/>
          <w:szCs w:val="32"/>
          <w:highlight w:val="none"/>
          <w:lang w:eastAsia="zh-CN"/>
        </w:rPr>
        <w:t>、</w:t>
      </w:r>
      <w:r>
        <w:rPr>
          <w:rFonts w:ascii="仿宋_GB2312" w:eastAsia="仿宋_GB2312"/>
          <w:b w:val="0"/>
          <w:sz w:val="32"/>
          <w:szCs w:val="32"/>
        </w:rPr>
        <w:t>公务接待</w:t>
      </w:r>
      <w:r>
        <w:rPr>
          <w:rFonts w:hint="eastAsia" w:ascii="仿宋_GB2312" w:eastAsia="仿宋_GB2312"/>
          <w:b w:val="0"/>
          <w:sz w:val="32"/>
          <w:szCs w:val="32"/>
          <w:lang w:val="en-US" w:eastAsia="zh-CN"/>
        </w:rPr>
        <w:t>事项</w:t>
      </w:r>
      <w:r>
        <w:rPr>
          <w:rFonts w:ascii="仿宋_GB2312" w:eastAsia="仿宋_GB2312"/>
          <w:b w:val="0"/>
          <w:sz w:val="32"/>
          <w:szCs w:val="32"/>
        </w:rPr>
        <w:t>。其中：因公出国（境）费用全年预算数0.00万元，决算数0.00万元，预决算差异率0.00%，主要原因是：</w:t>
      </w:r>
      <w:r>
        <w:rPr>
          <w:rFonts w:hint="eastAsia" w:ascii="仿宋_GB2312" w:hAnsi="宋体" w:eastAsia="仿宋_GB2312" w:cs="宋体"/>
          <w:color w:val="auto"/>
          <w:kern w:val="0"/>
          <w:sz w:val="32"/>
          <w:szCs w:val="32"/>
          <w:lang w:val="en-US" w:eastAsia="zh-CN" w:bidi="ar-SA"/>
        </w:rPr>
        <w:t>本年未安排人员因公出国</w:t>
      </w:r>
      <w:r>
        <w:rPr>
          <w:rFonts w:ascii="仿宋_GB2312" w:eastAsia="仿宋_GB2312"/>
          <w:b w:val="0"/>
          <w:sz w:val="32"/>
          <w:szCs w:val="32"/>
        </w:rPr>
        <w:t>；公务用车购置费全年预算数0.00万元，决算数0.00万元，预决算差异率0.00%，主要原因是：</w:t>
      </w:r>
      <w:r>
        <w:rPr>
          <w:rFonts w:hint="eastAsia" w:ascii="仿宋_GB2312" w:hAnsi="宋体" w:eastAsia="仿宋_GB2312" w:cs="宋体"/>
          <w:color w:val="auto"/>
          <w:kern w:val="0"/>
          <w:sz w:val="32"/>
          <w:szCs w:val="32"/>
          <w:lang w:val="en-US" w:eastAsia="zh-CN" w:bidi="ar-SA"/>
        </w:rPr>
        <w:t>未安排公务用车购置</w:t>
      </w:r>
      <w:r>
        <w:rPr>
          <w:rFonts w:ascii="仿宋_GB2312" w:eastAsia="仿宋_GB2312"/>
          <w:b w:val="0"/>
          <w:sz w:val="32"/>
          <w:szCs w:val="32"/>
        </w:rPr>
        <w:t>；公务用车运行维护费全年预算数0.00万元，决算数0.00万元，预决算差异率0.00%，主要原因是：</w:t>
      </w:r>
      <w:r>
        <w:rPr>
          <w:rFonts w:hint="eastAsia" w:ascii="仿宋_GB2312" w:eastAsia="仿宋_GB2312"/>
          <w:b w:val="0"/>
          <w:sz w:val="32"/>
          <w:szCs w:val="32"/>
          <w:lang w:val="en-US" w:eastAsia="zh-CN"/>
        </w:rPr>
        <w:t>公务用车运行费由管委会综合办统一管理，本部门无公务用车运行费预算</w:t>
      </w:r>
      <w:r>
        <w:rPr>
          <w:rFonts w:ascii="仿宋_GB2312" w:eastAsia="仿宋_GB2312"/>
          <w:b w:val="0"/>
          <w:sz w:val="32"/>
          <w:szCs w:val="32"/>
        </w:rPr>
        <w:t>；公务接待费全年预算数0.00万元，决算数0.00万元，预决算差异率0.00%，主要原因是：</w:t>
      </w:r>
      <w:r>
        <w:rPr>
          <w:rFonts w:hint="eastAsia" w:ascii="仿宋_GB2312" w:hAnsi="宋体" w:eastAsia="仿宋_GB2312" w:cs="宋体"/>
          <w:color w:val="auto"/>
          <w:kern w:val="0"/>
          <w:sz w:val="32"/>
          <w:szCs w:val="32"/>
          <w:lang w:val="en-US" w:eastAsia="zh-CN" w:bidi="ar-SA"/>
        </w:rPr>
        <w:t>无公务接待事项、无此项支出</w:t>
      </w:r>
      <w:r>
        <w:rPr>
          <w:rFonts w:ascii="仿宋_GB2312" w:eastAsia="仿宋_GB2312"/>
          <w:b w:val="0"/>
          <w:sz w:val="32"/>
          <w:szCs w:val="32"/>
        </w:rPr>
        <w:t>。</w:t>
      </w:r>
    </w:p>
    <w:p w14:paraId="1563F98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8" w:name="_Toc16395"/>
      <w:bookmarkStart w:id="29" w:name="_Toc7314"/>
      <w:r>
        <w:rPr>
          <w:rFonts w:hint="eastAsia" w:ascii="黑体" w:hAnsi="黑体" w:eastAsia="黑体" w:cs="宋体"/>
          <w:bCs/>
          <w:kern w:val="0"/>
          <w:sz w:val="32"/>
          <w:szCs w:val="32"/>
          <w:highlight w:val="none"/>
          <w:lang w:eastAsia="zh-CN"/>
        </w:rPr>
        <w:t>十、其他重要事项的情况说明</w:t>
      </w:r>
      <w:bookmarkEnd w:id="28"/>
      <w:bookmarkEnd w:id="29"/>
    </w:p>
    <w:p w14:paraId="1518374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rPr>
      </w:pPr>
      <w:bookmarkStart w:id="30" w:name="_Toc13105"/>
      <w:bookmarkStart w:id="31" w:name="_Toc21748"/>
      <w:r>
        <w:rPr>
          <w:rFonts w:hint="eastAsia" w:ascii="楷体_GB2312" w:hAnsi="楷体_GB2312" w:eastAsia="楷体_GB2312" w:cs="楷体_GB2312"/>
          <w:b/>
          <w:bCs/>
          <w:sz w:val="32"/>
          <w:szCs w:val="32"/>
          <w:highlight w:val="none"/>
          <w:lang w:eastAsia="zh-CN"/>
        </w:rPr>
        <w:t>（一）机关运行经费</w:t>
      </w:r>
      <w:r>
        <w:rPr>
          <w:rFonts w:hint="eastAsia" w:ascii="楷体_GB2312" w:hAnsi="楷体_GB2312" w:eastAsia="楷体_GB2312" w:cs="楷体_GB2312"/>
          <w:b/>
          <w:bCs/>
          <w:sz w:val="32"/>
          <w:szCs w:val="32"/>
          <w:highlight w:val="none"/>
          <w:lang w:val="en-US" w:eastAsia="zh-CN"/>
        </w:rPr>
        <w:t>及公用经费</w:t>
      </w:r>
      <w:r>
        <w:rPr>
          <w:rFonts w:hint="eastAsia" w:ascii="楷体_GB2312" w:hAnsi="楷体_GB2312" w:eastAsia="楷体_GB2312" w:cs="楷体_GB2312"/>
          <w:b/>
          <w:bCs/>
          <w:sz w:val="32"/>
          <w:szCs w:val="32"/>
          <w:highlight w:val="none"/>
          <w:lang w:eastAsia="zh-CN"/>
        </w:rPr>
        <w:t>支出情况</w:t>
      </w:r>
      <w:bookmarkEnd w:id="30"/>
      <w:bookmarkEnd w:id="31"/>
    </w:p>
    <w:p w14:paraId="4C592D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ascii="仿宋_GB2312" w:eastAsia="仿宋_GB2312"/>
          <w:b w:val="0"/>
          <w:sz w:val="32"/>
          <w:szCs w:val="32"/>
        </w:rPr>
        <w:t>2025年度昌吉高新技术产业开发区市政公用事业管理中心（事业单位）公用经费支出413.48万元，比上年减少2,294.43万元，下降84.73%，主要原因是：</w:t>
      </w:r>
      <w:r>
        <w:rPr>
          <w:rFonts w:hint="eastAsia" w:ascii="仿宋_GB2312" w:eastAsia="仿宋_GB2312"/>
          <w:b w:val="0"/>
          <w:bCs w:val="0"/>
          <w:spacing w:val="0"/>
          <w:sz w:val="32"/>
          <w:szCs w:val="32"/>
          <w:highlight w:val="none"/>
          <w:lang w:val="en-US" w:eastAsia="zh-CN"/>
        </w:rPr>
        <w:t>按照</w:t>
      </w:r>
      <w:r>
        <w:rPr>
          <w:rFonts w:hint="eastAsia" w:ascii="仿宋_GB2312" w:hAnsi="Times New Roman" w:eastAsia="仿宋_GB2312" w:cs="Times New Roman"/>
          <w:sz w:val="32"/>
          <w:szCs w:val="32"/>
          <w:highlight w:val="none"/>
          <w:lang w:val="en-US" w:eastAsia="zh-CN"/>
        </w:rPr>
        <w:t>昌市党编委〔2025〕2号《关于调整昌吉高新技术产业开发区党工委管委会所属事业单位机构编制事宜的</w:t>
      </w:r>
      <w:r>
        <w:rPr>
          <w:rFonts w:hint="eastAsia" w:ascii="仿宋_GB2312" w:eastAsia="仿宋_GB2312" w:cs="Times New Roman"/>
          <w:sz w:val="32"/>
          <w:szCs w:val="32"/>
          <w:highlight w:val="none"/>
          <w:lang w:val="en-US" w:eastAsia="zh-CN"/>
        </w:rPr>
        <w:t>通知》要求</w:t>
      </w:r>
      <w:r>
        <w:rPr>
          <w:rFonts w:hint="eastAsia" w:ascii="仿宋_GB2312" w:hAnsi="Times New Roman" w:eastAsia="仿宋_GB2312" w:cs="Times New Roman"/>
          <w:sz w:val="32"/>
          <w:szCs w:val="32"/>
          <w:highlight w:val="none"/>
          <w:lang w:val="en-US" w:eastAsia="zh-CN"/>
        </w:rPr>
        <w:t>，市政中心开展清算注销流程，部分项目预算收入支出转至其他部门，</w:t>
      </w:r>
      <w:r>
        <w:rPr>
          <w:rFonts w:hint="eastAsia" w:ascii="仿宋_GB2312" w:eastAsia="仿宋_GB2312"/>
          <w:b w:val="0"/>
          <w:sz w:val="32"/>
          <w:szCs w:val="32"/>
          <w:lang w:val="en-US" w:eastAsia="zh-CN"/>
        </w:rPr>
        <w:t>收入支出总体减少</w:t>
      </w:r>
      <w:r>
        <w:rPr>
          <w:rFonts w:hint="eastAsia" w:ascii="仿宋_GB2312" w:eastAsia="仿宋_GB2312"/>
          <w:b w:val="0"/>
          <w:bCs w:val="0"/>
          <w:spacing w:val="0"/>
          <w:sz w:val="32"/>
          <w:szCs w:val="32"/>
          <w:highlight w:val="none"/>
          <w:lang w:eastAsia="zh-CN"/>
        </w:rPr>
        <w:t>。</w:t>
      </w:r>
    </w:p>
    <w:p w14:paraId="0103F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32" w:name="_Toc25177"/>
      <w:bookmarkStart w:id="33" w:name="_Toc26704"/>
      <w:r>
        <w:rPr>
          <w:rFonts w:hint="eastAsia" w:ascii="楷体_GB2312" w:hAnsi="楷体_GB2312" w:eastAsia="楷体_GB2312" w:cs="楷体_GB2312"/>
          <w:b/>
          <w:bCs/>
          <w:sz w:val="32"/>
          <w:szCs w:val="32"/>
          <w:highlight w:val="none"/>
          <w:lang w:eastAsia="zh-CN"/>
        </w:rPr>
        <w:t>（二）政府采购情况</w:t>
      </w:r>
      <w:bookmarkEnd w:id="32"/>
      <w:bookmarkEnd w:id="33"/>
    </w:p>
    <w:p w14:paraId="129ED85E">
      <w:pPr>
        <w:widowControl/>
        <w:spacing w:before="0" w:beforeLines="0" w:beforeAutospacing="0" w:after="0" w:afterLines="0" w:afterAutospacing="0" w:line="240" w:lineRule="auto"/>
        <w:ind w:firstLine="640" w:firstLineChars="200"/>
        <w:jc w:val="both"/>
        <w:rPr>
          <w:rFonts w:ascii="仿宋_GB2312" w:eastAsia="仿宋_GB2312"/>
          <w:sz w:val="32"/>
          <w:szCs w:val="32"/>
        </w:rPr>
      </w:pPr>
      <w:r>
        <w:rPr>
          <w:rFonts w:ascii="仿宋_GB2312" w:eastAsia="仿宋_GB2312"/>
          <w:b w:val="0"/>
          <w:sz w:val="32"/>
          <w:szCs w:val="32"/>
        </w:rPr>
        <w:t>2025年度政府采购支出总额151.16万元，其中：政府采购货物支出1.00万元、政府采购工程支出0.00万元、政府采购服务支出150.16万元。</w:t>
      </w:r>
    </w:p>
    <w:p w14:paraId="4A28EA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_GB2312" w:hAnsi="楷体_GB2312" w:eastAsia="楷体_GB2312" w:cs="楷体_GB2312"/>
          <w:b/>
          <w:bCs/>
          <w:sz w:val="32"/>
          <w:szCs w:val="32"/>
          <w:highlight w:val="none"/>
          <w:lang w:eastAsia="zh-CN"/>
        </w:rPr>
      </w:pPr>
      <w:r>
        <w:rPr>
          <w:rFonts w:ascii="仿宋_GB2312" w:eastAsia="仿宋_GB2312"/>
          <w:b w:val="0"/>
          <w:sz w:val="32"/>
          <w:szCs w:val="32"/>
        </w:rPr>
        <w:t>授予中小企业合同金额151.16万元，占政府采购支出总额的100.00%，其中：授予小微企业合同金额151.16万元，占政府采购支出总额的100.00%。</w:t>
      </w:r>
      <w:bookmarkStart w:id="34" w:name="_Toc31294"/>
      <w:bookmarkStart w:id="35" w:name="_Toc4591"/>
    </w:p>
    <w:p w14:paraId="11C6E52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r>
        <w:rPr>
          <w:rFonts w:hint="eastAsia" w:ascii="楷体_GB2312" w:hAnsi="楷体_GB2312" w:eastAsia="楷体_GB2312" w:cs="楷体_GB2312"/>
          <w:b/>
          <w:bCs/>
          <w:sz w:val="32"/>
          <w:szCs w:val="32"/>
          <w:highlight w:val="none"/>
          <w:lang w:eastAsia="zh-CN"/>
        </w:rPr>
        <w:t>（三）国有资产占用情况说明</w:t>
      </w:r>
      <w:bookmarkEnd w:id="34"/>
      <w:bookmarkEnd w:id="35"/>
    </w:p>
    <w:p w14:paraId="6D002406">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textAlignment w:val="auto"/>
        <w:rPr>
          <w:rFonts w:hint="eastAsia" w:ascii="仿宋_GB2312" w:eastAsia="仿宋_GB2312"/>
          <w:sz w:val="32"/>
          <w:szCs w:val="32"/>
          <w:highlight w:val="none"/>
        </w:rPr>
      </w:pPr>
      <w:r>
        <w:rPr>
          <w:rFonts w:ascii="仿宋_GB2312" w:eastAsia="仿宋_GB2312"/>
          <w:b w:val="0"/>
          <w:sz w:val="32"/>
          <w:szCs w:val="32"/>
        </w:rPr>
        <w:t>截至2025年12月31日，房屋112.93平方米，价值34.60万元。车辆32辆，价值1,490.90万元，其中：副部（省）级及以上领导用车0辆、主要负责人用车1辆、机要通信用车0辆、应急保障用车0辆、执法执勤用车0辆、特种专业技术用车21辆、离退休干部服务用车0辆、其他用车10辆，其他用车主要是：</w:t>
      </w:r>
      <w:r>
        <w:rPr>
          <w:rFonts w:hint="eastAsia" w:ascii="仿宋_GB2312" w:eastAsia="仿宋_GB2312"/>
          <w:b w:val="0"/>
          <w:sz w:val="32"/>
          <w:szCs w:val="32"/>
          <w:lang w:val="en-US" w:eastAsia="zh-CN"/>
        </w:rPr>
        <w:t>园林、环卫、市政业务车辆；</w:t>
      </w:r>
      <w:r>
        <w:rPr>
          <w:rFonts w:ascii="仿宋_GB2312" w:eastAsia="仿宋_GB2312"/>
          <w:b w:val="0"/>
          <w:sz w:val="32"/>
          <w:szCs w:val="32"/>
        </w:rPr>
        <w:t>单价100万元（含）以上设备（不含车辆）1台（套）。</w:t>
      </w:r>
    </w:p>
    <w:p w14:paraId="12A6552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36" w:name="_Toc17664"/>
      <w:bookmarkStart w:id="37" w:name="_Toc435"/>
      <w:r>
        <w:rPr>
          <w:rFonts w:hint="eastAsia" w:ascii="黑体" w:hAnsi="黑体" w:eastAsia="黑体" w:cs="宋体"/>
          <w:bCs/>
          <w:kern w:val="0"/>
          <w:sz w:val="32"/>
          <w:szCs w:val="32"/>
          <w:highlight w:val="none"/>
          <w:lang w:eastAsia="zh-CN"/>
        </w:rPr>
        <w:t>十</w:t>
      </w:r>
      <w:r>
        <w:rPr>
          <w:rFonts w:hint="eastAsia" w:ascii="黑体" w:hAnsi="黑体" w:eastAsia="黑体" w:cs="宋体"/>
          <w:bCs/>
          <w:kern w:val="0"/>
          <w:sz w:val="32"/>
          <w:szCs w:val="32"/>
          <w:highlight w:val="none"/>
          <w:lang w:val="en-US" w:eastAsia="zh-CN"/>
        </w:rPr>
        <w:t>一</w:t>
      </w:r>
      <w:r>
        <w:rPr>
          <w:rFonts w:hint="eastAsia" w:ascii="黑体" w:hAnsi="黑体" w:eastAsia="黑体" w:cs="宋体"/>
          <w:bCs/>
          <w:kern w:val="0"/>
          <w:sz w:val="32"/>
          <w:szCs w:val="32"/>
          <w:highlight w:val="none"/>
          <w:lang w:eastAsia="zh-CN"/>
        </w:rPr>
        <w:t>、预算绩效的情况说明</w:t>
      </w:r>
      <w:bookmarkEnd w:id="36"/>
      <w:bookmarkEnd w:id="37"/>
    </w:p>
    <w:p w14:paraId="5FB634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ascii="仿宋_GB2312" w:eastAsia="仿宋_GB2312"/>
          <w:b w:val="0"/>
          <w:sz w:val="32"/>
          <w:szCs w:val="32"/>
        </w:rPr>
      </w:pPr>
      <w:r>
        <w:rPr>
          <w:rFonts w:ascii="仿宋_GB2312" w:eastAsia="仿宋_GB2312"/>
          <w:b w:val="0"/>
          <w:sz w:val="32"/>
          <w:szCs w:val="32"/>
        </w:rPr>
        <w:t>根据预算绩效管理要求，本单位2025年度预算绩效管理形成整体支出绩效自评表</w:t>
      </w:r>
      <w:r>
        <w:rPr>
          <w:rFonts w:hint="eastAsia" w:ascii="仿宋_GB2312" w:eastAsia="仿宋_GB2312"/>
          <w:b w:val="0"/>
          <w:sz w:val="32"/>
          <w:szCs w:val="32"/>
          <w:lang w:val="en-US" w:eastAsia="zh-CN"/>
        </w:rPr>
        <w:t>0</w:t>
      </w:r>
      <w:r>
        <w:rPr>
          <w:rFonts w:ascii="仿宋_GB2312" w:eastAsia="仿宋_GB2312"/>
          <w:b w:val="0"/>
          <w:sz w:val="32"/>
          <w:szCs w:val="32"/>
        </w:rPr>
        <w:t>个，全年预算总额</w:t>
      </w:r>
      <w:r>
        <w:rPr>
          <w:rFonts w:hint="eastAsia" w:ascii="仿宋_GB2312" w:eastAsia="仿宋_GB2312"/>
          <w:b w:val="0"/>
          <w:sz w:val="32"/>
          <w:szCs w:val="32"/>
          <w:lang w:val="en-US" w:eastAsia="zh-CN"/>
        </w:rPr>
        <w:t>0</w:t>
      </w:r>
      <w:r>
        <w:rPr>
          <w:rFonts w:ascii="仿宋_GB2312" w:eastAsia="仿宋_GB2312"/>
          <w:b w:val="0"/>
          <w:sz w:val="32"/>
          <w:szCs w:val="32"/>
        </w:rPr>
        <w:t>万元，实际执行总额</w:t>
      </w:r>
      <w:r>
        <w:rPr>
          <w:rFonts w:hint="eastAsia" w:ascii="仿宋_GB2312" w:eastAsia="仿宋_GB2312"/>
          <w:b w:val="0"/>
          <w:sz w:val="32"/>
          <w:szCs w:val="32"/>
          <w:lang w:val="en-US" w:eastAsia="zh-CN"/>
        </w:rPr>
        <w:t>0</w:t>
      </w:r>
      <w:r>
        <w:rPr>
          <w:rFonts w:ascii="仿宋_GB2312" w:eastAsia="仿宋_GB2312"/>
          <w:b w:val="0"/>
          <w:sz w:val="32"/>
          <w:szCs w:val="32"/>
        </w:rPr>
        <w:t>万元；预算绩效评价项目</w:t>
      </w:r>
      <w:r>
        <w:rPr>
          <w:rFonts w:hint="eastAsia" w:ascii="仿宋_GB2312" w:eastAsia="仿宋_GB2312"/>
          <w:b w:val="0"/>
          <w:sz w:val="32"/>
          <w:szCs w:val="32"/>
          <w:lang w:val="en-US" w:eastAsia="zh-CN"/>
        </w:rPr>
        <w:t>11</w:t>
      </w:r>
      <w:r>
        <w:rPr>
          <w:rFonts w:ascii="仿宋_GB2312" w:eastAsia="仿宋_GB2312"/>
          <w:b w:val="0"/>
          <w:sz w:val="32"/>
          <w:szCs w:val="32"/>
        </w:rPr>
        <w:t>个，全年预算数</w:t>
      </w:r>
      <w:r>
        <w:rPr>
          <w:rFonts w:hint="eastAsia" w:ascii="仿宋_GB2312" w:eastAsia="仿宋_GB2312" w:cs="Times New Roman"/>
          <w:b w:val="0"/>
          <w:bCs w:val="0"/>
          <w:sz w:val="32"/>
          <w:szCs w:val="32"/>
          <w:lang w:val="en-US" w:eastAsia="zh-CN"/>
        </w:rPr>
        <w:t>2</w:t>
      </w:r>
      <w:r>
        <w:rPr>
          <w:rFonts w:hint="default" w:ascii="仿宋_GB2312" w:hAnsi="Times New Roman" w:eastAsia="仿宋_GB2312" w:cs="Times New Roman"/>
          <w:b w:val="0"/>
          <w:bCs w:val="0"/>
          <w:sz w:val="32"/>
          <w:szCs w:val="32"/>
        </w:rPr>
        <w:t>,</w:t>
      </w:r>
      <w:r>
        <w:rPr>
          <w:rFonts w:hint="eastAsia" w:ascii="仿宋_GB2312" w:eastAsia="仿宋_GB2312" w:cs="Times New Roman"/>
          <w:b w:val="0"/>
          <w:bCs w:val="0"/>
          <w:sz w:val="32"/>
          <w:szCs w:val="32"/>
          <w:lang w:val="en-US" w:eastAsia="zh-CN"/>
        </w:rPr>
        <w:t>253.90</w:t>
      </w:r>
      <w:r>
        <w:rPr>
          <w:rFonts w:ascii="仿宋_GB2312" w:eastAsia="仿宋_GB2312"/>
          <w:b w:val="0"/>
          <w:sz w:val="32"/>
          <w:szCs w:val="32"/>
        </w:rPr>
        <w:t>万元，全年执</w:t>
      </w:r>
      <w:r>
        <w:rPr>
          <w:rFonts w:ascii="仿宋_GB2312" w:hAnsi="Times New Roman" w:eastAsia="仿宋_GB2312" w:cs="Times New Roman"/>
          <w:b w:val="0"/>
          <w:sz w:val="32"/>
          <w:szCs w:val="32"/>
        </w:rPr>
        <w:t>行数</w:t>
      </w:r>
      <w:r>
        <w:rPr>
          <w:rFonts w:hint="eastAsia" w:ascii="仿宋_GB2312" w:eastAsia="仿宋_GB2312" w:cs="Times New Roman"/>
          <w:b w:val="0"/>
          <w:bCs w:val="0"/>
          <w:sz w:val="32"/>
          <w:szCs w:val="32"/>
          <w:lang w:val="en-US" w:eastAsia="zh-CN"/>
        </w:rPr>
        <w:t>2</w:t>
      </w:r>
      <w:r>
        <w:rPr>
          <w:rFonts w:hint="default" w:ascii="仿宋_GB2312" w:hAnsi="Times New Roman" w:eastAsia="仿宋_GB2312" w:cs="Times New Roman"/>
          <w:b w:val="0"/>
          <w:bCs w:val="0"/>
          <w:sz w:val="32"/>
          <w:szCs w:val="32"/>
        </w:rPr>
        <w:t>,</w:t>
      </w:r>
      <w:r>
        <w:rPr>
          <w:rFonts w:hint="eastAsia" w:ascii="仿宋_GB2312" w:eastAsia="仿宋_GB2312" w:cs="Times New Roman"/>
          <w:b w:val="0"/>
          <w:bCs w:val="0"/>
          <w:sz w:val="32"/>
          <w:szCs w:val="32"/>
          <w:lang w:val="en-US" w:eastAsia="zh-CN"/>
        </w:rPr>
        <w:t>232.86</w:t>
      </w:r>
      <w:r>
        <w:rPr>
          <w:rFonts w:ascii="仿宋_GB2312" w:hAnsi="Times New Roman" w:eastAsia="仿宋_GB2312" w:cs="Times New Roman"/>
          <w:b w:val="0"/>
          <w:sz w:val="32"/>
          <w:szCs w:val="32"/>
        </w:rPr>
        <w:t>万元</w:t>
      </w:r>
      <w:r>
        <w:rPr>
          <w:rFonts w:ascii="仿宋_GB2312" w:eastAsia="仿宋_GB2312"/>
          <w:b w:val="0"/>
          <w:sz w:val="32"/>
          <w:szCs w:val="32"/>
        </w:rPr>
        <w:t>。预算绩效管理取得的成效：</w:t>
      </w:r>
      <w:r>
        <w:rPr>
          <w:rFonts w:hint="eastAsia" w:ascii="仿宋_GB2312" w:hAnsi="宋体" w:eastAsia="仿宋_GB2312" w:cs="宋体"/>
          <w:color w:val="auto"/>
          <w:kern w:val="0"/>
          <w:sz w:val="32"/>
          <w:szCs w:val="32"/>
          <w:lang w:val="en-US" w:eastAsia="zh-CN" w:bidi="ar-SA"/>
        </w:rPr>
        <w:t>一是通过绩效结果应用，核减项目预算资金，提高了资金的使用效益；二是将绩效理念和方法融入预算管理全过程，形成全方位、全过程、全覆盖的预算绩效管理体系</w:t>
      </w:r>
      <w:r>
        <w:rPr>
          <w:rFonts w:ascii="仿宋_GB2312" w:eastAsia="仿宋_GB2312"/>
          <w:b w:val="0"/>
          <w:sz w:val="32"/>
          <w:szCs w:val="32"/>
        </w:rPr>
        <w:t>。发现的问题及原因：</w:t>
      </w:r>
      <w:r>
        <w:rPr>
          <w:rFonts w:hint="eastAsia" w:ascii="仿宋_GB2312" w:hAnsi="宋体" w:eastAsia="仿宋_GB2312" w:cs="宋体"/>
          <w:color w:val="auto"/>
          <w:kern w:val="0"/>
          <w:sz w:val="32"/>
          <w:szCs w:val="32"/>
          <w:lang w:val="en-US" w:eastAsia="zh-CN" w:bidi="ar-SA"/>
        </w:rPr>
        <w:t>一是绩效目标设定过于笼统，缺乏具体性和可操作性，未能充分考虑预期效益和效果；二是预算执行过程中，监督能力不强，导致预算支出监管和约束不足</w:t>
      </w:r>
      <w:r>
        <w:rPr>
          <w:rFonts w:ascii="仿宋_GB2312" w:eastAsia="仿宋_GB2312"/>
          <w:b w:val="0"/>
          <w:sz w:val="32"/>
          <w:szCs w:val="32"/>
        </w:rPr>
        <w:t>。下一步改进措施：</w:t>
      </w:r>
      <w:r>
        <w:rPr>
          <w:rFonts w:hint="eastAsia" w:ascii="仿宋_GB2312" w:hAnsi="宋体" w:eastAsia="仿宋_GB2312" w:cs="宋体"/>
          <w:color w:val="auto"/>
          <w:kern w:val="0"/>
          <w:sz w:val="32"/>
          <w:szCs w:val="32"/>
          <w:lang w:val="en-US" w:eastAsia="zh-CN" w:bidi="ar-SA"/>
        </w:rPr>
        <w:t>一是强化绩效目标管理，提高绩效目标的科学性和规范性，提升预算管理质量；二是加强绩效监控，对预算资金进行定期监控，确保资金使用的合规性和透明度</w:t>
      </w:r>
      <w:r>
        <w:rPr>
          <w:rFonts w:ascii="仿宋_GB2312" w:eastAsia="仿宋_GB2312"/>
          <w:b w:val="0"/>
          <w:sz w:val="32"/>
          <w:szCs w:val="32"/>
        </w:rPr>
        <w:t>。</w:t>
      </w:r>
    </w:p>
    <w:p w14:paraId="6562CEA4">
      <w:pPr>
        <w:pStyle w:val="2"/>
        <w:rPr>
          <w:rFonts w:ascii="仿宋_GB2312" w:eastAsia="仿宋_GB2312"/>
          <w:b w:val="0"/>
          <w:sz w:val="32"/>
          <w:szCs w:val="32"/>
        </w:rPr>
      </w:pPr>
    </w:p>
    <w:p w14:paraId="38979F40">
      <w:pPr>
        <w:pStyle w:val="2"/>
      </w:pPr>
      <w:r>
        <w:object>
          <v:shape id="_x0000_i1025" o:spt="75" type="#_x0000_t75" style="height:403.5pt;width:441.7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p>
    <w:p w14:paraId="28FE6BF7">
      <w:pPr>
        <w:pStyle w:val="2"/>
      </w:pPr>
      <w:r>
        <w:object>
          <v:shape id="_x0000_i1026" o:spt="75" type="#_x0000_t75" style="height:386.2pt;width:441.55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p w14:paraId="0B75A8FF">
      <w:pPr>
        <w:pStyle w:val="2"/>
      </w:pPr>
    </w:p>
    <w:p w14:paraId="45C7CE4C">
      <w:pPr>
        <w:pStyle w:val="2"/>
      </w:pPr>
      <w:r>
        <w:object>
          <v:shape id="_x0000_i1027" o:spt="75" type="#_x0000_t75" style="height:296.55pt;width:441.5pt;" o:ole="t" filled="f" o:preferrelative="t" stroked="f" coordsize="21600,21600">
            <v:path/>
            <v:fill on="f" focussize="0,0"/>
            <v:stroke on="f"/>
            <v:imagedata r:id="rId10" o:title=""/>
            <o:lock v:ext="edit" aspectratio="f"/>
            <w10:wrap type="none"/>
            <w10:anchorlock/>
          </v:shape>
          <o:OLEObject Type="Embed" ProgID="Excel.Sheet.12" ShapeID="_x0000_i1027" DrawAspect="Content" ObjectID="_1468075727" r:id="rId9">
            <o:LockedField>false</o:LockedField>
          </o:OLEObject>
        </w:object>
      </w:r>
    </w:p>
    <w:p w14:paraId="1487387E">
      <w:pPr>
        <w:pStyle w:val="2"/>
      </w:pPr>
      <w:r>
        <w:object>
          <v:shape id="_x0000_i1028" o:spt="75" type="#_x0000_t75" style="height:384.65pt;width:442.05pt;" o:ole="t" filled="f" o:preferrelative="t" stroked="f" coordsize="21600,21600">
            <v:path/>
            <v:fill on="f" focussize="0,0"/>
            <v:stroke on="f"/>
            <v:imagedata r:id="rId12" o:title=""/>
            <o:lock v:ext="edit" aspectratio="f"/>
            <w10:wrap type="none"/>
            <w10:anchorlock/>
          </v:shape>
          <o:OLEObject Type="Embed" ProgID="Excel.Sheet.12" ShapeID="_x0000_i1028" DrawAspect="Content" ObjectID="_1468075728" r:id="rId11">
            <o:LockedField>false</o:LockedField>
          </o:OLEObject>
        </w:object>
      </w:r>
    </w:p>
    <w:p w14:paraId="134BD93D">
      <w:pPr>
        <w:pStyle w:val="2"/>
        <w:rPr>
          <w:rFonts w:hint="eastAsia"/>
          <w:lang w:eastAsia="zh-CN"/>
        </w:rPr>
      </w:pPr>
    </w:p>
    <w:p w14:paraId="5230DFC3">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29" o:spt="75" type="#_x0000_t75" style="height:302.3pt;width:441.65pt;" o:ole="t" filled="f" o:preferrelative="t" stroked="f" coordsize="21600,21600">
            <v:path/>
            <v:fill on="f" focussize="0,0"/>
            <v:stroke on="f"/>
            <v:imagedata r:id="rId14" o:title=""/>
            <o:lock v:ext="edit" aspectratio="f"/>
            <w10:wrap type="none"/>
            <w10:anchorlock/>
          </v:shape>
          <o:OLEObject Type="Embed" ProgID="Excel.Sheet.12" ShapeID="_x0000_i1029" DrawAspect="Content" ObjectID="_1468075729" r:id="rId13">
            <o:LockedField>false</o:LockedField>
          </o:OLEObject>
        </w:object>
      </w:r>
    </w:p>
    <w:p w14:paraId="16BBEDD6">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0" o:spt="75" type="#_x0000_t75" style="height:367.1pt;width:441.75pt;" o:ole="t" filled="f" o:preferrelative="t" stroked="f" coordsize="21600,21600">
            <v:path/>
            <v:fill on="f" focussize="0,0"/>
            <v:stroke on="f"/>
            <v:imagedata r:id="rId16" o:title=""/>
            <o:lock v:ext="edit" aspectratio="f"/>
            <w10:wrap type="none"/>
            <w10:anchorlock/>
          </v:shape>
          <o:OLEObject Type="Embed" ProgID="Excel.Sheet.12" ShapeID="_x0000_i1030" DrawAspect="Content" ObjectID="_1468075730" r:id="rId15">
            <o:LockedField>false</o:LockedField>
          </o:OLEObject>
        </w:object>
      </w:r>
    </w:p>
    <w:p w14:paraId="4394DC24">
      <w:pPr>
        <w:pStyle w:val="2"/>
        <w:rPr>
          <w:rFonts w:hint="eastAsia" w:ascii="仿宋_GB2312" w:eastAsia="仿宋_GB2312"/>
          <w:b w:val="0"/>
          <w:sz w:val="16"/>
          <w:szCs w:val="16"/>
          <w:lang w:eastAsia="zh-CN"/>
        </w:rPr>
      </w:pPr>
    </w:p>
    <w:p w14:paraId="0E4D30BD">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1" o:spt="75" type="#_x0000_t75" style="height:319.4pt;width:442.2pt;" o:ole="t" filled="f" o:preferrelative="t" stroked="f" coordsize="21600,21600">
            <v:path/>
            <v:fill on="f" focussize="0,0"/>
            <v:stroke on="f"/>
            <v:imagedata r:id="rId18" o:title=""/>
            <o:lock v:ext="edit" aspectratio="f"/>
            <w10:wrap type="none"/>
            <w10:anchorlock/>
          </v:shape>
          <o:OLEObject Type="Embed" ProgID="Excel.Sheet.12" ShapeID="_x0000_i1031" DrawAspect="Content" ObjectID="_1468075731" r:id="rId17">
            <o:LockedField>false</o:LockedField>
          </o:OLEObject>
        </w:object>
      </w:r>
    </w:p>
    <w:p w14:paraId="37E4DFBB">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2" o:spt="75" type="#_x0000_t75" style="height:692.35pt;width:442.05pt;" o:ole="t" filled="f" o:preferrelative="t" stroked="f" coordsize="21600,21600">
            <v:path/>
            <v:fill on="f" focussize="0,0"/>
            <v:stroke on="f"/>
            <v:imagedata r:id="rId20" o:title=""/>
            <o:lock v:ext="edit" aspectratio="f"/>
            <w10:wrap type="none"/>
            <w10:anchorlock/>
          </v:shape>
          <o:OLEObject Type="Embed" ProgID="Excel.Sheet.12" ShapeID="_x0000_i1032" DrawAspect="Content" ObjectID="_1468075732" r:id="rId19">
            <o:LockedField>false</o:LockedField>
          </o:OLEObject>
        </w:object>
      </w:r>
    </w:p>
    <w:p w14:paraId="08A934F1">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3" o:spt="75" alt="" type="#_x0000_t75" style="height:332.55pt;width:441.95pt;" o:ole="t" filled="f" o:preferrelative="t" stroked="f" coordsize="21600,21600">
            <v:path/>
            <v:fill on="f" focussize="0,0"/>
            <v:stroke on="f"/>
            <v:imagedata r:id="rId22" o:title=""/>
            <o:lock v:ext="edit" aspectratio="f"/>
            <w10:wrap type="none"/>
            <w10:anchorlock/>
          </v:shape>
          <o:OLEObject Type="Embed" ProgID="Excel.Sheet.12" ShapeID="_x0000_i1033" DrawAspect="Content" ObjectID="_1468075733" r:id="rId21">
            <o:LockedField>false</o:LockedField>
          </o:OLEObject>
        </w:object>
      </w:r>
    </w:p>
    <w:p w14:paraId="76C3BDA6">
      <w:pPr>
        <w:pStyle w:val="2"/>
        <w:rPr>
          <w:rFonts w:hint="eastAsia" w:ascii="仿宋_GB2312" w:eastAsia="仿宋_GB2312"/>
          <w:b w:val="0"/>
          <w:sz w:val="18"/>
          <w:szCs w:val="18"/>
          <w:lang w:eastAsia="zh-CN"/>
        </w:rPr>
      </w:pPr>
    </w:p>
    <w:p w14:paraId="0901C5C8">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4" o:spt="75" type="#_x0000_t75" style="height:351.1pt;width:441.5pt;" o:ole="t" filled="f" o:preferrelative="t" stroked="f" coordsize="21600,21600">
            <v:path/>
            <v:fill on="f" focussize="0,0"/>
            <v:stroke on="f"/>
            <v:imagedata r:id="rId24" o:title=""/>
            <o:lock v:ext="edit" aspectratio="f"/>
            <w10:wrap type="none"/>
            <w10:anchorlock/>
          </v:shape>
          <o:OLEObject Type="Embed" ProgID="Excel.Sheet.12" ShapeID="_x0000_i1034" DrawAspect="Content" ObjectID="_1468075734" r:id="rId23">
            <o:LockedField>false</o:LockedField>
          </o:OLEObject>
        </w:object>
      </w:r>
    </w:p>
    <w:p w14:paraId="2D50D6E1">
      <w:pPr>
        <w:pStyle w:val="2"/>
        <w:rPr>
          <w:rFonts w:hint="eastAsia" w:ascii="仿宋_GB2312" w:eastAsia="仿宋_GB2312"/>
          <w:b w:val="0"/>
          <w:sz w:val="32"/>
          <w:szCs w:val="32"/>
          <w:lang w:eastAsia="zh-CN"/>
        </w:rPr>
      </w:pPr>
      <w:r>
        <w:rPr>
          <w:rFonts w:hint="eastAsia" w:ascii="仿宋_GB2312" w:eastAsia="仿宋_GB2312"/>
          <w:b w:val="0"/>
          <w:sz w:val="32"/>
          <w:szCs w:val="32"/>
          <w:lang w:eastAsia="zh-CN"/>
        </w:rPr>
        <w:object>
          <v:shape id="_x0000_i1035" o:spt="75" type="#_x0000_t75" style="height:332.4pt;width:441.8pt;" o:ole="t" filled="f" o:preferrelative="t" stroked="f" coordsize="21600,21600">
            <v:path/>
            <v:fill on="f" focussize="0,0"/>
            <v:stroke on="f"/>
            <v:imagedata r:id="rId26" o:title=""/>
            <o:lock v:ext="edit" aspectratio="f"/>
            <w10:wrap type="none"/>
            <w10:anchorlock/>
          </v:shape>
          <o:OLEObject Type="Embed" ProgID="Excel.Sheet.12" ShapeID="_x0000_i1035" DrawAspect="Content" ObjectID="_1468075735" r:id="rId25">
            <o:LockedField>false</o:LockedField>
          </o:OLEObject>
        </w:object>
      </w:r>
    </w:p>
    <w:p w14:paraId="71FD94ED">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1"/>
        <w:rPr>
          <w:rFonts w:hint="eastAsia" w:ascii="黑体" w:hAnsi="黑体" w:eastAsia="黑体" w:cs="宋体"/>
          <w:bCs/>
          <w:kern w:val="0"/>
          <w:sz w:val="32"/>
          <w:szCs w:val="32"/>
          <w:highlight w:val="none"/>
          <w:lang w:eastAsia="zh-CN"/>
        </w:rPr>
      </w:pPr>
    </w:p>
    <w:p w14:paraId="037D502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r>
        <w:rPr>
          <w:rFonts w:hint="eastAsia" w:ascii="黑体" w:hAnsi="黑体" w:eastAsia="黑体" w:cs="宋体"/>
          <w:bCs/>
          <w:kern w:val="0"/>
          <w:sz w:val="32"/>
          <w:szCs w:val="32"/>
          <w:highlight w:val="none"/>
          <w:lang w:eastAsia="zh-CN"/>
        </w:rPr>
        <w:t>十</w:t>
      </w:r>
      <w:r>
        <w:rPr>
          <w:rFonts w:hint="eastAsia" w:ascii="黑体" w:hAnsi="黑体" w:eastAsia="黑体" w:cs="宋体"/>
          <w:bCs/>
          <w:kern w:val="0"/>
          <w:sz w:val="32"/>
          <w:szCs w:val="32"/>
          <w:highlight w:val="none"/>
          <w:lang w:val="en-US" w:eastAsia="zh-CN"/>
        </w:rPr>
        <w:t>二</w:t>
      </w:r>
      <w:r>
        <w:rPr>
          <w:rFonts w:hint="eastAsia" w:ascii="黑体" w:hAnsi="黑体" w:eastAsia="黑体" w:cs="宋体"/>
          <w:bCs/>
          <w:kern w:val="0"/>
          <w:sz w:val="32"/>
          <w:szCs w:val="32"/>
          <w:highlight w:val="none"/>
          <w:lang w:eastAsia="zh-CN"/>
        </w:rPr>
        <w:t>、其他需说明的事项</w:t>
      </w:r>
    </w:p>
    <w:p w14:paraId="0F4D7D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kern w:val="0"/>
          <w:sz w:val="32"/>
          <w:szCs w:val="32"/>
          <w:highlight w:val="none"/>
          <w:lang w:val="en-US" w:eastAsia="zh-CN"/>
        </w:rPr>
      </w:pPr>
      <w:bookmarkStart w:id="38" w:name="OLE_LINK1"/>
      <w:r>
        <w:rPr>
          <w:rFonts w:hint="eastAsia" w:ascii="仿宋_GB2312" w:eastAsia="仿宋_GB2312"/>
          <w:b w:val="0"/>
          <w:bCs w:val="0"/>
          <w:spacing w:val="0"/>
          <w:sz w:val="32"/>
          <w:szCs w:val="32"/>
          <w:highlight w:val="none"/>
          <w:lang w:val="en-US" w:eastAsia="zh-CN"/>
        </w:rPr>
        <w:t>按照</w:t>
      </w:r>
      <w:r>
        <w:rPr>
          <w:rFonts w:hint="eastAsia" w:ascii="仿宋_GB2312" w:hAnsi="Times New Roman" w:eastAsia="仿宋_GB2312" w:cs="Times New Roman"/>
          <w:sz w:val="32"/>
          <w:szCs w:val="32"/>
          <w:highlight w:val="none"/>
          <w:lang w:val="en-US" w:eastAsia="zh-CN"/>
        </w:rPr>
        <w:t>昌市党编委〔2025〕2号《关于调整昌吉高新技术产业开发区党工委管委会所属事业单位机构编制事宜的</w:t>
      </w:r>
      <w:r>
        <w:rPr>
          <w:rFonts w:hint="eastAsia" w:ascii="仿宋_GB2312" w:eastAsia="仿宋_GB2312" w:cs="Times New Roman"/>
          <w:sz w:val="32"/>
          <w:szCs w:val="32"/>
          <w:highlight w:val="none"/>
          <w:lang w:val="en-US" w:eastAsia="zh-CN"/>
        </w:rPr>
        <w:t>通知》要求</w:t>
      </w:r>
      <w:r>
        <w:rPr>
          <w:rFonts w:hint="eastAsia" w:ascii="仿宋_GB2312" w:hAnsi="Times New Roman" w:eastAsia="仿宋_GB2312" w:cs="Times New Roman"/>
          <w:sz w:val="32"/>
          <w:szCs w:val="32"/>
          <w:highlight w:val="none"/>
          <w:lang w:val="en-US" w:eastAsia="zh-CN"/>
        </w:rPr>
        <w:t>，市政中心</w:t>
      </w:r>
      <w:r>
        <w:rPr>
          <w:rFonts w:hint="eastAsia" w:ascii="仿宋_GB2312" w:eastAsia="仿宋_GB2312" w:cs="Times New Roman"/>
          <w:sz w:val="32"/>
          <w:szCs w:val="32"/>
          <w:highlight w:val="none"/>
          <w:lang w:val="en-US" w:eastAsia="zh-CN"/>
        </w:rPr>
        <w:t>启动</w:t>
      </w:r>
      <w:r>
        <w:rPr>
          <w:rFonts w:hint="eastAsia" w:ascii="仿宋_GB2312" w:hAnsi="Times New Roman" w:eastAsia="仿宋_GB2312" w:cs="Times New Roman"/>
          <w:sz w:val="32"/>
          <w:szCs w:val="32"/>
          <w:highlight w:val="none"/>
          <w:lang w:val="en-US" w:eastAsia="zh-CN"/>
        </w:rPr>
        <w:t>清算注销</w:t>
      </w:r>
      <w:r>
        <w:rPr>
          <w:rFonts w:hint="eastAsia" w:ascii="仿宋_GB2312" w:eastAsia="仿宋_GB2312" w:cs="Times New Roman"/>
          <w:sz w:val="32"/>
          <w:szCs w:val="32"/>
          <w:highlight w:val="none"/>
          <w:lang w:val="en-US" w:eastAsia="zh-CN"/>
        </w:rPr>
        <w:t>工作。2025年9月将污水处理费、污水处理费（基金）、中水费三个项目预算转至高新区建设管理局。</w:t>
      </w:r>
      <w:bookmarkStart w:id="60" w:name="_GoBack"/>
      <w:bookmarkEnd w:id="60"/>
      <w:r>
        <w:rPr>
          <w:rFonts w:hint="eastAsia" w:ascii="仿宋_GB2312" w:eastAsia="仿宋_GB2312" w:cs="Times New Roman"/>
          <w:sz w:val="32"/>
          <w:szCs w:val="32"/>
          <w:highlight w:val="none"/>
          <w:lang w:val="en-US" w:eastAsia="zh-CN"/>
        </w:rPr>
        <w:t>项目绩效自评表按照管委会全年支出口径编制。其中，上述三个项目对应的资金总额中，归属市政中心核算的资金为：污水处理费249.57万元，中水费52.04万元，污水处理费（基金）486.93万元；其余部分资金由高新区建设管理局后续执行。</w:t>
      </w:r>
    </w:p>
    <w:bookmarkEnd w:id="38"/>
    <w:p w14:paraId="6D956AD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黑体" w:hAnsi="黑体" w:eastAsia="黑体"/>
          <w:sz w:val="32"/>
          <w:szCs w:val="32"/>
          <w:highlight w:val="none"/>
        </w:rPr>
      </w:pPr>
      <w:bookmarkStart w:id="39" w:name="_Toc24143"/>
      <w:r>
        <w:rPr>
          <w:rFonts w:hint="eastAsia" w:ascii="黑体" w:hAnsi="黑体" w:eastAsia="黑体"/>
          <w:sz w:val="32"/>
          <w:szCs w:val="32"/>
          <w:highlight w:val="none"/>
        </w:rPr>
        <w:br w:type="page"/>
      </w:r>
      <w:bookmarkStart w:id="40" w:name="_Toc30038"/>
      <w:r>
        <w:rPr>
          <w:rFonts w:hint="eastAsia" w:ascii="黑体" w:hAnsi="黑体" w:eastAsia="黑体"/>
          <w:sz w:val="32"/>
          <w:szCs w:val="32"/>
          <w:highlight w:val="none"/>
        </w:rPr>
        <w:t>第</w:t>
      </w:r>
      <w:r>
        <w:rPr>
          <w:rFonts w:hint="eastAsia" w:ascii="黑体" w:hAnsi="黑体" w:eastAsia="黑体"/>
          <w:sz w:val="32"/>
          <w:szCs w:val="32"/>
          <w:highlight w:val="none"/>
          <w:lang w:val="en-US" w:eastAsia="zh-CN"/>
        </w:rPr>
        <w:t>三</w:t>
      </w:r>
      <w:r>
        <w:rPr>
          <w:rFonts w:hint="eastAsia" w:ascii="黑体" w:hAnsi="黑体" w:eastAsia="黑体"/>
          <w:sz w:val="32"/>
          <w:szCs w:val="32"/>
          <w:highlight w:val="none"/>
        </w:rPr>
        <w:t>部分 专业名词解释</w:t>
      </w:r>
      <w:bookmarkEnd w:id="39"/>
      <w:bookmarkEnd w:id="40"/>
    </w:p>
    <w:p w14:paraId="78B65E19">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一、</w:t>
      </w:r>
      <w:r>
        <w:rPr>
          <w:rFonts w:hint="eastAsia" w:ascii="仿宋_GB2312" w:eastAsia="仿宋_GB2312"/>
          <w:b/>
          <w:bCs/>
          <w:sz w:val="32"/>
          <w:szCs w:val="32"/>
          <w:highlight w:val="none"/>
          <w:shd w:val="clear" w:color="auto" w:fill="auto"/>
        </w:rPr>
        <w:t>财政拨款收入：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单位本年度从</w:t>
      </w:r>
      <w:r>
        <w:rPr>
          <w:rFonts w:hint="eastAsia" w:eastAsia="仿宋_GB2312"/>
          <w:bCs/>
          <w:sz w:val="32"/>
          <w:szCs w:val="32"/>
          <w:highlight w:val="none"/>
          <w:shd w:val="clear" w:color="auto" w:fill="auto"/>
        </w:rPr>
        <w:t>同级</w:t>
      </w:r>
      <w:r>
        <w:rPr>
          <w:rFonts w:eastAsia="仿宋_GB2312"/>
          <w:bCs/>
          <w:sz w:val="32"/>
          <w:szCs w:val="32"/>
          <w:highlight w:val="none"/>
          <w:shd w:val="clear" w:color="auto" w:fill="auto"/>
        </w:rPr>
        <w:t>财政部门取得的财政拨款，包括</w:t>
      </w:r>
      <w:r>
        <w:rPr>
          <w:rFonts w:eastAsia="仿宋_GB2312"/>
          <w:bCs/>
          <w:spacing w:val="6"/>
          <w:sz w:val="32"/>
          <w:szCs w:val="32"/>
          <w:highlight w:val="none"/>
          <w:shd w:val="clear" w:color="auto" w:fill="auto"/>
        </w:rPr>
        <w:t>一般公共预算财政拨款</w:t>
      </w:r>
      <w:r>
        <w:rPr>
          <w:rFonts w:eastAsia="仿宋_GB2312"/>
          <w:bCs/>
          <w:sz w:val="32"/>
          <w:szCs w:val="32"/>
          <w:highlight w:val="none"/>
          <w:shd w:val="clear" w:color="auto" w:fill="auto"/>
        </w:rPr>
        <w:t>、政府性基金预算财政拨款和国有资本经营预算财政拨款。</w:t>
      </w:r>
    </w:p>
    <w:p w14:paraId="6148F1A8">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二、</w:t>
      </w:r>
      <w:r>
        <w:rPr>
          <w:rFonts w:hint="eastAsia" w:ascii="仿宋_GB2312" w:eastAsia="仿宋_GB2312"/>
          <w:b/>
          <w:bCs/>
          <w:sz w:val="32"/>
          <w:szCs w:val="32"/>
          <w:highlight w:val="none"/>
          <w:shd w:val="clear" w:color="auto" w:fill="auto"/>
        </w:rPr>
        <w:t>上级补助收入：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事业单位从主管部门和上级单位取得的非财政补助收入。</w:t>
      </w:r>
    </w:p>
    <w:p w14:paraId="05A13431">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三、</w:t>
      </w:r>
      <w:r>
        <w:rPr>
          <w:rFonts w:hint="eastAsia" w:ascii="仿宋_GB2312" w:eastAsia="仿宋_GB2312"/>
          <w:b/>
          <w:bCs/>
          <w:sz w:val="32"/>
          <w:szCs w:val="32"/>
          <w:highlight w:val="none"/>
          <w:shd w:val="clear" w:color="auto" w:fill="auto"/>
        </w:rPr>
        <w:t>事业收入：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事业单位开展专业业务活动及其辅助活动取得的收入。</w:t>
      </w:r>
    </w:p>
    <w:p w14:paraId="37999FA3">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四、</w:t>
      </w:r>
      <w:r>
        <w:rPr>
          <w:rFonts w:hint="eastAsia" w:ascii="仿宋_GB2312" w:eastAsia="仿宋_GB2312"/>
          <w:b/>
          <w:bCs/>
          <w:sz w:val="32"/>
          <w:szCs w:val="32"/>
          <w:highlight w:val="none"/>
          <w:shd w:val="clear" w:color="auto" w:fill="auto"/>
        </w:rPr>
        <w:t>经营收入：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事业单位在专业业务活动及其辅助活动之外开展非独立核算经营活动取得的收入。</w:t>
      </w:r>
    </w:p>
    <w:p w14:paraId="465983E4">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五、</w:t>
      </w:r>
      <w:r>
        <w:rPr>
          <w:rFonts w:hint="eastAsia" w:ascii="仿宋_GB2312" w:eastAsia="仿宋_GB2312"/>
          <w:b/>
          <w:bCs/>
          <w:sz w:val="32"/>
          <w:szCs w:val="32"/>
          <w:highlight w:val="none"/>
          <w:shd w:val="clear" w:color="auto" w:fill="auto"/>
        </w:rPr>
        <w:t>附属单位上缴收入：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事业单位附</w:t>
      </w:r>
      <w:r>
        <w:rPr>
          <w:rFonts w:hint="eastAsia" w:eastAsia="仿宋_GB2312"/>
          <w:bCs/>
          <w:sz w:val="32"/>
          <w:szCs w:val="32"/>
          <w:highlight w:val="none"/>
          <w:shd w:val="clear" w:color="auto" w:fill="auto"/>
        </w:rPr>
        <w:t>属</w:t>
      </w:r>
      <w:r>
        <w:rPr>
          <w:rFonts w:eastAsia="仿宋_GB2312"/>
          <w:bCs/>
          <w:sz w:val="32"/>
          <w:szCs w:val="32"/>
          <w:highlight w:val="none"/>
          <w:shd w:val="clear" w:color="auto" w:fill="auto"/>
        </w:rPr>
        <w:t>独立核算单位按照有关规定上缴的收入。</w:t>
      </w:r>
    </w:p>
    <w:p w14:paraId="3D820795">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六、</w:t>
      </w:r>
      <w:r>
        <w:rPr>
          <w:rFonts w:hint="eastAsia" w:ascii="仿宋_GB2312" w:eastAsia="仿宋_GB2312"/>
          <w:b/>
          <w:bCs/>
          <w:sz w:val="32"/>
          <w:szCs w:val="32"/>
          <w:highlight w:val="none"/>
          <w:shd w:val="clear" w:color="auto" w:fill="auto"/>
        </w:rPr>
        <w:t>其他收入：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单位取得的</w:t>
      </w:r>
      <w:r>
        <w:rPr>
          <w:rFonts w:hint="eastAsia" w:ascii="仿宋_GB2312" w:eastAsia="仿宋_GB2312"/>
          <w:sz w:val="32"/>
          <w:szCs w:val="32"/>
          <w:highlight w:val="none"/>
          <w:shd w:val="clear" w:color="auto" w:fill="auto"/>
        </w:rPr>
        <w:t>除上述“财政拨款收入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上级补助收入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事业收入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经营收入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附属单位上缴收入”</w:t>
      </w:r>
      <w:r>
        <w:rPr>
          <w:rFonts w:eastAsia="仿宋_GB2312"/>
          <w:bCs/>
          <w:sz w:val="32"/>
          <w:szCs w:val="32"/>
          <w:highlight w:val="none"/>
          <w:shd w:val="clear" w:color="auto" w:fill="auto"/>
        </w:rPr>
        <w:t>以外的各项收入。</w:t>
      </w:r>
    </w:p>
    <w:p w14:paraId="5F106014">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b w:val="0"/>
          <w:bCs w:val="0"/>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七、</w:t>
      </w:r>
      <w:r>
        <w:rPr>
          <w:rFonts w:hint="eastAsia" w:ascii="仿宋_GB2312" w:eastAsia="仿宋_GB2312"/>
          <w:b/>
          <w:bCs/>
          <w:sz w:val="32"/>
          <w:szCs w:val="32"/>
          <w:highlight w:val="none"/>
          <w:shd w:val="clear" w:color="auto" w:fill="auto"/>
          <w:lang w:eastAsia="zh-CN"/>
        </w:rPr>
        <w:t>年初</w:t>
      </w:r>
      <w:r>
        <w:rPr>
          <w:rFonts w:hint="eastAsia" w:ascii="仿宋_GB2312" w:eastAsia="仿宋_GB2312"/>
          <w:b/>
          <w:bCs/>
          <w:sz w:val="32"/>
          <w:szCs w:val="32"/>
          <w:highlight w:val="none"/>
          <w:shd w:val="clear" w:color="auto" w:fill="auto"/>
        </w:rPr>
        <w:t>结转和结余：</w:t>
      </w:r>
      <w:r>
        <w:rPr>
          <w:rFonts w:hint="eastAsia" w:ascii="仿宋_GB2312" w:eastAsia="仿宋_GB2312"/>
          <w:b w:val="0"/>
          <w:bCs w:val="0"/>
          <w:sz w:val="32"/>
          <w:szCs w:val="32"/>
          <w:highlight w:val="none"/>
          <w:shd w:val="clear" w:color="auto" w:fill="auto"/>
        </w:rPr>
        <w:t>指单位上年结转本年使用的基本支出结转、项目支出结转和结余、经营结余。</w:t>
      </w:r>
    </w:p>
    <w:p w14:paraId="0DF543A5">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八、</w:t>
      </w:r>
      <w:r>
        <w:rPr>
          <w:rFonts w:eastAsia="仿宋_GB2312"/>
          <w:b/>
          <w:bCs w:val="0"/>
          <w:sz w:val="32"/>
          <w:szCs w:val="32"/>
          <w:highlight w:val="none"/>
          <w:shd w:val="clear" w:color="auto" w:fill="auto"/>
        </w:rPr>
        <w:t>使用非财政拨款结余</w:t>
      </w:r>
      <w:r>
        <w:rPr>
          <w:rFonts w:hint="eastAsia" w:eastAsia="仿宋_GB2312"/>
          <w:b/>
          <w:bCs w:val="0"/>
          <w:sz w:val="32"/>
          <w:szCs w:val="32"/>
          <w:highlight w:val="none"/>
          <w:shd w:val="clear" w:color="auto" w:fill="auto"/>
        </w:rPr>
        <w:t>（含专用结余）</w:t>
      </w:r>
      <w:r>
        <w:rPr>
          <w:rFonts w:eastAsia="仿宋_GB2312"/>
          <w:b/>
          <w:bCs w:val="0"/>
          <w:sz w:val="32"/>
          <w:szCs w:val="32"/>
          <w:highlight w:val="none"/>
          <w:shd w:val="clear" w:color="auto" w:fill="auto"/>
        </w:rPr>
        <w:t>：</w:t>
      </w:r>
      <w:r>
        <w:rPr>
          <w:rFonts w:hint="eastAsia" w:ascii="仿宋_GB2312" w:eastAsia="仿宋_GB2312"/>
          <w:b w:val="0"/>
          <w:bCs w:val="0"/>
          <w:sz w:val="32"/>
          <w:szCs w:val="32"/>
          <w:highlight w:val="none"/>
          <w:shd w:val="clear" w:color="auto" w:fill="auto"/>
        </w:rPr>
        <w:t>指</w:t>
      </w:r>
      <w:r>
        <w:rPr>
          <w:rFonts w:hint="eastAsia" w:eastAsia="仿宋_GB2312"/>
          <w:bCs/>
          <w:sz w:val="32"/>
          <w:szCs w:val="32"/>
          <w:highlight w:val="none"/>
          <w:shd w:val="clear" w:color="auto" w:fill="auto"/>
        </w:rPr>
        <w:t>单位</w:t>
      </w:r>
      <w:r>
        <w:rPr>
          <w:rFonts w:eastAsia="仿宋_GB2312"/>
          <w:bCs/>
          <w:sz w:val="32"/>
          <w:szCs w:val="32"/>
          <w:highlight w:val="none"/>
          <w:shd w:val="clear" w:color="auto" w:fill="auto"/>
        </w:rPr>
        <w:t>按照预算管理要求使用非财政拨款结余弥补收支差额的金额</w:t>
      </w:r>
      <w:r>
        <w:rPr>
          <w:rFonts w:hint="eastAsia" w:eastAsia="仿宋_GB2312"/>
          <w:bCs/>
          <w:sz w:val="32"/>
          <w:szCs w:val="32"/>
          <w:highlight w:val="none"/>
          <w:shd w:val="clear" w:color="auto" w:fill="auto"/>
        </w:rPr>
        <w:t>，以及使用专用结余安排支出的金额</w:t>
      </w:r>
      <w:r>
        <w:rPr>
          <w:rFonts w:eastAsia="仿宋_GB2312"/>
          <w:bCs/>
          <w:sz w:val="32"/>
          <w:szCs w:val="32"/>
          <w:highlight w:val="none"/>
          <w:shd w:val="clear" w:color="auto" w:fill="auto"/>
        </w:rPr>
        <w:t>。</w:t>
      </w:r>
    </w:p>
    <w:p w14:paraId="4CC97D96">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九、</w:t>
      </w:r>
      <w:r>
        <w:rPr>
          <w:rFonts w:eastAsia="仿宋_GB2312"/>
          <w:b/>
          <w:bCs w:val="0"/>
          <w:sz w:val="32"/>
          <w:szCs w:val="32"/>
          <w:highlight w:val="none"/>
          <w:shd w:val="clear" w:color="auto" w:fill="auto"/>
        </w:rPr>
        <w:t>结余分配：</w:t>
      </w:r>
      <w:r>
        <w:rPr>
          <w:rFonts w:hint="eastAsia" w:ascii="仿宋_GB2312" w:eastAsia="仿宋_GB2312"/>
          <w:b w:val="0"/>
          <w:bCs w:val="0"/>
          <w:sz w:val="32"/>
          <w:szCs w:val="32"/>
          <w:highlight w:val="none"/>
          <w:shd w:val="clear" w:color="auto" w:fill="auto"/>
        </w:rPr>
        <w:t>指</w:t>
      </w:r>
      <w:r>
        <w:rPr>
          <w:rFonts w:eastAsia="仿宋_GB2312"/>
          <w:bCs/>
          <w:sz w:val="32"/>
          <w:szCs w:val="32"/>
          <w:highlight w:val="none"/>
          <w:shd w:val="clear" w:color="auto" w:fill="auto"/>
        </w:rPr>
        <w:t>单位缴纳企业所得税以及从非财政拨款结余或经营结余中提取各类结余的情况。</w:t>
      </w:r>
    </w:p>
    <w:p w14:paraId="16C6C2E2">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w:t>
      </w:r>
      <w:r>
        <w:rPr>
          <w:rFonts w:hint="eastAsia" w:ascii="仿宋_GB2312" w:eastAsia="仿宋_GB2312"/>
          <w:b/>
          <w:bCs/>
          <w:sz w:val="32"/>
          <w:szCs w:val="32"/>
          <w:highlight w:val="none"/>
          <w:shd w:val="clear" w:color="auto" w:fill="auto"/>
        </w:rPr>
        <w:t>年末结转和结余：</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单位结转下年的基本支出结转、项目支出结转和结余、经营结余。</w:t>
      </w:r>
    </w:p>
    <w:p w14:paraId="423858FA">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十一、</w:t>
      </w:r>
      <w:r>
        <w:rPr>
          <w:rFonts w:hint="eastAsia" w:ascii="仿宋_GB2312" w:eastAsia="仿宋_GB2312"/>
          <w:b/>
          <w:bCs/>
          <w:sz w:val="32"/>
          <w:szCs w:val="32"/>
          <w:highlight w:val="none"/>
          <w:shd w:val="clear" w:color="auto" w:fill="auto"/>
        </w:rPr>
        <w:t>基本支出：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单位为保障机构正常运转、完成日常工作任务而发生的各项支出。</w:t>
      </w:r>
    </w:p>
    <w:p w14:paraId="6E3FC27B">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十二、</w:t>
      </w:r>
      <w:r>
        <w:rPr>
          <w:rFonts w:hint="eastAsia" w:ascii="仿宋_GB2312" w:eastAsia="仿宋_GB2312"/>
          <w:b/>
          <w:bCs/>
          <w:sz w:val="32"/>
          <w:szCs w:val="32"/>
          <w:highlight w:val="none"/>
          <w:shd w:val="clear" w:color="auto" w:fill="auto"/>
        </w:rPr>
        <w:t>项目支出：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单位为完成特定的行政工作任务或事业发展目标，在基本支出之外发生的各项支出。</w:t>
      </w:r>
    </w:p>
    <w:p w14:paraId="404757A8">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default" w:eastAsia="仿宋_GB2312"/>
          <w:bCs/>
          <w:sz w:val="32"/>
          <w:szCs w:val="32"/>
          <w:highlight w:val="none"/>
          <w:shd w:val="clear" w:color="auto" w:fill="auto"/>
          <w:lang w:val="en-US" w:eastAsia="zh-CN"/>
        </w:rPr>
      </w:pPr>
      <w:r>
        <w:rPr>
          <w:rFonts w:hint="eastAsia" w:ascii="仿宋_GB2312" w:eastAsia="仿宋_GB2312"/>
          <w:b/>
          <w:bCs/>
          <w:sz w:val="32"/>
          <w:szCs w:val="32"/>
          <w:highlight w:val="none"/>
          <w:shd w:val="clear" w:color="auto" w:fill="auto"/>
          <w:lang w:val="en-US" w:eastAsia="zh-CN"/>
        </w:rPr>
        <w:t>十三、</w:t>
      </w:r>
      <w:r>
        <w:rPr>
          <w:rFonts w:hint="eastAsia" w:eastAsia="仿宋_GB2312"/>
          <w:b/>
          <w:bCs w:val="0"/>
          <w:sz w:val="32"/>
          <w:szCs w:val="32"/>
          <w:highlight w:val="none"/>
          <w:shd w:val="clear" w:color="auto" w:fill="auto"/>
          <w:lang w:val="en-US" w:eastAsia="zh-CN"/>
        </w:rPr>
        <w:t>上缴上级支出：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事业单位按照财政部门和主管部门的规定上缴上级单位的支出。</w:t>
      </w:r>
    </w:p>
    <w:p w14:paraId="05BB5AA0">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十四、</w:t>
      </w:r>
      <w:r>
        <w:rPr>
          <w:rFonts w:hint="eastAsia" w:ascii="仿宋_GB2312" w:eastAsia="仿宋_GB2312"/>
          <w:b/>
          <w:bCs/>
          <w:sz w:val="32"/>
          <w:szCs w:val="32"/>
          <w:highlight w:val="none"/>
          <w:shd w:val="clear" w:color="auto" w:fill="auto"/>
        </w:rPr>
        <w:t>经营支出：</w:t>
      </w:r>
      <w:r>
        <w:rPr>
          <w:rFonts w:hint="eastAsia" w:ascii="仿宋_GB2312" w:eastAsia="仿宋_GB2312"/>
          <w:sz w:val="32"/>
          <w:szCs w:val="32"/>
          <w:highlight w:val="none"/>
          <w:shd w:val="clear" w:color="auto" w:fill="auto"/>
        </w:rPr>
        <w:t>指</w:t>
      </w:r>
      <w:r>
        <w:rPr>
          <w:rFonts w:hint="eastAsia" w:ascii="仿宋_GB2312" w:eastAsia="仿宋_GB2312"/>
          <w:b w:val="0"/>
          <w:bCs w:val="0"/>
          <w:sz w:val="32"/>
          <w:szCs w:val="32"/>
          <w:highlight w:val="none"/>
          <w:shd w:val="clear" w:color="auto" w:fill="auto"/>
        </w:rPr>
        <w:t>事业单位在专业活动及辅助活动之外开展非独立核算经营活动发生的支出。</w:t>
      </w:r>
    </w:p>
    <w:p w14:paraId="2768D92D">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十五、</w:t>
      </w:r>
      <w:r>
        <w:rPr>
          <w:rFonts w:hint="eastAsia" w:ascii="仿宋_GB2312" w:eastAsia="仿宋_GB2312"/>
          <w:b/>
          <w:bCs/>
          <w:sz w:val="32"/>
          <w:szCs w:val="32"/>
          <w:highlight w:val="none"/>
          <w:shd w:val="clear" w:color="auto" w:fill="auto"/>
        </w:rPr>
        <w:t>对附属单位补助支出：</w:t>
      </w:r>
      <w:r>
        <w:rPr>
          <w:rFonts w:hint="eastAsia" w:ascii="仿宋_GB2312" w:eastAsia="仿宋_GB2312"/>
          <w:sz w:val="32"/>
          <w:szCs w:val="32"/>
          <w:highlight w:val="none"/>
          <w:shd w:val="clear" w:color="auto" w:fill="auto"/>
        </w:rPr>
        <w:t>指</w:t>
      </w:r>
      <w:r>
        <w:rPr>
          <w:rFonts w:hint="eastAsia" w:eastAsia="仿宋_GB2312"/>
          <w:bCs/>
          <w:sz w:val="32"/>
          <w:szCs w:val="32"/>
          <w:highlight w:val="none"/>
          <w:shd w:val="clear" w:color="auto" w:fill="auto"/>
        </w:rPr>
        <w:t>事业</w:t>
      </w:r>
      <w:r>
        <w:rPr>
          <w:rFonts w:eastAsia="仿宋_GB2312"/>
          <w:bCs/>
          <w:sz w:val="32"/>
          <w:szCs w:val="32"/>
          <w:highlight w:val="none"/>
          <w:shd w:val="clear" w:color="auto" w:fill="auto"/>
        </w:rPr>
        <w:t>单位用财政补助收入之外的收入对附属单位补助发生的支出。</w:t>
      </w:r>
    </w:p>
    <w:p w14:paraId="767E9A48">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lang w:eastAsia="zh-CN"/>
        </w:rPr>
      </w:pPr>
      <w:r>
        <w:rPr>
          <w:rFonts w:hint="eastAsia" w:ascii="仿宋_GB2312" w:eastAsia="仿宋_GB2312"/>
          <w:b/>
          <w:bCs/>
          <w:sz w:val="32"/>
          <w:szCs w:val="32"/>
          <w:highlight w:val="none"/>
          <w:shd w:val="clear" w:color="auto" w:fill="auto"/>
          <w:lang w:val="en-US" w:eastAsia="zh-CN"/>
        </w:rPr>
        <w:t>十六、</w:t>
      </w:r>
      <w:r>
        <w:rPr>
          <w:rFonts w:hint="eastAsia" w:ascii="仿宋_GB2312" w:eastAsia="仿宋_GB2312"/>
          <w:b/>
          <w:bCs/>
          <w:sz w:val="32"/>
          <w:szCs w:val="32"/>
          <w:highlight w:val="none"/>
          <w:shd w:val="clear" w:color="auto" w:fill="auto"/>
        </w:rPr>
        <w:t>“三公”经费：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单位使用财政拨款安排的</w:t>
      </w:r>
      <w:r>
        <w:rPr>
          <w:rFonts w:hint="eastAsia" w:ascii="仿宋_GB2312" w:eastAsia="仿宋_GB2312"/>
          <w:sz w:val="32"/>
          <w:szCs w:val="32"/>
          <w:highlight w:val="none"/>
          <w:shd w:val="clear" w:color="auto" w:fill="auto"/>
        </w:rPr>
        <w:t>因公出国（境）费</w:t>
      </w:r>
      <w:r>
        <w:rPr>
          <w:rFonts w:hint="eastAsia" w:ascii="仿宋_GB2312" w:eastAsia="仿宋_GB2312"/>
          <w:sz w:val="32"/>
          <w:szCs w:val="32"/>
          <w:highlight w:val="none"/>
          <w:shd w:val="clear" w:color="auto" w:fill="auto"/>
          <w:lang w:val="en-US" w:eastAsia="zh-CN"/>
        </w:rPr>
        <w:t>用</w:t>
      </w:r>
      <w:r>
        <w:rPr>
          <w:rFonts w:hint="eastAsia" w:ascii="仿宋_GB2312" w:eastAsia="仿宋_GB2312"/>
          <w:sz w:val="32"/>
          <w:szCs w:val="32"/>
          <w:highlight w:val="none"/>
          <w:shd w:val="clear" w:color="auto" w:fill="auto"/>
        </w:rPr>
        <w:t>、公务用车购置及运行维护费和公务接待费。其中，因公出国（境）费用反映单位公务出国（境）的</w:t>
      </w:r>
      <w:r>
        <w:rPr>
          <w:rFonts w:hint="eastAsia" w:ascii="仿宋_GB2312" w:eastAsia="仿宋_GB2312"/>
          <w:sz w:val="32"/>
          <w:szCs w:val="32"/>
          <w:highlight w:val="none"/>
          <w:shd w:val="clear" w:color="auto" w:fill="auto"/>
          <w:lang w:eastAsia="zh-CN"/>
        </w:rPr>
        <w:t>国际旅费、国外城市间交通费、</w:t>
      </w:r>
      <w:r>
        <w:rPr>
          <w:rFonts w:hint="eastAsia" w:ascii="仿宋_GB2312" w:eastAsia="仿宋_GB2312"/>
          <w:sz w:val="32"/>
          <w:szCs w:val="32"/>
          <w:highlight w:val="none"/>
          <w:shd w:val="clear" w:color="auto" w:fill="auto"/>
        </w:rPr>
        <w:t>住宿费、伙食费、培训费、</w:t>
      </w:r>
      <w:r>
        <w:rPr>
          <w:rFonts w:hint="eastAsia" w:ascii="仿宋_GB2312" w:eastAsia="仿宋_GB2312"/>
          <w:sz w:val="32"/>
          <w:szCs w:val="32"/>
          <w:highlight w:val="none"/>
          <w:shd w:val="clear" w:color="auto" w:fill="auto"/>
          <w:lang w:eastAsia="zh-CN"/>
        </w:rPr>
        <w:t>公</w:t>
      </w:r>
      <w:r>
        <w:rPr>
          <w:rFonts w:hint="eastAsia" w:ascii="仿宋_GB2312" w:eastAsia="仿宋_GB2312"/>
          <w:sz w:val="32"/>
          <w:szCs w:val="32"/>
          <w:highlight w:val="none"/>
          <w:shd w:val="clear" w:color="auto" w:fill="auto"/>
        </w:rPr>
        <w:t>杂费等支出；公务用车购置</w:t>
      </w:r>
      <w:r>
        <w:rPr>
          <w:rFonts w:hint="eastAsia" w:ascii="仿宋_GB2312" w:eastAsia="仿宋_GB2312"/>
          <w:sz w:val="32"/>
          <w:szCs w:val="32"/>
          <w:highlight w:val="none"/>
          <w:shd w:val="clear" w:color="auto" w:fill="auto"/>
          <w:lang w:val="en-US" w:eastAsia="zh-CN"/>
        </w:rPr>
        <w:t>费</w:t>
      </w:r>
      <w:r>
        <w:rPr>
          <w:rFonts w:hint="eastAsia" w:ascii="仿宋_GB2312" w:eastAsia="仿宋_GB2312"/>
          <w:sz w:val="32"/>
          <w:szCs w:val="32"/>
          <w:highlight w:val="none"/>
          <w:shd w:val="clear" w:color="auto" w:fill="auto"/>
          <w:lang w:eastAsia="zh-CN"/>
        </w:rPr>
        <w:t>反映公务用车购置支出（含车辆购置税、牌照费）；</w:t>
      </w:r>
      <w:r>
        <w:rPr>
          <w:rFonts w:hint="eastAsia" w:ascii="仿宋_GB2312" w:eastAsia="仿宋_GB2312"/>
          <w:sz w:val="32"/>
          <w:szCs w:val="32"/>
          <w:highlight w:val="none"/>
          <w:shd w:val="clear" w:color="auto" w:fill="auto"/>
        </w:rPr>
        <w:t>公务用车运行</w:t>
      </w:r>
      <w:r>
        <w:rPr>
          <w:rFonts w:hint="eastAsia" w:ascii="仿宋_GB2312" w:eastAsia="仿宋_GB2312"/>
          <w:sz w:val="32"/>
          <w:szCs w:val="32"/>
          <w:highlight w:val="none"/>
          <w:shd w:val="clear" w:color="auto" w:fill="auto"/>
          <w:lang w:eastAsia="zh-CN"/>
        </w:rPr>
        <w:t>维护</w:t>
      </w:r>
      <w:r>
        <w:rPr>
          <w:rFonts w:hint="eastAsia" w:ascii="仿宋_GB2312" w:eastAsia="仿宋_GB2312"/>
          <w:sz w:val="32"/>
          <w:szCs w:val="32"/>
          <w:highlight w:val="none"/>
          <w:shd w:val="clear" w:color="auto" w:fill="auto"/>
        </w:rPr>
        <w:t>费反映</w:t>
      </w:r>
      <w:r>
        <w:rPr>
          <w:rFonts w:hint="eastAsia" w:ascii="仿宋_GB2312" w:eastAsia="仿宋_GB2312"/>
          <w:sz w:val="32"/>
          <w:szCs w:val="32"/>
          <w:highlight w:val="none"/>
          <w:shd w:val="clear" w:color="auto" w:fill="auto"/>
          <w:lang w:eastAsia="zh-CN"/>
        </w:rPr>
        <w:t>单位按规定保留的公务用车燃料费、新能源汽车充电费、维修费、</w:t>
      </w:r>
      <w:r>
        <w:rPr>
          <w:rFonts w:hint="eastAsia" w:ascii="仿宋_GB2312" w:eastAsia="仿宋_GB2312"/>
          <w:sz w:val="32"/>
          <w:szCs w:val="32"/>
          <w:highlight w:val="none"/>
          <w:shd w:val="clear" w:color="auto" w:fill="auto"/>
        </w:rPr>
        <w:t>过路过桥费、保险费、安全奖励费用等支出</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公务接待费反映单位按规定开支的各类公务接待（含外宾接待）</w:t>
      </w:r>
      <w:r>
        <w:rPr>
          <w:rFonts w:hint="eastAsia" w:ascii="仿宋_GB2312" w:eastAsia="仿宋_GB2312"/>
          <w:sz w:val="32"/>
          <w:szCs w:val="32"/>
          <w:highlight w:val="none"/>
          <w:shd w:val="clear" w:color="auto" w:fill="auto"/>
          <w:lang w:eastAsia="zh-CN"/>
        </w:rPr>
        <w:t>费用</w:t>
      </w:r>
      <w:r>
        <w:rPr>
          <w:rFonts w:hint="eastAsia" w:ascii="仿宋_GB2312" w:eastAsia="仿宋_GB2312"/>
          <w:sz w:val="32"/>
          <w:szCs w:val="32"/>
          <w:highlight w:val="none"/>
          <w:shd w:val="clear" w:color="auto" w:fill="auto"/>
        </w:rPr>
        <w:t>。</w:t>
      </w:r>
    </w:p>
    <w:p w14:paraId="061F97FE">
      <w:pPr>
        <w:keepNext w:val="0"/>
        <w:keepLines w:val="0"/>
        <w:pageBreakBefore w:val="0"/>
        <w:widowControl w:val="0"/>
        <w:kinsoku/>
        <w:wordWrap/>
        <w:overflowPunct/>
        <w:topLinePunct w:val="0"/>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shd w:val="clear" w:color="auto" w:fill="auto"/>
          <w:lang w:val="en-US" w:eastAsia="zh-CN"/>
        </w:rPr>
        <w:t>十七、</w:t>
      </w:r>
      <w:r>
        <w:rPr>
          <w:rFonts w:hint="eastAsia" w:ascii="仿宋_GB2312" w:eastAsia="仿宋_GB2312"/>
          <w:b/>
          <w:bCs/>
          <w:sz w:val="32"/>
          <w:szCs w:val="32"/>
          <w:highlight w:val="none"/>
          <w:shd w:val="clear" w:color="auto" w:fill="auto"/>
        </w:rPr>
        <w:t>机关运行经费：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行政单位和参照公务员法管理的事业单位财政拨款基本支出中的公用经费支出。</w:t>
      </w:r>
    </w:p>
    <w:p w14:paraId="6083A0F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hint="eastAsia" w:ascii="黑体" w:hAnsi="黑体" w:eastAsia="黑体"/>
          <w:sz w:val="32"/>
          <w:szCs w:val="32"/>
          <w:highlight w:val="none"/>
        </w:rPr>
      </w:pPr>
      <w:r>
        <w:rPr>
          <w:rFonts w:hint="eastAsia" w:ascii="仿宋_GB2312" w:eastAsia="仿宋_GB2312"/>
          <w:sz w:val="32"/>
          <w:szCs w:val="32"/>
          <w:highlight w:val="none"/>
        </w:rPr>
        <w:br w:type="page"/>
      </w:r>
      <w:bookmarkStart w:id="41" w:name="_Toc6831"/>
      <w:r>
        <w:rPr>
          <w:rFonts w:hint="eastAsia" w:ascii="黑体" w:hAnsi="黑体" w:eastAsia="黑体"/>
          <w:sz w:val="32"/>
          <w:szCs w:val="32"/>
          <w:highlight w:val="none"/>
        </w:rPr>
        <w:t>第四部分 部门决算报表（见附表）</w:t>
      </w:r>
      <w:bookmarkEnd w:id="41"/>
    </w:p>
    <w:p w14:paraId="57C33E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2" w:name="_Toc6062"/>
      <w:bookmarkStart w:id="43" w:name="_Toc3845"/>
      <w:r>
        <w:rPr>
          <w:rFonts w:hint="eastAsia" w:ascii="仿宋_GB2312" w:hAnsi="仿宋_GB2312" w:eastAsia="仿宋_GB2312" w:cs="仿宋_GB2312"/>
          <w:bCs/>
          <w:kern w:val="0"/>
          <w:sz w:val="32"/>
          <w:szCs w:val="32"/>
          <w:highlight w:val="none"/>
        </w:rPr>
        <w:t>一、《收入支出决算总表》</w:t>
      </w:r>
      <w:bookmarkEnd w:id="42"/>
      <w:bookmarkEnd w:id="43"/>
    </w:p>
    <w:p w14:paraId="247A22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4" w:name="_Toc11927"/>
      <w:bookmarkStart w:id="45" w:name="_Toc30364"/>
      <w:r>
        <w:rPr>
          <w:rFonts w:hint="eastAsia" w:ascii="仿宋_GB2312" w:hAnsi="仿宋_GB2312" w:eastAsia="仿宋_GB2312" w:cs="仿宋_GB2312"/>
          <w:bCs/>
          <w:kern w:val="0"/>
          <w:sz w:val="32"/>
          <w:szCs w:val="32"/>
          <w:highlight w:val="none"/>
        </w:rPr>
        <w:t>二、《收入决算表》</w:t>
      </w:r>
      <w:bookmarkEnd w:id="44"/>
      <w:bookmarkEnd w:id="45"/>
    </w:p>
    <w:p w14:paraId="6B3DB8D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6" w:name="_Toc21304"/>
      <w:bookmarkStart w:id="47" w:name="_Toc7443"/>
      <w:r>
        <w:rPr>
          <w:rFonts w:hint="eastAsia" w:ascii="仿宋_GB2312" w:hAnsi="仿宋_GB2312" w:eastAsia="仿宋_GB2312" w:cs="仿宋_GB2312"/>
          <w:bCs/>
          <w:kern w:val="0"/>
          <w:sz w:val="32"/>
          <w:szCs w:val="32"/>
          <w:highlight w:val="none"/>
        </w:rPr>
        <w:t>三、《支出决算表》</w:t>
      </w:r>
      <w:bookmarkEnd w:id="46"/>
      <w:bookmarkEnd w:id="47"/>
    </w:p>
    <w:p w14:paraId="0F9574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8" w:name="_Toc14238"/>
      <w:bookmarkStart w:id="49" w:name="_Toc24884"/>
      <w:r>
        <w:rPr>
          <w:rFonts w:hint="eastAsia" w:ascii="仿宋_GB2312" w:hAnsi="仿宋_GB2312" w:eastAsia="仿宋_GB2312" w:cs="仿宋_GB2312"/>
          <w:bCs/>
          <w:kern w:val="0"/>
          <w:sz w:val="32"/>
          <w:szCs w:val="32"/>
          <w:highlight w:val="none"/>
        </w:rPr>
        <w:t>四、《财政拨款收入支出决算总表》</w:t>
      </w:r>
      <w:bookmarkEnd w:id="48"/>
      <w:bookmarkEnd w:id="49"/>
    </w:p>
    <w:p w14:paraId="07EF66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0" w:name="_Toc16518"/>
      <w:bookmarkStart w:id="51" w:name="_Toc10347"/>
      <w:r>
        <w:rPr>
          <w:rFonts w:hint="eastAsia" w:ascii="仿宋_GB2312" w:hAnsi="仿宋_GB2312" w:eastAsia="仿宋_GB2312" w:cs="仿宋_GB2312"/>
          <w:bCs/>
          <w:kern w:val="0"/>
          <w:sz w:val="32"/>
          <w:szCs w:val="32"/>
          <w:highlight w:val="none"/>
        </w:rPr>
        <w:t>五、《一般公共预算财政拨款支出决算表》</w:t>
      </w:r>
      <w:bookmarkEnd w:id="50"/>
      <w:bookmarkEnd w:id="51"/>
    </w:p>
    <w:p w14:paraId="4BD664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2" w:name="_Toc5626"/>
      <w:bookmarkStart w:id="53" w:name="_Toc20514"/>
      <w:r>
        <w:rPr>
          <w:rFonts w:hint="eastAsia" w:ascii="仿宋_GB2312" w:hAnsi="仿宋_GB2312" w:eastAsia="仿宋_GB2312" w:cs="仿宋_GB2312"/>
          <w:bCs/>
          <w:kern w:val="0"/>
          <w:sz w:val="32"/>
          <w:szCs w:val="32"/>
          <w:highlight w:val="none"/>
        </w:rPr>
        <w:t>六、《一般公共预算财政拨款基本支出决算表》</w:t>
      </w:r>
      <w:bookmarkEnd w:id="52"/>
      <w:bookmarkEnd w:id="53"/>
    </w:p>
    <w:p w14:paraId="34953D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4" w:name="_Toc18055"/>
      <w:bookmarkStart w:id="55" w:name="_Toc5453"/>
      <w:r>
        <w:rPr>
          <w:rFonts w:hint="eastAsia" w:ascii="仿宋_GB2312" w:hAnsi="仿宋_GB2312" w:eastAsia="仿宋_GB2312" w:cs="仿宋_GB2312"/>
          <w:bCs/>
          <w:kern w:val="0"/>
          <w:sz w:val="32"/>
          <w:szCs w:val="32"/>
          <w:highlight w:val="none"/>
        </w:rPr>
        <w:t>七、《政府性基金预算财政拨款收入支出决算表》</w:t>
      </w:r>
      <w:bookmarkEnd w:id="54"/>
      <w:bookmarkEnd w:id="55"/>
    </w:p>
    <w:p w14:paraId="2640A47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6" w:name="_Toc10719"/>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bookmarkEnd w:id="56"/>
    </w:p>
    <w:p w14:paraId="092F996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57" w:name="_Toc32663"/>
      <w:bookmarkStart w:id="58" w:name="_Toc18861"/>
      <w:bookmarkStart w:id="59" w:name="_Toc29106"/>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bookmarkEnd w:id="57"/>
      <w:bookmarkEnd w:id="58"/>
      <w:bookmarkEnd w:id="59"/>
    </w:p>
    <w:sectPr>
      <w:footerReference r:id="rId3" w:type="default"/>
      <w:pgSz w:w="11906" w:h="16838"/>
      <w:pgMar w:top="1440" w:right="1474"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FF8B8C-EC13-4D11-9F68-D5CB12EAF4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0A8AEF28-0A4A-4944-9F2F-7EC0A7A50028}"/>
  </w:font>
  <w:font w:name="仿宋_GB2312">
    <w:panose1 w:val="02010609030101010101"/>
    <w:charset w:val="86"/>
    <w:family w:val="modern"/>
    <w:pitch w:val="default"/>
    <w:sig w:usb0="00000001" w:usb1="080E0000" w:usb2="00000000" w:usb3="00000000" w:csb0="00040000" w:csb1="00000000"/>
    <w:embedRegular r:id="rId3" w:fontKey="{CE6CBD43-6570-49C3-9CF2-91F36D36835D}"/>
  </w:font>
  <w:font w:name="楷体_GB2312">
    <w:panose1 w:val="02010609030101010101"/>
    <w:charset w:val="86"/>
    <w:family w:val="auto"/>
    <w:pitch w:val="default"/>
    <w:sig w:usb0="00000001" w:usb1="080E0000" w:usb2="00000000" w:usb3="00000000" w:csb0="00040000" w:csb1="00000000"/>
    <w:embedRegular r:id="rId4" w:fontKey="{D53F9BD0-3853-41F2-AEC2-8DADFBD3DE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96A5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EDC9F3">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FEDC9F3">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172A27"/>
    <w:rsid w:val="00A5004C"/>
    <w:rsid w:val="02F73D26"/>
    <w:rsid w:val="034D4FEF"/>
    <w:rsid w:val="03612929"/>
    <w:rsid w:val="03DE0026"/>
    <w:rsid w:val="03E2747C"/>
    <w:rsid w:val="043E5B56"/>
    <w:rsid w:val="04EF7C1A"/>
    <w:rsid w:val="05240ABD"/>
    <w:rsid w:val="06792773"/>
    <w:rsid w:val="06896151"/>
    <w:rsid w:val="072E1F2E"/>
    <w:rsid w:val="09253310"/>
    <w:rsid w:val="094D329C"/>
    <w:rsid w:val="09A729D8"/>
    <w:rsid w:val="0A7B4867"/>
    <w:rsid w:val="0AC260D6"/>
    <w:rsid w:val="0B8C3ECC"/>
    <w:rsid w:val="0BC24C29"/>
    <w:rsid w:val="0C3613A3"/>
    <w:rsid w:val="0C7227A7"/>
    <w:rsid w:val="0DC77553"/>
    <w:rsid w:val="0DCA6EF7"/>
    <w:rsid w:val="0E4B1576"/>
    <w:rsid w:val="11A2467B"/>
    <w:rsid w:val="11E15093"/>
    <w:rsid w:val="12010F98"/>
    <w:rsid w:val="120E0809"/>
    <w:rsid w:val="181A30AD"/>
    <w:rsid w:val="1875698D"/>
    <w:rsid w:val="19071D6C"/>
    <w:rsid w:val="19890508"/>
    <w:rsid w:val="1C317E4F"/>
    <w:rsid w:val="1C472464"/>
    <w:rsid w:val="1DAF458D"/>
    <w:rsid w:val="1E086ACE"/>
    <w:rsid w:val="1EAA4A5F"/>
    <w:rsid w:val="1F040613"/>
    <w:rsid w:val="1F587A0B"/>
    <w:rsid w:val="1F9A6623"/>
    <w:rsid w:val="2064678E"/>
    <w:rsid w:val="20DD6197"/>
    <w:rsid w:val="21F317F2"/>
    <w:rsid w:val="2241392C"/>
    <w:rsid w:val="237C76C6"/>
    <w:rsid w:val="23AE5DBA"/>
    <w:rsid w:val="23BC04D2"/>
    <w:rsid w:val="25275618"/>
    <w:rsid w:val="27CF2642"/>
    <w:rsid w:val="282459E2"/>
    <w:rsid w:val="28777A18"/>
    <w:rsid w:val="28937669"/>
    <w:rsid w:val="2A053397"/>
    <w:rsid w:val="2A444FB1"/>
    <w:rsid w:val="2A6064E2"/>
    <w:rsid w:val="2BA9200B"/>
    <w:rsid w:val="2BED7120"/>
    <w:rsid w:val="2D1136DF"/>
    <w:rsid w:val="2DAE0E44"/>
    <w:rsid w:val="2EB07E70"/>
    <w:rsid w:val="2F9E416C"/>
    <w:rsid w:val="2FD27414"/>
    <w:rsid w:val="313F1D52"/>
    <w:rsid w:val="318029AB"/>
    <w:rsid w:val="319D6C1C"/>
    <w:rsid w:val="31C63837"/>
    <w:rsid w:val="326F0A17"/>
    <w:rsid w:val="34623382"/>
    <w:rsid w:val="35236B1C"/>
    <w:rsid w:val="376176AD"/>
    <w:rsid w:val="390019F4"/>
    <w:rsid w:val="3914510A"/>
    <w:rsid w:val="3B1220C9"/>
    <w:rsid w:val="3B656CF8"/>
    <w:rsid w:val="3D5275AC"/>
    <w:rsid w:val="3D55093B"/>
    <w:rsid w:val="3EA7725F"/>
    <w:rsid w:val="40834692"/>
    <w:rsid w:val="40E06DD5"/>
    <w:rsid w:val="423A32B2"/>
    <w:rsid w:val="464B7E04"/>
    <w:rsid w:val="46901EEE"/>
    <w:rsid w:val="469C74D2"/>
    <w:rsid w:val="47445515"/>
    <w:rsid w:val="47CC715A"/>
    <w:rsid w:val="48E21116"/>
    <w:rsid w:val="49C97D5C"/>
    <w:rsid w:val="49F5131D"/>
    <w:rsid w:val="4AE426AE"/>
    <w:rsid w:val="4B4C0111"/>
    <w:rsid w:val="4B8420A0"/>
    <w:rsid w:val="4D3F1CC6"/>
    <w:rsid w:val="4D730311"/>
    <w:rsid w:val="505A358E"/>
    <w:rsid w:val="50B33BB9"/>
    <w:rsid w:val="50DB5F45"/>
    <w:rsid w:val="52F92565"/>
    <w:rsid w:val="55DA564E"/>
    <w:rsid w:val="56E07045"/>
    <w:rsid w:val="579D764D"/>
    <w:rsid w:val="583059FA"/>
    <w:rsid w:val="587E6212"/>
    <w:rsid w:val="58D10A34"/>
    <w:rsid w:val="59973ABF"/>
    <w:rsid w:val="5A74678C"/>
    <w:rsid w:val="5AFC6609"/>
    <w:rsid w:val="5C3B09A8"/>
    <w:rsid w:val="5FA17648"/>
    <w:rsid w:val="613409CB"/>
    <w:rsid w:val="61A46A97"/>
    <w:rsid w:val="62DD7D21"/>
    <w:rsid w:val="62E5486C"/>
    <w:rsid w:val="65D97752"/>
    <w:rsid w:val="664C500C"/>
    <w:rsid w:val="670267B3"/>
    <w:rsid w:val="6773145F"/>
    <w:rsid w:val="68DB0208"/>
    <w:rsid w:val="69846A0E"/>
    <w:rsid w:val="69AD798C"/>
    <w:rsid w:val="6B3C3015"/>
    <w:rsid w:val="6B68175F"/>
    <w:rsid w:val="6B8B5C99"/>
    <w:rsid w:val="6B9A4795"/>
    <w:rsid w:val="6E0F7A08"/>
    <w:rsid w:val="6E801ABC"/>
    <w:rsid w:val="71473612"/>
    <w:rsid w:val="716B13F9"/>
    <w:rsid w:val="718F7F65"/>
    <w:rsid w:val="73357723"/>
    <w:rsid w:val="73423603"/>
    <w:rsid w:val="73DE4104"/>
    <w:rsid w:val="73FB6630"/>
    <w:rsid w:val="74CE04EC"/>
    <w:rsid w:val="74E76DCD"/>
    <w:rsid w:val="76660D7C"/>
    <w:rsid w:val="76CF72D3"/>
    <w:rsid w:val="77ED6F44"/>
    <w:rsid w:val="78B87A58"/>
    <w:rsid w:val="795A0A34"/>
    <w:rsid w:val="79FB30B5"/>
    <w:rsid w:val="7A0D3BC7"/>
    <w:rsid w:val="7A3A3CDB"/>
    <w:rsid w:val="7C2F7D7A"/>
    <w:rsid w:val="7E9D31C4"/>
    <w:rsid w:val="7EAC4FE1"/>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paragraph" w:styleId="3">
    <w:name w:val="annotation text"/>
    <w:basedOn w:val="1"/>
    <w:qFormat/>
    <w:uiPriority w:val="0"/>
    <w:pPr>
      <w:jc w:val="left"/>
    </w:p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2">
    <w:name w:val="WPSOffice手动目录 3"/>
    <w:qFormat/>
    <w:uiPriority w:val="0"/>
    <w:pPr>
      <w:ind w:leftChars="40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17a6dc1b-976c-4a09-ae69-3b59f2f58f62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70710381</paraID>
      <start>0</start>
      <end>2</end>
      <status>unmodified</status>
      <modifiedWord/>
      <trackRevisions>false</trackRevisions>
    </reviewItem>
    <reviewItem>
      <errorID>6358e24d-5b15-4732-bb18-90b3e969eac8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6959EC9D</paraID>
      <start>0</start>
      <end>2</end>
      <status>unmodified</status>
      <modifiedWord/>
      <trackRevisions>false</trackRevisions>
    </reviewItem>
    <reviewItem>
      <errorID>22877bae-2f5a-4632-8f15-211c22371f49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39C8FFF7</paraID>
      <start>0</start>
      <end>2</end>
      <status>unmodified</status>
      <modifiedWord/>
      <trackRevisions>false</trackRevisions>
    </reviewItem>
    <reviewItem>
      <errorID>3751f47b-785c-4a6e-9961-b448a8702f54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5F1A7CB3</paraID>
      <start>0</start>
      <end>2</end>
      <status>unmodified</status>
      <modifiedWord/>
      <trackRevisions>false</trackRevisions>
    </reviewItem>
    <reviewItem>
      <errorID>06872e8f-0b14-4318-86c6-87e98588ae12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5C2D667B</paraID>
      <start>0</start>
      <end>2</end>
      <status>unmodified</status>
      <modifiedWord/>
      <trackRevisions>false</trackRevisions>
    </reviewItem>
    <reviewItem>
      <errorID>1a6aa85d-d235-49a9-923e-ac9f79c9d3f3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5AD8CAA8</paraID>
      <start>0</start>
      <end>2</end>
      <status>unmodified</status>
      <modifiedWord/>
      <trackRevisions>false</trackRevisions>
    </reviewItem>
    <reviewItem>
      <errorID>fc3017e4-f093-4925-9a0b-810cffdde496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2C78B06C</paraID>
      <start>0</start>
      <end>2</end>
      <status>unmodified</status>
      <modifiedWord/>
      <trackRevisions>false</trackRevisions>
    </reviewItem>
    <reviewItem>
      <errorID>b6a45772-c8c1-4380-a443-3bbf3d3730b2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F9D58C2</paraID>
      <start>0</start>
      <end>2</end>
      <status>unmodified</status>
      <modifiedWord/>
      <trackRevisions>false</trackRevisions>
    </reviewItem>
    <reviewItem>
      <errorID>c7b6bb63-1bc0-42e3-a606-92296d61c638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2B91237B</paraID>
      <start>0</start>
      <end>2</end>
      <status>unmodified</status>
      <modifiedWord/>
      <trackRevisions>false</trackRevisions>
    </reviewItem>
    <reviewItem>
      <errorID>fa26a8a0-3080-41db-af62-5bd58053d667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3AA6765E</paraID>
      <start>0</start>
      <end>3</end>
      <status>unmodified</status>
      <modifiedWord/>
      <trackRevisions>false</trackRevisions>
    </reviewItem>
    <reviewItem>
      <errorID>872f8ad1-b7a4-4fc9-95f5-8e29e5e5544b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5AE962BE</paraID>
      <start>0</start>
      <end>3</end>
      <status>unmodified</status>
      <modifiedWord/>
      <trackRevisions>false</trackRevisions>
    </reviewItem>
    <reviewItem>
      <errorID>c67ccdfb-dcce-4a9b-89ed-4c8b989de64d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50578C3C</paraID>
      <start>0</start>
      <end>3</end>
      <status>unmodified</status>
      <modifiedWord/>
      <trackRevisions>false</trackRevisions>
    </reviewItem>
    <reviewItem>
      <errorID>054837ca-63c4-4b54-8a6b-59af2c3714ef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2E3C9E80</paraID>
      <start>0</start>
      <end>2</end>
      <status>unmodified</status>
      <modifiedWord/>
      <trackRevisions>false</trackRevisions>
    </reviewItem>
    <reviewItem>
      <errorID>dc8e20a8-c3e8-47da-afbf-e75b0788dbe3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5DF93A09</paraID>
      <start>0</start>
      <end>2</end>
      <status>unmodified</status>
      <modifiedWord/>
      <trackRevisions>false</trackRevisions>
    </reviewItem>
    <reviewItem>
      <errorID>05258ed5-4d8e-419b-ba2d-5985767d4771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29E675E7</paraID>
      <start>0</start>
      <end>2</end>
      <status>unmodified</status>
      <modifiedWord/>
      <trackRevisions>false</trackRevisions>
    </reviewItem>
    <reviewItem>
      <errorID>69b6f9d3-2080-46a5-8ca4-f3d268561002</errorID>
      <errorWord>,</errorWord>
      <group>L1_Format</group>
      <groupName>格式问题</groupName>
      <ability>L2_HalfPunc_CN</ability>
      <abilityName>全半角问题</abilityName>
      <candidateList>
        <item>，</item>
      </candidateList>
      <explain>文本全半角错误。</explain>
      <paraID>6FA979E0</paraID>
      <start>103</start>
      <end>104</end>
      <status>unmodified</status>
      <modifiedWord/>
      <trackRevisions>false</trackRevisions>
    </reviewItem>
    <reviewItem>
      <errorID>fe36f95d-2895-41db-a538-70a793a3d0ad</errorID>
      <errorWord>通知》文件要求</errorWord>
      <group>L1_Word</group>
      <groupName>字词问题</groupName>
      <ability>L2_Typo</ability>
      <abilityName>字词错误</abilityName>
      <candidateList>
        <item>通知》要求</item>
      </candidateList>
      <explain/>
      <paraID> F4D7DAC</paraID>
      <start>50</start>
      <end>55</end>
      <status>modified</status>
      <modifiedWord>通知》要求</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05b9f0-b993-43bb-a70c-b01d3ca05575}">
  <ds:schemaRefs/>
</ds:datastoreItem>
</file>

<file path=docProps/app.xml><?xml version="1.0" encoding="utf-8"?>
<Properties xmlns="http://schemas.openxmlformats.org/officeDocument/2006/extended-properties" xmlns:vt="http://schemas.openxmlformats.org/officeDocument/2006/docPropsVTypes">
  <Pages>23</Pages>
  <Words>28</Words>
  <Characters>31</Characters>
  <Lines>0</Lines>
  <Paragraphs>0</Paragraphs>
  <TotalTime>6</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GXR</dc:creator>
  <cp:lastModifiedBy>小麦啾</cp:lastModifiedBy>
  <cp:lastPrinted>2026-09-08T08:26:00Z</cp:lastPrinted>
  <dcterms:modified xsi:type="dcterms:W3CDTF">2026-09-18T03:17:41Z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