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911D3">
      <w:pPr>
        <w:rPr>
          <w:rFonts w:ascii="仿宋_GB2312" w:hAnsi="仿宋_GB2312" w:eastAsia="仿宋_GB2312" w:cs="仿宋_GB2312"/>
          <w:sz w:val="36"/>
          <w:szCs w:val="36"/>
        </w:rPr>
      </w:pPr>
    </w:p>
    <w:p w14:paraId="7AF7266E">
      <w:pPr>
        <w:rPr>
          <w:rFonts w:ascii="仿宋_GB2312" w:hAnsi="仿宋_GB2312" w:eastAsia="仿宋_GB2312" w:cs="仿宋_GB2312"/>
          <w:sz w:val="36"/>
          <w:szCs w:val="36"/>
        </w:rPr>
      </w:pPr>
    </w:p>
    <w:p w14:paraId="4E00EF3D">
      <w:pPr>
        <w:rPr>
          <w:rFonts w:ascii="仿宋_GB2312" w:hAnsi="仿宋_GB2312" w:eastAsia="仿宋_GB2312" w:cs="仿宋_GB2312"/>
          <w:sz w:val="36"/>
          <w:szCs w:val="36"/>
        </w:rPr>
      </w:pPr>
    </w:p>
    <w:p w14:paraId="722E62C9">
      <w:pPr>
        <w:rPr>
          <w:rFonts w:ascii="仿宋_GB2312" w:hAnsi="仿宋_GB2312" w:eastAsia="仿宋_GB2312" w:cs="仿宋_GB2312"/>
          <w:sz w:val="36"/>
          <w:szCs w:val="36"/>
        </w:rPr>
      </w:pPr>
    </w:p>
    <w:p w14:paraId="75C5D0AC">
      <w:pPr>
        <w:adjustRightInd w:val="0"/>
        <w:snapToGrid w:val="0"/>
        <w:jc w:val="center"/>
        <w:outlineLvl w:val="0"/>
        <w:rPr>
          <w:rFonts w:ascii="方正小标宋_GBK" w:eastAsia="方正小标宋_GBK"/>
          <w:bCs/>
          <w:sz w:val="72"/>
          <w:szCs w:val="72"/>
        </w:rPr>
      </w:pPr>
      <w:r>
        <w:rPr>
          <w:rFonts w:hint="eastAsia" w:ascii="方正小标宋_GBK" w:eastAsia="方正小标宋_GBK"/>
          <w:bCs/>
          <w:sz w:val="72"/>
          <w:szCs w:val="72"/>
        </w:rPr>
        <w:t>建设项目环境影响报告表</w:t>
      </w:r>
    </w:p>
    <w:p w14:paraId="11C7C461">
      <w:pPr>
        <w:adjustRightInd w:val="0"/>
        <w:snapToGrid w:val="0"/>
        <w:spacing w:before="192" w:beforeLines="80"/>
        <w:jc w:val="center"/>
        <w:rPr>
          <w:rFonts w:ascii="楷体_GB2312" w:eastAsia="楷体_GB2312"/>
          <w:bCs/>
          <w:sz w:val="48"/>
          <w:szCs w:val="48"/>
        </w:rPr>
      </w:pPr>
      <w:r>
        <w:rPr>
          <w:rFonts w:hint="eastAsia" w:ascii="楷体_GB2312" w:eastAsia="楷体_GB2312"/>
          <w:bCs/>
          <w:sz w:val="48"/>
          <w:szCs w:val="48"/>
        </w:rPr>
        <w:t>（污染影响类）</w:t>
      </w:r>
    </w:p>
    <w:p w14:paraId="554D6F93">
      <w:pPr>
        <w:ind w:firstLine="1040"/>
        <w:rPr>
          <w:rFonts w:eastAsia="仿宋"/>
          <w:sz w:val="44"/>
          <w:szCs w:val="44"/>
        </w:rPr>
      </w:pPr>
    </w:p>
    <w:p w14:paraId="6CA50A2A">
      <w:pPr>
        <w:ind w:firstLine="1040"/>
        <w:rPr>
          <w:rFonts w:eastAsia="仿宋"/>
          <w:sz w:val="44"/>
          <w:szCs w:val="44"/>
        </w:rPr>
      </w:pPr>
    </w:p>
    <w:p w14:paraId="0AA2AF7B">
      <w:pPr>
        <w:ind w:firstLine="1040"/>
        <w:rPr>
          <w:rFonts w:eastAsia="仿宋"/>
          <w:sz w:val="44"/>
          <w:szCs w:val="44"/>
        </w:rPr>
      </w:pPr>
    </w:p>
    <w:p w14:paraId="25DB833F">
      <w:pPr>
        <w:ind w:firstLine="1040"/>
        <w:rPr>
          <w:rFonts w:eastAsia="仿宋"/>
          <w:sz w:val="44"/>
          <w:szCs w:val="44"/>
        </w:rPr>
      </w:pPr>
    </w:p>
    <w:p w14:paraId="3FFA77AA">
      <w:pPr>
        <w:ind w:firstLine="1040"/>
        <w:rPr>
          <w:rFonts w:eastAsia="仿宋"/>
          <w:sz w:val="44"/>
          <w:szCs w:val="44"/>
        </w:rPr>
      </w:pPr>
    </w:p>
    <w:p w14:paraId="452C3F33">
      <w:pPr>
        <w:adjustRightInd w:val="0"/>
        <w:snapToGrid w:val="0"/>
        <w:spacing w:line="288" w:lineRule="auto"/>
        <w:jc w:val="left"/>
        <w:rPr>
          <w:rFonts w:hint="eastAsia" w:ascii="仿宋_GB2312" w:eastAsia="仿宋_GB2312"/>
          <w:sz w:val="36"/>
          <w:szCs w:val="36"/>
        </w:rPr>
      </w:pPr>
    </w:p>
    <w:p w14:paraId="59045C0E">
      <w:pPr>
        <w:adjustRightInd w:val="0"/>
        <w:snapToGrid w:val="0"/>
        <w:spacing w:line="288" w:lineRule="auto"/>
        <w:ind w:left="2159" w:leftChars="171" w:hanging="1800" w:hangingChars="500"/>
        <w:jc w:val="left"/>
        <w:rPr>
          <w:rFonts w:ascii="仿宋_GB2312" w:eastAsia="仿宋_GB2312"/>
          <w:sz w:val="36"/>
          <w:szCs w:val="36"/>
          <w:u w:val="single"/>
        </w:rPr>
      </w:pPr>
      <w:r>
        <w:rPr>
          <w:rFonts w:hint="eastAsia" w:ascii="仿宋_GB2312" w:eastAsia="仿宋_GB2312"/>
          <w:sz w:val="36"/>
          <w:szCs w:val="36"/>
        </w:rPr>
        <w:t>项目名称：</w:t>
      </w:r>
      <w:r>
        <w:rPr>
          <w:rFonts w:hint="eastAsia" w:ascii="仿宋_GB2312" w:eastAsia="仿宋_GB2312"/>
          <w:sz w:val="36"/>
          <w:szCs w:val="36"/>
          <w:u w:val="single"/>
        </w:rPr>
        <w:t xml:space="preserve">SBS弹性体改性沥青防水卷材、防水涂料项目          </w:t>
      </w:r>
      <w:r>
        <w:rPr>
          <w:rFonts w:hint="eastAsia" w:ascii="仿宋_GB2312" w:eastAsia="仿宋_GB2312"/>
          <w:sz w:val="36"/>
          <w:szCs w:val="36"/>
          <w:u w:val="single"/>
          <w:lang w:val="en-US" w:eastAsia="zh-CN"/>
        </w:rPr>
        <w:t xml:space="preserve">                    </w:t>
      </w:r>
      <w:r>
        <w:rPr>
          <w:rFonts w:hint="eastAsia" w:ascii="仿宋_GB2312" w:eastAsia="仿宋_GB2312"/>
          <w:sz w:val="36"/>
          <w:szCs w:val="36"/>
          <w:u w:val="single"/>
        </w:rPr>
        <w:t xml:space="preserve"> </w:t>
      </w:r>
    </w:p>
    <w:p w14:paraId="37F41E03">
      <w:pPr>
        <w:adjustRightInd w:val="0"/>
        <w:snapToGrid w:val="0"/>
        <w:spacing w:line="288" w:lineRule="auto"/>
        <w:ind w:firstLine="360" w:firstLineChars="100"/>
        <w:jc w:val="left"/>
        <w:rPr>
          <w:rFonts w:ascii="仿宋_GB2312" w:eastAsia="仿宋_GB2312"/>
          <w:sz w:val="36"/>
          <w:szCs w:val="36"/>
          <w:u w:val="single"/>
        </w:rPr>
      </w:pPr>
      <w:r>
        <w:rPr>
          <w:rFonts w:hint="eastAsia" w:ascii="仿宋_GB2312" w:eastAsia="仿宋_GB2312"/>
          <w:sz w:val="36"/>
          <w:szCs w:val="36"/>
        </w:rPr>
        <w:t>建设单位（盖章）：</w:t>
      </w:r>
      <w:r>
        <w:rPr>
          <w:rFonts w:hint="eastAsia" w:ascii="仿宋_GB2312" w:eastAsia="仿宋_GB2312"/>
          <w:sz w:val="36"/>
          <w:szCs w:val="36"/>
          <w:u w:val="single"/>
        </w:rPr>
        <w:t xml:space="preserve">新疆建疆创新防水新材料有限公司                   </w:t>
      </w:r>
    </w:p>
    <w:p w14:paraId="5EAF8599">
      <w:pPr>
        <w:adjustRightInd w:val="0"/>
        <w:snapToGrid w:val="0"/>
        <w:spacing w:line="288" w:lineRule="auto"/>
        <w:ind w:firstLine="360" w:firstLineChars="100"/>
        <w:rPr>
          <w:rFonts w:ascii="仿宋_GB2312" w:eastAsia="仿宋_GB2312"/>
          <w:sz w:val="36"/>
          <w:szCs w:val="36"/>
          <w:u w:val="single"/>
        </w:rPr>
      </w:pPr>
      <w:r>
        <w:rPr>
          <w:rFonts w:hint="eastAsia" w:ascii="仿宋_GB2312" w:eastAsia="仿宋_GB2312"/>
          <w:sz w:val="36"/>
          <w:szCs w:val="36"/>
        </w:rPr>
        <w:t>编制日期：</w:t>
      </w:r>
      <w:r>
        <w:rPr>
          <w:rFonts w:hint="eastAsia" w:ascii="仿宋_GB2312" w:eastAsia="仿宋_GB2312"/>
          <w:sz w:val="36"/>
          <w:szCs w:val="36"/>
          <w:u w:val="single"/>
        </w:rPr>
        <w:t xml:space="preserve"> </w:t>
      </w:r>
      <w:r>
        <w:rPr>
          <w:rFonts w:ascii="仿宋_GB2312" w:eastAsia="仿宋_GB2312"/>
          <w:sz w:val="36"/>
          <w:szCs w:val="36"/>
          <w:u w:val="single"/>
        </w:rPr>
        <w:t xml:space="preserve">        </w:t>
      </w:r>
      <w:r>
        <w:rPr>
          <w:rFonts w:hint="eastAsia" w:ascii="仿宋_GB2312" w:eastAsia="仿宋_GB2312"/>
          <w:sz w:val="36"/>
          <w:szCs w:val="36"/>
          <w:u w:val="single"/>
          <w:lang w:val="en-US" w:eastAsia="zh-CN"/>
        </w:rPr>
        <w:t xml:space="preserve"> </w:t>
      </w:r>
      <w:r>
        <w:rPr>
          <w:rFonts w:hint="eastAsia" w:ascii="仿宋_GB2312" w:eastAsia="仿宋_GB2312"/>
          <w:sz w:val="36"/>
          <w:szCs w:val="36"/>
          <w:u w:val="single"/>
        </w:rPr>
        <w:t>二〇二</w:t>
      </w:r>
      <w:r>
        <w:rPr>
          <w:rFonts w:hint="eastAsia" w:ascii="仿宋_GB2312" w:eastAsia="仿宋_GB2312"/>
          <w:sz w:val="36"/>
          <w:szCs w:val="36"/>
          <w:u w:val="single"/>
          <w:lang w:val="en-US" w:eastAsia="zh-CN"/>
        </w:rPr>
        <w:t>六</w:t>
      </w:r>
      <w:r>
        <w:rPr>
          <w:rFonts w:hint="eastAsia" w:ascii="仿宋_GB2312" w:eastAsia="仿宋_GB2312"/>
          <w:sz w:val="36"/>
          <w:szCs w:val="36"/>
          <w:u w:val="single"/>
        </w:rPr>
        <w:t>年</w:t>
      </w:r>
      <w:r>
        <w:rPr>
          <w:rFonts w:hint="eastAsia" w:ascii="仿宋_GB2312" w:eastAsia="仿宋_GB2312"/>
          <w:sz w:val="36"/>
          <w:szCs w:val="36"/>
          <w:u w:val="single"/>
          <w:lang w:val="en-US" w:eastAsia="zh-CN"/>
        </w:rPr>
        <w:t>三</w:t>
      </w:r>
      <w:r>
        <w:rPr>
          <w:rFonts w:hint="eastAsia" w:ascii="仿宋_GB2312" w:eastAsia="仿宋_GB2312"/>
          <w:sz w:val="36"/>
          <w:szCs w:val="36"/>
          <w:u w:val="single"/>
        </w:rPr>
        <w:t>月</w:t>
      </w:r>
      <w:r>
        <w:rPr>
          <w:rFonts w:ascii="仿宋_GB2312" w:eastAsia="仿宋_GB2312"/>
          <w:sz w:val="36"/>
          <w:szCs w:val="36"/>
          <w:u w:val="single"/>
        </w:rPr>
        <w:t xml:space="preserve">                    </w:t>
      </w:r>
      <w:r>
        <w:rPr>
          <w:rFonts w:hint="eastAsia" w:ascii="仿宋_GB2312" w:eastAsia="仿宋_GB2312"/>
          <w:sz w:val="36"/>
          <w:szCs w:val="36"/>
          <w:u w:val="single"/>
        </w:rPr>
        <w:t xml:space="preserve"> </w:t>
      </w:r>
    </w:p>
    <w:p w14:paraId="5353D02B">
      <w:pPr>
        <w:adjustRightInd w:val="0"/>
        <w:snapToGrid w:val="0"/>
        <w:spacing w:line="288" w:lineRule="auto"/>
        <w:ind w:firstLine="1040"/>
        <w:rPr>
          <w:rFonts w:ascii="仿宋_GB2312" w:eastAsia="仿宋_GB2312"/>
          <w:sz w:val="36"/>
          <w:szCs w:val="36"/>
          <w:u w:val="single"/>
        </w:rPr>
      </w:pPr>
      <w:bookmarkStart w:id="0" w:name="_Hlk57884087"/>
    </w:p>
    <w:p w14:paraId="1BFD6D91">
      <w:pPr>
        <w:adjustRightInd w:val="0"/>
        <w:snapToGrid w:val="0"/>
        <w:spacing w:line="288" w:lineRule="auto"/>
        <w:ind w:firstLine="1040"/>
        <w:rPr>
          <w:rFonts w:ascii="仿宋_GB2312" w:eastAsia="仿宋_GB2312"/>
          <w:sz w:val="36"/>
          <w:szCs w:val="36"/>
        </w:rPr>
      </w:pPr>
    </w:p>
    <w:p w14:paraId="289F75AF">
      <w:pPr>
        <w:adjustRightInd w:val="0"/>
        <w:snapToGrid w:val="0"/>
        <w:spacing w:line="288" w:lineRule="auto"/>
        <w:ind w:firstLine="1040"/>
        <w:rPr>
          <w:rFonts w:ascii="仿宋_GB2312" w:eastAsia="仿宋_GB2312"/>
          <w:sz w:val="36"/>
          <w:szCs w:val="36"/>
        </w:rPr>
      </w:pPr>
    </w:p>
    <w:p w14:paraId="09EC2075">
      <w:pPr>
        <w:adjustRightInd w:val="0"/>
        <w:snapToGrid w:val="0"/>
        <w:spacing w:line="288" w:lineRule="auto"/>
        <w:ind w:firstLine="1040"/>
        <w:rPr>
          <w:rFonts w:ascii="仿宋_GB2312" w:eastAsia="仿宋_GB2312"/>
          <w:sz w:val="36"/>
          <w:szCs w:val="36"/>
        </w:rPr>
      </w:pPr>
    </w:p>
    <w:p w14:paraId="3D9CF691">
      <w:pPr>
        <w:adjustRightInd w:val="0"/>
        <w:snapToGrid w:val="0"/>
        <w:spacing w:line="288" w:lineRule="auto"/>
        <w:ind w:firstLine="1040"/>
        <w:rPr>
          <w:rFonts w:ascii="仿宋_GB2312" w:eastAsia="仿宋_GB2312"/>
          <w:sz w:val="36"/>
          <w:szCs w:val="36"/>
        </w:rPr>
      </w:pPr>
    </w:p>
    <w:bookmarkEnd w:id="0"/>
    <w:p w14:paraId="285DCBC2">
      <w:pPr>
        <w:adjustRightInd w:val="0"/>
        <w:snapToGrid w:val="0"/>
        <w:spacing w:line="288" w:lineRule="auto"/>
        <w:jc w:val="center"/>
        <w:rPr>
          <w:rFonts w:ascii="仿宋_GB2312" w:eastAsia="仿宋_GB2312"/>
          <w:sz w:val="36"/>
          <w:szCs w:val="36"/>
        </w:rPr>
        <w:sectPr>
          <w:footerReference r:id="rId3" w:type="default"/>
          <w:footerReference r:id="rId4" w:type="even"/>
          <w:pgSz w:w="11906" w:h="16838"/>
          <w:pgMar w:top="1701" w:right="1531" w:bottom="1701" w:left="1531" w:header="851" w:footer="1077" w:gutter="0"/>
          <w:pgNumType w:start="3"/>
          <w:cols w:space="720" w:num="1"/>
          <w:docGrid w:linePitch="312" w:charSpace="0"/>
        </w:sectPr>
      </w:pPr>
      <w:r>
        <w:rPr>
          <w:rFonts w:hint="eastAsia" w:ascii="楷体_GB2312" w:eastAsia="楷体_GB2312"/>
          <w:sz w:val="36"/>
          <w:szCs w:val="36"/>
        </w:rPr>
        <w:t>中华人民共和国生态环境部制</w:t>
      </w:r>
    </w:p>
    <w:p w14:paraId="46C52A75">
      <w:pPr>
        <w:pStyle w:val="18"/>
        <w:jc w:val="both"/>
        <w:outlineLvl w:val="0"/>
        <w:rPr>
          <w:rFonts w:hint="eastAsia" w:ascii="黑体" w:hAnsi="黑体" w:eastAsia="黑体"/>
          <w:snapToGrid w:val="0"/>
          <w:sz w:val="30"/>
          <w:szCs w:val="30"/>
          <w:highlight w:val="none"/>
          <w:lang w:val="en-US" w:eastAsia="zh-CN"/>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263260AF">
      <w:pPr>
        <w:pStyle w:val="18"/>
        <w:jc w:val="center"/>
        <w:outlineLvl w:val="0"/>
        <w:rPr>
          <w:rFonts w:hint="eastAsia" w:ascii="黑体" w:hAnsi="黑体" w:eastAsia="黑体"/>
          <w:snapToGrid w:val="0"/>
          <w:sz w:val="30"/>
          <w:szCs w:val="30"/>
          <w:highlight w:val="none"/>
        </w:rPr>
      </w:pPr>
      <w:r>
        <w:rPr>
          <w:rFonts w:hint="eastAsia" w:ascii="黑体" w:hAnsi="黑体" w:eastAsia="黑体"/>
          <w:snapToGrid w:val="0"/>
          <w:sz w:val="30"/>
          <w:szCs w:val="30"/>
          <w:highlight w:val="none"/>
        </w:rPr>
        <w:t>一、建设项目基本情况</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984"/>
        <w:gridCol w:w="1709"/>
        <w:gridCol w:w="2271"/>
        <w:gridCol w:w="3906"/>
      </w:tblGrid>
      <w:tr w14:paraId="7AC653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14" w:type="dxa"/>
            <w:noWrap w:val="0"/>
            <w:tcMar>
              <w:top w:w="16" w:type="dxa"/>
              <w:left w:w="16" w:type="dxa"/>
              <w:right w:w="16" w:type="dxa"/>
            </w:tcMar>
            <w:vAlign w:val="center"/>
          </w:tcPr>
          <w:p w14:paraId="52D15E2B">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建设项目名称</w:t>
            </w:r>
          </w:p>
        </w:tc>
        <w:tc>
          <w:tcPr>
            <w:tcW w:w="7556" w:type="dxa"/>
            <w:gridSpan w:val="3"/>
            <w:noWrap w:val="0"/>
            <w:vAlign w:val="center"/>
          </w:tcPr>
          <w:p w14:paraId="741876EB">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SBS弹性体改性沥青防水卷材、防水涂料项目</w:t>
            </w:r>
          </w:p>
        </w:tc>
      </w:tr>
      <w:tr w14:paraId="1A9060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14" w:type="dxa"/>
            <w:noWrap w:val="0"/>
            <w:tcMar>
              <w:top w:w="16" w:type="dxa"/>
              <w:left w:w="16" w:type="dxa"/>
              <w:right w:w="16" w:type="dxa"/>
            </w:tcMar>
            <w:vAlign w:val="center"/>
          </w:tcPr>
          <w:p w14:paraId="2457EC0E">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项目代码</w:t>
            </w:r>
          </w:p>
        </w:tc>
        <w:tc>
          <w:tcPr>
            <w:tcW w:w="7556" w:type="dxa"/>
            <w:gridSpan w:val="3"/>
            <w:noWrap w:val="0"/>
            <w:vAlign w:val="center"/>
          </w:tcPr>
          <w:p w14:paraId="0390116C">
            <w:pPr>
              <w:adjustRightInd w:val="0"/>
              <w:snapToGrid w:val="0"/>
              <w:jc w:val="center"/>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2601-652312-89-01-184192</w:t>
            </w:r>
          </w:p>
        </w:tc>
      </w:tr>
      <w:tr w14:paraId="5AC7F1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14" w:type="dxa"/>
            <w:noWrap w:val="0"/>
            <w:tcMar>
              <w:top w:w="16" w:type="dxa"/>
              <w:left w:w="16" w:type="dxa"/>
              <w:right w:w="16" w:type="dxa"/>
            </w:tcMar>
            <w:vAlign w:val="center"/>
          </w:tcPr>
          <w:p w14:paraId="69792FB8">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建设单位联系人</w:t>
            </w:r>
          </w:p>
        </w:tc>
        <w:tc>
          <w:tcPr>
            <w:tcW w:w="1794" w:type="dxa"/>
            <w:noWrap w:val="0"/>
            <w:vAlign w:val="center"/>
          </w:tcPr>
          <w:p w14:paraId="643FEC0B">
            <w:pPr>
              <w:adjustRightInd w:val="0"/>
              <w:snapToGrid w:val="0"/>
              <w:jc w:val="center"/>
              <w:rPr>
                <w:rFonts w:hint="default" w:ascii="Times New Roman" w:hAnsi="Times New Roman" w:eastAsia="宋体" w:cs="Times New Roman"/>
                <w:kern w:val="2"/>
                <w:sz w:val="24"/>
                <w:szCs w:val="24"/>
                <w:highlight w:val="none"/>
                <w:lang w:val="en-US" w:eastAsia="zh-CN" w:bidi="ar-SA"/>
              </w:rPr>
            </w:pPr>
            <w:r>
              <w:rPr>
                <w:rFonts w:hint="eastAsia" w:cs="Times New Roman"/>
                <w:kern w:val="2"/>
                <w:sz w:val="24"/>
                <w:szCs w:val="24"/>
                <w:highlight w:val="none"/>
                <w:lang w:val="en-US" w:eastAsia="zh-CN" w:bidi="ar-SA"/>
              </w:rPr>
              <w:t>尚文涛</w:t>
            </w:r>
          </w:p>
        </w:tc>
        <w:tc>
          <w:tcPr>
            <w:tcW w:w="2469" w:type="dxa"/>
            <w:noWrap w:val="0"/>
            <w:vAlign w:val="center"/>
          </w:tcPr>
          <w:p w14:paraId="1EC56C0A">
            <w:pPr>
              <w:adjustRightInd w:val="0"/>
              <w:snapToGrid w:val="0"/>
              <w:jc w:val="center"/>
              <w:rPr>
                <w:rFonts w:hint="default" w:ascii="Times New Roman" w:hAnsi="Times New Roman" w:cs="Times New Roman"/>
                <w:kern w:val="2"/>
                <w:sz w:val="24"/>
                <w:szCs w:val="24"/>
                <w:highlight w:val="none"/>
                <w:lang w:val="en-US" w:eastAsia="zh-CN" w:bidi="ar-SA"/>
              </w:rPr>
            </w:pPr>
            <w:r>
              <w:rPr>
                <w:rFonts w:hint="default" w:ascii="Times New Roman" w:hAnsi="Times New Roman" w:cs="Times New Roman"/>
                <w:sz w:val="24"/>
                <w:szCs w:val="24"/>
                <w:highlight w:val="none"/>
              </w:rPr>
              <w:t>联系方式</w:t>
            </w:r>
          </w:p>
        </w:tc>
        <w:tc>
          <w:tcPr>
            <w:tcW w:w="3293" w:type="dxa"/>
            <w:noWrap w:val="0"/>
            <w:vAlign w:val="center"/>
          </w:tcPr>
          <w:p w14:paraId="07F321BB">
            <w:pPr>
              <w:adjustRightInd w:val="0"/>
              <w:snapToGrid w:val="0"/>
              <w:jc w:val="center"/>
              <w:rPr>
                <w:rFonts w:hint="default" w:ascii="Times New Roman" w:hAnsi="Times New Roman" w:cs="Times New Roman"/>
                <w:kern w:val="2"/>
                <w:sz w:val="24"/>
                <w:szCs w:val="24"/>
                <w:highlight w:val="none"/>
                <w:lang w:val="en-US" w:eastAsia="zh-CN" w:bidi="ar-SA"/>
              </w:rPr>
            </w:pPr>
            <w:r>
              <w:rPr>
                <w:rFonts w:hint="eastAsia" w:cs="Times New Roman"/>
                <w:kern w:val="2"/>
                <w:sz w:val="24"/>
                <w:szCs w:val="24"/>
                <w:highlight w:val="none"/>
                <w:lang w:val="en-US" w:eastAsia="zh-CN" w:bidi="ar-SA"/>
              </w:rPr>
              <w:t>18999348521</w:t>
            </w:r>
          </w:p>
        </w:tc>
      </w:tr>
      <w:tr w14:paraId="0072AB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14" w:type="dxa"/>
            <w:noWrap w:val="0"/>
            <w:tcMar>
              <w:top w:w="16" w:type="dxa"/>
              <w:left w:w="16" w:type="dxa"/>
              <w:right w:w="16" w:type="dxa"/>
            </w:tcMar>
            <w:vAlign w:val="center"/>
          </w:tcPr>
          <w:p w14:paraId="6EEB70AA">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建设地点</w:t>
            </w:r>
          </w:p>
        </w:tc>
        <w:tc>
          <w:tcPr>
            <w:tcW w:w="7556" w:type="dxa"/>
            <w:gridSpan w:val="3"/>
            <w:noWrap w:val="0"/>
            <w:vAlign w:val="center"/>
          </w:tcPr>
          <w:p w14:paraId="222D03C2">
            <w:pPr>
              <w:adjustRightInd w:val="0"/>
              <w:snapToGrid w:val="0"/>
              <w:jc w:val="center"/>
              <w:rPr>
                <w:rFonts w:hint="default" w:ascii="Times New Roman" w:hAnsi="Times New Roman" w:cs="Times New Roman"/>
                <w:sz w:val="24"/>
                <w:szCs w:val="24"/>
                <w:highlight w:val="none"/>
              </w:rPr>
            </w:pPr>
            <w:r>
              <w:rPr>
                <w:rFonts w:hint="default" w:ascii="Times New Roman" w:hAnsi="Times New Roman" w:eastAsia="宋体" w:cs="Times New Roman"/>
                <w:color w:val="auto"/>
                <w:sz w:val="24"/>
                <w:szCs w:val="24"/>
                <w:highlight w:val="none"/>
                <w:lang w:val="en-US" w:eastAsia="zh-CN"/>
              </w:rPr>
              <w:t>新疆昌吉州昌吉市高新技术产业开发区</w:t>
            </w:r>
            <w:r>
              <w:rPr>
                <w:rFonts w:hint="eastAsia" w:cs="Times New Roman"/>
                <w:color w:val="auto"/>
                <w:sz w:val="24"/>
                <w:szCs w:val="24"/>
                <w:highlight w:val="none"/>
                <w:lang w:val="en-US" w:eastAsia="zh-CN"/>
              </w:rPr>
              <w:t>东四路与科荟路交叉口东南方向98米</w:t>
            </w:r>
          </w:p>
        </w:tc>
      </w:tr>
      <w:tr w14:paraId="57FF13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14" w:type="dxa"/>
            <w:noWrap w:val="0"/>
            <w:tcMar>
              <w:top w:w="16" w:type="dxa"/>
              <w:left w:w="16" w:type="dxa"/>
              <w:right w:w="16" w:type="dxa"/>
            </w:tcMar>
            <w:vAlign w:val="center"/>
          </w:tcPr>
          <w:p w14:paraId="5F7DE1F8">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地理坐标</w:t>
            </w:r>
          </w:p>
        </w:tc>
        <w:tc>
          <w:tcPr>
            <w:tcW w:w="7556" w:type="dxa"/>
            <w:gridSpan w:val="3"/>
            <w:noWrap w:val="0"/>
            <w:vAlign w:val="center"/>
          </w:tcPr>
          <w:p w14:paraId="4DEA8D61">
            <w:pPr>
              <w:jc w:val="center"/>
              <w:rPr>
                <w:rFonts w:hint="default" w:ascii="Times New Roman" w:hAnsi="Times New Roman" w:cs="Times New Roman"/>
                <w:sz w:val="24"/>
                <w:szCs w:val="24"/>
                <w:highlight w:val="none"/>
                <w:lang w:val="en-US"/>
              </w:rPr>
            </w:pPr>
            <w:r>
              <w:rPr>
                <w:rFonts w:hint="default" w:ascii="Times New Roman" w:hAnsi="Times New Roman" w:eastAsia="宋体" w:cs="Times New Roman"/>
                <w:sz w:val="24"/>
                <w:szCs w:val="24"/>
                <w:highlight w:val="none"/>
                <w:lang w:val="en-US" w:eastAsia="zh-CN"/>
              </w:rPr>
              <w:t>（东经</w:t>
            </w:r>
            <w:r>
              <w:rPr>
                <w:rFonts w:hint="default" w:ascii="Times New Roman" w:hAnsi="Times New Roman" w:eastAsia="宋体" w:cs="Times New Roman"/>
                <w:color w:val="auto"/>
                <w:sz w:val="24"/>
                <w:szCs w:val="24"/>
                <w:highlight w:val="none"/>
                <w:lang w:val="en-US" w:eastAsia="zh-CN"/>
              </w:rPr>
              <w:t>87</w:t>
            </w:r>
            <w:r>
              <w:rPr>
                <w:rFonts w:hint="default" w:ascii="Times New Roman" w:hAnsi="Times New Roman" w:eastAsia="宋体" w:cs="Times New Roman"/>
                <w:sz w:val="24"/>
                <w:szCs w:val="24"/>
                <w:highlight w:val="none"/>
                <w:lang w:val="en-US" w:eastAsia="zh-CN"/>
              </w:rPr>
              <w:t>度</w:t>
            </w:r>
            <w:r>
              <w:rPr>
                <w:rFonts w:hint="default" w:ascii="Times New Roman" w:hAnsi="Times New Roman" w:eastAsia="宋体" w:cs="Times New Roman"/>
                <w:color w:val="auto"/>
                <w:sz w:val="24"/>
                <w:szCs w:val="24"/>
                <w:highlight w:val="none"/>
                <w:lang w:val="en-US" w:eastAsia="zh-CN"/>
              </w:rPr>
              <w:t>0</w:t>
            </w:r>
            <w:r>
              <w:rPr>
                <w:rFonts w:hint="eastAsia" w:cs="Times New Roman"/>
                <w:color w:val="auto"/>
                <w:sz w:val="24"/>
                <w:szCs w:val="24"/>
                <w:highlight w:val="none"/>
                <w:lang w:val="en-US" w:eastAsia="zh-CN"/>
              </w:rPr>
              <w:t>7</w:t>
            </w:r>
            <w:r>
              <w:rPr>
                <w:rFonts w:hint="default" w:ascii="Times New Roman" w:hAnsi="Times New Roman" w:eastAsia="宋体" w:cs="Times New Roman"/>
                <w:sz w:val="24"/>
                <w:szCs w:val="24"/>
                <w:highlight w:val="none"/>
                <w:lang w:val="en-US" w:eastAsia="zh-CN"/>
              </w:rPr>
              <w:t>分</w:t>
            </w:r>
            <w:r>
              <w:rPr>
                <w:rFonts w:hint="eastAsia" w:cs="Times New Roman"/>
                <w:color w:val="auto"/>
                <w:sz w:val="24"/>
                <w:szCs w:val="24"/>
                <w:highlight w:val="none"/>
                <w:lang w:val="en-US" w:eastAsia="zh-CN"/>
              </w:rPr>
              <w:t>50</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849</w:t>
            </w:r>
            <w:r>
              <w:rPr>
                <w:rFonts w:hint="default" w:ascii="Times New Roman" w:hAnsi="Times New Roman" w:eastAsia="宋体" w:cs="Times New Roman"/>
                <w:sz w:val="24"/>
                <w:szCs w:val="24"/>
                <w:highlight w:val="none"/>
                <w:lang w:val="en-US" w:eastAsia="zh-CN"/>
              </w:rPr>
              <w:t>秒，北纬</w:t>
            </w:r>
            <w:r>
              <w:rPr>
                <w:rFonts w:hint="default" w:ascii="Times New Roman" w:hAnsi="Times New Roman" w:eastAsia="宋体" w:cs="Times New Roman"/>
                <w:color w:val="auto"/>
                <w:sz w:val="24"/>
                <w:szCs w:val="24"/>
                <w:highlight w:val="none"/>
                <w:lang w:val="en-US" w:eastAsia="zh-CN"/>
              </w:rPr>
              <w:t>44</w:t>
            </w:r>
            <w:r>
              <w:rPr>
                <w:rFonts w:hint="default" w:ascii="Times New Roman" w:hAnsi="Times New Roman" w:eastAsia="宋体" w:cs="Times New Roman"/>
                <w:sz w:val="24"/>
                <w:szCs w:val="24"/>
                <w:highlight w:val="none"/>
                <w:lang w:val="en-US" w:eastAsia="zh-CN"/>
              </w:rPr>
              <w:t>度</w:t>
            </w:r>
            <w:r>
              <w:rPr>
                <w:rFonts w:hint="default" w:ascii="Times New Roman" w:hAnsi="Times New Roman" w:eastAsia="宋体" w:cs="Times New Roman"/>
                <w:color w:val="auto"/>
                <w:sz w:val="24"/>
                <w:szCs w:val="24"/>
                <w:highlight w:val="none"/>
                <w:lang w:val="en-US" w:eastAsia="zh-CN"/>
              </w:rPr>
              <w:t>0</w:t>
            </w:r>
            <w:r>
              <w:rPr>
                <w:rFonts w:hint="eastAsia" w:cs="Times New Roman"/>
                <w:color w:val="auto"/>
                <w:sz w:val="24"/>
                <w:szCs w:val="24"/>
                <w:highlight w:val="none"/>
                <w:lang w:val="en-US" w:eastAsia="zh-CN"/>
              </w:rPr>
              <w:t>5</w:t>
            </w:r>
            <w:r>
              <w:rPr>
                <w:rFonts w:hint="default" w:ascii="Times New Roman" w:hAnsi="Times New Roman" w:eastAsia="宋体" w:cs="Times New Roman"/>
                <w:sz w:val="24"/>
                <w:szCs w:val="24"/>
                <w:highlight w:val="none"/>
                <w:lang w:val="en-US" w:eastAsia="zh-CN"/>
              </w:rPr>
              <w:t>分</w:t>
            </w:r>
            <w:r>
              <w:rPr>
                <w:rFonts w:hint="eastAsia"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474</w:t>
            </w:r>
            <w:r>
              <w:rPr>
                <w:rFonts w:hint="default" w:ascii="Times New Roman" w:hAnsi="Times New Roman" w:eastAsia="宋体" w:cs="Times New Roman"/>
                <w:sz w:val="24"/>
                <w:szCs w:val="24"/>
                <w:highlight w:val="none"/>
                <w:lang w:val="en-US" w:eastAsia="zh-CN"/>
              </w:rPr>
              <w:t>秒）</w:t>
            </w:r>
          </w:p>
        </w:tc>
      </w:tr>
      <w:tr w14:paraId="6726EF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314" w:type="dxa"/>
            <w:noWrap w:val="0"/>
            <w:tcMar>
              <w:top w:w="16" w:type="dxa"/>
              <w:left w:w="16" w:type="dxa"/>
              <w:right w:w="16" w:type="dxa"/>
            </w:tcMar>
            <w:vAlign w:val="center"/>
          </w:tcPr>
          <w:p w14:paraId="5C2728D2">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国民经济</w:t>
            </w:r>
          </w:p>
          <w:p w14:paraId="6F5A0277">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行业类别</w:t>
            </w:r>
          </w:p>
        </w:tc>
        <w:tc>
          <w:tcPr>
            <w:tcW w:w="1794" w:type="dxa"/>
            <w:noWrap w:val="0"/>
            <w:vAlign w:val="center"/>
          </w:tcPr>
          <w:p w14:paraId="10D2F9F4">
            <w:pPr>
              <w:adjustRightInd w:val="0"/>
              <w:snapToGrid w:val="0"/>
              <w:jc w:val="center"/>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C3033</w:t>
            </w:r>
          </w:p>
          <w:p w14:paraId="584B453A">
            <w:pPr>
              <w:adjustRightInd w:val="0"/>
              <w:snapToGrid w:val="0"/>
              <w:jc w:val="center"/>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防水建筑材料制造C</w:t>
            </w:r>
            <w:r>
              <w:rPr>
                <w:rFonts w:hint="eastAsia" w:cs="Times New Roman"/>
                <w:sz w:val="24"/>
                <w:szCs w:val="24"/>
                <w:highlight w:val="none"/>
                <w:lang w:val="en-US" w:eastAsia="zh-CN"/>
              </w:rPr>
              <w:t>2641涂料制造</w:t>
            </w:r>
          </w:p>
        </w:tc>
        <w:tc>
          <w:tcPr>
            <w:tcW w:w="2469" w:type="dxa"/>
            <w:noWrap w:val="0"/>
            <w:vAlign w:val="center"/>
          </w:tcPr>
          <w:p w14:paraId="75A45EA5">
            <w:pPr>
              <w:adjustRightInd w:val="0"/>
              <w:snapToGrid w:val="0"/>
              <w:jc w:val="center"/>
              <w:rPr>
                <w:rFonts w:hint="default" w:ascii="Times New Roman" w:hAnsi="Times New Roman" w:cs="Times New Roman"/>
                <w:sz w:val="24"/>
                <w:szCs w:val="24"/>
                <w:highlight w:val="none"/>
              </w:rPr>
            </w:pPr>
            <w:bookmarkStart w:id="1" w:name="_Hlk49843745"/>
            <w:r>
              <w:rPr>
                <w:rFonts w:hint="default" w:ascii="Times New Roman" w:hAnsi="Times New Roman" w:cs="Times New Roman"/>
                <w:sz w:val="24"/>
                <w:szCs w:val="24"/>
                <w:highlight w:val="none"/>
              </w:rPr>
              <w:t>建设项目</w:t>
            </w:r>
          </w:p>
          <w:p w14:paraId="674CF086">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行业类别</w:t>
            </w:r>
            <w:bookmarkEnd w:id="1"/>
          </w:p>
        </w:tc>
        <w:tc>
          <w:tcPr>
            <w:tcW w:w="3293" w:type="dxa"/>
            <w:noWrap w:val="0"/>
            <w:vAlign w:val="center"/>
          </w:tcPr>
          <w:p w14:paraId="0C56C38B">
            <w:pPr>
              <w:adjustRightInd w:val="0"/>
              <w:snapToGrid w:val="0"/>
              <w:jc w:val="center"/>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二十七、非金属矿物制造业30，56砖瓦、石材等建筑材料制造303，防水建筑材料制造</w:t>
            </w:r>
          </w:p>
          <w:p w14:paraId="48E7E015">
            <w:pPr>
              <w:adjustRightInd w:val="0"/>
              <w:snapToGrid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二十三、化学原料和化学制品制造业264</w:t>
            </w:r>
            <w:r>
              <w:rPr>
                <w:rFonts w:hint="default" w:ascii="Times New Roman" w:hAnsi="Times New Roman" w:cs="Times New Roman"/>
                <w:sz w:val="24"/>
                <w:szCs w:val="24"/>
                <w:highlight w:val="none"/>
                <w:lang w:val="en-US" w:eastAsia="zh-CN"/>
              </w:rPr>
              <w:t>涂料、油墨、颜料及类似产品制造，专用化学产品制造</w:t>
            </w:r>
          </w:p>
        </w:tc>
      </w:tr>
      <w:tr w14:paraId="2B0F33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314" w:type="dxa"/>
            <w:noWrap w:val="0"/>
            <w:tcMar>
              <w:top w:w="16" w:type="dxa"/>
              <w:left w:w="16" w:type="dxa"/>
              <w:right w:w="16" w:type="dxa"/>
            </w:tcMar>
            <w:vAlign w:val="center"/>
          </w:tcPr>
          <w:p w14:paraId="0815D310">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建设性质</w:t>
            </w:r>
          </w:p>
        </w:tc>
        <w:tc>
          <w:tcPr>
            <w:tcW w:w="1794" w:type="dxa"/>
            <w:noWrap w:val="0"/>
            <w:vAlign w:val="center"/>
          </w:tcPr>
          <w:p w14:paraId="69209697">
            <w:pPr>
              <w:jc w:val="left"/>
              <w:rPr>
                <w:rFonts w:hint="default" w:ascii="Times New Roman" w:hAnsi="Times New Roman" w:cs="Times New Roman"/>
                <w:sz w:val="24"/>
                <w:szCs w:val="24"/>
                <w:highlight w:val="none"/>
              </w:rPr>
            </w:pPr>
            <w:r>
              <w:rPr>
                <w:rFonts w:hint="eastAsia" w:cs="Times New Roman"/>
                <w:sz w:val="24"/>
                <w:szCs w:val="24"/>
                <w:highlight w:val="none"/>
                <w:lang w:eastAsia="zh-CN"/>
              </w:rPr>
              <w:t>□</w:t>
            </w:r>
            <w:r>
              <w:rPr>
                <w:rFonts w:hint="default" w:ascii="Times New Roman" w:hAnsi="Times New Roman" w:cs="Times New Roman"/>
                <w:sz w:val="24"/>
                <w:szCs w:val="24"/>
                <w:highlight w:val="none"/>
              </w:rPr>
              <w:t>新建（迁建）</w:t>
            </w:r>
          </w:p>
          <w:p w14:paraId="73724126">
            <w:pPr>
              <w:jc w:val="left"/>
              <w:rPr>
                <w:rFonts w:hint="default" w:ascii="Times New Roman" w:hAnsi="Times New Roman" w:cs="Times New Roman"/>
                <w:sz w:val="24"/>
                <w:szCs w:val="24"/>
                <w:highlight w:val="none"/>
              </w:rPr>
            </w:pPr>
            <w:r>
              <w:rPr>
                <w:rFonts w:hint="eastAsia" w:cs="Times New Roman"/>
                <w:sz w:val="24"/>
                <w:szCs w:val="24"/>
                <w:highlight w:val="none"/>
                <w:lang w:eastAsia="zh-CN"/>
              </w:rPr>
              <w:t>□</w:t>
            </w:r>
            <w:r>
              <w:rPr>
                <w:rFonts w:hint="default" w:ascii="Times New Roman" w:hAnsi="Times New Roman" w:cs="Times New Roman"/>
                <w:sz w:val="24"/>
                <w:szCs w:val="24"/>
                <w:highlight w:val="none"/>
              </w:rPr>
              <w:t>改建</w:t>
            </w:r>
          </w:p>
          <w:p w14:paraId="17B695DD">
            <w:pPr>
              <w:jc w:val="left"/>
              <w:rPr>
                <w:rFonts w:hint="default" w:ascii="Times New Roman" w:hAnsi="Times New Roman" w:cs="Times New Roman"/>
                <w:sz w:val="24"/>
                <w:szCs w:val="24"/>
                <w:highlight w:val="none"/>
              </w:rPr>
            </w:pPr>
            <w:r>
              <w:rPr>
                <w:rFonts w:hint="eastAsia" w:cs="Times New Roman"/>
                <w:sz w:val="24"/>
                <w:szCs w:val="24"/>
                <w:highlight w:val="none"/>
                <w:lang w:eastAsia="zh-CN"/>
              </w:rPr>
              <w:t>☑</w:t>
            </w:r>
            <w:r>
              <w:rPr>
                <w:rFonts w:hint="default" w:ascii="Times New Roman" w:hAnsi="Times New Roman" w:cs="Times New Roman"/>
                <w:sz w:val="24"/>
                <w:szCs w:val="24"/>
                <w:highlight w:val="none"/>
              </w:rPr>
              <w:t>扩建</w:t>
            </w:r>
          </w:p>
          <w:p w14:paraId="71BCA15F">
            <w:pPr>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□技术改造</w:t>
            </w:r>
          </w:p>
        </w:tc>
        <w:tc>
          <w:tcPr>
            <w:tcW w:w="2469" w:type="dxa"/>
            <w:noWrap w:val="0"/>
            <w:vAlign w:val="center"/>
          </w:tcPr>
          <w:p w14:paraId="7E0791B4">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建设项目</w:t>
            </w:r>
          </w:p>
          <w:p w14:paraId="4491D0BA">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申报情形</w:t>
            </w:r>
          </w:p>
        </w:tc>
        <w:tc>
          <w:tcPr>
            <w:tcW w:w="3293" w:type="dxa"/>
            <w:noWrap w:val="0"/>
            <w:vAlign w:val="center"/>
          </w:tcPr>
          <w:p w14:paraId="283DE1BF">
            <w:pPr>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rPr>
              <w:t xml:space="preserve">首次申报项目             </w:t>
            </w:r>
          </w:p>
          <w:p w14:paraId="5DE86BC7">
            <w:pPr>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□不予批准后再次申报项目</w:t>
            </w:r>
          </w:p>
          <w:p w14:paraId="3122E79E">
            <w:pPr>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 xml:space="preserve">□超五年重新审核项目     </w:t>
            </w:r>
          </w:p>
          <w:p w14:paraId="6ADCAFB0">
            <w:pPr>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□重大变动重新报批项目</w:t>
            </w:r>
          </w:p>
        </w:tc>
      </w:tr>
      <w:tr w14:paraId="5871EC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314" w:type="dxa"/>
            <w:noWrap w:val="0"/>
            <w:tcMar>
              <w:top w:w="16" w:type="dxa"/>
              <w:left w:w="16" w:type="dxa"/>
              <w:right w:w="16" w:type="dxa"/>
            </w:tcMar>
            <w:vAlign w:val="center"/>
          </w:tcPr>
          <w:p w14:paraId="442DC597">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项目审批（核准/</w:t>
            </w:r>
          </w:p>
          <w:p w14:paraId="6D06185C">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备案）部门（选填）</w:t>
            </w:r>
          </w:p>
        </w:tc>
        <w:tc>
          <w:tcPr>
            <w:tcW w:w="1794" w:type="dxa"/>
            <w:noWrap w:val="0"/>
            <w:vAlign w:val="center"/>
          </w:tcPr>
          <w:p w14:paraId="21FD7BD8">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昌吉高新技术产业开发区产业发展科技局</w:t>
            </w:r>
          </w:p>
        </w:tc>
        <w:tc>
          <w:tcPr>
            <w:tcW w:w="2469" w:type="dxa"/>
            <w:noWrap w:val="0"/>
            <w:vAlign w:val="center"/>
          </w:tcPr>
          <w:p w14:paraId="29A9D93E">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项目审批（核准/</w:t>
            </w:r>
          </w:p>
          <w:p w14:paraId="5068C845">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备案）文号（选填）</w:t>
            </w:r>
          </w:p>
        </w:tc>
        <w:tc>
          <w:tcPr>
            <w:tcW w:w="3293" w:type="dxa"/>
            <w:noWrap w:val="0"/>
            <w:vAlign w:val="center"/>
          </w:tcPr>
          <w:p w14:paraId="0AD64E22">
            <w:pPr>
              <w:adjustRightInd w:val="0"/>
              <w:snapToGrid w:val="0"/>
              <w:jc w:val="center"/>
              <w:rPr>
                <w:rFonts w:hint="default" w:ascii="Times New Roman" w:hAnsi="Times New Roman" w:eastAsia="宋体" w:cs="Times New Roman"/>
                <w:sz w:val="24"/>
                <w:szCs w:val="24"/>
                <w:highlight w:val="none"/>
                <w:lang w:val="en-US" w:eastAsia="zh-CN"/>
              </w:rPr>
            </w:pPr>
            <w:r>
              <w:rPr>
                <w:rFonts w:hint="eastAsia" w:cs="Times New Roman"/>
                <w:color w:val="auto"/>
                <w:sz w:val="24"/>
                <w:szCs w:val="24"/>
                <w:highlight w:val="none"/>
                <w:lang w:val="en-US" w:eastAsia="zh-CN"/>
              </w:rPr>
              <w:t>2603101642652312000106</w:t>
            </w:r>
          </w:p>
        </w:tc>
      </w:tr>
      <w:tr w14:paraId="40F4C7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14" w:type="dxa"/>
            <w:noWrap w:val="0"/>
            <w:tcMar>
              <w:top w:w="16" w:type="dxa"/>
              <w:left w:w="16" w:type="dxa"/>
              <w:right w:w="16" w:type="dxa"/>
            </w:tcMar>
            <w:vAlign w:val="center"/>
          </w:tcPr>
          <w:p w14:paraId="21C78809">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总投资（万元）</w:t>
            </w:r>
          </w:p>
        </w:tc>
        <w:tc>
          <w:tcPr>
            <w:tcW w:w="1794" w:type="dxa"/>
            <w:noWrap w:val="0"/>
            <w:vAlign w:val="center"/>
          </w:tcPr>
          <w:p w14:paraId="19AD1F8D">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200</w:t>
            </w:r>
          </w:p>
        </w:tc>
        <w:tc>
          <w:tcPr>
            <w:tcW w:w="2469" w:type="dxa"/>
            <w:noWrap w:val="0"/>
            <w:tcMar>
              <w:top w:w="16" w:type="dxa"/>
              <w:left w:w="16" w:type="dxa"/>
              <w:right w:w="16" w:type="dxa"/>
            </w:tcMar>
            <w:vAlign w:val="center"/>
          </w:tcPr>
          <w:p w14:paraId="4A28F4CB">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环保投资（万元）</w:t>
            </w:r>
          </w:p>
        </w:tc>
        <w:tc>
          <w:tcPr>
            <w:tcW w:w="3293" w:type="dxa"/>
            <w:noWrap w:val="0"/>
            <w:vAlign w:val="center"/>
          </w:tcPr>
          <w:p w14:paraId="62B15491">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34</w:t>
            </w:r>
          </w:p>
        </w:tc>
      </w:tr>
      <w:tr w14:paraId="3CD8F9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14" w:type="dxa"/>
            <w:noWrap w:val="0"/>
            <w:tcMar>
              <w:top w:w="16" w:type="dxa"/>
              <w:left w:w="16" w:type="dxa"/>
              <w:right w:w="16" w:type="dxa"/>
            </w:tcMar>
            <w:vAlign w:val="center"/>
          </w:tcPr>
          <w:p w14:paraId="766B6217">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环保投资占比（%）</w:t>
            </w:r>
          </w:p>
        </w:tc>
        <w:tc>
          <w:tcPr>
            <w:tcW w:w="1794" w:type="dxa"/>
            <w:noWrap w:val="0"/>
            <w:vAlign w:val="center"/>
          </w:tcPr>
          <w:p w14:paraId="029A78AE">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17</w:t>
            </w:r>
            <w:r>
              <w:rPr>
                <w:rFonts w:hint="eastAsia" w:ascii="Times New Roman" w:hAnsi="Times New Roman" w:cs="Times New Roman"/>
                <w:color w:val="auto"/>
                <w:sz w:val="24"/>
                <w:szCs w:val="24"/>
                <w:highlight w:val="none"/>
                <w:lang w:val="en-US" w:eastAsia="zh-CN"/>
              </w:rPr>
              <w:t>%</w:t>
            </w:r>
          </w:p>
        </w:tc>
        <w:tc>
          <w:tcPr>
            <w:tcW w:w="2469" w:type="dxa"/>
            <w:noWrap w:val="0"/>
            <w:tcMar>
              <w:top w:w="16" w:type="dxa"/>
              <w:left w:w="16" w:type="dxa"/>
              <w:right w:w="16" w:type="dxa"/>
            </w:tcMar>
            <w:vAlign w:val="center"/>
          </w:tcPr>
          <w:p w14:paraId="18DA1A07">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施工工期</w:t>
            </w:r>
          </w:p>
        </w:tc>
        <w:tc>
          <w:tcPr>
            <w:tcW w:w="3293" w:type="dxa"/>
            <w:noWrap w:val="0"/>
            <w:vAlign w:val="center"/>
          </w:tcPr>
          <w:p w14:paraId="7818A950">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val="en-US" w:eastAsia="zh-CN"/>
              </w:rPr>
              <w:t>个月</w:t>
            </w:r>
          </w:p>
        </w:tc>
      </w:tr>
      <w:tr w14:paraId="430D20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14" w:type="dxa"/>
            <w:noWrap w:val="0"/>
            <w:tcMar>
              <w:top w:w="16" w:type="dxa"/>
              <w:left w:w="16" w:type="dxa"/>
              <w:right w:w="16" w:type="dxa"/>
            </w:tcMar>
            <w:vAlign w:val="center"/>
          </w:tcPr>
          <w:p w14:paraId="125426AF">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是否开工建设</w:t>
            </w:r>
          </w:p>
        </w:tc>
        <w:tc>
          <w:tcPr>
            <w:tcW w:w="1794" w:type="dxa"/>
            <w:noWrap w:val="0"/>
            <w:vAlign w:val="center"/>
          </w:tcPr>
          <w:p w14:paraId="0C14C52C">
            <w:pPr>
              <w:adjustRightInd w:val="0"/>
              <w:snapToGrid w:val="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sym w:font="Wingdings 2" w:char="0052"/>
            </w:r>
            <w:r>
              <w:rPr>
                <w:rFonts w:hint="default" w:ascii="Times New Roman" w:hAnsi="Times New Roman" w:cs="Times New Roman"/>
                <w:sz w:val="24"/>
                <w:szCs w:val="24"/>
                <w:highlight w:val="none"/>
              </w:rPr>
              <w:t>否</w:t>
            </w:r>
          </w:p>
          <w:p w14:paraId="0E9DE88C">
            <w:pPr>
              <w:adjustRightInd w:val="0"/>
              <w:snapToGrid w:val="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sym w:font="Wingdings 2" w:char="00A3"/>
            </w:r>
            <w:r>
              <w:rPr>
                <w:rFonts w:hint="default" w:ascii="Times New Roman" w:hAnsi="Times New Roman" w:cs="Times New Roman"/>
                <w:sz w:val="24"/>
                <w:szCs w:val="24"/>
                <w:highlight w:val="none"/>
              </w:rPr>
              <w:t>是：</w:t>
            </w:r>
            <w:r>
              <w:rPr>
                <w:rFonts w:hint="default" w:ascii="Times New Roman" w:hAnsi="Times New Roman" w:cs="Times New Roman"/>
                <w:sz w:val="24"/>
                <w:szCs w:val="24"/>
                <w:highlight w:val="none"/>
                <w:u w:val="single"/>
              </w:rPr>
              <w:t xml:space="preserve">             </w:t>
            </w:r>
          </w:p>
        </w:tc>
        <w:tc>
          <w:tcPr>
            <w:tcW w:w="2469" w:type="dxa"/>
            <w:noWrap w:val="0"/>
            <w:tcMar>
              <w:top w:w="16" w:type="dxa"/>
              <w:left w:w="16" w:type="dxa"/>
              <w:right w:w="16" w:type="dxa"/>
            </w:tcMar>
            <w:vAlign w:val="center"/>
          </w:tcPr>
          <w:p w14:paraId="6D822463">
            <w:pPr>
              <w:adjustRightInd w:val="0"/>
              <w:snapToGrid w:val="0"/>
              <w:jc w:val="center"/>
              <w:rPr>
                <w:rFonts w:hint="default" w:ascii="Times New Roman" w:hAnsi="Times New Roman" w:cs="Times New Roman"/>
                <w:color w:val="auto"/>
                <w:spacing w:val="-6"/>
                <w:sz w:val="24"/>
                <w:szCs w:val="24"/>
                <w:highlight w:val="none"/>
              </w:rPr>
            </w:pPr>
            <w:r>
              <w:rPr>
                <w:rFonts w:hint="default" w:ascii="Times New Roman" w:hAnsi="Times New Roman" w:cs="Times New Roman"/>
                <w:color w:val="auto"/>
                <w:spacing w:val="-6"/>
                <w:sz w:val="24"/>
                <w:szCs w:val="24"/>
                <w:highlight w:val="none"/>
              </w:rPr>
              <w:t>用地（用海）</w:t>
            </w:r>
          </w:p>
          <w:p w14:paraId="3E508636">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pacing w:val="-6"/>
                <w:sz w:val="24"/>
                <w:szCs w:val="24"/>
                <w:highlight w:val="none"/>
              </w:rPr>
              <w:t>面积（m</w:t>
            </w:r>
            <w:r>
              <w:rPr>
                <w:rFonts w:hint="default" w:ascii="Times New Roman" w:hAnsi="Times New Roman" w:cs="Times New Roman"/>
                <w:color w:val="auto"/>
                <w:spacing w:val="-6"/>
                <w:sz w:val="24"/>
                <w:szCs w:val="24"/>
                <w:highlight w:val="none"/>
                <w:vertAlign w:val="superscript"/>
              </w:rPr>
              <w:t>2</w:t>
            </w:r>
            <w:r>
              <w:rPr>
                <w:rFonts w:hint="default" w:ascii="Times New Roman" w:hAnsi="Times New Roman" w:cs="Times New Roman"/>
                <w:color w:val="auto"/>
                <w:spacing w:val="-6"/>
                <w:sz w:val="24"/>
                <w:szCs w:val="24"/>
                <w:highlight w:val="none"/>
              </w:rPr>
              <w:t>）</w:t>
            </w:r>
          </w:p>
        </w:tc>
        <w:tc>
          <w:tcPr>
            <w:tcW w:w="3293" w:type="dxa"/>
            <w:noWrap w:val="0"/>
            <w:vAlign w:val="center"/>
          </w:tcPr>
          <w:p w14:paraId="257485D3">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不新增用地</w:t>
            </w:r>
          </w:p>
        </w:tc>
      </w:tr>
      <w:tr w14:paraId="15F78F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14" w:type="dxa"/>
            <w:noWrap w:val="0"/>
            <w:vAlign w:val="center"/>
          </w:tcPr>
          <w:p w14:paraId="1B8CC311">
            <w:pPr>
              <w:autoSpaceDE w:val="0"/>
              <w:autoSpaceDN w:val="0"/>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专项评价设置情况</w:t>
            </w:r>
          </w:p>
        </w:tc>
        <w:tc>
          <w:tcPr>
            <w:tcW w:w="7556" w:type="dxa"/>
            <w:gridSpan w:val="3"/>
            <w:noWrap w:val="0"/>
            <w:vAlign w:val="center"/>
          </w:tcPr>
          <w:p w14:paraId="01F7916A">
            <w:pPr>
              <w:autoSpaceDE w:val="0"/>
              <w:autoSpaceDN w:val="0"/>
              <w:adjustRightInd w:val="0"/>
              <w:snapToGrid w:val="0"/>
              <w:jc w:val="center"/>
              <w:rPr>
                <w:rFonts w:hint="default" w:ascii="Times New Roman" w:hAnsi="Times New Roman" w:eastAsia="宋体" w:cs="Times New Roman"/>
                <w:kern w:val="0"/>
                <w:sz w:val="24"/>
                <w:szCs w:val="24"/>
                <w:highlight w:val="none"/>
                <w:lang w:val="en-US" w:eastAsia="zh-CN"/>
              </w:rPr>
            </w:pPr>
            <w:r>
              <w:rPr>
                <w:rFonts w:hint="eastAsia" w:cs="Times New Roman"/>
                <w:color w:val="auto"/>
                <w:kern w:val="0"/>
                <w:sz w:val="24"/>
                <w:szCs w:val="24"/>
                <w:highlight w:val="none"/>
                <w:lang w:val="en-US" w:eastAsia="zh-CN"/>
              </w:rPr>
              <w:t>无</w:t>
            </w:r>
          </w:p>
        </w:tc>
      </w:tr>
      <w:tr w14:paraId="11D99A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314" w:type="dxa"/>
            <w:noWrap w:val="0"/>
            <w:vAlign w:val="center"/>
          </w:tcPr>
          <w:p w14:paraId="512DD25B">
            <w:pPr>
              <w:autoSpaceDE w:val="0"/>
              <w:autoSpaceDN w:val="0"/>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sz w:val="24"/>
                <w:szCs w:val="24"/>
                <w:highlight w:val="none"/>
              </w:rPr>
              <w:t>规划情况</w:t>
            </w:r>
          </w:p>
        </w:tc>
        <w:tc>
          <w:tcPr>
            <w:tcW w:w="7556" w:type="dxa"/>
            <w:gridSpan w:val="3"/>
            <w:noWrap w:val="0"/>
            <w:vAlign w:val="center"/>
          </w:tcPr>
          <w:p w14:paraId="16AC89EC">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b/>
                <w:bCs/>
                <w:kern w:val="0"/>
                <w:sz w:val="24"/>
                <w:szCs w:val="24"/>
                <w:highlight w:val="none"/>
                <w:lang w:val="en-US" w:eastAsia="zh-CN"/>
              </w:rPr>
              <w:t>规划文件名称：</w:t>
            </w:r>
            <w:r>
              <w:rPr>
                <w:rFonts w:hint="default" w:ascii="Times New Roman" w:hAnsi="Times New Roman" w:eastAsia="宋体" w:cs="Times New Roman"/>
                <w:kern w:val="0"/>
                <w:sz w:val="24"/>
                <w:szCs w:val="24"/>
                <w:highlight w:val="none"/>
                <w:lang w:val="en-US" w:eastAsia="zh-CN"/>
              </w:rPr>
              <w:t>《昌吉回族自治州国土空间总体规划》（2021</w:t>
            </w:r>
            <w:bookmarkStart w:id="8" w:name="_GoBack"/>
            <w:r>
              <w:rPr>
                <w:rFonts w:hint="default" w:ascii="Times New Roman" w:hAnsi="Times New Roman" w:eastAsia="宋体" w:cs="Times New Roman"/>
                <w:kern w:val="0"/>
                <w:sz w:val="24"/>
                <w:szCs w:val="24"/>
                <w:highlight w:val="none"/>
                <w:lang w:val="en-US" w:eastAsia="zh-CN"/>
              </w:rPr>
              <w:t>-</w:t>
            </w:r>
            <w:bookmarkEnd w:id="8"/>
            <w:r>
              <w:rPr>
                <w:rFonts w:hint="default" w:ascii="Times New Roman" w:hAnsi="Times New Roman" w:eastAsia="宋体" w:cs="Times New Roman"/>
                <w:kern w:val="0"/>
                <w:sz w:val="24"/>
                <w:szCs w:val="24"/>
                <w:highlight w:val="none"/>
                <w:lang w:val="en-US" w:eastAsia="zh-CN"/>
              </w:rPr>
              <w:t>2035年）；</w:t>
            </w:r>
          </w:p>
          <w:p w14:paraId="55E6539B">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b/>
                <w:bCs/>
                <w:kern w:val="0"/>
                <w:sz w:val="24"/>
                <w:szCs w:val="24"/>
                <w:highlight w:val="none"/>
                <w:lang w:val="en-US" w:eastAsia="zh-CN"/>
              </w:rPr>
              <w:t>审批机关：</w:t>
            </w:r>
            <w:r>
              <w:rPr>
                <w:rFonts w:hint="default" w:ascii="Times New Roman" w:hAnsi="Times New Roman" w:eastAsia="宋体" w:cs="Times New Roman"/>
                <w:kern w:val="0"/>
                <w:sz w:val="24"/>
                <w:szCs w:val="24"/>
                <w:highlight w:val="none"/>
                <w:lang w:val="en-US" w:eastAsia="zh-CN"/>
              </w:rPr>
              <w:t>新疆维吾尔自治区人民政府</w:t>
            </w:r>
          </w:p>
        </w:tc>
      </w:tr>
      <w:tr w14:paraId="54DF2C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314" w:type="dxa"/>
            <w:noWrap w:val="0"/>
            <w:vAlign w:val="center"/>
          </w:tcPr>
          <w:p w14:paraId="510D9241">
            <w:pPr>
              <w:autoSpaceDE w:val="0"/>
              <w:autoSpaceDN w:val="0"/>
              <w:adjustRightInd w:val="0"/>
              <w:snapToGrid w:val="0"/>
              <w:jc w:val="center"/>
              <w:rPr>
                <w:rFonts w:hint="default" w:ascii="Times New Roman" w:hAnsi="Times New Roman" w:cs="Times New Roman"/>
                <w:sz w:val="24"/>
                <w:szCs w:val="24"/>
                <w:highlight w:val="none"/>
              </w:rPr>
            </w:pPr>
          </w:p>
        </w:tc>
        <w:tc>
          <w:tcPr>
            <w:tcW w:w="7556" w:type="dxa"/>
            <w:gridSpan w:val="3"/>
            <w:noWrap w:val="0"/>
            <w:vAlign w:val="center"/>
          </w:tcPr>
          <w:p w14:paraId="2319596F">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eastAsia="宋体" w:cs="Times New Roman"/>
                <w:b/>
                <w:bCs/>
                <w:kern w:val="0"/>
                <w:sz w:val="24"/>
                <w:szCs w:val="24"/>
                <w:highlight w:val="none"/>
                <w:lang w:val="en-US" w:eastAsia="zh-CN"/>
              </w:rPr>
            </w:pPr>
            <w:r>
              <w:rPr>
                <w:rFonts w:hint="default" w:ascii="Times New Roman" w:hAnsi="Times New Roman" w:cs="Times New Roman"/>
                <w:b/>
                <w:bCs/>
                <w:kern w:val="0"/>
                <w:sz w:val="24"/>
                <w:szCs w:val="24"/>
                <w:highlight w:val="none"/>
              </w:rPr>
              <w:t>审批文件名称及文号：</w:t>
            </w:r>
            <w:r>
              <w:rPr>
                <w:rFonts w:hint="default" w:ascii="Times New Roman" w:hAnsi="Times New Roman" w:cs="Times New Roman"/>
                <w:kern w:val="0"/>
                <w:sz w:val="24"/>
                <w:szCs w:val="24"/>
                <w:highlight w:val="none"/>
              </w:rPr>
              <w:t>《新疆维吾尔自治区人民政府关于《</w:t>
            </w:r>
            <w:r>
              <w:rPr>
                <w:rFonts w:hint="eastAsia" w:cs="Times New Roman"/>
                <w:kern w:val="0"/>
                <w:sz w:val="24"/>
                <w:szCs w:val="24"/>
                <w:highlight w:val="none"/>
                <w:lang w:val="en-US" w:eastAsia="zh-CN"/>
              </w:rPr>
              <w:t>昌吉</w:t>
            </w:r>
            <w:r>
              <w:rPr>
                <w:rFonts w:hint="default" w:ascii="Times New Roman" w:hAnsi="Times New Roman" w:eastAsia="宋体" w:cs="Times New Roman"/>
                <w:kern w:val="0"/>
                <w:sz w:val="24"/>
                <w:szCs w:val="24"/>
                <w:highlight w:val="none"/>
                <w:lang w:val="en-US" w:eastAsia="zh-CN"/>
              </w:rPr>
              <w:t>回族自治州</w:t>
            </w:r>
            <w:r>
              <w:rPr>
                <w:rFonts w:hint="eastAsia" w:cs="Times New Roman"/>
                <w:kern w:val="0"/>
                <w:sz w:val="24"/>
                <w:szCs w:val="24"/>
                <w:highlight w:val="none"/>
                <w:lang w:eastAsia="zh-CN"/>
              </w:rPr>
              <w:t>国土空间</w:t>
            </w:r>
            <w:r>
              <w:rPr>
                <w:rFonts w:hint="default" w:ascii="Times New Roman" w:hAnsi="Times New Roman" w:cs="Times New Roman"/>
                <w:kern w:val="0"/>
                <w:sz w:val="24"/>
                <w:szCs w:val="24"/>
                <w:highlight w:val="none"/>
              </w:rPr>
              <w:t>总体规划(2021一2035年)》的批复》</w:t>
            </w:r>
          </w:p>
        </w:tc>
      </w:tr>
      <w:tr w14:paraId="5FEB06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14" w:type="dxa"/>
            <w:noWrap w:val="0"/>
            <w:vAlign w:val="center"/>
          </w:tcPr>
          <w:p w14:paraId="2EB2143A">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规划环境影响</w:t>
            </w:r>
          </w:p>
          <w:p w14:paraId="200F3B09">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sz w:val="24"/>
                <w:szCs w:val="24"/>
                <w:highlight w:val="none"/>
              </w:rPr>
              <w:t>评价情况</w:t>
            </w:r>
          </w:p>
        </w:tc>
        <w:tc>
          <w:tcPr>
            <w:tcW w:w="7556" w:type="dxa"/>
            <w:gridSpan w:val="3"/>
            <w:noWrap w:val="0"/>
            <w:vAlign w:val="bottom"/>
          </w:tcPr>
          <w:p w14:paraId="0572BE57">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jc w:val="both"/>
              <w:textAlignment w:val="auto"/>
              <w:rPr>
                <w:rFonts w:hint="default" w:ascii="Times New Roman" w:hAnsi="Times New Roman" w:cs="Times New Roman"/>
                <w:kern w:val="0"/>
                <w:sz w:val="24"/>
                <w:szCs w:val="24"/>
                <w:highlight w:val="none"/>
              </w:rPr>
            </w:pPr>
            <w:r>
              <w:rPr>
                <w:rFonts w:hint="default" w:ascii="Times New Roman" w:hAnsi="Times New Roman" w:cs="Times New Roman"/>
                <w:b/>
                <w:bCs/>
                <w:kern w:val="0"/>
                <w:sz w:val="24"/>
                <w:szCs w:val="24"/>
                <w:highlight w:val="none"/>
              </w:rPr>
              <w:t>规划环境影响评价名称：</w:t>
            </w:r>
            <w:r>
              <w:rPr>
                <w:rFonts w:hint="default" w:ascii="Times New Roman" w:hAnsi="Times New Roman" w:cs="Times New Roman"/>
                <w:kern w:val="0"/>
                <w:sz w:val="24"/>
                <w:szCs w:val="24"/>
                <w:highlight w:val="none"/>
              </w:rPr>
              <w:t>《昌吉高新技术产业开发区总体规划（2014-2030）环境影响报告书》</w:t>
            </w:r>
          </w:p>
          <w:p w14:paraId="5B116D50">
            <w:pPr>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cs="Times New Roman"/>
                <w:kern w:val="0"/>
                <w:sz w:val="24"/>
                <w:szCs w:val="24"/>
                <w:highlight w:val="none"/>
              </w:rPr>
            </w:pPr>
            <w:r>
              <w:rPr>
                <w:rFonts w:hint="default" w:ascii="Times New Roman" w:hAnsi="Times New Roman" w:cs="Times New Roman"/>
                <w:b/>
                <w:bCs/>
                <w:kern w:val="0"/>
                <w:sz w:val="24"/>
                <w:szCs w:val="24"/>
                <w:highlight w:val="none"/>
              </w:rPr>
              <w:t>审查机关：</w:t>
            </w:r>
            <w:r>
              <w:rPr>
                <w:rFonts w:hint="default" w:ascii="Times New Roman" w:hAnsi="Times New Roman" w:cs="Times New Roman"/>
                <w:kern w:val="0"/>
                <w:sz w:val="24"/>
                <w:szCs w:val="24"/>
                <w:highlight w:val="none"/>
              </w:rPr>
              <w:t>原新疆维吾尔自治区环境保护厅</w:t>
            </w:r>
          </w:p>
          <w:p w14:paraId="2D1DB2F1">
            <w:pPr>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cs="Times New Roman"/>
                <w:kern w:val="0"/>
                <w:sz w:val="24"/>
                <w:szCs w:val="24"/>
                <w:highlight w:val="none"/>
              </w:rPr>
            </w:pPr>
            <w:r>
              <w:rPr>
                <w:rFonts w:hint="default" w:ascii="Times New Roman" w:hAnsi="Times New Roman" w:cs="Times New Roman"/>
                <w:b/>
                <w:bCs/>
                <w:kern w:val="0"/>
                <w:sz w:val="24"/>
                <w:szCs w:val="24"/>
                <w:highlight w:val="none"/>
              </w:rPr>
              <w:t>审批文件名称及文号：</w:t>
            </w:r>
            <w:r>
              <w:rPr>
                <w:rFonts w:hint="default" w:ascii="Times New Roman" w:hAnsi="Times New Roman" w:cs="Times New Roman"/>
                <w:kern w:val="0"/>
                <w:sz w:val="24"/>
                <w:szCs w:val="24"/>
                <w:highlight w:val="none"/>
              </w:rPr>
              <w:t>《关于昌吉高新技术产业开发区总体规划（2014-2030）环境影响报告书的审查意见》（新环函〔2015〕306号）</w:t>
            </w:r>
          </w:p>
        </w:tc>
      </w:tr>
      <w:tr w14:paraId="497F5E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14" w:type="dxa"/>
            <w:noWrap w:val="0"/>
            <w:vAlign w:val="center"/>
          </w:tcPr>
          <w:p w14:paraId="68CBAC44">
            <w:pPr>
              <w:autoSpaceDE w:val="0"/>
              <w:autoSpaceDN w:val="0"/>
              <w:adjustRightInd w:val="0"/>
              <w:snapToGrid w:val="0"/>
              <w:jc w:val="center"/>
              <w:rPr>
                <w:rFonts w:hint="default" w:ascii="Times New Roman" w:hAnsi="Times New Roman" w:cs="Times New Roman"/>
                <w:kern w:val="0"/>
                <w:szCs w:val="21"/>
                <w:highlight w:val="none"/>
              </w:rPr>
            </w:pPr>
            <w:r>
              <w:rPr>
                <w:rFonts w:hint="default" w:ascii="Times New Roman" w:hAnsi="Times New Roman" w:cs="Times New Roman"/>
                <w:kern w:val="0"/>
                <w:sz w:val="24"/>
                <w:szCs w:val="24"/>
                <w:highlight w:val="none"/>
              </w:rPr>
              <w:t>规划及规划环境影响评价符合性分析</w:t>
            </w:r>
          </w:p>
        </w:tc>
        <w:tc>
          <w:tcPr>
            <w:tcW w:w="7556" w:type="dxa"/>
            <w:gridSpan w:val="3"/>
            <w:noWrap w:val="0"/>
            <w:vAlign w:val="center"/>
          </w:tcPr>
          <w:p w14:paraId="248F4F04">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textAlignment w:val="auto"/>
              <w:rPr>
                <w:rFonts w:hint="default" w:ascii="Times New Roman" w:hAnsi="Times New Roman" w:eastAsia="宋体" w:cs="Times New Roman"/>
                <w:b/>
                <w:bCs/>
                <w:kern w:val="0"/>
                <w:sz w:val="24"/>
                <w:szCs w:val="24"/>
                <w:highlight w:val="none"/>
                <w:lang w:val="en-US" w:eastAsia="zh-CN"/>
              </w:rPr>
            </w:pPr>
            <w:r>
              <w:rPr>
                <w:rFonts w:hint="default" w:ascii="Times New Roman" w:hAnsi="Times New Roman" w:eastAsia="宋体" w:cs="Times New Roman"/>
                <w:b/>
                <w:bCs/>
                <w:kern w:val="0"/>
                <w:sz w:val="24"/>
                <w:szCs w:val="24"/>
                <w:highlight w:val="none"/>
                <w:lang w:val="en-US" w:eastAsia="zh-CN"/>
              </w:rPr>
              <w:t xml:space="preserve">1 </w:t>
            </w:r>
            <w:r>
              <w:rPr>
                <w:rFonts w:hint="eastAsia" w:cs="Times New Roman"/>
                <w:b/>
                <w:bCs/>
                <w:kern w:val="0"/>
                <w:sz w:val="24"/>
                <w:szCs w:val="24"/>
                <w:highlight w:val="none"/>
                <w:lang w:val="en-US" w:eastAsia="zh-CN"/>
              </w:rPr>
              <w:t>项目</w:t>
            </w:r>
            <w:r>
              <w:rPr>
                <w:rFonts w:hint="default" w:ascii="Times New Roman" w:hAnsi="Times New Roman" w:eastAsia="宋体" w:cs="Times New Roman"/>
                <w:b/>
                <w:bCs/>
                <w:kern w:val="0"/>
                <w:sz w:val="24"/>
                <w:szCs w:val="24"/>
                <w:highlight w:val="none"/>
                <w:lang w:val="en-US" w:eastAsia="zh-CN"/>
              </w:rPr>
              <w:t>与《昌吉回族自治州国土空间总体规划》（2021-2035年）符合性</w:t>
            </w:r>
            <w:r>
              <w:rPr>
                <w:rFonts w:hint="eastAsia" w:cs="Times New Roman"/>
                <w:b/>
                <w:bCs/>
                <w:kern w:val="0"/>
                <w:sz w:val="24"/>
                <w:szCs w:val="24"/>
                <w:highlight w:val="none"/>
                <w:lang w:val="en-US" w:eastAsia="zh-CN"/>
              </w:rPr>
              <w:t>分析</w:t>
            </w:r>
          </w:p>
          <w:p w14:paraId="610878C5">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eastAsia="宋体" w:cs="Times New Roman"/>
                <w:b/>
                <w:bCs/>
                <w:kern w:val="0"/>
                <w:sz w:val="24"/>
                <w:szCs w:val="24"/>
                <w:highlight w:val="none"/>
                <w:lang w:val="en-US" w:eastAsia="zh-CN"/>
              </w:rPr>
            </w:pPr>
            <w:r>
              <w:rPr>
                <w:rFonts w:hint="eastAsia" w:cs="Times New Roman"/>
                <w:b/>
                <w:bCs/>
                <w:kern w:val="0"/>
                <w:sz w:val="24"/>
                <w:szCs w:val="24"/>
                <w:highlight w:val="none"/>
                <w:lang w:val="en-US" w:eastAsia="zh-CN"/>
              </w:rPr>
              <w:t>1.1 用地布局规划符合性分析</w:t>
            </w:r>
          </w:p>
          <w:p w14:paraId="0964C77C">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本项目为SBS弹性体改性沥青防水卷材、防水涂料生产项目，其用地布局与《昌吉回族自治州国土空间总体规划（2021—2035 年）》总体相符。项目用地规划选址严格避让生态保护红线、永久基本农田、水源保护区等禁止建设区域，不涉及生态保护核心区与农田集中保护区，符合国土空间用途管制要求。项目选址于规划确定的城镇开发边界内，用地性质为工业用地，与区域工业集中布局、园区化发展的规划导向一致，未占用居住、商业、公共管理与公共服务等非工业用地，周边</w:t>
            </w:r>
            <w:r>
              <w:rPr>
                <w:rFonts w:hint="eastAsia" w:cs="Times New Roman"/>
                <w:kern w:val="0"/>
                <w:sz w:val="24"/>
                <w:szCs w:val="24"/>
                <w:highlight w:val="none"/>
                <w:lang w:val="en-US" w:eastAsia="zh-CN"/>
              </w:rPr>
              <w:t>无</w:t>
            </w:r>
            <w:r>
              <w:rPr>
                <w:rFonts w:hint="default" w:ascii="Times New Roman" w:hAnsi="Times New Roman" w:eastAsia="宋体" w:cs="Times New Roman"/>
                <w:kern w:val="0"/>
                <w:sz w:val="24"/>
                <w:szCs w:val="24"/>
                <w:highlight w:val="none"/>
                <w:lang w:val="en-US" w:eastAsia="zh-CN"/>
              </w:rPr>
              <w:t>居住、教育、医疗等敏感区域，符合城镇空间结构与功能分区管控要求。项目用地规模、建设布局与所在工业园区的产业定位、规划布局相协调，能够有效融入区域新型建材产业发展格局，同时严格遵循节约集约用地原则，优先利用存量或规划工业用地，不突破区域建设用地管控指标与空间管控要求，用地布局与昌吉州“中建绿洲、南护天山、北固沙漠”的总体空间格局相适应，满足国土空间规划对产业项目用地布局的各项约束性与引导性要求符合规划要求。</w:t>
            </w:r>
          </w:p>
          <w:p w14:paraId="3857EB6F">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eastAsia="宋体" w:cs="Times New Roman"/>
                <w:b/>
                <w:bCs/>
                <w:kern w:val="0"/>
                <w:sz w:val="24"/>
                <w:szCs w:val="24"/>
                <w:highlight w:val="none"/>
                <w:lang w:val="en-US" w:eastAsia="zh-CN"/>
              </w:rPr>
            </w:pPr>
            <w:r>
              <w:rPr>
                <w:rFonts w:hint="eastAsia" w:cs="Times New Roman"/>
                <w:b/>
                <w:bCs/>
                <w:kern w:val="0"/>
                <w:sz w:val="24"/>
                <w:szCs w:val="24"/>
                <w:highlight w:val="none"/>
                <w:lang w:val="en-US" w:eastAsia="zh-CN"/>
              </w:rPr>
              <w:t>1.2 产业空间布局规划符合性分析</w:t>
            </w:r>
          </w:p>
          <w:p w14:paraId="50A7F7D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规划明确提出“构建创新驱动产业发展新格局，优化产业空间格局，支撑现代化产业体系”，强调“推动产业向园区集中、集聚、集约发展，提升产业园区承载能力和专业化水平”。同时，规划将新型建材、绿色建筑材料列为重点发展领域，要求“加快新型建材向价值链高端升级，重点发展绿色环保建材、新型墙体材料、无机建材等新型建材”。本项目拟选址于昌吉国家高新技术产业开发区或准东经济技术开发区等规划确定的重点产业园区内，符合规划“引导工业项目向合规工业园区集中布局，形成产业集聚效应”的导向。项目用地性质为工业用地，不涉及生态保护红线、永久基本农田等禁止建设区域，严格遵循规划“严守生态保护红线、永久基本农田、城镇开发边界，优化城乡产业布局”的管控要求。项目不属于限制类、淘汰类产业，契合规划“培育壮大新材料等战略性新兴产业集群，促进产业绿色低碳转型”的发展目标，能够有效融入昌吉州“一核引领、多点支撑、园区集聚”的产业空间格局，助力区域建材产业提质升级，完全符合规划中关于产业空间布局、产业发展导向及园区集约发展的各项要求。</w:t>
            </w:r>
          </w:p>
          <w:p w14:paraId="0FE9F71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本项目建设SBS弹性体改性沥青防水卷材、防水涂料生产线，与《昌吉回族自治州国土空间总体规划（2021—2035 年）》中的产业空间布局规划总体相符。规划明确推动新型建材、绿色建筑材料等相关产业集聚发展，引导工业项目向合规工业园区集中布局，本项目属于新型建筑防水材料范畴，契合区域产业转型升级与绿色建材发展方向。项目选址于规划确定的重点产业园区内，与园区主导产业定位、产业组团布局相协调，符合昌吉州优化产业空间结构、推进产业集聚发展、强化园区集约高效利用的总体要求。项目不属于限制类、淘汰类产业，不与区域生态保护、城镇功能布局相冲突，能够有效融入区域产业链分工与产业空间格局，有利于提升区域建材产业配套能力，符合昌吉州构建特色优势产业体系、促进产业绿色低碳发展的产业空间布局规划要求。</w:t>
            </w:r>
          </w:p>
          <w:p w14:paraId="44E8F25D">
            <w:pPr>
              <w:autoSpaceDE w:val="0"/>
              <w:autoSpaceDN w:val="0"/>
              <w:adjustRightInd w:val="0"/>
              <w:snapToGrid w:val="0"/>
              <w:spacing w:line="360" w:lineRule="auto"/>
              <w:jc w:val="both"/>
              <w:rPr>
                <w:rFonts w:hint="default" w:ascii="Times New Roman" w:hAnsi="Times New Roman" w:cs="Times New Roman"/>
                <w:b/>
                <w:bCs/>
                <w:kern w:val="0"/>
                <w:sz w:val="24"/>
                <w:szCs w:val="24"/>
                <w:highlight w:val="none"/>
                <w:lang w:val="en-US" w:eastAsia="zh-CN"/>
              </w:rPr>
            </w:pPr>
            <w:r>
              <w:rPr>
                <w:rFonts w:hint="default" w:ascii="Times New Roman" w:hAnsi="Times New Roman" w:cs="Times New Roman"/>
                <w:b/>
                <w:bCs/>
                <w:kern w:val="0"/>
                <w:sz w:val="24"/>
                <w:szCs w:val="24"/>
                <w:highlight w:val="none"/>
                <w:lang w:val="en-US" w:eastAsia="zh-CN"/>
              </w:rPr>
              <w:t>2 与《昌吉高新技术产业开发区总体规划（2014-2030）环境影响报告书》及审查意见的符合性分析</w:t>
            </w:r>
          </w:p>
          <w:p w14:paraId="0252390B">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 xml:space="preserve">表1-1 </w:t>
            </w:r>
            <w:r>
              <w:rPr>
                <w:rFonts w:hint="eastAsia"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lang w:val="en-US" w:eastAsia="zh-CN"/>
              </w:rPr>
              <w:t>本项目与《昌吉高新技术产业开发区总体规划（2014-2030）环境影响报告书》及审查意见符合性分析一览表</w:t>
            </w:r>
          </w:p>
          <w:tbl>
            <w:tblPr>
              <w:tblStyle w:val="20"/>
              <w:tblW w:w="5000" w:type="pct"/>
              <w:tblInd w:w="5"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546"/>
              <w:gridCol w:w="2860"/>
              <w:gridCol w:w="2373"/>
              <w:gridCol w:w="891"/>
            </w:tblGrid>
            <w:tr w14:paraId="627C408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997" w:type="pct"/>
                  <w:tcBorders>
                    <w:bottom w:val="single" w:color="auto" w:sz="8" w:space="0"/>
                  </w:tcBorders>
                  <w:noWrap w:val="0"/>
                  <w:vAlign w:val="center"/>
                </w:tcPr>
                <w:p w14:paraId="7D83D4B7">
                  <w:pPr>
                    <w:autoSpaceDE w:val="0"/>
                    <w:autoSpaceDN w:val="0"/>
                    <w:adjustRightInd w:val="0"/>
                    <w:snapToGrid w:val="0"/>
                    <w:jc w:val="center"/>
                    <w:rPr>
                      <w:rFonts w:hint="default" w:ascii="Times New Roman" w:hAnsi="Times New Roman" w:cs="Times New Roman"/>
                      <w:b/>
                      <w:bCs/>
                      <w:kern w:val="0"/>
                      <w:sz w:val="21"/>
                      <w:szCs w:val="21"/>
                      <w:highlight w:val="none"/>
                      <w:vertAlign w:val="baseline"/>
                      <w:lang w:val="en-US" w:eastAsia="zh-CN"/>
                    </w:rPr>
                  </w:pPr>
                  <w:r>
                    <w:rPr>
                      <w:rFonts w:hint="default" w:ascii="Times New Roman" w:hAnsi="Times New Roman" w:cs="Times New Roman"/>
                      <w:b/>
                      <w:bCs/>
                      <w:kern w:val="0"/>
                      <w:sz w:val="21"/>
                      <w:szCs w:val="21"/>
                      <w:highlight w:val="none"/>
                      <w:vertAlign w:val="baseline"/>
                      <w:lang w:val="en-US" w:eastAsia="zh-CN"/>
                    </w:rPr>
                    <w:t>名称</w:t>
                  </w:r>
                </w:p>
              </w:tc>
              <w:tc>
                <w:tcPr>
                  <w:tcW w:w="1868" w:type="pct"/>
                  <w:tcBorders>
                    <w:bottom w:val="single" w:color="auto" w:sz="8" w:space="0"/>
                  </w:tcBorders>
                  <w:noWrap w:val="0"/>
                  <w:vAlign w:val="center"/>
                </w:tcPr>
                <w:p w14:paraId="4B65B5ED">
                  <w:pPr>
                    <w:autoSpaceDE w:val="0"/>
                    <w:autoSpaceDN w:val="0"/>
                    <w:adjustRightInd w:val="0"/>
                    <w:snapToGrid w:val="0"/>
                    <w:jc w:val="center"/>
                    <w:rPr>
                      <w:rFonts w:hint="default" w:ascii="Times New Roman" w:hAnsi="Times New Roman" w:cs="Times New Roman"/>
                      <w:b/>
                      <w:bCs/>
                      <w:kern w:val="0"/>
                      <w:sz w:val="21"/>
                      <w:szCs w:val="21"/>
                      <w:highlight w:val="none"/>
                      <w:vertAlign w:val="baseline"/>
                      <w:lang w:val="en-US" w:eastAsia="zh-CN"/>
                    </w:rPr>
                  </w:pPr>
                  <w:r>
                    <w:rPr>
                      <w:rFonts w:hint="default" w:ascii="Times New Roman" w:hAnsi="Times New Roman" w:cs="Times New Roman"/>
                      <w:b/>
                      <w:bCs/>
                      <w:kern w:val="0"/>
                      <w:sz w:val="21"/>
                      <w:szCs w:val="21"/>
                      <w:highlight w:val="none"/>
                      <w:vertAlign w:val="baseline"/>
                      <w:lang w:val="en-US" w:eastAsia="zh-CN"/>
                    </w:rPr>
                    <w:t>内容</w:t>
                  </w:r>
                </w:p>
              </w:tc>
              <w:tc>
                <w:tcPr>
                  <w:tcW w:w="1550" w:type="pct"/>
                  <w:tcBorders>
                    <w:bottom w:val="single" w:color="auto" w:sz="8" w:space="0"/>
                  </w:tcBorders>
                  <w:noWrap w:val="0"/>
                  <w:vAlign w:val="center"/>
                </w:tcPr>
                <w:p w14:paraId="3A97CC6C">
                  <w:pPr>
                    <w:autoSpaceDE w:val="0"/>
                    <w:autoSpaceDN w:val="0"/>
                    <w:adjustRightInd w:val="0"/>
                    <w:snapToGrid w:val="0"/>
                    <w:jc w:val="center"/>
                    <w:rPr>
                      <w:rFonts w:hint="default" w:ascii="Times New Roman" w:hAnsi="Times New Roman" w:cs="Times New Roman"/>
                      <w:b/>
                      <w:bCs/>
                      <w:kern w:val="0"/>
                      <w:sz w:val="21"/>
                      <w:szCs w:val="21"/>
                      <w:highlight w:val="none"/>
                      <w:vertAlign w:val="baseline"/>
                      <w:lang w:val="en-US" w:eastAsia="zh-CN"/>
                    </w:rPr>
                  </w:pPr>
                  <w:r>
                    <w:rPr>
                      <w:rFonts w:hint="default" w:ascii="Times New Roman" w:hAnsi="Times New Roman" w:cs="Times New Roman"/>
                      <w:b/>
                      <w:bCs/>
                      <w:kern w:val="0"/>
                      <w:sz w:val="21"/>
                      <w:szCs w:val="21"/>
                      <w:highlight w:val="none"/>
                      <w:vertAlign w:val="baseline"/>
                      <w:lang w:val="en-US" w:eastAsia="zh-CN"/>
                    </w:rPr>
                    <w:t>符合性分析</w:t>
                  </w:r>
                </w:p>
              </w:tc>
              <w:tc>
                <w:tcPr>
                  <w:tcW w:w="584" w:type="pct"/>
                  <w:tcBorders>
                    <w:bottom w:val="single" w:color="auto" w:sz="8" w:space="0"/>
                  </w:tcBorders>
                  <w:noWrap w:val="0"/>
                  <w:vAlign w:val="center"/>
                </w:tcPr>
                <w:p w14:paraId="345D3CB3">
                  <w:pPr>
                    <w:autoSpaceDE w:val="0"/>
                    <w:autoSpaceDN w:val="0"/>
                    <w:adjustRightInd w:val="0"/>
                    <w:snapToGrid w:val="0"/>
                    <w:jc w:val="center"/>
                    <w:rPr>
                      <w:rFonts w:hint="default" w:ascii="Times New Roman" w:hAnsi="Times New Roman" w:cs="Times New Roman"/>
                      <w:b/>
                      <w:bCs/>
                      <w:kern w:val="0"/>
                      <w:sz w:val="21"/>
                      <w:szCs w:val="21"/>
                      <w:highlight w:val="none"/>
                      <w:vertAlign w:val="baseline"/>
                      <w:lang w:val="en-US" w:eastAsia="zh-CN"/>
                    </w:rPr>
                  </w:pPr>
                  <w:r>
                    <w:rPr>
                      <w:rFonts w:hint="default" w:ascii="Times New Roman" w:hAnsi="Times New Roman" w:cs="Times New Roman"/>
                      <w:b/>
                      <w:bCs/>
                      <w:kern w:val="0"/>
                      <w:sz w:val="21"/>
                      <w:szCs w:val="21"/>
                      <w:highlight w:val="none"/>
                      <w:vertAlign w:val="baseline"/>
                      <w:lang w:val="en-US" w:eastAsia="zh-CN"/>
                    </w:rPr>
                    <w:t>符合性</w:t>
                  </w:r>
                </w:p>
              </w:tc>
            </w:tr>
            <w:tr w14:paraId="746DCC6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997" w:type="pct"/>
                  <w:tcBorders>
                    <w:top w:val="single" w:color="auto" w:sz="8" w:space="0"/>
                    <w:tl2br w:val="nil"/>
                    <w:tr2bl w:val="nil"/>
                  </w:tcBorders>
                  <w:noWrap w:val="0"/>
                  <w:vAlign w:val="center"/>
                </w:tcPr>
                <w:p w14:paraId="3D36DD60">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《昌吉高新技术产业开发区总体规划（2014-2030）环境影响报告书》</w:t>
                  </w:r>
                </w:p>
              </w:tc>
              <w:tc>
                <w:tcPr>
                  <w:tcW w:w="1868" w:type="pct"/>
                  <w:tcBorders>
                    <w:top w:val="single" w:color="auto" w:sz="8" w:space="0"/>
                    <w:tl2br w:val="nil"/>
                    <w:tr2bl w:val="nil"/>
                  </w:tcBorders>
                  <w:noWrap w:val="0"/>
                  <w:vAlign w:val="center"/>
                </w:tcPr>
                <w:p w14:paraId="341AAEE8">
                  <w:pPr>
                    <w:keepNext w:val="0"/>
                    <w:keepLines w:val="0"/>
                    <w:widowControl/>
                    <w:suppressLineNumbers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根据《昌吉高新技术产业开发区总体规划（2014-2030）环境影响报告书》要求，禁止不符合国家经济政策、环保政策、技术政策及工业园区的产业定位的；废水含难降解的有机物、</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三致</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污染物、重金属等物质含量高的项目；废水经预处理达不到园区污水处理厂接纳标准的项目；污染严重的</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十五小</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及</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新五小</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企业项目；污染难以治理或环保设施不稳定达标的项目入园。</w:t>
                  </w:r>
                </w:p>
              </w:tc>
              <w:tc>
                <w:tcPr>
                  <w:tcW w:w="1550" w:type="pct"/>
                  <w:tcBorders>
                    <w:top w:val="single" w:color="auto" w:sz="8" w:space="0"/>
                    <w:tl2br w:val="nil"/>
                    <w:tr2bl w:val="nil"/>
                  </w:tcBorders>
                  <w:noWrap w:val="0"/>
                  <w:vAlign w:val="center"/>
                </w:tcPr>
                <w:p w14:paraId="40804689">
                  <w:pPr>
                    <w:autoSpaceDE w:val="0"/>
                    <w:autoSpaceDN w:val="0"/>
                    <w:adjustRightInd w:val="0"/>
                    <w:snapToGrid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本项目生产改性沥青防水卷材</w:t>
                  </w:r>
                  <w:r>
                    <w:rPr>
                      <w:rFonts w:hint="default" w:ascii="Times New Roman" w:hAnsi="Times New Roman" w:cs="Times New Roman"/>
                      <w:b w:val="0"/>
                      <w:bCs w:val="0"/>
                      <w:color w:val="auto"/>
                      <w:kern w:val="0"/>
                      <w:sz w:val="21"/>
                      <w:szCs w:val="21"/>
                      <w:highlight w:val="none"/>
                      <w:vertAlign w:val="baseline"/>
                      <w:lang w:val="en-US" w:eastAsia="zh-CN"/>
                    </w:rPr>
                    <w:t>和非固化沥青涂料，位于新疆昌吉州昌吉市高新技术产业开发区东四路与科荟路交叉口东南方向98米</w:t>
                  </w:r>
                  <w:r>
                    <w:rPr>
                      <w:rFonts w:hint="default" w:ascii="Times New Roman" w:hAnsi="Times New Roman" w:cs="Times New Roman"/>
                      <w:b w:val="0"/>
                      <w:bCs w:val="0"/>
                      <w:kern w:val="0"/>
                      <w:sz w:val="21"/>
                      <w:szCs w:val="21"/>
                      <w:highlight w:val="none"/>
                      <w:vertAlign w:val="baseline"/>
                      <w:lang w:val="en-US" w:eastAsia="zh-CN"/>
                    </w:rPr>
                    <w:t>，符合国家经济政策、环保技术政策及工业园区的产业定位；本项目无生产废水排放，生活污水</w:t>
                  </w:r>
                  <w:r>
                    <w:rPr>
                      <w:rFonts w:hint="eastAsia" w:cs="Times New Roman"/>
                      <w:b w:val="0"/>
                      <w:bCs w:val="0"/>
                      <w:kern w:val="0"/>
                      <w:sz w:val="21"/>
                      <w:szCs w:val="21"/>
                      <w:highlight w:val="none"/>
                      <w:vertAlign w:val="baseline"/>
                      <w:lang w:val="en-US" w:eastAsia="zh-CN"/>
                    </w:rPr>
                    <w:t>直</w:t>
                  </w:r>
                  <w:r>
                    <w:rPr>
                      <w:rFonts w:hint="default" w:ascii="Times New Roman" w:hAnsi="Times New Roman" w:cs="Times New Roman"/>
                      <w:b w:val="0"/>
                      <w:bCs w:val="0"/>
                      <w:kern w:val="0"/>
                      <w:sz w:val="21"/>
                      <w:szCs w:val="21"/>
                      <w:highlight w:val="none"/>
                      <w:vertAlign w:val="baseline"/>
                      <w:lang w:val="en-US" w:eastAsia="zh-CN"/>
                    </w:rPr>
                    <w:t>排园区污水管网；本项目产生的生活垃圾设置垃圾桶集中收集后交由环卫部门处理，生产线产生的一般固废和危险固废分类储存，</w:t>
                  </w:r>
                  <w:r>
                    <w:rPr>
                      <w:rFonts w:hint="eastAsia" w:cs="Times New Roman"/>
                      <w:b w:val="0"/>
                      <w:bCs w:val="0"/>
                      <w:kern w:val="0"/>
                      <w:sz w:val="21"/>
                      <w:szCs w:val="21"/>
                      <w:highlight w:val="none"/>
                      <w:vertAlign w:val="baseline"/>
                      <w:lang w:val="en-US" w:eastAsia="zh-CN"/>
                    </w:rPr>
                    <w:t>废包装</w:t>
                  </w:r>
                  <w:r>
                    <w:rPr>
                      <w:rFonts w:hint="default" w:ascii="Times New Roman" w:hAnsi="Times New Roman" w:cs="Times New Roman"/>
                      <w:b w:val="0"/>
                      <w:bCs w:val="0"/>
                      <w:kern w:val="0"/>
                      <w:sz w:val="21"/>
                      <w:szCs w:val="21"/>
                      <w:highlight w:val="none"/>
                      <w:vertAlign w:val="baseline"/>
                      <w:lang w:val="en-US" w:eastAsia="zh-CN"/>
                    </w:rPr>
                    <w:t>外售给物资回收部门，危险固废交由有资质的单位处理。</w:t>
                  </w:r>
                </w:p>
              </w:tc>
              <w:tc>
                <w:tcPr>
                  <w:tcW w:w="584" w:type="pct"/>
                  <w:tcBorders>
                    <w:top w:val="single" w:color="auto" w:sz="8" w:space="0"/>
                    <w:tl2br w:val="nil"/>
                    <w:tr2bl w:val="nil"/>
                  </w:tcBorders>
                  <w:noWrap w:val="0"/>
                  <w:vAlign w:val="center"/>
                </w:tcPr>
                <w:p w14:paraId="6D3A5047">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符合</w:t>
                  </w:r>
                </w:p>
              </w:tc>
            </w:tr>
            <w:tr w14:paraId="4A32E85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997" w:type="pct"/>
                  <w:vMerge w:val="restart"/>
                  <w:tcBorders>
                    <w:tl2br w:val="nil"/>
                    <w:tr2bl w:val="nil"/>
                  </w:tcBorders>
                  <w:noWrap w:val="0"/>
                  <w:vAlign w:val="center"/>
                </w:tcPr>
                <w:p w14:paraId="052F15B2">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《昌吉高新技术产业开发区总体规划（2014-2030）环境影响报告书》审查意见</w:t>
                  </w:r>
                </w:p>
              </w:tc>
              <w:tc>
                <w:tcPr>
                  <w:tcW w:w="1868" w:type="pct"/>
                  <w:tcBorders>
                    <w:tl2br w:val="nil"/>
                    <w:tr2bl w:val="nil"/>
                  </w:tcBorders>
                  <w:noWrap w:val="0"/>
                  <w:vAlign w:val="center"/>
                </w:tcPr>
                <w:p w14:paraId="634FBCAB">
                  <w:pPr>
                    <w:keepNext w:val="0"/>
                    <w:keepLines w:val="0"/>
                    <w:widowControl/>
                    <w:suppressLineNumbers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坚持实行入园企业环保准入审核制度，与产业定位方向不符的项目一律不得入园，对于入园的建设项目必须开展建设项目环境影响评价，并严格执行建设项目</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三同时</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环境管理制度。</w:t>
                  </w:r>
                </w:p>
              </w:tc>
              <w:tc>
                <w:tcPr>
                  <w:tcW w:w="1550" w:type="pct"/>
                  <w:tcBorders>
                    <w:tl2br w:val="nil"/>
                    <w:tr2bl w:val="nil"/>
                  </w:tcBorders>
                  <w:noWrap w:val="0"/>
                  <w:vAlign w:val="center"/>
                </w:tcPr>
                <w:p w14:paraId="4CCC2F16">
                  <w:pPr>
                    <w:autoSpaceDE w:val="0"/>
                    <w:autoSpaceDN w:val="0"/>
                    <w:adjustRightInd w:val="0"/>
                    <w:snapToGrid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项目</w:t>
                  </w:r>
                  <w:r>
                    <w:rPr>
                      <w:rFonts w:hint="eastAsia" w:cs="Times New Roman"/>
                      <w:b w:val="0"/>
                      <w:bCs w:val="0"/>
                      <w:kern w:val="0"/>
                      <w:sz w:val="21"/>
                      <w:szCs w:val="21"/>
                      <w:highlight w:val="none"/>
                      <w:vertAlign w:val="baseline"/>
                      <w:lang w:val="en-US" w:eastAsia="zh-CN"/>
                    </w:rPr>
                    <w:t>一期已进行环保手续，并取得相关环保部门的文件，目前正在办理二期所需的</w:t>
                  </w:r>
                  <w:r>
                    <w:rPr>
                      <w:rFonts w:hint="default" w:ascii="Times New Roman" w:hAnsi="Times New Roman" w:cs="Times New Roman"/>
                      <w:b w:val="0"/>
                      <w:bCs w:val="0"/>
                      <w:kern w:val="0"/>
                      <w:sz w:val="21"/>
                      <w:szCs w:val="21"/>
                      <w:highlight w:val="none"/>
                      <w:vertAlign w:val="baseline"/>
                      <w:lang w:val="en-US" w:eastAsia="zh-CN"/>
                    </w:rPr>
                    <w:t>环保手续</w:t>
                  </w:r>
                  <w:r>
                    <w:rPr>
                      <w:rFonts w:hint="eastAsia" w:cs="Times New Roman"/>
                      <w:b w:val="0"/>
                      <w:bCs w:val="0"/>
                      <w:kern w:val="0"/>
                      <w:sz w:val="21"/>
                      <w:szCs w:val="21"/>
                      <w:highlight w:val="none"/>
                      <w:vertAlign w:val="baseline"/>
                      <w:lang w:val="en-US" w:eastAsia="zh-CN"/>
                    </w:rPr>
                    <w:t>。</w:t>
                  </w:r>
                  <w:r>
                    <w:rPr>
                      <w:rFonts w:hint="default" w:ascii="Times New Roman" w:hAnsi="Times New Roman" w:eastAsia="宋体" w:cs="Times New Roman"/>
                      <w:color w:val="000000"/>
                      <w:kern w:val="0"/>
                      <w:sz w:val="21"/>
                      <w:szCs w:val="21"/>
                      <w:highlight w:val="none"/>
                      <w:lang w:val="en-US" w:eastAsia="zh-CN" w:bidi="ar"/>
                    </w:rPr>
                    <w:t>坚持实行</w:t>
                  </w:r>
                  <w:r>
                    <w:rPr>
                      <w:rFonts w:hint="eastAsia" w:cs="Times New Roman"/>
                      <w:color w:val="000000"/>
                      <w:kern w:val="0"/>
                      <w:sz w:val="21"/>
                      <w:szCs w:val="21"/>
                      <w:highlight w:val="none"/>
                      <w:lang w:val="en-US" w:eastAsia="zh-CN" w:bidi="ar"/>
                    </w:rPr>
                    <w:t>了</w:t>
                  </w:r>
                  <w:r>
                    <w:rPr>
                      <w:rFonts w:hint="default" w:ascii="Times New Roman" w:hAnsi="Times New Roman" w:eastAsia="宋体" w:cs="Times New Roman"/>
                      <w:color w:val="000000"/>
                      <w:kern w:val="0"/>
                      <w:sz w:val="21"/>
                      <w:szCs w:val="21"/>
                      <w:highlight w:val="none"/>
                      <w:lang w:val="en-US" w:eastAsia="zh-CN" w:bidi="ar"/>
                    </w:rPr>
                    <w:t>入园企业环保准入审核制度</w:t>
                  </w:r>
                  <w:r>
                    <w:rPr>
                      <w:rFonts w:hint="eastAsia" w:cs="Times New Roman"/>
                      <w:color w:val="000000"/>
                      <w:kern w:val="0"/>
                      <w:sz w:val="21"/>
                      <w:szCs w:val="21"/>
                      <w:highlight w:val="none"/>
                      <w:lang w:val="en-US" w:eastAsia="zh-CN" w:bidi="ar"/>
                    </w:rPr>
                    <w:t>。</w:t>
                  </w:r>
                </w:p>
              </w:tc>
              <w:tc>
                <w:tcPr>
                  <w:tcW w:w="584" w:type="pct"/>
                  <w:tcBorders>
                    <w:tl2br w:val="nil"/>
                    <w:tr2bl w:val="nil"/>
                  </w:tcBorders>
                  <w:noWrap w:val="0"/>
                  <w:vAlign w:val="center"/>
                </w:tcPr>
                <w:p w14:paraId="1B00DE33">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符合</w:t>
                  </w:r>
                </w:p>
              </w:tc>
            </w:tr>
            <w:tr w14:paraId="2E21858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997" w:type="pct"/>
                  <w:vMerge w:val="continue"/>
                  <w:tcBorders>
                    <w:tl2br w:val="nil"/>
                    <w:tr2bl w:val="nil"/>
                  </w:tcBorders>
                  <w:noWrap w:val="0"/>
                  <w:vAlign w:val="center"/>
                </w:tcPr>
                <w:p w14:paraId="1518CC95">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p>
              </w:tc>
              <w:tc>
                <w:tcPr>
                  <w:tcW w:w="1868" w:type="pct"/>
                  <w:tcBorders>
                    <w:tl2br w:val="nil"/>
                    <w:tr2bl w:val="nil"/>
                  </w:tcBorders>
                  <w:noWrap w:val="0"/>
                  <w:vAlign w:val="center"/>
                </w:tcPr>
                <w:p w14:paraId="75AC062F">
                  <w:pPr>
                    <w:keepNext w:val="0"/>
                    <w:keepLines w:val="0"/>
                    <w:widowControl/>
                    <w:suppressLineNumbers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园区范围内企业，应办理合法的环保手续，不符合园区规划布局、产业定位的企业应予以搬迁。园区项目须严格荐实污染物总量控制要求，提出污染物减排具体方案和保障措施。</w:t>
                  </w:r>
                </w:p>
              </w:tc>
              <w:tc>
                <w:tcPr>
                  <w:tcW w:w="1550" w:type="pct"/>
                  <w:tcBorders>
                    <w:tl2br w:val="nil"/>
                    <w:tr2bl w:val="nil"/>
                  </w:tcBorders>
                  <w:noWrap w:val="0"/>
                  <w:vAlign w:val="center"/>
                </w:tcPr>
                <w:p w14:paraId="581DDDDB">
                  <w:pPr>
                    <w:keepNext w:val="0"/>
                    <w:keepLines w:val="0"/>
                    <w:widowControl/>
                    <w:suppressLineNumbers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项目符合园区规划布局、产业定位、本项目的总量控制为颗粒物、VOCs</w:t>
                  </w:r>
                  <w:r>
                    <w:rPr>
                      <w:rFonts w:hint="eastAsia" w:ascii="Times New Roman" w:hAnsi="Times New Roman" w:eastAsia="宋体" w:cs="Times New Roman"/>
                      <w:color w:val="000000"/>
                      <w:kern w:val="0"/>
                      <w:sz w:val="21"/>
                      <w:szCs w:val="21"/>
                      <w:highlight w:val="none"/>
                      <w:lang w:val="en-US" w:eastAsia="zh-CN" w:bidi="ar"/>
                    </w:rPr>
                    <w:t>、SO</w:t>
                  </w:r>
                  <w:r>
                    <w:rPr>
                      <w:rFonts w:hint="eastAsia" w:ascii="Times New Roman" w:hAnsi="Times New Roman" w:eastAsia="宋体" w:cs="Times New Roman"/>
                      <w:color w:val="000000"/>
                      <w:kern w:val="0"/>
                      <w:sz w:val="21"/>
                      <w:szCs w:val="21"/>
                      <w:highlight w:val="none"/>
                      <w:vertAlign w:val="subscript"/>
                      <w:lang w:val="en-US" w:eastAsia="zh-CN" w:bidi="ar"/>
                    </w:rPr>
                    <w:t>2</w:t>
                  </w:r>
                  <w:r>
                    <w:rPr>
                      <w:rFonts w:hint="eastAsia" w:ascii="Times New Roman" w:hAnsi="Times New Roman" w:eastAsia="宋体" w:cs="Times New Roman"/>
                      <w:color w:val="000000"/>
                      <w:kern w:val="0"/>
                      <w:sz w:val="21"/>
                      <w:szCs w:val="21"/>
                      <w:highlight w:val="none"/>
                      <w:lang w:val="en-US" w:eastAsia="zh-CN" w:bidi="ar"/>
                    </w:rPr>
                    <w:t>、NO</w:t>
                  </w:r>
                  <w:r>
                    <w:rPr>
                      <w:rFonts w:hint="eastAsia" w:ascii="Times New Roman" w:hAnsi="Times New Roman" w:eastAsia="宋体" w:cs="Times New Roman"/>
                      <w:color w:val="000000"/>
                      <w:kern w:val="0"/>
                      <w:sz w:val="21"/>
                      <w:szCs w:val="21"/>
                      <w:highlight w:val="none"/>
                      <w:vertAlign w:val="subscript"/>
                      <w:lang w:val="en-US" w:eastAsia="zh-CN" w:bidi="ar"/>
                    </w:rPr>
                    <w:t>x</w:t>
                  </w:r>
                  <w:r>
                    <w:rPr>
                      <w:rFonts w:hint="default" w:ascii="Times New Roman" w:hAnsi="Times New Roman" w:eastAsia="宋体" w:cs="Times New Roman"/>
                      <w:color w:val="000000"/>
                      <w:kern w:val="0"/>
                      <w:sz w:val="21"/>
                      <w:szCs w:val="21"/>
                      <w:highlight w:val="none"/>
                      <w:lang w:val="en-US" w:eastAsia="zh-CN" w:bidi="ar"/>
                    </w:rPr>
                    <w:t>。</w:t>
                  </w:r>
                </w:p>
              </w:tc>
              <w:tc>
                <w:tcPr>
                  <w:tcW w:w="584" w:type="pct"/>
                  <w:tcBorders>
                    <w:tl2br w:val="nil"/>
                    <w:tr2bl w:val="nil"/>
                  </w:tcBorders>
                  <w:noWrap w:val="0"/>
                  <w:vAlign w:val="center"/>
                </w:tcPr>
                <w:p w14:paraId="35A47554">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符合</w:t>
                  </w:r>
                </w:p>
              </w:tc>
            </w:tr>
            <w:tr w14:paraId="6AE16A6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997" w:type="pct"/>
                  <w:vMerge w:val="continue"/>
                  <w:tcBorders>
                    <w:tl2br w:val="nil"/>
                    <w:tr2bl w:val="nil"/>
                  </w:tcBorders>
                  <w:noWrap w:val="0"/>
                  <w:vAlign w:val="center"/>
                </w:tcPr>
                <w:p w14:paraId="5C8F9416">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p>
              </w:tc>
              <w:tc>
                <w:tcPr>
                  <w:tcW w:w="1868" w:type="pct"/>
                  <w:tcBorders>
                    <w:tl2br w:val="nil"/>
                    <w:tr2bl w:val="nil"/>
                  </w:tcBorders>
                  <w:noWrap w:val="0"/>
                  <w:vAlign w:val="center"/>
                </w:tcPr>
                <w:p w14:paraId="75830260">
                  <w:pPr>
                    <w:autoSpaceDE w:val="0"/>
                    <w:autoSpaceDN w:val="0"/>
                    <w:adjustRightInd w:val="0"/>
                    <w:snapToGrid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加快基础设施建设，优先建设集中供热设施；企业生活、生产废水须经处理达到相应标准后，方可排入园区污水处理厂；严格按照国家有关规定进行危险废物贮存、处理和处置，产生的固废优先综合利用，不能利用的按规范安全处置。</w:t>
                  </w:r>
                </w:p>
              </w:tc>
              <w:tc>
                <w:tcPr>
                  <w:tcW w:w="1550" w:type="pct"/>
                  <w:tcBorders>
                    <w:tl2br w:val="nil"/>
                    <w:tr2bl w:val="nil"/>
                  </w:tcBorders>
                  <w:noWrap w:val="0"/>
                  <w:vAlign w:val="center"/>
                </w:tcPr>
                <w:p w14:paraId="703281D9">
                  <w:pPr>
                    <w:autoSpaceDE w:val="0"/>
                    <w:autoSpaceDN w:val="0"/>
                    <w:adjustRightInd w:val="0"/>
                    <w:snapToGrid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本项目无生产废水排放，生活污水</w:t>
                  </w:r>
                  <w:r>
                    <w:rPr>
                      <w:rFonts w:hint="eastAsia" w:cs="Times New Roman"/>
                      <w:b w:val="0"/>
                      <w:bCs w:val="0"/>
                      <w:kern w:val="0"/>
                      <w:sz w:val="21"/>
                      <w:szCs w:val="21"/>
                      <w:highlight w:val="none"/>
                      <w:vertAlign w:val="baseline"/>
                      <w:lang w:val="en-US" w:eastAsia="zh-CN"/>
                    </w:rPr>
                    <w:t>直</w:t>
                  </w:r>
                  <w:r>
                    <w:rPr>
                      <w:rFonts w:hint="default" w:ascii="Times New Roman" w:hAnsi="Times New Roman" w:cs="Times New Roman"/>
                      <w:b w:val="0"/>
                      <w:bCs w:val="0"/>
                      <w:kern w:val="0"/>
                      <w:sz w:val="21"/>
                      <w:szCs w:val="21"/>
                      <w:highlight w:val="none"/>
                      <w:vertAlign w:val="baseline"/>
                      <w:lang w:val="en-US" w:eastAsia="zh-CN"/>
                    </w:rPr>
                    <w:t>排入园区污水管网；本项目产生的生活垃圾设置垃圾桶集中收集后交由环卫部门处理，生产线产生的</w:t>
                  </w:r>
                  <w:r>
                    <w:rPr>
                      <w:rFonts w:hint="eastAsia" w:ascii="Times New Roman" w:hAnsi="Times New Roman" w:cs="Times New Roman"/>
                      <w:b w:val="0"/>
                      <w:bCs w:val="0"/>
                      <w:kern w:val="0"/>
                      <w:sz w:val="21"/>
                      <w:szCs w:val="21"/>
                      <w:highlight w:val="none"/>
                      <w:vertAlign w:val="baseline"/>
                      <w:lang w:val="en-US" w:eastAsia="zh-CN"/>
                    </w:rPr>
                    <w:t>一般固废收集后综合利用，危废暂存于危废间，定期委托</w:t>
                  </w:r>
                  <w:r>
                    <w:rPr>
                      <w:rFonts w:hint="default" w:ascii="Times New Roman" w:hAnsi="Times New Roman" w:cs="Times New Roman"/>
                      <w:b w:val="0"/>
                      <w:bCs w:val="0"/>
                      <w:kern w:val="0"/>
                      <w:sz w:val="21"/>
                      <w:szCs w:val="21"/>
                      <w:highlight w:val="none"/>
                      <w:vertAlign w:val="baseline"/>
                      <w:lang w:val="en-US" w:eastAsia="zh-CN"/>
                    </w:rPr>
                    <w:t>有资质的单位处理。</w:t>
                  </w:r>
                </w:p>
              </w:tc>
              <w:tc>
                <w:tcPr>
                  <w:tcW w:w="584" w:type="pct"/>
                  <w:tcBorders>
                    <w:tl2br w:val="nil"/>
                    <w:tr2bl w:val="nil"/>
                  </w:tcBorders>
                  <w:noWrap w:val="0"/>
                  <w:vAlign w:val="center"/>
                </w:tcPr>
                <w:p w14:paraId="1AD07869">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符合</w:t>
                  </w:r>
                </w:p>
              </w:tc>
            </w:tr>
            <w:tr w14:paraId="18998FA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997" w:type="pct"/>
                  <w:vMerge w:val="continue"/>
                  <w:tcBorders>
                    <w:tl2br w:val="nil"/>
                    <w:tr2bl w:val="nil"/>
                  </w:tcBorders>
                  <w:noWrap w:val="0"/>
                  <w:vAlign w:val="center"/>
                </w:tcPr>
                <w:p w14:paraId="218A8371">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p>
              </w:tc>
              <w:tc>
                <w:tcPr>
                  <w:tcW w:w="1868" w:type="pct"/>
                  <w:tcBorders>
                    <w:tl2br w:val="nil"/>
                    <w:tr2bl w:val="nil"/>
                  </w:tcBorders>
                  <w:noWrap w:val="0"/>
                  <w:vAlign w:val="center"/>
                </w:tcPr>
                <w:p w14:paraId="2E2A330F">
                  <w:pPr>
                    <w:keepNext w:val="0"/>
                    <w:keepLines w:val="0"/>
                    <w:widowControl/>
                    <w:suppressLineNumbers w:val="0"/>
                    <w:jc w:val="both"/>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严格设置园区企业的环境准入标准，积极开展清洁生产审核，入园企业的清洁生产水平必须达到国内先进水平，与园区产业类型不相符合达不到环境准入条件的建设项目禁入园区。</w:t>
                  </w:r>
                </w:p>
              </w:tc>
              <w:tc>
                <w:tcPr>
                  <w:tcW w:w="1550" w:type="pct"/>
                  <w:tcBorders>
                    <w:tl2br w:val="nil"/>
                    <w:tr2bl w:val="nil"/>
                  </w:tcBorders>
                  <w:noWrap w:val="0"/>
                  <w:vAlign w:val="center"/>
                </w:tcPr>
                <w:p w14:paraId="21E6538E">
                  <w:pPr>
                    <w:autoSpaceDE w:val="0"/>
                    <w:autoSpaceDN w:val="0"/>
                    <w:adjustRightInd w:val="0"/>
                    <w:snapToGrid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本项目</w:t>
                  </w:r>
                  <w:r>
                    <w:rPr>
                      <w:rFonts w:hint="eastAsia" w:cs="Times New Roman"/>
                      <w:b w:val="0"/>
                      <w:bCs w:val="0"/>
                      <w:kern w:val="0"/>
                      <w:sz w:val="21"/>
                      <w:szCs w:val="21"/>
                      <w:highlight w:val="none"/>
                      <w:vertAlign w:val="baseline"/>
                      <w:lang w:val="en-US" w:eastAsia="zh-CN"/>
                    </w:rPr>
                    <w:t>符合园区</w:t>
                  </w:r>
                  <w:r>
                    <w:rPr>
                      <w:rFonts w:hint="default" w:ascii="Times New Roman" w:hAnsi="Times New Roman" w:eastAsia="宋体" w:cs="Times New Roman"/>
                      <w:color w:val="000000"/>
                      <w:kern w:val="0"/>
                      <w:sz w:val="21"/>
                      <w:szCs w:val="21"/>
                      <w:highlight w:val="none"/>
                      <w:lang w:val="en-US" w:eastAsia="zh-CN" w:bidi="ar"/>
                    </w:rPr>
                    <w:t>环境准入条件的建设项目</w:t>
                  </w:r>
                  <w:r>
                    <w:rPr>
                      <w:rFonts w:hint="default" w:ascii="Times New Roman" w:hAnsi="Times New Roman" w:cs="Times New Roman"/>
                      <w:b w:val="0"/>
                      <w:bCs w:val="0"/>
                      <w:kern w:val="0"/>
                      <w:sz w:val="21"/>
                      <w:szCs w:val="21"/>
                      <w:highlight w:val="none"/>
                      <w:vertAlign w:val="baseline"/>
                      <w:lang w:val="en-US" w:eastAsia="zh-CN"/>
                    </w:rPr>
                    <w:t>，满足相关要求。</w:t>
                  </w:r>
                </w:p>
              </w:tc>
              <w:tc>
                <w:tcPr>
                  <w:tcW w:w="584" w:type="pct"/>
                  <w:tcBorders>
                    <w:tl2br w:val="nil"/>
                    <w:tr2bl w:val="nil"/>
                  </w:tcBorders>
                  <w:noWrap w:val="0"/>
                  <w:vAlign w:val="center"/>
                </w:tcPr>
                <w:p w14:paraId="64BF468A">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符合</w:t>
                  </w:r>
                </w:p>
              </w:tc>
            </w:tr>
            <w:tr w14:paraId="037CA2F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997" w:type="pct"/>
                  <w:vMerge w:val="continue"/>
                  <w:tcBorders>
                    <w:tl2br w:val="nil"/>
                    <w:tr2bl w:val="nil"/>
                  </w:tcBorders>
                  <w:noWrap w:val="0"/>
                  <w:vAlign w:val="center"/>
                </w:tcPr>
                <w:p w14:paraId="5DFD528E">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p>
              </w:tc>
              <w:tc>
                <w:tcPr>
                  <w:tcW w:w="1868" w:type="pct"/>
                  <w:tcBorders>
                    <w:tl2br w:val="nil"/>
                    <w:tr2bl w:val="nil"/>
                  </w:tcBorders>
                  <w:noWrap w:val="0"/>
                  <w:vAlign w:val="center"/>
                </w:tcPr>
                <w:p w14:paraId="37228689">
                  <w:pPr>
                    <w:keepNext w:val="0"/>
                    <w:keepLines w:val="0"/>
                    <w:widowControl/>
                    <w:suppressLineNumbers w:val="0"/>
                    <w:jc w:val="both"/>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大力发展园区循环经济，制定切实可行的一般固体废物、危险废物和生产废水综合利用方案，提高资源利用效率严格落实污染物总量控制要求，提出污染物减排具体方案及保障措施。</w:t>
                  </w:r>
                </w:p>
              </w:tc>
              <w:tc>
                <w:tcPr>
                  <w:tcW w:w="1550" w:type="pct"/>
                  <w:tcBorders>
                    <w:tl2br w:val="nil"/>
                    <w:tr2bl w:val="nil"/>
                  </w:tcBorders>
                  <w:noWrap w:val="0"/>
                  <w:vAlign w:val="center"/>
                </w:tcPr>
                <w:p w14:paraId="480BE8B8">
                  <w:pPr>
                    <w:autoSpaceDE w:val="0"/>
                    <w:autoSpaceDN w:val="0"/>
                    <w:adjustRightInd w:val="0"/>
                    <w:snapToGrid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本项目产生的生活垃圾设置垃圾桶集中收集后交由环卫部门处理，生产线产生的一般固废和危险固废分类储存，一般固废外售给物资回收部门，危险固废交由有资质的单位处理。</w:t>
                  </w:r>
                </w:p>
              </w:tc>
              <w:tc>
                <w:tcPr>
                  <w:tcW w:w="584" w:type="pct"/>
                  <w:tcBorders>
                    <w:tl2br w:val="nil"/>
                    <w:tr2bl w:val="nil"/>
                  </w:tcBorders>
                  <w:noWrap w:val="0"/>
                  <w:vAlign w:val="center"/>
                </w:tcPr>
                <w:p w14:paraId="07B6CE89">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符合</w:t>
                  </w:r>
                </w:p>
              </w:tc>
            </w:tr>
            <w:tr w14:paraId="2E60603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997" w:type="pct"/>
                  <w:vMerge w:val="continue"/>
                  <w:tcBorders>
                    <w:tl2br w:val="nil"/>
                    <w:tr2bl w:val="nil"/>
                  </w:tcBorders>
                  <w:noWrap w:val="0"/>
                  <w:vAlign w:val="center"/>
                </w:tcPr>
                <w:p w14:paraId="73C91095">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p>
              </w:tc>
              <w:tc>
                <w:tcPr>
                  <w:tcW w:w="1868" w:type="pct"/>
                  <w:tcBorders>
                    <w:tl2br w:val="nil"/>
                    <w:tr2bl w:val="nil"/>
                  </w:tcBorders>
                  <w:noWrap w:val="0"/>
                  <w:vAlign w:val="center"/>
                </w:tcPr>
                <w:p w14:paraId="66C234A3">
                  <w:pPr>
                    <w:keepNext w:val="0"/>
                    <w:keepLines w:val="0"/>
                    <w:widowControl/>
                    <w:suppressLineNumbers w:val="0"/>
                    <w:jc w:val="both"/>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建立健全环境管理机构，完善各种环境管理制度、环境风险防控体系、污染防治制度和环境监控体系，确保环境安全。在园区基础设施和企业建设项目运营管理中须制定并落实事故风险防范措施和应急预案，配套完善的运行管理设施，防止污染事故的发生。</w:t>
                  </w:r>
                </w:p>
              </w:tc>
              <w:tc>
                <w:tcPr>
                  <w:tcW w:w="1550" w:type="pct"/>
                  <w:tcBorders>
                    <w:tl2br w:val="nil"/>
                    <w:tr2bl w:val="nil"/>
                  </w:tcBorders>
                  <w:noWrap w:val="0"/>
                  <w:vAlign w:val="center"/>
                </w:tcPr>
                <w:p w14:paraId="1ECB395D">
                  <w:pPr>
                    <w:autoSpaceDE w:val="0"/>
                    <w:autoSpaceDN w:val="0"/>
                    <w:adjustRightInd w:val="0"/>
                    <w:snapToGrid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本项目设置有安</w:t>
                  </w:r>
                  <w:r>
                    <w:rPr>
                      <w:rFonts w:hint="eastAsia" w:cs="Times New Roman"/>
                      <w:b w:val="0"/>
                      <w:bCs w:val="0"/>
                      <w:kern w:val="0"/>
                      <w:sz w:val="21"/>
                      <w:szCs w:val="21"/>
                      <w:highlight w:val="none"/>
                      <w:vertAlign w:val="baseline"/>
                      <w:lang w:val="en-US" w:eastAsia="zh-CN"/>
                    </w:rPr>
                    <w:t>环</w:t>
                  </w:r>
                  <w:r>
                    <w:rPr>
                      <w:rFonts w:hint="default" w:ascii="Times New Roman" w:hAnsi="Times New Roman" w:cs="Times New Roman"/>
                      <w:b w:val="0"/>
                      <w:bCs w:val="0"/>
                      <w:kern w:val="0"/>
                      <w:sz w:val="21"/>
                      <w:szCs w:val="21"/>
                      <w:highlight w:val="none"/>
                      <w:vertAlign w:val="baseline"/>
                      <w:lang w:val="en-US" w:eastAsia="zh-CN"/>
                    </w:rPr>
                    <w:t>负责人，制定各项各种环境管理制度、环境风险防控体系、污染防治制度和环境监控体系等，制定突发环境应急预案，防止污染事故的发生。</w:t>
                  </w:r>
                </w:p>
              </w:tc>
              <w:tc>
                <w:tcPr>
                  <w:tcW w:w="584" w:type="pct"/>
                  <w:tcBorders>
                    <w:tl2br w:val="nil"/>
                    <w:tr2bl w:val="nil"/>
                  </w:tcBorders>
                  <w:noWrap w:val="0"/>
                  <w:vAlign w:val="center"/>
                </w:tcPr>
                <w:p w14:paraId="7E4AC7D9">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符合</w:t>
                  </w:r>
                </w:p>
              </w:tc>
            </w:tr>
          </w:tbl>
          <w:p w14:paraId="78824299">
            <w:pPr>
              <w:autoSpaceDE w:val="0"/>
              <w:autoSpaceDN w:val="0"/>
              <w:adjustRightInd w:val="0"/>
              <w:snapToGrid w:val="0"/>
              <w:jc w:val="both"/>
              <w:rPr>
                <w:rFonts w:hint="default" w:ascii="Times New Roman" w:hAnsi="Times New Roman" w:cs="Times New Roman"/>
                <w:b/>
                <w:bCs/>
                <w:kern w:val="0"/>
                <w:szCs w:val="21"/>
                <w:highlight w:val="none"/>
                <w:lang w:val="en-US" w:eastAsia="zh-CN"/>
              </w:rPr>
            </w:pPr>
          </w:p>
        </w:tc>
      </w:tr>
      <w:tr w14:paraId="66B083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14" w:type="dxa"/>
            <w:noWrap w:val="0"/>
            <w:vAlign w:val="center"/>
          </w:tcPr>
          <w:p w14:paraId="6061FB33">
            <w:pPr>
              <w:autoSpaceDE w:val="0"/>
              <w:autoSpaceDN w:val="0"/>
              <w:adjustRightInd w:val="0"/>
              <w:snapToGrid w:val="0"/>
              <w:jc w:val="center"/>
              <w:rPr>
                <w:rFonts w:hint="default" w:ascii="Times New Roman" w:hAnsi="Times New Roman" w:cs="Times New Roman"/>
                <w:kern w:val="0"/>
                <w:szCs w:val="21"/>
                <w:highlight w:val="none"/>
              </w:rPr>
            </w:pPr>
            <w:r>
              <w:rPr>
                <w:rFonts w:hint="default" w:ascii="Times New Roman" w:hAnsi="Times New Roman" w:cs="Times New Roman"/>
                <w:kern w:val="0"/>
                <w:sz w:val="24"/>
                <w:szCs w:val="24"/>
                <w:highlight w:val="none"/>
              </w:rPr>
              <w:t>其他符合</w:t>
            </w:r>
            <w:r>
              <w:rPr>
                <w:rFonts w:hint="eastAsia" w:cs="Times New Roman"/>
                <w:kern w:val="0"/>
                <w:sz w:val="24"/>
                <w:szCs w:val="24"/>
                <w:highlight w:val="none"/>
                <w:lang w:eastAsia="zh-CN"/>
              </w:rPr>
              <w:t>性分析</w:t>
            </w:r>
          </w:p>
        </w:tc>
        <w:tc>
          <w:tcPr>
            <w:tcW w:w="7556" w:type="dxa"/>
            <w:gridSpan w:val="3"/>
            <w:noWrap w:val="0"/>
            <w:vAlign w:val="center"/>
          </w:tcPr>
          <w:p w14:paraId="2CC89026">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jc w:val="both"/>
              <w:textAlignment w:val="auto"/>
              <w:rPr>
                <w:rFonts w:hint="default" w:ascii="Times New Roman" w:hAnsi="Times New Roman" w:cs="Times New Roman"/>
                <w:sz w:val="24"/>
                <w:szCs w:val="24"/>
                <w:highlight w:val="none"/>
              </w:rPr>
            </w:pPr>
            <w:r>
              <w:rPr>
                <w:rFonts w:hint="default" w:ascii="Times New Roman" w:hAnsi="Times New Roman" w:eastAsia="宋体" w:cs="Times New Roman"/>
                <w:b/>
                <w:bCs/>
                <w:kern w:val="0"/>
                <w:sz w:val="24"/>
                <w:szCs w:val="24"/>
                <w:highlight w:val="none"/>
                <w:lang w:val="en-US" w:eastAsia="zh-CN"/>
              </w:rPr>
              <w:t>1 《产业结构调整指导目录（2024年本）》符合性分析</w:t>
            </w:r>
          </w:p>
          <w:p w14:paraId="1540C738">
            <w:pPr>
              <w:keepNext w:val="0"/>
              <w:keepLines w:val="0"/>
              <w:widowControl/>
              <w:suppressLineNumbers w:val="0"/>
              <w:spacing w:line="360" w:lineRule="auto"/>
              <w:ind w:firstLine="480" w:firstLineChars="200"/>
              <w:jc w:val="both"/>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根据国家发展和改革委员会发布的《产业结构调整目录（2024年本）》，本项目</w:t>
            </w:r>
            <w:r>
              <w:rPr>
                <w:rFonts w:hint="eastAsia" w:ascii="Times New Roman" w:hAnsi="Times New Roman" w:eastAsia="宋体" w:cs="Times New Roman"/>
                <w:color w:val="000000"/>
                <w:kern w:val="0"/>
                <w:sz w:val="24"/>
                <w:szCs w:val="24"/>
                <w:highlight w:val="none"/>
                <w:lang w:val="en-US" w:eastAsia="zh-CN" w:bidi="ar"/>
              </w:rPr>
              <w:t>属于建材行业中高性</w:t>
            </w:r>
            <w:r>
              <w:rPr>
                <w:rFonts w:hint="eastAsia" w:cs="Times New Roman"/>
                <w:color w:val="000000"/>
                <w:kern w:val="0"/>
                <w:sz w:val="24"/>
                <w:szCs w:val="24"/>
                <w:highlight w:val="none"/>
                <w:lang w:val="en-US" w:eastAsia="zh-CN" w:bidi="ar"/>
              </w:rPr>
              <w:t>能</w:t>
            </w:r>
            <w:r>
              <w:rPr>
                <w:rFonts w:hint="eastAsia" w:ascii="Times New Roman" w:hAnsi="Times New Roman" w:eastAsia="宋体" w:cs="Times New Roman"/>
                <w:color w:val="000000"/>
                <w:kern w:val="0"/>
                <w:sz w:val="24"/>
                <w:szCs w:val="24"/>
                <w:highlight w:val="none"/>
                <w:lang w:val="en-US" w:eastAsia="zh-CN" w:bidi="ar"/>
              </w:rPr>
              <w:t>改性沥青防水卷材行业</w:t>
            </w: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不属于淘汰类和限制类项目，</w:t>
            </w:r>
            <w:r>
              <w:rPr>
                <w:rFonts w:hint="default" w:ascii="Times New Roman" w:hAnsi="Times New Roman" w:eastAsia="宋体" w:cs="Times New Roman"/>
                <w:color w:val="000000"/>
                <w:kern w:val="0"/>
                <w:sz w:val="24"/>
                <w:szCs w:val="24"/>
                <w:highlight w:val="none"/>
                <w:lang w:val="en-US" w:eastAsia="zh-CN" w:bidi="ar"/>
              </w:rPr>
              <w:t>属于国家</w:t>
            </w:r>
            <w:r>
              <w:rPr>
                <w:rFonts w:hint="eastAsia" w:cs="Times New Roman"/>
                <w:color w:val="000000"/>
                <w:kern w:val="0"/>
                <w:sz w:val="24"/>
                <w:szCs w:val="24"/>
                <w:highlight w:val="none"/>
                <w:lang w:val="en-US" w:eastAsia="zh-CN" w:bidi="ar"/>
              </w:rPr>
              <w:t>鼓励</w:t>
            </w:r>
            <w:r>
              <w:rPr>
                <w:rFonts w:hint="default" w:ascii="Times New Roman" w:hAnsi="Times New Roman" w:eastAsia="宋体" w:cs="Times New Roman"/>
                <w:color w:val="000000"/>
                <w:kern w:val="0"/>
                <w:sz w:val="24"/>
                <w:szCs w:val="24"/>
                <w:highlight w:val="none"/>
                <w:lang w:val="en-US" w:eastAsia="zh-CN" w:bidi="ar"/>
              </w:rPr>
              <w:t>类项目</w:t>
            </w:r>
            <w:r>
              <w:rPr>
                <w:rFonts w:hint="eastAsia" w:ascii="Times New Roman" w:hAnsi="Times New Roman" w:eastAsia="宋体"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符合国家产业政策要求。</w:t>
            </w:r>
          </w:p>
          <w:p w14:paraId="6C6162EA">
            <w:pPr>
              <w:autoSpaceDE w:val="0"/>
              <w:autoSpaceDN w:val="0"/>
              <w:adjustRightInd w:val="0"/>
              <w:snapToGrid w:val="0"/>
              <w:spacing w:line="360" w:lineRule="auto"/>
              <w:jc w:val="both"/>
              <w:rPr>
                <w:rFonts w:hint="default" w:ascii="Times New Roman" w:hAnsi="Times New Roman" w:cs="Times New Roman"/>
                <w:b/>
                <w:bCs/>
                <w:kern w:val="0"/>
                <w:sz w:val="24"/>
                <w:szCs w:val="24"/>
                <w:highlight w:val="none"/>
                <w:lang w:val="en-US" w:eastAsia="zh-CN"/>
              </w:rPr>
            </w:pPr>
            <w:r>
              <w:rPr>
                <w:rFonts w:hint="default" w:ascii="Times New Roman" w:hAnsi="Times New Roman" w:cs="Times New Roman"/>
                <w:b/>
                <w:bCs/>
                <w:kern w:val="0"/>
                <w:sz w:val="24"/>
                <w:szCs w:val="24"/>
                <w:highlight w:val="none"/>
                <w:lang w:val="en-US" w:eastAsia="zh-CN"/>
              </w:rPr>
              <w:t>2 选址合理性分析</w:t>
            </w:r>
          </w:p>
          <w:p w14:paraId="776D26E7">
            <w:p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项目选址符合性</w:t>
            </w:r>
          </w:p>
          <w:p w14:paraId="32C26455">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lang w:val="en-US" w:eastAsia="zh-CN" w:bidi="ar-SA"/>
              </w:rPr>
              <w:t>（1）</w:t>
            </w:r>
            <w:r>
              <w:rPr>
                <w:rFonts w:hint="default" w:ascii="Times New Roman" w:hAnsi="Times New Roman" w:eastAsia="宋体" w:cs="Times New Roman"/>
                <w:color w:val="auto"/>
                <w:sz w:val="24"/>
                <w:szCs w:val="24"/>
                <w:highlight w:val="none"/>
                <w:lang w:val="en-US" w:eastAsia="zh-CN"/>
              </w:rPr>
              <w:t>本项目位于新疆昌吉州昌吉市高新技术产业开发区东四路与科荟路交叉口东南方向98米，中心地理坐标：东经87度07分50.849秒，北纬44度05分12.474秒，属于工业用地。不在水源保护区、居民集中区，基本农田保护区内，项目所在区域内无重要环境敏感点，条件优越，厂址符合土地用途管理和规划功能要求。</w:t>
            </w:r>
          </w:p>
          <w:p w14:paraId="36FF762C">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kern w:val="2"/>
                <w:sz w:val="24"/>
                <w:szCs w:val="24"/>
                <w:lang w:val="en-US" w:eastAsia="zh-CN" w:bidi="ar-SA"/>
              </w:rPr>
              <w:t>（2）</w:t>
            </w:r>
            <w:r>
              <w:rPr>
                <w:rFonts w:hint="default" w:ascii="Times New Roman" w:hAnsi="Times New Roman" w:eastAsia="宋体" w:cs="Times New Roman"/>
                <w:sz w:val="24"/>
                <w:szCs w:val="24"/>
                <w:highlight w:val="none"/>
                <w:lang w:val="en-US" w:eastAsia="zh-CN"/>
              </w:rPr>
              <w:t>项目区供热、供电、供水、排水等基础设施完善，可满足项目需求，且交通十分便利。</w:t>
            </w:r>
          </w:p>
          <w:p w14:paraId="3136DFAE">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kern w:val="2"/>
                <w:sz w:val="24"/>
                <w:szCs w:val="24"/>
                <w:lang w:val="en-US" w:eastAsia="zh-CN" w:bidi="ar-SA"/>
              </w:rPr>
              <w:t>（3）</w:t>
            </w:r>
            <w:r>
              <w:rPr>
                <w:rFonts w:hint="default" w:ascii="Times New Roman" w:hAnsi="Times New Roman" w:eastAsia="宋体" w:cs="Times New Roman"/>
                <w:sz w:val="24"/>
                <w:szCs w:val="24"/>
                <w:highlight w:val="none"/>
                <w:lang w:val="en-US" w:eastAsia="zh-CN"/>
              </w:rPr>
              <w:t>项目区地势平坦，微地貌变化不大。场地无不良地质现象存在，属于可进行工程建设的一般型场地，工程地质条件较好。</w:t>
            </w:r>
          </w:p>
          <w:p w14:paraId="7D4663DE">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环境相容性</w:t>
            </w:r>
          </w:p>
          <w:p w14:paraId="5A198A1F">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sz w:val="24"/>
                <w:szCs w:val="24"/>
                <w:lang w:val="en-US" w:eastAsia="zh-CN" w:bidi="ar-SA"/>
              </w:rPr>
              <w:t>(1)</w:t>
            </w:r>
            <w:r>
              <w:rPr>
                <w:rFonts w:hint="default" w:ascii="Times New Roman" w:hAnsi="Times New Roman" w:eastAsia="宋体" w:cs="Times New Roman"/>
                <w:kern w:val="2"/>
                <w:sz w:val="24"/>
                <w:szCs w:val="24"/>
                <w:highlight w:val="none"/>
                <w:lang w:val="en-US" w:eastAsia="zh-CN" w:bidi="ar-SA"/>
              </w:rPr>
              <w:t>本项目从事SBS弹性体改性沥青防水卷材、防水涂料生产，属于建材行业中改性沥青防水卷材行业，为国家及新疆、昌吉州鼓励发展的轻工建材类产业，不属于高耗能、高排放、落后淘汰类产业。项目契合昌吉州国土空间总体规划绿色建材产业发展定位，符合园区主导产业布局方向，与区域产业发展规划、产业准入政策高度相容。</w:t>
            </w:r>
          </w:p>
          <w:p w14:paraId="0A3144A9">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kern w:val="2"/>
                <w:sz w:val="24"/>
                <w:szCs w:val="24"/>
                <w:highlight w:val="none"/>
                <w:lang w:val="en-US" w:eastAsia="zh-CN" w:bidi="ar-SA"/>
              </w:rPr>
            </w:pPr>
            <w:r>
              <w:rPr>
                <w:rFonts w:hint="eastAsia" w:cs="Times New Roman"/>
                <w:kern w:val="2"/>
                <w:sz w:val="24"/>
                <w:szCs w:val="24"/>
                <w:highlight w:val="none"/>
                <w:lang w:val="en-US" w:eastAsia="zh-CN" w:bidi="ar-SA"/>
              </w:rPr>
              <w:t>(2)项目选址位于合规工业园区工业用地范围内，严格遵循《昌吉回族自治州国土空间总体规划（2021—2035 年）》及自治区政府新政函〔2024〕134 号批复管控要求，不占用生态保护红线、永久基本农田，处于城镇开发边界合规范围；符合区域 “三区三线” 刚性管控、工业集聚布局及节约集约用地要求，用地布局与国土空间规划、土地利用规划相容。</w:t>
            </w:r>
          </w:p>
          <w:p w14:paraId="3633393F">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kern w:val="2"/>
                <w:sz w:val="24"/>
                <w:szCs w:val="24"/>
                <w:highlight w:val="none"/>
                <w:lang w:val="en-US" w:eastAsia="zh-CN" w:bidi="ar-SA"/>
              </w:rPr>
            </w:pPr>
            <w:r>
              <w:rPr>
                <w:rFonts w:hint="eastAsia" w:cs="Times New Roman"/>
                <w:kern w:val="2"/>
                <w:sz w:val="24"/>
                <w:szCs w:val="24"/>
                <w:highlight w:val="none"/>
                <w:lang w:val="en-US" w:eastAsia="zh-CN" w:bidi="ar-SA"/>
              </w:rPr>
              <w:t>(3)项目符合《新疆维吾尔自治区重点行业环境准入条件（2017 年修订）》及园区规划、规划环评准入要求，不属于禁止、限制入园类别；生产工艺采用密闭化、连续化生产方式，配套完善废气、废水、噪声、固废污染治理设施，满足园区污染物总量控制、环境防护距离、环境风险防控等管控要求，与区域生态环境准入管控体系相容。</w:t>
            </w:r>
          </w:p>
          <w:p w14:paraId="1088386F">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(4)</w:t>
            </w:r>
            <w:r>
              <w:rPr>
                <w:rFonts w:hint="default" w:ascii="Times New Roman" w:hAnsi="Times New Roman" w:eastAsia="宋体" w:cs="Times New Roman"/>
                <w:sz w:val="24"/>
                <w:szCs w:val="24"/>
                <w:highlight w:val="none"/>
                <w:lang w:val="en-US" w:eastAsia="zh-CN"/>
              </w:rPr>
              <w:t>根据现场勘查可知，本项目周边现状无与本项目冲突的企业存在，无对本项目敏感的企业存在。</w:t>
            </w:r>
          </w:p>
          <w:p w14:paraId="166533CE">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eastAsia" w:cs="Times New Roman"/>
                <w:kern w:val="2"/>
                <w:sz w:val="24"/>
                <w:szCs w:val="24"/>
                <w:highlight w:val="none"/>
                <w:lang w:val="en-US" w:eastAsia="zh-CN" w:bidi="ar-SA"/>
              </w:rPr>
              <w:t>(5)</w:t>
            </w:r>
            <w:r>
              <w:rPr>
                <w:rFonts w:hint="default" w:ascii="Times New Roman" w:hAnsi="Times New Roman" w:eastAsia="宋体" w:cs="Times New Roman"/>
                <w:kern w:val="2"/>
                <w:sz w:val="24"/>
                <w:szCs w:val="24"/>
                <w:highlight w:val="none"/>
                <w:lang w:val="en-US" w:eastAsia="zh-CN" w:bidi="ar-SA"/>
              </w:rPr>
              <w:t>项目周边无环境敏感目标，运营期产生的废气、废水、噪声、固废均可得到有效处理，排放能够满足相关要求。</w:t>
            </w:r>
          </w:p>
          <w:p w14:paraId="7397FF73">
            <w:p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因此，本建设项目的选址是合理的、项目的建设是可行的。</w:t>
            </w:r>
          </w:p>
          <w:p w14:paraId="4F612E14">
            <w:pPr>
              <w:autoSpaceDE w:val="0"/>
              <w:autoSpaceDN w:val="0"/>
              <w:adjustRightInd w:val="0"/>
              <w:snapToGrid w:val="0"/>
              <w:spacing w:line="360" w:lineRule="auto"/>
              <w:jc w:val="both"/>
              <w:rPr>
                <w:rFonts w:hint="default" w:ascii="Times New Roman" w:hAnsi="Times New Roman" w:cs="Times New Roman"/>
                <w:b/>
                <w:bCs/>
                <w:kern w:val="0"/>
                <w:sz w:val="24"/>
                <w:szCs w:val="24"/>
                <w:highlight w:val="none"/>
                <w:lang w:val="en-US" w:eastAsia="zh-CN"/>
              </w:rPr>
            </w:pPr>
            <w:r>
              <w:rPr>
                <w:rFonts w:hint="default" w:ascii="Times New Roman" w:hAnsi="Times New Roman" w:cs="Times New Roman"/>
                <w:b/>
                <w:bCs/>
                <w:kern w:val="0"/>
                <w:sz w:val="24"/>
                <w:szCs w:val="24"/>
                <w:highlight w:val="none"/>
                <w:lang w:val="en-US" w:eastAsia="zh-CN"/>
              </w:rPr>
              <w:t xml:space="preserve">3 </w:t>
            </w:r>
            <w:r>
              <w:rPr>
                <w:rFonts w:hint="eastAsia" w:ascii="Times New Roman" w:hAnsi="Times New Roman" w:cs="Times New Roman"/>
                <w:b/>
                <w:bCs/>
                <w:kern w:val="0"/>
                <w:sz w:val="24"/>
                <w:szCs w:val="24"/>
                <w:highlight w:val="none"/>
                <w:lang w:val="en-US" w:eastAsia="zh-CN"/>
              </w:rPr>
              <w:t>与关于印发《新疆维吾尔自治区生态环境分区管控动态更新》的通知</w:t>
            </w:r>
            <w:r>
              <w:rPr>
                <w:rFonts w:hint="default" w:ascii="Times New Roman" w:hAnsi="Times New Roman" w:cs="Times New Roman"/>
                <w:b/>
                <w:bCs/>
                <w:kern w:val="0"/>
                <w:sz w:val="24"/>
                <w:szCs w:val="24"/>
                <w:highlight w:val="none"/>
                <w:lang w:val="en-US" w:eastAsia="zh-CN"/>
              </w:rPr>
              <w:t>符合性分析</w:t>
            </w:r>
          </w:p>
          <w:p w14:paraId="736DA9C6">
            <w:pPr>
              <w:numPr>
                <w:ilvl w:val="0"/>
                <w:numId w:val="0"/>
              </w:numPr>
              <w:autoSpaceDE w:val="0"/>
              <w:autoSpaceDN w:val="0"/>
              <w:adjustRightInd w:val="0"/>
              <w:snapToGrid w:val="0"/>
              <w:spacing w:line="360" w:lineRule="auto"/>
              <w:ind w:firstLine="480" w:firstLineChars="200"/>
              <w:jc w:val="both"/>
              <w:rPr>
                <w:rFonts w:hint="default"/>
                <w:lang w:val="en-US" w:eastAsia="zh-CN"/>
              </w:rPr>
            </w:pPr>
            <w:r>
              <w:rPr>
                <w:rFonts w:hint="default" w:ascii="Times New Roman" w:hAnsi="Times New Roman" w:eastAsia="宋体" w:cs="Times New Roman"/>
                <w:kern w:val="2"/>
                <w:sz w:val="24"/>
                <w:szCs w:val="24"/>
                <w:highlight w:val="none"/>
                <w:lang w:val="en-US" w:eastAsia="zh-CN" w:bidi="ar-SA"/>
              </w:rPr>
              <w:t>根据</w:t>
            </w:r>
            <w:r>
              <w:rPr>
                <w:rFonts w:hint="eastAsia" w:ascii="Times New Roman" w:hAnsi="Times New Roman" w:eastAsia="宋体" w:cs="Times New Roman"/>
                <w:kern w:val="2"/>
                <w:sz w:val="24"/>
                <w:szCs w:val="24"/>
                <w:highlight w:val="none"/>
                <w:lang w:val="en-US" w:eastAsia="zh-CN" w:bidi="ar-SA"/>
              </w:rPr>
              <w:t>关于印发《</w:t>
            </w:r>
            <w:r>
              <w:rPr>
                <w:rFonts w:hint="default" w:ascii="Times New Roman" w:hAnsi="Times New Roman" w:eastAsia="宋体" w:cs="Times New Roman"/>
                <w:kern w:val="2"/>
                <w:sz w:val="24"/>
                <w:szCs w:val="24"/>
                <w:highlight w:val="none"/>
                <w:lang w:val="en-US" w:eastAsia="zh-CN" w:bidi="ar-SA"/>
              </w:rPr>
              <w:t>新疆维吾尔自治区生态环境分区管控</w:t>
            </w:r>
            <w:r>
              <w:rPr>
                <w:rFonts w:hint="eastAsia" w:ascii="Times New Roman" w:hAnsi="Times New Roman" w:eastAsia="宋体" w:cs="Times New Roman"/>
                <w:kern w:val="2"/>
                <w:sz w:val="24"/>
                <w:szCs w:val="24"/>
                <w:highlight w:val="none"/>
                <w:lang w:val="en-US" w:eastAsia="zh-CN" w:bidi="ar-SA"/>
              </w:rPr>
              <w:t>动态更新</w:t>
            </w:r>
            <w:r>
              <w:rPr>
                <w:rFonts w:hint="default" w:ascii="Times New Roman" w:hAnsi="Times New Roman" w:eastAsia="宋体" w:cs="Times New Roman"/>
                <w:kern w:val="2"/>
                <w:sz w:val="24"/>
                <w:szCs w:val="24"/>
                <w:highlight w:val="none"/>
                <w:lang w:val="en-US" w:eastAsia="zh-CN" w:bidi="ar-SA"/>
              </w:rPr>
              <w:t>》</w:t>
            </w:r>
            <w:r>
              <w:rPr>
                <w:rFonts w:hint="eastAsia" w:ascii="Times New Roman" w:hAnsi="Times New Roman" w:eastAsia="宋体" w:cs="Times New Roman"/>
                <w:kern w:val="2"/>
                <w:sz w:val="24"/>
                <w:szCs w:val="24"/>
                <w:highlight w:val="none"/>
                <w:lang w:val="en-US" w:eastAsia="zh-CN" w:bidi="ar-SA"/>
              </w:rPr>
              <w:t>的通知文件</w:t>
            </w:r>
            <w:r>
              <w:rPr>
                <w:rFonts w:hint="default" w:ascii="Times New Roman" w:hAnsi="Times New Roman" w:eastAsia="宋体" w:cs="Times New Roman"/>
                <w:kern w:val="2"/>
                <w:sz w:val="24"/>
                <w:szCs w:val="24"/>
                <w:highlight w:val="none"/>
                <w:lang w:val="en-US" w:eastAsia="zh-CN" w:bidi="ar-SA"/>
              </w:rPr>
              <w:t>，本项目与新疆维吾尔自治区生态环境分区管控符合性分析如下：</w:t>
            </w:r>
          </w:p>
          <w:p w14:paraId="27941854">
            <w:pPr>
              <w:numPr>
                <w:ilvl w:val="0"/>
                <w:numId w:val="0"/>
              </w:numPr>
              <w:adjustRightInd w:val="0"/>
              <w:snapToGrid w:val="0"/>
              <w:spacing w:line="240" w:lineRule="auto"/>
              <w:jc w:val="center"/>
              <w:rPr>
                <w:rFonts w:hint="default"/>
                <w:lang w:val="en-US" w:eastAsia="zh-CN"/>
              </w:rPr>
            </w:pPr>
            <w:r>
              <w:rPr>
                <w:rFonts w:hint="default" w:ascii="Times New Roman" w:hAnsi="Times New Roman" w:eastAsia="宋体" w:cs="Times New Roman"/>
                <w:b/>
                <w:bCs/>
                <w:sz w:val="21"/>
                <w:szCs w:val="21"/>
                <w:highlight w:val="none"/>
                <w:lang w:val="en-US" w:eastAsia="zh-CN"/>
              </w:rPr>
              <w:t>表1-</w:t>
            </w:r>
            <w:r>
              <w:rPr>
                <w:rFonts w:hint="eastAsia" w:cs="Times New Roman"/>
                <w:b/>
                <w:bCs/>
                <w:sz w:val="21"/>
                <w:szCs w:val="21"/>
                <w:highlight w:val="none"/>
                <w:lang w:val="en-US" w:eastAsia="zh-CN"/>
              </w:rPr>
              <w:t>2</w:t>
            </w:r>
            <w:r>
              <w:rPr>
                <w:rFonts w:hint="default" w:ascii="Times New Roman" w:hAnsi="Times New Roman" w:eastAsia="宋体" w:cs="Times New Roman"/>
                <w:b/>
                <w:bCs/>
                <w:sz w:val="21"/>
                <w:szCs w:val="21"/>
                <w:highlight w:val="none"/>
                <w:lang w:val="en-US" w:eastAsia="zh-CN"/>
              </w:rPr>
              <w:t xml:space="preserve"> </w:t>
            </w:r>
            <w:r>
              <w:rPr>
                <w:rFonts w:hint="eastAsia"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lang w:val="en-US" w:eastAsia="zh-CN"/>
              </w:rPr>
              <w:t>项目与关于印发《新疆维吾尔自治区生态环境分区管控动态更新》的通知符合性分析一览表</w:t>
            </w:r>
          </w:p>
          <w:tbl>
            <w:tblPr>
              <w:tblStyle w:val="20"/>
              <w:tblW w:w="4999" w:type="pct"/>
              <w:jc w:val="center"/>
              <w:tblBorders>
                <w:top w:val="single" w:color="auto" w:sz="8" w:space="0"/>
                <w:left w:val="none" w:color="auto" w:sz="0" w:space="0"/>
                <w:bottom w:val="single" w:color="auto" w:sz="8" w:space="0"/>
                <w:right w:val="none" w:color="auto" w:sz="0" w:space="0"/>
                <w:insideH w:val="none" w:color="auto" w:sz="0" w:space="0"/>
                <w:insideV w:val="single" w:color="auto" w:sz="6" w:space="0"/>
              </w:tblBorders>
              <w:tblLayout w:type="autofit"/>
              <w:tblCellMar>
                <w:top w:w="0" w:type="dxa"/>
                <w:left w:w="108" w:type="dxa"/>
                <w:bottom w:w="0" w:type="dxa"/>
                <w:right w:w="108" w:type="dxa"/>
              </w:tblCellMar>
            </w:tblPr>
            <w:tblGrid>
              <w:gridCol w:w="868"/>
              <w:gridCol w:w="3217"/>
              <w:gridCol w:w="2815"/>
              <w:gridCol w:w="768"/>
            </w:tblGrid>
            <w:tr w14:paraId="40786013">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374" w:hRule="atLeast"/>
                <w:jc w:val="center"/>
              </w:trPr>
              <w:tc>
                <w:tcPr>
                  <w:tcW w:w="566" w:type="pct"/>
                  <w:tcBorders>
                    <w:bottom w:val="single" w:color="auto" w:sz="8" w:space="0"/>
                  </w:tcBorders>
                  <w:noWrap w:val="0"/>
                  <w:vAlign w:val="center"/>
                </w:tcPr>
                <w:p w14:paraId="571974FF">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en-US" w:eastAsia="zh-CN"/>
                    </w:rPr>
                    <w:t>管控</w:t>
                  </w:r>
                  <w:r>
                    <w:rPr>
                      <w:rFonts w:hint="eastAsia" w:ascii="Times New Roman" w:hAnsi="Times New Roman" w:eastAsia="宋体" w:cs="Times New Roman"/>
                      <w:b/>
                      <w:bCs/>
                      <w:sz w:val="21"/>
                      <w:szCs w:val="21"/>
                      <w:highlight w:val="none"/>
                      <w:vertAlign w:val="baseline"/>
                      <w:lang w:val="en-US" w:eastAsia="zh-CN"/>
                    </w:rPr>
                    <w:t>维度</w:t>
                  </w:r>
                </w:p>
              </w:tc>
              <w:tc>
                <w:tcPr>
                  <w:tcW w:w="2097" w:type="pct"/>
                  <w:tcBorders>
                    <w:bottom w:val="single" w:color="auto" w:sz="8" w:space="0"/>
                  </w:tcBorders>
                  <w:noWrap w:val="0"/>
                  <w:vAlign w:val="center"/>
                </w:tcPr>
                <w:p w14:paraId="78C9F6C7">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en-US" w:eastAsia="zh-CN"/>
                    </w:rPr>
                    <w:t>管控要求</w:t>
                  </w:r>
                </w:p>
              </w:tc>
              <w:tc>
                <w:tcPr>
                  <w:tcW w:w="1835" w:type="pct"/>
                  <w:tcBorders>
                    <w:bottom w:val="single" w:color="auto" w:sz="8" w:space="0"/>
                  </w:tcBorders>
                  <w:noWrap w:val="0"/>
                  <w:vAlign w:val="center"/>
                </w:tcPr>
                <w:p w14:paraId="696DA3D7">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en-US" w:eastAsia="zh-CN"/>
                    </w:rPr>
                    <w:t>项目情况</w:t>
                  </w:r>
                </w:p>
              </w:tc>
              <w:tc>
                <w:tcPr>
                  <w:tcW w:w="500" w:type="pct"/>
                  <w:tcBorders>
                    <w:bottom w:val="single" w:color="auto" w:sz="8" w:space="0"/>
                  </w:tcBorders>
                  <w:noWrap w:val="0"/>
                  <w:vAlign w:val="center"/>
                </w:tcPr>
                <w:p w14:paraId="04204273">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en-US" w:eastAsia="zh-CN"/>
                    </w:rPr>
                    <w:t>符合性</w:t>
                  </w:r>
                </w:p>
              </w:tc>
            </w:tr>
            <w:tr w14:paraId="61C4E469">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90" w:hRule="atLeast"/>
                <w:jc w:val="center"/>
              </w:trPr>
              <w:tc>
                <w:tcPr>
                  <w:tcW w:w="566" w:type="pct"/>
                  <w:tcBorders>
                    <w:top w:val="single" w:color="auto" w:sz="8" w:space="0"/>
                    <w:bottom w:val="single" w:color="auto" w:sz="6" w:space="0"/>
                  </w:tcBorders>
                  <w:noWrap w:val="0"/>
                  <w:vAlign w:val="center"/>
                </w:tcPr>
                <w:p w14:paraId="2BFE1FAA">
                  <w:pPr>
                    <w:numPr>
                      <w:ilvl w:val="0"/>
                      <w:numId w:val="0"/>
                    </w:numPr>
                    <w:autoSpaceDE w:val="0"/>
                    <w:autoSpaceDN w:val="0"/>
                    <w:adjustRightInd w:val="0"/>
                    <w:snapToGrid w:val="0"/>
                    <w:spacing w:line="240" w:lineRule="auto"/>
                    <w:jc w:val="center"/>
                    <w:rPr>
                      <w:rFonts w:hint="default" w:ascii="Times New Roman" w:hAnsi="Times New Roman" w:eastAsia="宋体" w:cs="Times New Roman"/>
                      <w:sz w:val="24"/>
                      <w:szCs w:val="24"/>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A1</w:t>
                  </w:r>
                  <w:r>
                    <w:rPr>
                      <w:rFonts w:hint="default" w:ascii="Times New Roman" w:hAnsi="Times New Roman" w:eastAsia="宋体" w:cs="Times New Roman"/>
                      <w:sz w:val="21"/>
                      <w:szCs w:val="21"/>
                      <w:highlight w:val="none"/>
                      <w:vertAlign w:val="baseline"/>
                      <w:lang w:val="en-US" w:eastAsia="zh-CN"/>
                    </w:rPr>
                    <w:t>空间布局约束</w:t>
                  </w:r>
                </w:p>
              </w:tc>
              <w:tc>
                <w:tcPr>
                  <w:tcW w:w="2097" w:type="pct"/>
                  <w:tcBorders>
                    <w:top w:val="single" w:color="auto" w:sz="8" w:space="0"/>
                    <w:bottom w:val="single" w:color="auto" w:sz="6" w:space="0"/>
                  </w:tcBorders>
                  <w:noWrap w:val="0"/>
                  <w:vAlign w:val="center"/>
                </w:tcPr>
                <w:p w14:paraId="398F0351">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〔A1.1-1〕禁止新建、扩建《产业结构调整指导目录(2024年本)》中淘汰类项目。禁止引入《市场准入负面清单(2022年版)》禁止准入类事项。</w:t>
                  </w:r>
                </w:p>
                <w:p w14:paraId="2627D8BC">
                  <w:pPr>
                    <w:pStyle w:val="7"/>
                    <w:keepNext w:val="0"/>
                    <w:keepLines w:val="0"/>
                    <w:pageBreakBefore w:val="0"/>
                    <w:widowControl/>
                    <w:kinsoku/>
                    <w:wordWrap/>
                    <w:overflowPunct/>
                    <w:topLinePunct w:val="0"/>
                    <w:autoSpaceDE/>
                    <w:autoSpaceDN/>
                    <w:bidi w:val="0"/>
                    <w:adjustRightInd/>
                    <w:snapToGrid w:val="0"/>
                    <w:spacing w:before="0" w:after="0" w:line="240" w:lineRule="auto"/>
                    <w:ind w:right="113"/>
                    <w:textAlignment w:val="auto"/>
                    <w:rPr>
                      <w:rFonts w:hint="default"/>
                      <w:lang w:val="en-US" w:eastAsia="zh-CN"/>
                    </w:rPr>
                  </w:pPr>
                  <w:r>
                    <w:rPr>
                      <w:rFonts w:hint="default" w:ascii="Times New Roman" w:hAnsi="Times New Roman" w:eastAsia="宋体" w:cs="Times New Roman"/>
                      <w:kern w:val="2"/>
                      <w:sz w:val="21"/>
                      <w:szCs w:val="21"/>
                      <w:highlight w:val="none"/>
                      <w:vertAlign w:val="baseline"/>
                      <w:lang w:val="en-US" w:eastAsia="zh-CN" w:bidi="ar-SA"/>
                    </w:rPr>
                    <w:t>〔A1.1-7〕坚决遏制高耗能高排放低水平项目盲目发展。严把高耗能高排放低水平项目准入关口</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严格落实污染物排放区域削减要求</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对不符合规定的项目坚决停批停建。依法依规淘汰落后产能和化解过</w:t>
                  </w:r>
                  <w:r>
                    <w:rPr>
                      <w:rFonts w:hint="eastAsia" w:cs="Times New Roman"/>
                      <w:kern w:val="2"/>
                      <w:sz w:val="21"/>
                      <w:szCs w:val="21"/>
                      <w:highlight w:val="none"/>
                      <w:vertAlign w:val="baseline"/>
                      <w:lang w:val="en-US" w:eastAsia="zh-CN" w:bidi="ar-SA"/>
                    </w:rPr>
                    <w:t>剩</w:t>
                  </w:r>
                  <w:r>
                    <w:rPr>
                      <w:rFonts w:hint="default" w:ascii="Times New Roman" w:hAnsi="Times New Roman" w:eastAsia="宋体" w:cs="Times New Roman"/>
                      <w:kern w:val="2"/>
                      <w:sz w:val="21"/>
                      <w:szCs w:val="21"/>
                      <w:highlight w:val="none"/>
                      <w:vertAlign w:val="baseline"/>
                      <w:lang w:val="en-US" w:eastAsia="zh-CN" w:bidi="ar-SA"/>
                    </w:rPr>
                    <w:t>产能</w:t>
                  </w:r>
                  <w:r>
                    <w:rPr>
                      <w:rFonts w:hint="eastAsia" w:ascii="Times New Roman" w:hAnsi="Times New Roman" w:eastAsia="宋体" w:cs="Times New Roman"/>
                      <w:kern w:val="2"/>
                      <w:sz w:val="21"/>
                      <w:szCs w:val="21"/>
                      <w:highlight w:val="none"/>
                      <w:vertAlign w:val="baseline"/>
                      <w:lang w:val="en-US" w:eastAsia="zh-CN" w:bidi="ar-SA"/>
                    </w:rPr>
                    <w:t>。</w:t>
                  </w:r>
                </w:p>
              </w:tc>
              <w:tc>
                <w:tcPr>
                  <w:tcW w:w="1835" w:type="pct"/>
                  <w:tcBorders>
                    <w:top w:val="single" w:color="auto" w:sz="8" w:space="0"/>
                    <w:bottom w:val="single" w:color="auto" w:sz="6" w:space="0"/>
                  </w:tcBorders>
                  <w:noWrap w:val="0"/>
                  <w:vAlign w:val="center"/>
                </w:tcPr>
                <w:p w14:paraId="7574E142">
                  <w:pPr>
                    <w:keepNext w:val="0"/>
                    <w:keepLines w:val="0"/>
                    <w:pageBreakBefore w:val="0"/>
                    <w:widowControl/>
                    <w:suppressLineNumbers w:val="0"/>
                    <w:kinsoku/>
                    <w:wordWrap/>
                    <w:overflowPunct/>
                    <w:topLinePunct w:val="0"/>
                    <w:autoSpaceDE/>
                    <w:autoSpaceDN/>
                    <w:bidi w:val="0"/>
                    <w:adjustRightInd/>
                    <w:jc w:val="both"/>
                    <w:textAlignment w:val="auto"/>
                    <w:rPr>
                      <w:rFonts w:hint="eastAsia"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〔A1.1-1〕根据国家发展和改革委员会发布的《产业结构调整目录（2024年本）》，本项目属于建材行业中改性沥青防水卷材行业，属于国家</w:t>
                  </w:r>
                  <w:r>
                    <w:rPr>
                      <w:rFonts w:hint="eastAsia" w:cs="Times New Roman"/>
                      <w:kern w:val="2"/>
                      <w:sz w:val="21"/>
                      <w:szCs w:val="21"/>
                      <w:highlight w:val="none"/>
                      <w:vertAlign w:val="baseline"/>
                      <w:lang w:val="en-US" w:eastAsia="zh-CN" w:bidi="ar-SA"/>
                    </w:rPr>
                    <w:t>鼓励类</w:t>
                  </w:r>
                  <w:r>
                    <w:rPr>
                      <w:rFonts w:hint="default" w:ascii="Times New Roman" w:hAnsi="Times New Roman" w:eastAsia="宋体" w:cs="Times New Roman"/>
                      <w:kern w:val="2"/>
                      <w:sz w:val="21"/>
                      <w:szCs w:val="21"/>
                      <w:highlight w:val="none"/>
                      <w:vertAlign w:val="baseline"/>
                      <w:lang w:val="en-US" w:eastAsia="zh-CN" w:bidi="ar-SA"/>
                    </w:rPr>
                    <w:t>类项目，符合国家产业政策要求</w:t>
                  </w:r>
                  <w:r>
                    <w:rPr>
                      <w:rFonts w:hint="eastAsia" w:ascii="Times New Roman" w:hAnsi="Times New Roman" w:eastAsia="宋体" w:cs="Times New Roman"/>
                      <w:kern w:val="2"/>
                      <w:sz w:val="21"/>
                      <w:szCs w:val="21"/>
                      <w:highlight w:val="none"/>
                      <w:vertAlign w:val="baseline"/>
                      <w:lang w:val="en-US" w:eastAsia="zh-CN" w:bidi="ar-SA"/>
                    </w:rPr>
                    <w:t>。</w:t>
                  </w:r>
                </w:p>
                <w:p w14:paraId="06EA8A2C">
                  <w:pPr>
                    <w:keepNext w:val="0"/>
                    <w:keepLines w:val="0"/>
                    <w:pageBreakBefore w:val="0"/>
                    <w:widowControl/>
                    <w:suppressLineNumbers w:val="0"/>
                    <w:kinsoku/>
                    <w:wordWrap/>
                    <w:overflowPunct/>
                    <w:topLinePunct w:val="0"/>
                    <w:autoSpaceDE/>
                    <w:autoSpaceDN/>
                    <w:bidi w:val="0"/>
                    <w:adjustRightInd/>
                    <w:jc w:val="both"/>
                    <w:textAlignment w:val="auto"/>
                    <w:rPr>
                      <w:rFonts w:hint="default"/>
                      <w:lang w:val="en-US" w:eastAsia="zh-CN"/>
                    </w:rPr>
                  </w:pPr>
                  <w:r>
                    <w:rPr>
                      <w:rFonts w:hint="default" w:ascii="Times New Roman" w:hAnsi="Times New Roman" w:eastAsia="宋体" w:cs="Times New Roman"/>
                      <w:kern w:val="2"/>
                      <w:sz w:val="21"/>
                      <w:szCs w:val="21"/>
                      <w:highlight w:val="none"/>
                      <w:vertAlign w:val="baseline"/>
                      <w:lang w:val="en-US" w:eastAsia="zh-CN" w:bidi="ar-SA"/>
                    </w:rPr>
                    <w:t>〔A1.1-7〕</w:t>
                  </w:r>
                  <w:r>
                    <w:rPr>
                      <w:rFonts w:hint="eastAsia" w:ascii="Times New Roman" w:hAnsi="Times New Roman" w:eastAsia="宋体" w:cs="Times New Roman"/>
                      <w:kern w:val="2"/>
                      <w:sz w:val="21"/>
                      <w:szCs w:val="21"/>
                      <w:highlight w:val="none"/>
                      <w:vertAlign w:val="baseline"/>
                      <w:lang w:val="en-US" w:eastAsia="zh-CN" w:bidi="ar-SA"/>
                    </w:rPr>
                    <w:t>本项目不属于高耗能高排放项目、落后于产能，本项目严格执行总量控制要求，项目总量控制指标为颗粒物、VOCs，SO</w:t>
                  </w:r>
                  <w:r>
                    <w:rPr>
                      <w:rFonts w:hint="eastAsia" w:ascii="Times New Roman" w:hAnsi="Times New Roman" w:eastAsia="宋体" w:cs="Times New Roman"/>
                      <w:kern w:val="2"/>
                      <w:sz w:val="21"/>
                      <w:szCs w:val="21"/>
                      <w:highlight w:val="none"/>
                      <w:vertAlign w:val="subscript"/>
                      <w:lang w:val="en-US" w:eastAsia="zh-CN" w:bidi="ar-SA"/>
                    </w:rPr>
                    <w:t>2</w:t>
                  </w:r>
                  <w:r>
                    <w:rPr>
                      <w:rFonts w:hint="eastAsia" w:ascii="Times New Roman" w:hAnsi="Times New Roman" w:eastAsia="宋体" w:cs="Times New Roman"/>
                      <w:kern w:val="2"/>
                      <w:sz w:val="21"/>
                      <w:szCs w:val="21"/>
                      <w:highlight w:val="none"/>
                      <w:vertAlign w:val="baseline"/>
                      <w:lang w:val="en-US" w:eastAsia="zh-CN" w:bidi="ar-SA"/>
                    </w:rPr>
                    <w:t>、NO</w:t>
                  </w:r>
                  <w:r>
                    <w:rPr>
                      <w:rFonts w:hint="eastAsia" w:ascii="Times New Roman" w:hAnsi="Times New Roman" w:eastAsia="宋体" w:cs="Times New Roman"/>
                      <w:kern w:val="2"/>
                      <w:sz w:val="21"/>
                      <w:szCs w:val="21"/>
                      <w:highlight w:val="none"/>
                      <w:vertAlign w:val="subscript"/>
                      <w:lang w:val="en-US" w:eastAsia="zh-CN" w:bidi="ar-SA"/>
                    </w:rPr>
                    <w:t>x</w:t>
                  </w:r>
                  <w:r>
                    <w:rPr>
                      <w:rFonts w:hint="eastAsia" w:ascii="Times New Roman" w:hAnsi="Times New Roman" w:eastAsia="宋体" w:cs="Times New Roman"/>
                      <w:kern w:val="2"/>
                      <w:sz w:val="21"/>
                      <w:szCs w:val="21"/>
                      <w:highlight w:val="none"/>
                      <w:vertAlign w:val="baseline"/>
                      <w:lang w:val="en-US" w:eastAsia="zh-CN" w:bidi="ar-SA"/>
                    </w:rPr>
                    <w:t>实行倍量替代。</w:t>
                  </w:r>
                </w:p>
              </w:tc>
              <w:tc>
                <w:tcPr>
                  <w:tcW w:w="500" w:type="pct"/>
                  <w:tcBorders>
                    <w:top w:val="single" w:color="auto" w:sz="8" w:space="0"/>
                    <w:bottom w:val="single" w:color="auto" w:sz="6" w:space="0"/>
                  </w:tcBorders>
                  <w:noWrap w:val="0"/>
                  <w:vAlign w:val="center"/>
                </w:tcPr>
                <w:p w14:paraId="1F782952">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r w14:paraId="1F6E4567">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374" w:hRule="atLeast"/>
                <w:jc w:val="center"/>
              </w:trPr>
              <w:tc>
                <w:tcPr>
                  <w:tcW w:w="566" w:type="pct"/>
                  <w:tcBorders>
                    <w:top w:val="single" w:color="auto" w:sz="6" w:space="0"/>
                    <w:bottom w:val="single" w:color="auto" w:sz="6" w:space="0"/>
                  </w:tcBorders>
                  <w:noWrap w:val="0"/>
                  <w:vAlign w:val="center"/>
                </w:tcPr>
                <w:p w14:paraId="650AF0D8">
                  <w:pPr>
                    <w:numPr>
                      <w:ilvl w:val="0"/>
                      <w:numId w:val="0"/>
                    </w:numPr>
                    <w:autoSpaceDE w:val="0"/>
                    <w:autoSpaceDN w:val="0"/>
                    <w:adjustRightInd w:val="0"/>
                    <w:snapToGrid w:val="0"/>
                    <w:spacing w:line="240" w:lineRule="auto"/>
                    <w:jc w:val="center"/>
                    <w:rPr>
                      <w:rFonts w:hint="default" w:ascii="Times New Roman" w:hAnsi="Times New Roman" w:eastAsia="宋体" w:cs="Times New Roman"/>
                      <w:sz w:val="24"/>
                      <w:szCs w:val="24"/>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A2</w:t>
                  </w:r>
                  <w:r>
                    <w:rPr>
                      <w:rFonts w:hint="default" w:ascii="Times New Roman" w:hAnsi="Times New Roman" w:eastAsia="宋体" w:cs="Times New Roman"/>
                      <w:sz w:val="21"/>
                      <w:szCs w:val="21"/>
                      <w:highlight w:val="none"/>
                      <w:vertAlign w:val="baseline"/>
                      <w:lang w:val="en-US" w:eastAsia="zh-CN"/>
                    </w:rPr>
                    <w:t>污染物排放管控</w:t>
                  </w:r>
                </w:p>
              </w:tc>
              <w:tc>
                <w:tcPr>
                  <w:tcW w:w="2097" w:type="pct"/>
                  <w:tcBorders>
                    <w:top w:val="single" w:color="auto" w:sz="6" w:space="0"/>
                    <w:bottom w:val="single" w:color="auto" w:sz="6" w:space="0"/>
                  </w:tcBorders>
                  <w:noWrap w:val="0"/>
                  <w:vAlign w:val="center"/>
                </w:tcPr>
                <w:p w14:paraId="6F66542D">
                  <w:pPr>
                    <w:keepNext w:val="0"/>
                    <w:keepLines w:val="0"/>
                    <w:pageBreakBefore w:val="0"/>
                    <w:widowControl/>
                    <w:suppressLineNumbers w:val="0"/>
                    <w:kinsoku/>
                    <w:wordWrap/>
                    <w:overflowPunct/>
                    <w:topLinePunct w:val="0"/>
                    <w:bidi w:val="0"/>
                    <w:spacing w:line="240" w:lineRule="auto"/>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〔A2.1-1〕新、改、扩建重点行业建设项目应符合</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三线一单</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、产业政策、</w:t>
                  </w:r>
                  <w:r>
                    <w:rPr>
                      <w:rFonts w:hint="eastAsia" w:cs="Times New Roman"/>
                      <w:kern w:val="2"/>
                      <w:sz w:val="21"/>
                      <w:szCs w:val="21"/>
                      <w:highlight w:val="none"/>
                      <w:vertAlign w:val="baseline"/>
                      <w:lang w:val="en-US" w:eastAsia="zh-CN" w:bidi="ar-SA"/>
                    </w:rPr>
                    <w:t>区域</w:t>
                  </w:r>
                  <w:r>
                    <w:rPr>
                      <w:rFonts w:hint="default" w:ascii="Times New Roman" w:hAnsi="Times New Roman" w:eastAsia="宋体" w:cs="Times New Roman"/>
                      <w:kern w:val="2"/>
                      <w:sz w:val="21"/>
                      <w:szCs w:val="21"/>
                      <w:highlight w:val="none"/>
                      <w:vertAlign w:val="baseline"/>
                      <w:lang w:val="en-US" w:eastAsia="zh-CN" w:bidi="ar-SA"/>
                    </w:rPr>
                    <w:t>环评、规划环评和行业环境准入管控要求。重点区域的新、改、扩建重点行业建设项目应遵循重点重金属污染物排放</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减量替代</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原则。</w:t>
                  </w:r>
                </w:p>
                <w:p w14:paraId="4D297CBC">
                  <w:pPr>
                    <w:keepNext w:val="0"/>
                    <w:keepLines w:val="0"/>
                    <w:pageBreakBefore w:val="0"/>
                    <w:widowControl/>
                    <w:suppressLineNumbers w:val="0"/>
                    <w:kinsoku/>
                    <w:wordWrap/>
                    <w:overflowPunct/>
                    <w:topLinePunct w:val="0"/>
                    <w:bidi w:val="0"/>
                    <w:spacing w:line="240" w:lineRule="auto"/>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〔A2.1-4〕严控建材、铸造、冶炼等行业无组织排放</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推进石化化工、涂装、医药、包装印刷、油品储运销等行业项目挥发性有机物</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V</w:t>
                  </w:r>
                  <w:r>
                    <w:rPr>
                      <w:rFonts w:hint="eastAsia" w:ascii="Times New Roman" w:hAnsi="Times New Roman" w:eastAsia="宋体" w:cs="Times New Roman"/>
                      <w:kern w:val="2"/>
                      <w:sz w:val="21"/>
                      <w:szCs w:val="21"/>
                      <w:highlight w:val="none"/>
                      <w:vertAlign w:val="baseline"/>
                      <w:lang w:val="en-US" w:eastAsia="zh-CN" w:bidi="ar-SA"/>
                    </w:rPr>
                    <w:t>O</w:t>
                  </w:r>
                  <w:r>
                    <w:rPr>
                      <w:rFonts w:hint="default" w:ascii="Times New Roman" w:hAnsi="Times New Roman" w:eastAsia="宋体" w:cs="Times New Roman"/>
                      <w:kern w:val="2"/>
                      <w:sz w:val="21"/>
                      <w:szCs w:val="21"/>
                      <w:highlight w:val="none"/>
                      <w:vertAlign w:val="baseline"/>
                      <w:lang w:val="en-US" w:eastAsia="zh-CN" w:bidi="ar-SA"/>
                    </w:rPr>
                    <w:t>Cs</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防治。</w:t>
                  </w:r>
                </w:p>
                <w:p w14:paraId="1F5B5657">
                  <w:pPr>
                    <w:keepNext w:val="0"/>
                    <w:keepLines w:val="0"/>
                    <w:pageBreakBefore w:val="0"/>
                    <w:widowControl/>
                    <w:suppressLineNumbers w:val="0"/>
                    <w:kinsoku/>
                    <w:wordWrap/>
                    <w:overflowPunct/>
                    <w:topLinePunct w:val="0"/>
                    <w:bidi w:val="0"/>
                    <w:spacing w:line="240" w:lineRule="auto"/>
                    <w:jc w:val="both"/>
                    <w:textAlignment w:val="auto"/>
                    <w:rPr>
                      <w:rFonts w:hint="default"/>
                      <w:lang w:val="en-US" w:eastAsia="zh-CN"/>
                    </w:rPr>
                  </w:pPr>
                  <w:r>
                    <w:rPr>
                      <w:rFonts w:hint="default" w:ascii="Times New Roman" w:hAnsi="Times New Roman" w:eastAsia="宋体" w:cs="Times New Roman"/>
                      <w:kern w:val="2"/>
                      <w:sz w:val="21"/>
                      <w:szCs w:val="21"/>
                      <w:highlight w:val="none"/>
                      <w:vertAlign w:val="baseline"/>
                      <w:lang w:val="en-US" w:eastAsia="zh-CN" w:bidi="ar-SA"/>
                    </w:rPr>
                    <w:t>〔A2.2-3〕强化重点区域大气污染联防联控</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合理确定产业布局</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措施要推动区域内统一产业准入和排放标准。</w:t>
                  </w:r>
                  <w:r>
                    <w:rPr>
                      <w:rFonts w:hint="eastAsia" w:ascii="Times New Roman" w:hAnsi="Times New Roman" w:eastAsia="宋体" w:cs="Times New Roman"/>
                      <w:kern w:val="2"/>
                      <w:sz w:val="21"/>
                      <w:szCs w:val="21"/>
                      <w:highlight w:val="none"/>
                      <w:vertAlign w:val="baseline"/>
                      <w:lang w:val="en-US" w:eastAsia="zh-CN" w:bidi="ar-SA"/>
                    </w:rPr>
                    <w:t>推行燃气锅炉低氮燃烧改造。</w:t>
                  </w:r>
                </w:p>
              </w:tc>
              <w:tc>
                <w:tcPr>
                  <w:tcW w:w="1835" w:type="pct"/>
                  <w:tcBorders>
                    <w:top w:val="single" w:color="auto" w:sz="6" w:space="0"/>
                    <w:bottom w:val="single" w:color="auto" w:sz="6" w:space="0"/>
                  </w:tcBorders>
                  <w:noWrap w:val="0"/>
                  <w:vAlign w:val="center"/>
                </w:tcPr>
                <w:p w14:paraId="2D6057EC">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b w:val="0"/>
                      <w:bCs w:val="0"/>
                      <w:color w:val="000000"/>
                      <w:kern w:val="0"/>
                      <w:sz w:val="21"/>
                      <w:szCs w:val="21"/>
                      <w:highlight w:val="none"/>
                      <w:lang w:val="en-US" w:eastAsia="zh-CN" w:bidi="ar"/>
                    </w:rPr>
                  </w:pPr>
                  <w:r>
                    <w:rPr>
                      <w:rFonts w:hint="default" w:ascii="Times New Roman" w:hAnsi="Times New Roman" w:eastAsia="宋体" w:cs="Times New Roman"/>
                      <w:kern w:val="2"/>
                      <w:sz w:val="21"/>
                      <w:szCs w:val="21"/>
                      <w:highlight w:val="none"/>
                      <w:vertAlign w:val="baseline"/>
                      <w:lang w:val="en-US" w:eastAsia="zh-CN" w:bidi="ar-SA"/>
                    </w:rPr>
                    <w:t>〔A2.1-1〕</w:t>
                  </w:r>
                  <w:r>
                    <w:rPr>
                      <w:rFonts w:hint="eastAsia" w:ascii="Times New Roman" w:hAnsi="Times New Roman" w:eastAsia="宋体" w:cs="Times New Roman"/>
                      <w:kern w:val="2"/>
                      <w:sz w:val="21"/>
                      <w:szCs w:val="21"/>
                      <w:highlight w:val="none"/>
                      <w:vertAlign w:val="baseline"/>
                      <w:lang w:val="en-US" w:eastAsia="zh-CN" w:bidi="ar-SA"/>
                    </w:rPr>
                    <w:t>本项目符合“</w:t>
                  </w:r>
                  <w:r>
                    <w:rPr>
                      <w:rFonts w:hint="default" w:ascii="Times New Roman" w:hAnsi="Times New Roman" w:eastAsia="宋体" w:cs="Times New Roman"/>
                      <w:kern w:val="2"/>
                      <w:sz w:val="21"/>
                      <w:szCs w:val="21"/>
                      <w:highlight w:val="none"/>
                      <w:vertAlign w:val="baseline"/>
                      <w:lang w:val="en-US" w:eastAsia="zh-CN" w:bidi="ar-SA"/>
                    </w:rPr>
                    <w:t>三线一单</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、产业政策、</w:t>
                  </w:r>
                  <w:r>
                    <w:rPr>
                      <w:rFonts w:hint="eastAsia" w:cs="Times New Roman"/>
                      <w:kern w:val="2"/>
                      <w:sz w:val="21"/>
                      <w:szCs w:val="21"/>
                      <w:highlight w:val="none"/>
                      <w:vertAlign w:val="baseline"/>
                      <w:lang w:val="en-US" w:eastAsia="zh-CN" w:bidi="ar-SA"/>
                    </w:rPr>
                    <w:t>区域</w:t>
                  </w:r>
                  <w:r>
                    <w:rPr>
                      <w:rFonts w:hint="default" w:ascii="Times New Roman" w:hAnsi="Times New Roman" w:eastAsia="宋体" w:cs="Times New Roman"/>
                      <w:kern w:val="2"/>
                      <w:sz w:val="21"/>
                      <w:szCs w:val="21"/>
                      <w:highlight w:val="none"/>
                      <w:vertAlign w:val="baseline"/>
                      <w:lang w:val="en-US" w:eastAsia="zh-CN" w:bidi="ar-SA"/>
                    </w:rPr>
                    <w:t>环评、规划环评和行业环境准入管控要求</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b w:val="0"/>
                      <w:bCs w:val="0"/>
                      <w:color w:val="000000"/>
                      <w:kern w:val="0"/>
                      <w:sz w:val="21"/>
                      <w:szCs w:val="21"/>
                      <w:highlight w:val="none"/>
                      <w:lang w:val="en-US" w:eastAsia="zh-CN" w:bidi="ar"/>
                    </w:rPr>
                    <w:t>本项目</w:t>
                  </w:r>
                  <w:r>
                    <w:rPr>
                      <w:rFonts w:hint="eastAsia" w:ascii="Times New Roman" w:hAnsi="Times New Roman" w:eastAsia="宋体" w:cs="Times New Roman"/>
                      <w:b w:val="0"/>
                      <w:bCs w:val="0"/>
                      <w:color w:val="000000"/>
                      <w:kern w:val="0"/>
                      <w:sz w:val="21"/>
                      <w:szCs w:val="21"/>
                      <w:highlight w:val="none"/>
                      <w:lang w:val="en-US" w:eastAsia="zh-CN" w:bidi="ar"/>
                    </w:rPr>
                    <w:t>严格执行总量控制要求，项目</w:t>
                  </w:r>
                  <w:r>
                    <w:rPr>
                      <w:rFonts w:hint="default" w:ascii="Times New Roman" w:hAnsi="Times New Roman" w:eastAsia="宋体" w:cs="Times New Roman"/>
                      <w:b w:val="0"/>
                      <w:bCs w:val="0"/>
                      <w:color w:val="000000"/>
                      <w:kern w:val="0"/>
                      <w:sz w:val="21"/>
                      <w:szCs w:val="21"/>
                      <w:highlight w:val="none"/>
                      <w:lang w:val="en-US" w:eastAsia="zh-CN" w:bidi="ar"/>
                    </w:rPr>
                    <w:t>总量控制指标为颗粒物、VOCs，</w:t>
                  </w:r>
                  <w:r>
                    <w:rPr>
                      <w:rFonts w:hint="default" w:ascii="Times New Roman" w:hAnsi="Times New Roman" w:eastAsia="宋体" w:cs="Times New Roman"/>
                      <w:b w:val="0"/>
                      <w:bCs w:val="0"/>
                      <w:sz w:val="21"/>
                      <w:szCs w:val="21"/>
                      <w:highlight w:val="none"/>
                      <w:vertAlign w:val="baseline"/>
                      <w:lang w:val="en-US" w:eastAsia="zh-CN"/>
                    </w:rPr>
                    <w:t>SO</w:t>
                  </w:r>
                  <w:r>
                    <w:rPr>
                      <w:rFonts w:hint="default" w:ascii="Times New Roman" w:hAnsi="Times New Roman" w:eastAsia="宋体" w:cs="Times New Roman"/>
                      <w:b w:val="0"/>
                      <w:bCs w:val="0"/>
                      <w:sz w:val="21"/>
                      <w:szCs w:val="21"/>
                      <w:highlight w:val="none"/>
                      <w:vertAlign w:val="subscript"/>
                      <w:lang w:val="en-US" w:eastAsia="zh-CN"/>
                    </w:rPr>
                    <w:t>2</w:t>
                  </w:r>
                  <w:r>
                    <w:rPr>
                      <w:rFonts w:hint="default" w:ascii="Times New Roman" w:hAnsi="Times New Roman" w:eastAsia="宋体" w:cs="Times New Roman"/>
                      <w:b w:val="0"/>
                      <w:bCs w:val="0"/>
                      <w:sz w:val="21"/>
                      <w:szCs w:val="21"/>
                      <w:highlight w:val="none"/>
                      <w:vertAlign w:val="baseline"/>
                      <w:lang w:val="en-US" w:eastAsia="zh-CN"/>
                    </w:rPr>
                    <w:t>、NO</w:t>
                  </w:r>
                  <w:r>
                    <w:rPr>
                      <w:rFonts w:hint="default" w:ascii="Times New Roman" w:hAnsi="Times New Roman" w:eastAsia="宋体" w:cs="Times New Roman"/>
                      <w:b w:val="0"/>
                      <w:bCs w:val="0"/>
                      <w:sz w:val="21"/>
                      <w:szCs w:val="21"/>
                      <w:highlight w:val="none"/>
                      <w:vertAlign w:val="subscript"/>
                      <w:lang w:val="en-US" w:eastAsia="zh-CN"/>
                    </w:rPr>
                    <w:t>x</w:t>
                  </w:r>
                  <w:r>
                    <w:rPr>
                      <w:rFonts w:hint="default" w:ascii="Times New Roman" w:hAnsi="Times New Roman" w:eastAsia="宋体" w:cs="Times New Roman"/>
                      <w:b w:val="0"/>
                      <w:bCs w:val="0"/>
                      <w:color w:val="000000"/>
                      <w:kern w:val="0"/>
                      <w:sz w:val="21"/>
                      <w:szCs w:val="21"/>
                      <w:highlight w:val="none"/>
                      <w:lang w:val="en-US" w:eastAsia="zh-CN" w:bidi="ar"/>
                    </w:rPr>
                    <w:t>实行倍量替代。</w:t>
                  </w:r>
                </w:p>
                <w:p w14:paraId="082737FF">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〔A2.1-4〕</w:t>
                  </w:r>
                  <w:r>
                    <w:rPr>
                      <w:rFonts w:hint="eastAsia" w:ascii="Times New Roman" w:hAnsi="Times New Roman" w:eastAsia="宋体" w:cs="Times New Roman"/>
                      <w:kern w:val="2"/>
                      <w:sz w:val="21"/>
                      <w:szCs w:val="21"/>
                      <w:highlight w:val="none"/>
                      <w:vertAlign w:val="baseline"/>
                      <w:lang w:val="en-US" w:eastAsia="zh-CN" w:bidi="ar-SA"/>
                    </w:rPr>
                    <w:t>本项目生产线位于</w:t>
                  </w:r>
                  <w:r>
                    <w:rPr>
                      <w:rFonts w:hint="default" w:ascii="Times New Roman" w:hAnsi="Times New Roman" w:eastAsia="宋体" w:cs="Times New Roman"/>
                      <w:kern w:val="2"/>
                      <w:sz w:val="21"/>
                      <w:szCs w:val="21"/>
                      <w:highlight w:val="none"/>
                      <w:vertAlign w:val="baseline"/>
                      <w:lang w:val="en-US" w:eastAsia="zh-CN" w:bidi="ar-SA"/>
                    </w:rPr>
                    <w:t>封闭式车间内，沥青储存于密闭储罐，输送过程全密闭；改性剂、石粉存放于车间密闭储罐内；搅拌、浸涂、覆膜生产过程废气采取了集气罩收集，无可见烟气外溢</w:t>
                  </w:r>
                  <w:r>
                    <w:rPr>
                      <w:rFonts w:hint="eastAsia" w:ascii="Times New Roman" w:hAnsi="Times New Roman" w:eastAsia="宋体" w:cs="Times New Roman"/>
                      <w:kern w:val="2"/>
                      <w:sz w:val="21"/>
                      <w:szCs w:val="21"/>
                      <w:highlight w:val="none"/>
                      <w:vertAlign w:val="baseline"/>
                      <w:lang w:val="en-US" w:eastAsia="zh-CN" w:bidi="ar-SA"/>
                    </w:rPr>
                    <w:t>。</w:t>
                  </w:r>
                </w:p>
                <w:p w14:paraId="3B053929">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b/>
                      <w:bCs/>
                      <w:kern w:val="2"/>
                      <w:sz w:val="21"/>
                      <w:szCs w:val="32"/>
                      <w:highlight w:val="no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〔A2.2-3〕</w:t>
                  </w:r>
                  <w:r>
                    <w:rPr>
                      <w:rFonts w:hint="default" w:ascii="Times New Roman" w:hAnsi="Times New Roman" w:eastAsia="宋体" w:cs="Times New Roman"/>
                      <w:sz w:val="21"/>
                      <w:szCs w:val="21"/>
                      <w:highlight w:val="none"/>
                      <w:vertAlign w:val="baseline"/>
                      <w:lang w:val="en-US" w:eastAsia="zh-CN"/>
                    </w:rPr>
                    <w:t>本项目严格执行自治区、乌昌石片区总体准入要求中关于重点管控单元</w:t>
                  </w:r>
                  <w:r>
                    <w:rPr>
                      <w:rFonts w:hint="eastAsia" w:ascii="Times New Roman" w:hAnsi="Times New Roman" w:eastAsia="宋体" w:cs="Times New Roman"/>
                      <w:sz w:val="21"/>
                      <w:szCs w:val="21"/>
                      <w:highlight w:val="none"/>
                      <w:vertAlign w:val="baseline"/>
                      <w:lang w:val="en-US" w:eastAsia="zh-CN"/>
                    </w:rPr>
                    <w:t>污染控制措施要求。项目导热油锅炉采用低氮燃烧，实现氮氧化物超低排放。</w:t>
                  </w:r>
                </w:p>
              </w:tc>
              <w:tc>
                <w:tcPr>
                  <w:tcW w:w="500" w:type="pct"/>
                  <w:tcBorders>
                    <w:top w:val="single" w:color="auto" w:sz="6" w:space="0"/>
                    <w:bottom w:val="single" w:color="auto" w:sz="6" w:space="0"/>
                  </w:tcBorders>
                  <w:noWrap w:val="0"/>
                  <w:vAlign w:val="center"/>
                </w:tcPr>
                <w:p w14:paraId="208BF7E5">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r w14:paraId="4B01457C">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374" w:hRule="atLeast"/>
                <w:jc w:val="center"/>
              </w:trPr>
              <w:tc>
                <w:tcPr>
                  <w:tcW w:w="566" w:type="pct"/>
                  <w:tcBorders>
                    <w:top w:val="single" w:color="auto" w:sz="6" w:space="0"/>
                    <w:bottom w:val="single" w:color="auto" w:sz="6" w:space="0"/>
                  </w:tcBorders>
                  <w:noWrap w:val="0"/>
                  <w:vAlign w:val="center"/>
                </w:tcPr>
                <w:p w14:paraId="0E4AB6C0">
                  <w:pPr>
                    <w:numPr>
                      <w:ilvl w:val="0"/>
                      <w:numId w:val="0"/>
                    </w:numPr>
                    <w:autoSpaceDE w:val="0"/>
                    <w:autoSpaceDN w:val="0"/>
                    <w:adjustRightInd w:val="0"/>
                    <w:snapToGrid w:val="0"/>
                    <w:spacing w:line="240" w:lineRule="auto"/>
                    <w:jc w:val="center"/>
                    <w:rPr>
                      <w:rFonts w:hint="default" w:ascii="Times New Roman" w:hAnsi="Times New Roman" w:eastAsia="宋体" w:cs="Times New Roman"/>
                      <w:sz w:val="24"/>
                      <w:szCs w:val="24"/>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A3</w:t>
                  </w:r>
                  <w:r>
                    <w:rPr>
                      <w:rFonts w:hint="default" w:ascii="Times New Roman" w:hAnsi="Times New Roman" w:eastAsia="宋体" w:cs="Times New Roman"/>
                      <w:sz w:val="21"/>
                      <w:szCs w:val="21"/>
                      <w:highlight w:val="none"/>
                      <w:vertAlign w:val="baseline"/>
                      <w:lang w:val="en-US" w:eastAsia="zh-CN"/>
                    </w:rPr>
                    <w:t>环境风险防控</w:t>
                  </w:r>
                </w:p>
              </w:tc>
              <w:tc>
                <w:tcPr>
                  <w:tcW w:w="2097" w:type="pct"/>
                  <w:tcBorders>
                    <w:top w:val="single" w:color="auto" w:sz="6" w:space="0"/>
                    <w:bottom w:val="single" w:color="auto" w:sz="6" w:space="0"/>
                  </w:tcBorders>
                  <w:noWrap w:val="0"/>
                  <w:vAlign w:val="center"/>
                </w:tcPr>
                <w:p w14:paraId="214778F2">
                  <w:pPr>
                    <w:keepNext w:val="0"/>
                    <w:keepLines w:val="0"/>
                    <w:pageBreakBefore w:val="0"/>
                    <w:widowControl/>
                    <w:suppressLineNumbers w:val="0"/>
                    <w:kinsoku/>
                    <w:wordWrap/>
                    <w:overflowPunct/>
                    <w:topLinePunct w:val="0"/>
                    <w:bidi w:val="0"/>
                    <w:spacing w:line="240" w:lineRule="auto"/>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〔A3.2-5〕强化生态环境应急管理。实施企业突发生态环境应急预案电子化备案</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完成县级以上政府突发环境事件应急预案修编。完善</w:t>
                  </w:r>
                  <w:r>
                    <w:rPr>
                      <w:rFonts w:hint="eastAsia" w:cs="Times New Roman"/>
                      <w:kern w:val="2"/>
                      <w:sz w:val="21"/>
                      <w:szCs w:val="21"/>
                      <w:highlight w:val="none"/>
                      <w:vertAlign w:val="baseline"/>
                      <w:lang w:val="en-US" w:eastAsia="zh-CN" w:bidi="ar-SA"/>
                    </w:rPr>
                    <w:t>区域</w:t>
                  </w:r>
                  <w:r>
                    <w:rPr>
                      <w:rFonts w:hint="default" w:ascii="Times New Roman" w:hAnsi="Times New Roman" w:eastAsia="宋体" w:cs="Times New Roman"/>
                      <w:kern w:val="2"/>
                      <w:sz w:val="21"/>
                      <w:szCs w:val="21"/>
                      <w:highlight w:val="none"/>
                      <w:vertAlign w:val="baseline"/>
                      <w:lang w:val="en-US" w:eastAsia="zh-CN" w:bidi="ar-SA"/>
                    </w:rPr>
                    <w:t>和企业应急处置物资储备系统</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结合新疆各地特征污染物的特性</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加强应急物资储备及应急物资信息化建设</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掌握社会应急物资储备动态信息</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妥善应对各类突发生态环境事件。加强应急监测装备配置</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定期开展应急演练</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增强实战能力。</w:t>
                  </w:r>
                </w:p>
              </w:tc>
              <w:tc>
                <w:tcPr>
                  <w:tcW w:w="1835" w:type="pct"/>
                  <w:tcBorders>
                    <w:top w:val="single" w:color="auto" w:sz="6" w:space="0"/>
                    <w:bottom w:val="single" w:color="auto" w:sz="6" w:space="0"/>
                  </w:tcBorders>
                  <w:noWrap w:val="0"/>
                  <w:vAlign w:val="center"/>
                </w:tcPr>
                <w:p w14:paraId="581A487D">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〔A3.2-5〕</w:t>
                  </w:r>
                  <w:r>
                    <w:rPr>
                      <w:rFonts w:hint="default" w:ascii="Times New Roman" w:hAnsi="Times New Roman" w:eastAsia="宋体" w:cs="Times New Roman"/>
                      <w:sz w:val="21"/>
                      <w:szCs w:val="21"/>
                      <w:highlight w:val="none"/>
                      <w:vertAlign w:val="baseline"/>
                      <w:lang w:val="en-US" w:eastAsia="zh-CN"/>
                    </w:rPr>
                    <w:t>本项目正常运营后编制环境风险应急预案，并与园区及周边企业建立</w:t>
                  </w:r>
                  <w:r>
                    <w:rPr>
                      <w:rFonts w:hint="eastAsia" w:cs="Times New Roman"/>
                      <w:sz w:val="21"/>
                      <w:szCs w:val="21"/>
                      <w:highlight w:val="none"/>
                      <w:vertAlign w:val="baseline"/>
                      <w:lang w:val="en-US" w:eastAsia="zh-CN"/>
                    </w:rPr>
                    <w:t>应急</w:t>
                  </w:r>
                  <w:r>
                    <w:rPr>
                      <w:rFonts w:hint="default" w:ascii="Times New Roman" w:hAnsi="Times New Roman" w:eastAsia="宋体" w:cs="Times New Roman"/>
                      <w:sz w:val="21"/>
                      <w:szCs w:val="21"/>
                      <w:highlight w:val="none"/>
                      <w:vertAlign w:val="baseline"/>
                      <w:lang w:val="en-US" w:eastAsia="zh-CN"/>
                    </w:rPr>
                    <w:t>联动机制，并设置应急物资库，配备相应应急物资，</w:t>
                  </w:r>
                  <w:r>
                    <w:rPr>
                      <w:rFonts w:hint="eastAsia" w:ascii="Times New Roman" w:hAnsi="Times New Roman" w:eastAsia="宋体" w:cs="Times New Roman"/>
                      <w:sz w:val="21"/>
                      <w:szCs w:val="21"/>
                      <w:highlight w:val="none"/>
                      <w:vertAlign w:val="baseline"/>
                      <w:lang w:val="en-US" w:eastAsia="zh-CN"/>
                    </w:rPr>
                    <w:t>应急监测设备，</w:t>
                  </w:r>
                  <w:r>
                    <w:rPr>
                      <w:rFonts w:hint="default" w:ascii="Times New Roman" w:hAnsi="Times New Roman" w:eastAsia="宋体" w:cs="Times New Roman"/>
                      <w:sz w:val="21"/>
                      <w:szCs w:val="21"/>
                      <w:highlight w:val="none"/>
                      <w:vertAlign w:val="baseline"/>
                      <w:lang w:val="en-US" w:eastAsia="zh-CN"/>
                    </w:rPr>
                    <w:t>定期组织应急演练，以便发生突发环境风险事件时能快速妥善处置。本项目符合环境风险防控的相关要求。</w:t>
                  </w:r>
                </w:p>
              </w:tc>
              <w:tc>
                <w:tcPr>
                  <w:tcW w:w="500" w:type="pct"/>
                  <w:tcBorders>
                    <w:top w:val="single" w:color="auto" w:sz="6" w:space="0"/>
                    <w:bottom w:val="single" w:color="auto" w:sz="6" w:space="0"/>
                  </w:tcBorders>
                  <w:noWrap w:val="0"/>
                  <w:vAlign w:val="center"/>
                </w:tcPr>
                <w:p w14:paraId="02BC932D">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r w14:paraId="360357EC">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90" w:hRule="atLeast"/>
                <w:jc w:val="center"/>
              </w:trPr>
              <w:tc>
                <w:tcPr>
                  <w:tcW w:w="566" w:type="pct"/>
                  <w:tcBorders>
                    <w:top w:val="single" w:color="auto" w:sz="6" w:space="0"/>
                  </w:tcBorders>
                  <w:noWrap w:val="0"/>
                  <w:vAlign w:val="center"/>
                </w:tcPr>
                <w:p w14:paraId="2AB2B44F">
                  <w:pPr>
                    <w:numPr>
                      <w:ilvl w:val="0"/>
                      <w:numId w:val="0"/>
                    </w:numPr>
                    <w:autoSpaceDE w:val="0"/>
                    <w:autoSpaceDN w:val="0"/>
                    <w:adjustRightInd w:val="0"/>
                    <w:snapToGrid w:val="0"/>
                    <w:spacing w:line="240" w:lineRule="auto"/>
                    <w:jc w:val="center"/>
                    <w:rPr>
                      <w:rFonts w:hint="default" w:ascii="Times New Roman" w:hAnsi="Times New Roman" w:eastAsia="宋体" w:cs="Times New Roman"/>
                      <w:sz w:val="24"/>
                      <w:szCs w:val="24"/>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A4</w:t>
                  </w:r>
                  <w:r>
                    <w:rPr>
                      <w:rFonts w:hint="default" w:ascii="Times New Roman" w:hAnsi="Times New Roman" w:eastAsia="宋体" w:cs="Times New Roman"/>
                      <w:sz w:val="21"/>
                      <w:szCs w:val="21"/>
                      <w:highlight w:val="none"/>
                      <w:vertAlign w:val="baseline"/>
                      <w:lang w:val="en-US" w:eastAsia="zh-CN"/>
                    </w:rPr>
                    <w:t>资源利用</w:t>
                  </w:r>
                  <w:r>
                    <w:rPr>
                      <w:rFonts w:hint="eastAsia" w:ascii="Times New Roman" w:hAnsi="Times New Roman" w:eastAsia="宋体" w:cs="Times New Roman"/>
                      <w:sz w:val="21"/>
                      <w:szCs w:val="21"/>
                      <w:highlight w:val="none"/>
                      <w:vertAlign w:val="baseline"/>
                      <w:lang w:val="en-US" w:eastAsia="zh-CN"/>
                    </w:rPr>
                    <w:t>要求</w:t>
                  </w:r>
                </w:p>
              </w:tc>
              <w:tc>
                <w:tcPr>
                  <w:tcW w:w="2097" w:type="pct"/>
                  <w:tcBorders>
                    <w:top w:val="single" w:color="auto" w:sz="6" w:space="0"/>
                  </w:tcBorders>
                  <w:noWrap w:val="0"/>
                  <w:vAlign w:val="center"/>
                </w:tcPr>
                <w:p w14:paraId="79E7B664">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〔A4.3-4〕鼓励使用清洁能源或电厂热力、工业余热等替代锅炉、炉窑燃料用煤。</w:t>
                  </w:r>
                </w:p>
                <w:p w14:paraId="5BE73BC6">
                  <w:pPr>
                    <w:keepNext w:val="0"/>
                    <w:keepLines w:val="0"/>
                    <w:pageBreakBefore w:val="0"/>
                    <w:widowControl/>
                    <w:suppressLineNumbers w:val="0"/>
                    <w:kinsoku/>
                    <w:wordWrap/>
                    <w:overflowPunct/>
                    <w:topLinePunct w:val="0"/>
                    <w:bidi w:val="0"/>
                    <w:jc w:val="both"/>
                    <w:textAlignment w:val="auto"/>
                    <w:rPr>
                      <w:rFonts w:hint="default"/>
                      <w:lang w:val="en-US" w:eastAsia="zh-CN"/>
                    </w:rPr>
                  </w:pPr>
                  <w:r>
                    <w:rPr>
                      <w:rFonts w:hint="default" w:ascii="Times New Roman" w:hAnsi="Times New Roman" w:eastAsia="宋体" w:cs="Times New Roman"/>
                      <w:kern w:val="2"/>
                      <w:sz w:val="21"/>
                      <w:szCs w:val="21"/>
                      <w:highlight w:val="none"/>
                      <w:vertAlign w:val="baseline"/>
                      <w:lang w:val="en-US" w:eastAsia="zh-CN" w:bidi="ar-SA"/>
                    </w:rPr>
                    <w:t>〔A4.5-1〕加强固体废物源头减量、资源化利用和无害化处置，最大限度减少填埋量。推进工业固体废物精细化、名录化环境管理，促进大宗工业固废综合利用、主要农业废弃物全量利用。</w:t>
                  </w:r>
                </w:p>
              </w:tc>
              <w:tc>
                <w:tcPr>
                  <w:tcW w:w="1835" w:type="pct"/>
                  <w:tcBorders>
                    <w:top w:val="single" w:color="auto" w:sz="6" w:space="0"/>
                  </w:tcBorders>
                  <w:noWrap w:val="0"/>
                  <w:vAlign w:val="center"/>
                </w:tcPr>
                <w:p w14:paraId="0B07A306">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kern w:val="2"/>
                      <w:sz w:val="21"/>
                      <w:szCs w:val="21"/>
                      <w:highlight w:val="none"/>
                      <w:vertAlign w:val="baseline"/>
                      <w:lang w:val="en-US" w:eastAsia="zh-CN" w:bidi="ar-SA"/>
                    </w:rPr>
                    <w:t>〔A4.3-4〕</w:t>
                  </w:r>
                  <w:r>
                    <w:rPr>
                      <w:rFonts w:hint="default" w:ascii="Times New Roman" w:hAnsi="Times New Roman" w:eastAsia="宋体" w:cs="Times New Roman"/>
                      <w:sz w:val="21"/>
                      <w:szCs w:val="21"/>
                      <w:highlight w:val="none"/>
                      <w:vertAlign w:val="baseline"/>
                      <w:lang w:val="en-US" w:eastAsia="zh-CN"/>
                    </w:rPr>
                    <w:t>本项目</w:t>
                  </w:r>
                  <w:r>
                    <w:rPr>
                      <w:rFonts w:hint="eastAsia" w:ascii="Times New Roman" w:hAnsi="Times New Roman" w:eastAsia="宋体" w:cs="Times New Roman"/>
                      <w:sz w:val="21"/>
                      <w:szCs w:val="21"/>
                      <w:highlight w:val="none"/>
                      <w:vertAlign w:val="baseline"/>
                      <w:lang w:val="en-US" w:eastAsia="zh-CN"/>
                    </w:rPr>
                    <w:t>导热油炉使用天然气作为燃料，不涉及煤炭使用</w:t>
                  </w:r>
                  <w:r>
                    <w:rPr>
                      <w:rFonts w:hint="default" w:ascii="Times New Roman" w:hAnsi="Times New Roman" w:eastAsia="宋体" w:cs="Times New Roman"/>
                      <w:sz w:val="21"/>
                      <w:szCs w:val="21"/>
                      <w:highlight w:val="none"/>
                      <w:vertAlign w:val="baseline"/>
                      <w:lang w:val="en-US" w:eastAsia="zh-CN"/>
                    </w:rPr>
                    <w:t>。</w:t>
                  </w:r>
                </w:p>
                <w:p w14:paraId="278721DC">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both"/>
                    <w:textAlignment w:val="auto"/>
                    <w:rPr>
                      <w:rFonts w:hint="default"/>
                      <w:lang w:val="en-US" w:eastAsia="zh-CN"/>
                    </w:rPr>
                  </w:pPr>
                  <w:r>
                    <w:rPr>
                      <w:rFonts w:hint="default" w:ascii="Times New Roman" w:hAnsi="Times New Roman" w:eastAsia="宋体" w:cs="Times New Roman"/>
                      <w:kern w:val="2"/>
                      <w:sz w:val="21"/>
                      <w:szCs w:val="21"/>
                      <w:highlight w:val="none"/>
                      <w:vertAlign w:val="baseline"/>
                      <w:lang w:val="en-US" w:eastAsia="zh-CN" w:bidi="ar-SA"/>
                    </w:rPr>
                    <w:t>〔A4.5-1〕</w:t>
                  </w:r>
                  <w:r>
                    <w:rPr>
                      <w:rFonts w:hint="eastAsia" w:ascii="Times New Roman" w:hAnsi="Times New Roman" w:eastAsia="宋体" w:cs="Times New Roman"/>
                      <w:kern w:val="2"/>
                      <w:sz w:val="21"/>
                      <w:szCs w:val="21"/>
                      <w:highlight w:val="none"/>
                      <w:vertAlign w:val="baseline"/>
                      <w:lang w:val="en-US" w:eastAsia="zh-CN" w:bidi="ar-SA"/>
                    </w:rPr>
                    <w:t>本项目废弃包装收集后统一外售给资源回收部门</w:t>
                  </w:r>
                  <w:r>
                    <w:rPr>
                      <w:rFonts w:hint="eastAsia" w:cs="Times New Roman"/>
                      <w:kern w:val="2"/>
                      <w:sz w:val="21"/>
                      <w:szCs w:val="21"/>
                      <w:highlight w:val="none"/>
                      <w:vertAlign w:val="baseline"/>
                      <w:lang w:val="en-US" w:eastAsia="zh-CN" w:bidi="ar-SA"/>
                    </w:rPr>
                    <w:t>；</w:t>
                  </w:r>
                  <w:r>
                    <w:rPr>
                      <w:rFonts w:hint="eastAsia" w:cs="Times New Roman"/>
                      <w:sz w:val="21"/>
                      <w:szCs w:val="21"/>
                      <w:highlight w:val="none"/>
                      <w:vertAlign w:val="baseline"/>
                      <w:lang w:val="en-US" w:eastAsia="zh-CN"/>
                    </w:rPr>
                    <w:t>废沥青油集中收集后回用于生产；废活性炭、沉渣、废润滑油</w:t>
                  </w:r>
                  <w:r>
                    <w:rPr>
                      <w:rFonts w:hint="eastAsia" w:ascii="Times New Roman" w:hAnsi="Times New Roman" w:eastAsia="宋体" w:cs="Times New Roman"/>
                      <w:sz w:val="21"/>
                      <w:szCs w:val="21"/>
                      <w:highlight w:val="none"/>
                      <w:vertAlign w:val="baseline"/>
                      <w:lang w:val="en-US" w:eastAsia="zh-CN"/>
                    </w:rPr>
                    <w:t>定期委托有资质的单位处理；</w:t>
                  </w:r>
                  <w:r>
                    <w:rPr>
                      <w:rFonts w:hint="eastAsia" w:ascii="Times New Roman" w:hAnsi="Times New Roman" w:eastAsia="宋体" w:cs="Times New Roman"/>
                      <w:kern w:val="2"/>
                      <w:sz w:val="21"/>
                      <w:szCs w:val="21"/>
                      <w:highlight w:val="none"/>
                      <w:vertAlign w:val="baseline"/>
                      <w:lang w:val="en-US" w:eastAsia="zh-CN" w:bidi="ar-SA"/>
                    </w:rPr>
                    <w:t>生活垃圾集中收集后由环卫部门统一清运。</w:t>
                  </w:r>
                  <w:r>
                    <w:rPr>
                      <w:rFonts w:hint="default" w:ascii="Times New Roman" w:hAnsi="Times New Roman" w:eastAsia="宋体" w:cs="Times New Roman"/>
                      <w:kern w:val="2"/>
                      <w:sz w:val="21"/>
                      <w:szCs w:val="21"/>
                      <w:highlight w:val="none"/>
                      <w:vertAlign w:val="baseline"/>
                      <w:lang w:val="en-US" w:eastAsia="zh-CN" w:bidi="ar-SA"/>
                    </w:rPr>
                    <w:t>本项目采取的环保措施能确保污染物对环境质量影响降到最小。</w:t>
                  </w:r>
                </w:p>
              </w:tc>
              <w:tc>
                <w:tcPr>
                  <w:tcW w:w="500" w:type="pct"/>
                  <w:tcBorders>
                    <w:top w:val="single" w:color="auto" w:sz="6" w:space="0"/>
                  </w:tcBorders>
                  <w:noWrap w:val="0"/>
                  <w:vAlign w:val="center"/>
                </w:tcPr>
                <w:p w14:paraId="223B2D0F">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bl>
          <w:p w14:paraId="288E4EBC">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jc w:val="both"/>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b/>
                <w:bCs/>
                <w:kern w:val="0"/>
                <w:sz w:val="24"/>
                <w:szCs w:val="24"/>
                <w:highlight w:val="none"/>
                <w:lang w:val="en-US" w:eastAsia="zh-CN"/>
              </w:rPr>
              <w:t xml:space="preserve">4 </w:t>
            </w:r>
            <w:r>
              <w:rPr>
                <w:rFonts w:hint="eastAsia" w:ascii="Times New Roman" w:hAnsi="Times New Roman" w:cs="Times New Roman"/>
                <w:b/>
                <w:bCs/>
                <w:kern w:val="0"/>
                <w:sz w:val="24"/>
                <w:szCs w:val="24"/>
                <w:highlight w:val="none"/>
                <w:lang w:val="en-US" w:eastAsia="zh-CN"/>
              </w:rPr>
              <w:t>与《关于发布〈昌吉回族自治州生态环境分区管控动态更新成果〉的公告》</w:t>
            </w:r>
            <w:r>
              <w:rPr>
                <w:rFonts w:hint="default" w:ascii="Times New Roman" w:hAnsi="Times New Roman" w:cs="Times New Roman"/>
                <w:b/>
                <w:bCs/>
                <w:kern w:val="0"/>
                <w:sz w:val="24"/>
                <w:szCs w:val="24"/>
                <w:highlight w:val="none"/>
                <w:lang w:val="en-US" w:eastAsia="zh-CN"/>
              </w:rPr>
              <w:t>符合性分析</w:t>
            </w:r>
          </w:p>
          <w:p w14:paraId="02F624A8">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根据《</w:t>
            </w:r>
            <w:r>
              <w:rPr>
                <w:rFonts w:hint="eastAsia" w:ascii="Times New Roman" w:hAnsi="Times New Roman" w:eastAsia="宋体" w:cs="Times New Roman"/>
                <w:sz w:val="24"/>
                <w:szCs w:val="24"/>
                <w:highlight w:val="none"/>
                <w:lang w:val="en-US" w:eastAsia="zh-CN"/>
              </w:rPr>
              <w:t>关于发布</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昌吉回族自治州生态环境分区管控动态更新成果</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的公告</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文件</w:t>
            </w:r>
            <w:r>
              <w:rPr>
                <w:rFonts w:hint="default" w:ascii="Times New Roman" w:hAnsi="Times New Roman" w:eastAsia="宋体" w:cs="Times New Roman"/>
                <w:sz w:val="24"/>
                <w:szCs w:val="24"/>
                <w:highlight w:val="none"/>
                <w:lang w:val="en-US" w:eastAsia="zh-CN"/>
              </w:rPr>
              <w:t>，本项目属于</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ZH65230120002昌吉高新技术产业开发区—重点管控单元</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。本项目与《</w:t>
            </w:r>
            <w:r>
              <w:rPr>
                <w:rFonts w:hint="eastAsia" w:ascii="Times New Roman" w:hAnsi="Times New Roman" w:eastAsia="宋体" w:cs="Times New Roman"/>
                <w:sz w:val="24"/>
                <w:szCs w:val="24"/>
                <w:highlight w:val="none"/>
                <w:lang w:val="en-US" w:eastAsia="zh-CN"/>
              </w:rPr>
              <w:t>关于发布</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昌吉回族自治州生态环境分区管控动态更新成果</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的公告</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文件</w:t>
            </w:r>
            <w:r>
              <w:rPr>
                <w:rFonts w:hint="default" w:ascii="Times New Roman" w:hAnsi="Times New Roman" w:eastAsia="宋体" w:cs="Times New Roman"/>
                <w:sz w:val="24"/>
                <w:szCs w:val="24"/>
                <w:highlight w:val="none"/>
                <w:lang w:val="en-US" w:eastAsia="zh-CN"/>
              </w:rPr>
              <w:t>相符性分析具体见表1-</w:t>
            </w:r>
            <w:r>
              <w:rPr>
                <w:rFonts w:hint="eastAsia"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lang w:val="en-US" w:eastAsia="zh-CN"/>
              </w:rPr>
              <w:t>。</w:t>
            </w:r>
          </w:p>
          <w:p w14:paraId="1D45FDBA">
            <w:pPr>
              <w:numPr>
                <w:ilvl w:val="0"/>
                <w:numId w:val="0"/>
              </w:numPr>
              <w:adjustRightInd w:val="0"/>
              <w:snapToGrid w:val="0"/>
              <w:spacing w:line="240" w:lineRule="auto"/>
              <w:jc w:val="center"/>
              <w:rPr>
                <w:rFonts w:hint="default"/>
                <w:highlight w:val="none"/>
                <w:lang w:val="en-US" w:eastAsia="zh-CN"/>
              </w:rPr>
            </w:pPr>
            <w:r>
              <w:rPr>
                <w:rFonts w:hint="default" w:ascii="Times New Roman" w:hAnsi="Times New Roman" w:eastAsia="宋体" w:cs="Times New Roman"/>
                <w:b/>
                <w:bCs/>
                <w:sz w:val="21"/>
                <w:szCs w:val="21"/>
                <w:highlight w:val="none"/>
                <w:lang w:val="en-US" w:eastAsia="zh-CN"/>
              </w:rPr>
              <w:t>表1-</w:t>
            </w:r>
            <w:r>
              <w:rPr>
                <w:rFonts w:hint="eastAsia" w:ascii="Times New Roman" w:hAnsi="Times New Roman" w:eastAsia="宋体" w:cs="Times New Roman"/>
                <w:b/>
                <w:bCs/>
                <w:sz w:val="21"/>
                <w:szCs w:val="21"/>
                <w:highlight w:val="none"/>
                <w:lang w:val="en-US" w:eastAsia="zh-CN"/>
              </w:rPr>
              <w:t xml:space="preserve">3    </w:t>
            </w:r>
            <w:r>
              <w:rPr>
                <w:rFonts w:hint="default" w:ascii="Times New Roman" w:hAnsi="Times New Roman" w:eastAsia="宋体" w:cs="Times New Roman"/>
                <w:b/>
                <w:bCs/>
                <w:sz w:val="21"/>
                <w:szCs w:val="21"/>
                <w:highlight w:val="none"/>
                <w:lang w:val="en-US" w:eastAsia="zh-CN"/>
              </w:rPr>
              <w:t xml:space="preserve"> 项目与《关于发布〈昌吉回族自治州生态环境分区管控动态更新成果〉的公告》符合性分析一览表</w:t>
            </w:r>
          </w:p>
          <w:tbl>
            <w:tblPr>
              <w:tblStyle w:val="20"/>
              <w:tblW w:w="4999" w:type="pct"/>
              <w:jc w:val="center"/>
              <w:tblBorders>
                <w:top w:val="single" w:color="auto" w:sz="8" w:space="0"/>
                <w:left w:val="none" w:color="auto" w:sz="0" w:space="0"/>
                <w:bottom w:val="single" w:color="auto" w:sz="8" w:space="0"/>
                <w:right w:val="none" w:color="auto" w:sz="0" w:space="0"/>
                <w:insideH w:val="none" w:color="auto" w:sz="0" w:space="0"/>
                <w:insideV w:val="single" w:color="auto" w:sz="6" w:space="0"/>
              </w:tblBorders>
              <w:tblLayout w:type="autofit"/>
              <w:tblCellMar>
                <w:top w:w="0" w:type="dxa"/>
                <w:left w:w="108" w:type="dxa"/>
                <w:bottom w:w="0" w:type="dxa"/>
                <w:right w:w="108" w:type="dxa"/>
              </w:tblCellMar>
            </w:tblPr>
            <w:tblGrid>
              <w:gridCol w:w="868"/>
              <w:gridCol w:w="623"/>
              <w:gridCol w:w="2704"/>
              <w:gridCol w:w="2704"/>
              <w:gridCol w:w="769"/>
            </w:tblGrid>
            <w:tr w14:paraId="08CC1534">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374" w:hRule="atLeast"/>
                <w:jc w:val="center"/>
              </w:trPr>
              <w:tc>
                <w:tcPr>
                  <w:tcW w:w="566" w:type="pct"/>
                  <w:tcBorders>
                    <w:bottom w:val="single" w:color="auto" w:sz="8" w:space="0"/>
                  </w:tcBorders>
                  <w:noWrap w:val="0"/>
                  <w:vAlign w:val="center"/>
                </w:tcPr>
                <w:p w14:paraId="06F44187">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en-US" w:eastAsia="zh-CN"/>
                    </w:rPr>
                    <w:t>管控单元名称</w:t>
                  </w:r>
                </w:p>
              </w:tc>
              <w:tc>
                <w:tcPr>
                  <w:tcW w:w="2169" w:type="pct"/>
                  <w:gridSpan w:val="2"/>
                  <w:tcBorders>
                    <w:bottom w:val="single" w:color="auto" w:sz="8" w:space="0"/>
                  </w:tcBorders>
                  <w:noWrap w:val="0"/>
                  <w:vAlign w:val="center"/>
                </w:tcPr>
                <w:p w14:paraId="3104B4A1">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en-US" w:eastAsia="zh-CN"/>
                    </w:rPr>
                    <w:t>管控要求</w:t>
                  </w:r>
                </w:p>
              </w:tc>
              <w:tc>
                <w:tcPr>
                  <w:tcW w:w="1763" w:type="pct"/>
                  <w:tcBorders>
                    <w:bottom w:val="single" w:color="auto" w:sz="8" w:space="0"/>
                  </w:tcBorders>
                  <w:noWrap w:val="0"/>
                  <w:vAlign w:val="center"/>
                </w:tcPr>
                <w:p w14:paraId="5839F79A">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en-US" w:eastAsia="zh-CN"/>
                    </w:rPr>
                    <w:t>项目情况</w:t>
                  </w:r>
                </w:p>
              </w:tc>
              <w:tc>
                <w:tcPr>
                  <w:tcW w:w="501" w:type="pct"/>
                  <w:tcBorders>
                    <w:bottom w:val="single" w:color="auto" w:sz="8" w:space="0"/>
                  </w:tcBorders>
                  <w:noWrap w:val="0"/>
                  <w:vAlign w:val="center"/>
                </w:tcPr>
                <w:p w14:paraId="0B9EA60D">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en-US" w:eastAsia="zh-CN"/>
                    </w:rPr>
                    <w:t>符合性</w:t>
                  </w:r>
                </w:p>
              </w:tc>
            </w:tr>
            <w:tr w14:paraId="4E875D1F">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90" w:hRule="atLeast"/>
                <w:jc w:val="center"/>
              </w:trPr>
              <w:tc>
                <w:tcPr>
                  <w:tcW w:w="566" w:type="pct"/>
                  <w:vMerge w:val="restart"/>
                  <w:tcBorders>
                    <w:top w:val="single" w:color="auto" w:sz="8" w:space="0"/>
                    <w:bottom w:val="single" w:color="auto" w:sz="6" w:space="0"/>
                  </w:tcBorders>
                  <w:noWrap w:val="0"/>
                  <w:vAlign w:val="center"/>
                </w:tcPr>
                <w:p w14:paraId="77164EE0">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sz w:val="24"/>
                      <w:szCs w:val="24"/>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昌吉高新技术产业开发区</w:t>
                  </w:r>
                </w:p>
              </w:tc>
              <w:tc>
                <w:tcPr>
                  <w:tcW w:w="406" w:type="pct"/>
                  <w:tcBorders>
                    <w:top w:val="single" w:color="auto" w:sz="8" w:space="0"/>
                    <w:bottom w:val="single" w:color="auto" w:sz="6" w:space="0"/>
                  </w:tcBorders>
                  <w:noWrap w:val="0"/>
                  <w:vAlign w:val="center"/>
                </w:tcPr>
                <w:p w14:paraId="1F8DC14D">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空间布局约束</w:t>
                  </w:r>
                </w:p>
              </w:tc>
              <w:tc>
                <w:tcPr>
                  <w:tcW w:w="1763" w:type="pct"/>
                  <w:tcBorders>
                    <w:top w:val="single" w:color="auto" w:sz="8" w:space="0"/>
                    <w:bottom w:val="single" w:color="auto" w:sz="6" w:space="0"/>
                  </w:tcBorders>
                  <w:noWrap w:val="0"/>
                  <w:vAlign w:val="center"/>
                </w:tcPr>
                <w:p w14:paraId="0F217A38">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1、入园企业需符合园区产业发展定位、布局规划等要求。</w:t>
                  </w:r>
                </w:p>
                <w:p w14:paraId="1DB1F2B3">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2、入园企业需符合国土</w:t>
                  </w:r>
                  <w:r>
                    <w:rPr>
                      <w:rFonts w:hint="eastAsia" w:cs="Times New Roman"/>
                      <w:sz w:val="21"/>
                      <w:szCs w:val="21"/>
                      <w:highlight w:val="none"/>
                      <w:vertAlign w:val="baseline"/>
                      <w:lang w:val="en-US" w:eastAsia="zh-CN"/>
                    </w:rPr>
                    <w:t>空间规划</w:t>
                  </w:r>
                  <w:r>
                    <w:rPr>
                      <w:rFonts w:hint="default" w:ascii="Times New Roman" w:hAnsi="Times New Roman" w:eastAsia="宋体" w:cs="Times New Roman"/>
                      <w:sz w:val="21"/>
                      <w:szCs w:val="21"/>
                      <w:highlight w:val="none"/>
                      <w:vertAlign w:val="baseline"/>
                      <w:lang w:val="en-US" w:eastAsia="zh-CN"/>
                    </w:rPr>
                    <w:t>布局及土地利用等相关要求。</w:t>
                  </w:r>
                </w:p>
                <w:p w14:paraId="7C4C635A">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 xml:space="preserve">3、园区入驻项目需满足《新疆维吾尔自治区重点行业环境准入条件（2017 年修订）》相关要求。 </w:t>
                  </w:r>
                </w:p>
                <w:p w14:paraId="60EAE323">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 xml:space="preserve">4、园区入驻项目需严格执行园区规划及规划环评相关要求。 </w:t>
                  </w:r>
                </w:p>
                <w:p w14:paraId="03F39AAF">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5、除国家规定新增原料用能不纳入能源消费总量控制的项目和列入国家规划的项目 外，</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乌-昌-石</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等重点区域原则不再新建、扩建使用燃料用煤项目。</w:t>
                  </w:r>
                </w:p>
              </w:tc>
              <w:tc>
                <w:tcPr>
                  <w:tcW w:w="1763" w:type="pct"/>
                  <w:tcBorders>
                    <w:top w:val="single" w:color="auto" w:sz="8" w:space="0"/>
                    <w:bottom w:val="single" w:color="auto" w:sz="6" w:space="0"/>
                  </w:tcBorders>
                  <w:noWrap w:val="0"/>
                  <w:vAlign w:val="center"/>
                </w:tcPr>
                <w:p w14:paraId="31A65DF3">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1</w:t>
                  </w:r>
                  <w:r>
                    <w:rPr>
                      <w:rFonts w:hint="default" w:ascii="Times New Roman" w:hAnsi="Times New Roman" w:eastAsia="宋体" w:cs="Times New Roman"/>
                      <w:color w:val="auto"/>
                      <w:kern w:val="0"/>
                      <w:sz w:val="21"/>
                      <w:szCs w:val="21"/>
                      <w:highlight w:val="none"/>
                      <w:lang w:val="en-US" w:eastAsia="zh-CN" w:bidi="ar"/>
                    </w:rPr>
                    <w:t>、本项目属于防水</w:t>
                  </w:r>
                  <w:r>
                    <w:rPr>
                      <w:rFonts w:hint="eastAsia" w:cs="Times New Roman"/>
                      <w:color w:val="auto"/>
                      <w:kern w:val="0"/>
                      <w:sz w:val="21"/>
                      <w:szCs w:val="21"/>
                      <w:highlight w:val="none"/>
                      <w:lang w:val="en-US" w:eastAsia="zh-CN" w:bidi="ar"/>
                    </w:rPr>
                    <w:t>建筑</w:t>
                  </w:r>
                  <w:r>
                    <w:rPr>
                      <w:rFonts w:hint="default" w:ascii="Times New Roman" w:hAnsi="Times New Roman" w:eastAsia="宋体" w:cs="Times New Roman"/>
                      <w:color w:val="auto"/>
                      <w:kern w:val="0"/>
                      <w:sz w:val="21"/>
                      <w:szCs w:val="21"/>
                      <w:highlight w:val="none"/>
                      <w:lang w:val="en-US" w:eastAsia="zh-CN" w:bidi="ar"/>
                    </w:rPr>
                    <w:t>材料制造</w:t>
                  </w:r>
                  <w:r>
                    <w:rPr>
                      <w:rFonts w:hint="eastAsia" w:ascii="Times New Roman" w:hAnsi="Times New Roman" w:cs="Times New Roman"/>
                      <w:b w:val="0"/>
                      <w:bCs w:val="0"/>
                      <w:color w:val="auto"/>
                      <w:kern w:val="0"/>
                      <w:sz w:val="21"/>
                      <w:szCs w:val="21"/>
                      <w:highlight w:val="none"/>
                      <w:vertAlign w:val="baseline"/>
                      <w:lang w:val="en-US" w:eastAsia="zh-CN"/>
                    </w:rPr>
                    <w:t>，</w:t>
                  </w:r>
                  <w:r>
                    <w:rPr>
                      <w:rFonts w:hint="eastAsia" w:cs="Times New Roman"/>
                      <w:b w:val="0"/>
                      <w:bCs w:val="0"/>
                      <w:color w:val="auto"/>
                      <w:kern w:val="0"/>
                      <w:sz w:val="21"/>
                      <w:szCs w:val="21"/>
                      <w:highlight w:val="none"/>
                      <w:vertAlign w:val="baseline"/>
                      <w:lang w:val="en-US" w:eastAsia="zh-CN"/>
                    </w:rPr>
                    <w:t>符合园区的园区建材、新材料、绿色建材产业发展定位</w:t>
                  </w:r>
                  <w:r>
                    <w:rPr>
                      <w:rFonts w:hint="default" w:ascii="Times New Roman" w:hAnsi="Times New Roman" w:eastAsia="宋体" w:cs="Times New Roman"/>
                      <w:color w:val="auto"/>
                      <w:kern w:val="0"/>
                      <w:sz w:val="21"/>
                      <w:szCs w:val="21"/>
                      <w:highlight w:val="none"/>
                      <w:lang w:val="en-US" w:eastAsia="zh-CN" w:bidi="ar"/>
                    </w:rPr>
                    <w:t>。</w:t>
                  </w:r>
                </w:p>
                <w:p w14:paraId="1E2A8A7A">
                  <w:pPr>
                    <w:keepNext w:val="0"/>
                    <w:keepLines w:val="0"/>
                    <w:pageBreakBefore w:val="0"/>
                    <w:widowControl/>
                    <w:suppressLineNumbers w:val="0"/>
                    <w:kinsoku/>
                    <w:wordWrap/>
                    <w:overflowPunct/>
                    <w:topLinePunct w:val="0"/>
                    <w:bidi w:val="0"/>
                    <w:jc w:val="both"/>
                    <w:textAlignment w:val="auto"/>
                    <w:rPr>
                      <w:rFonts w:hint="eastAsia"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lang w:val="en-US" w:eastAsia="zh-CN" w:bidi="ar"/>
                    </w:rPr>
                    <w:t>2、本项目属于防水建筑材料制造，位于新疆昌吉州昌吉市高新技术产业开发区东四路与科荟路交叉口东南方向98m，符合建材类园区布局与国土空间工业用地</w:t>
                  </w:r>
                </w:p>
                <w:p w14:paraId="4FC5CBC2">
                  <w:pPr>
                    <w:pStyle w:val="3"/>
                    <w:rPr>
                      <w:rFonts w:hint="default"/>
                      <w:b w:val="0"/>
                      <w:bCs w:val="0"/>
                      <w:highlight w:val="none"/>
                      <w:lang w:val="en-US"/>
                    </w:rPr>
                  </w:pPr>
                  <w:r>
                    <w:rPr>
                      <w:rFonts w:hint="eastAsia"/>
                      <w:b w:val="0"/>
                      <w:bCs w:val="0"/>
                      <w:highlight w:val="none"/>
                      <w:lang w:val="en-US" w:eastAsia="zh-CN"/>
                    </w:rPr>
                    <w:t>3、</w:t>
                  </w:r>
                  <w:r>
                    <w:rPr>
                      <w:rFonts w:hint="default" w:ascii="Times New Roman" w:hAnsi="Times New Roman" w:eastAsia="宋体" w:cs="Times New Roman"/>
                      <w:b w:val="0"/>
                      <w:bCs w:val="0"/>
                      <w:kern w:val="2"/>
                      <w:sz w:val="21"/>
                      <w:szCs w:val="21"/>
                      <w:highlight w:val="none"/>
                      <w:vertAlign w:val="baseline"/>
                      <w:lang w:val="en-US" w:eastAsia="zh-CN" w:bidi="ar-SA"/>
                    </w:rPr>
                    <w:t>本项目</w:t>
                  </w:r>
                  <w:r>
                    <w:rPr>
                      <w:rFonts w:hint="eastAsia" w:cs="Times New Roman"/>
                      <w:b w:val="0"/>
                      <w:bCs w:val="0"/>
                      <w:kern w:val="2"/>
                      <w:sz w:val="21"/>
                      <w:szCs w:val="21"/>
                      <w:highlight w:val="none"/>
                      <w:vertAlign w:val="baseline"/>
                      <w:lang w:val="en-US" w:eastAsia="zh-CN" w:bidi="ar-SA"/>
                    </w:rPr>
                    <w:t>为</w:t>
                  </w:r>
                  <w:r>
                    <w:rPr>
                      <w:rFonts w:hint="default" w:ascii="Times New Roman" w:hAnsi="Times New Roman" w:eastAsia="宋体" w:cs="Times New Roman"/>
                      <w:b w:val="0"/>
                      <w:bCs w:val="0"/>
                      <w:kern w:val="2"/>
                      <w:sz w:val="21"/>
                      <w:szCs w:val="21"/>
                      <w:highlight w:val="none"/>
                      <w:vertAlign w:val="baseline"/>
                      <w:lang w:val="en-US" w:eastAsia="zh-CN" w:bidi="ar-SA"/>
                    </w:rPr>
                    <w:t>防水</w:t>
                  </w:r>
                  <w:r>
                    <w:rPr>
                      <w:rFonts w:hint="eastAsia" w:ascii="Times New Roman" w:hAnsi="Times New Roman" w:eastAsia="宋体" w:cs="Times New Roman"/>
                      <w:b w:val="0"/>
                      <w:bCs w:val="0"/>
                      <w:kern w:val="2"/>
                      <w:sz w:val="21"/>
                      <w:szCs w:val="21"/>
                      <w:highlight w:val="none"/>
                      <w:vertAlign w:val="baseline"/>
                      <w:lang w:val="en-US" w:eastAsia="zh-CN" w:bidi="ar-SA"/>
                    </w:rPr>
                    <w:t>建筑</w:t>
                  </w:r>
                  <w:r>
                    <w:rPr>
                      <w:rFonts w:hint="default" w:ascii="Times New Roman" w:hAnsi="Times New Roman" w:eastAsia="宋体" w:cs="Times New Roman"/>
                      <w:b w:val="0"/>
                      <w:bCs w:val="0"/>
                      <w:kern w:val="2"/>
                      <w:sz w:val="21"/>
                      <w:szCs w:val="21"/>
                      <w:highlight w:val="none"/>
                      <w:vertAlign w:val="baseline"/>
                      <w:lang w:val="en-US" w:eastAsia="zh-CN" w:bidi="ar-SA"/>
                    </w:rPr>
                    <w:t>材料制造</w:t>
                  </w:r>
                  <w:r>
                    <w:rPr>
                      <w:rFonts w:hint="eastAsia" w:ascii="Times New Roman" w:hAnsi="Times New Roman" w:eastAsia="宋体" w:cs="Times New Roman"/>
                      <w:b w:val="0"/>
                      <w:bCs w:val="0"/>
                      <w:kern w:val="2"/>
                      <w:sz w:val="21"/>
                      <w:szCs w:val="21"/>
                      <w:highlight w:val="none"/>
                      <w:vertAlign w:val="baseline"/>
                      <w:lang w:val="en-US" w:eastAsia="zh-CN" w:bidi="ar-SA"/>
                    </w:rPr>
                    <w:t>，</w:t>
                  </w:r>
                  <w:r>
                    <w:rPr>
                      <w:rFonts w:hint="eastAsia"/>
                      <w:b w:val="0"/>
                      <w:bCs w:val="0"/>
                      <w:highlight w:val="none"/>
                      <w:lang w:val="en-US" w:eastAsia="zh-CN"/>
                    </w:rPr>
                    <w:t>不属于</w:t>
                  </w:r>
                  <w:r>
                    <w:rPr>
                      <w:rFonts w:hint="default"/>
                      <w:b w:val="0"/>
                      <w:bCs w:val="0"/>
                      <w:highlight w:val="none"/>
                      <w:lang w:val="en-US" w:eastAsia="zh-CN"/>
                    </w:rPr>
                    <w:t>《新疆维吾尔自治区重点行业环境准入条件</w:t>
                  </w:r>
                  <w:r>
                    <w:rPr>
                      <w:rFonts w:hint="eastAsia"/>
                      <w:b w:val="0"/>
                      <w:bCs w:val="0"/>
                      <w:highlight w:val="none"/>
                      <w:lang w:val="en-US" w:eastAsia="zh-CN"/>
                    </w:rPr>
                    <w:t>中所列的行业。</w:t>
                  </w:r>
                </w:p>
                <w:p w14:paraId="735D04B1">
                  <w:pPr>
                    <w:keepNext w:val="0"/>
                    <w:keepLines w:val="0"/>
                    <w:pageBreakBefore w:val="0"/>
                    <w:widowControl/>
                    <w:suppressLineNumbers w:val="0"/>
                    <w:kinsoku/>
                    <w:wordWrap/>
                    <w:overflowPunct/>
                    <w:topLinePunct w:val="0"/>
                    <w:bidi w:val="0"/>
                    <w:jc w:val="both"/>
                    <w:textAlignment w:val="auto"/>
                    <w:rPr>
                      <w:rFonts w:hint="default" w:ascii="Times New Roman" w:hAnsi="Times New Roman" w:cs="Times New Roman"/>
                      <w:sz w:val="21"/>
                      <w:szCs w:val="21"/>
                      <w:highlight w:val="none"/>
                    </w:rPr>
                  </w:pPr>
                  <w:r>
                    <w:rPr>
                      <w:rFonts w:hint="eastAsia" w:ascii="Times New Roman" w:hAnsi="Times New Roman" w:eastAsia="宋体" w:cs="Times New Roman"/>
                      <w:color w:val="000000"/>
                      <w:kern w:val="0"/>
                      <w:sz w:val="21"/>
                      <w:szCs w:val="21"/>
                      <w:highlight w:val="none"/>
                      <w:lang w:val="en-US" w:eastAsia="zh-CN" w:bidi="ar"/>
                    </w:rPr>
                    <w:t>4</w:t>
                  </w:r>
                  <w:r>
                    <w:rPr>
                      <w:rFonts w:hint="default" w:ascii="Times New Roman" w:hAnsi="Times New Roman" w:eastAsia="宋体" w:cs="Times New Roman"/>
                      <w:color w:val="000000"/>
                      <w:kern w:val="0"/>
                      <w:sz w:val="21"/>
                      <w:szCs w:val="21"/>
                      <w:highlight w:val="none"/>
                      <w:lang w:val="en-US" w:eastAsia="zh-CN" w:bidi="ar"/>
                    </w:rPr>
                    <w:t>、本项目</w:t>
                  </w:r>
                  <w:r>
                    <w:rPr>
                      <w:rFonts w:hint="default" w:ascii="Times New Roman" w:hAnsi="Times New Roman" w:eastAsia="宋体" w:cs="Times New Roman"/>
                      <w:sz w:val="21"/>
                      <w:szCs w:val="21"/>
                      <w:highlight w:val="none"/>
                      <w:vertAlign w:val="baseline"/>
                      <w:lang w:val="en-US" w:eastAsia="zh-CN"/>
                    </w:rPr>
                    <w:t>严格执行园区规划及规划环评相关要求</w:t>
                  </w:r>
                  <w:r>
                    <w:rPr>
                      <w:rFonts w:hint="default" w:ascii="Times New Roman" w:hAnsi="Times New Roman" w:eastAsia="宋体" w:cs="Times New Roman"/>
                      <w:color w:val="000000"/>
                      <w:kern w:val="0"/>
                      <w:sz w:val="21"/>
                      <w:szCs w:val="21"/>
                      <w:highlight w:val="none"/>
                      <w:lang w:val="en-US" w:eastAsia="zh-CN" w:bidi="ar"/>
                    </w:rPr>
                    <w:t>。</w:t>
                  </w:r>
                </w:p>
                <w:p w14:paraId="33BB074E">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eastAsia" w:ascii="Times New Roman" w:hAnsi="Times New Roman" w:eastAsia="宋体" w:cs="Times New Roman"/>
                      <w:color w:val="000000"/>
                      <w:kern w:val="0"/>
                      <w:sz w:val="21"/>
                      <w:szCs w:val="21"/>
                      <w:highlight w:val="none"/>
                      <w:lang w:val="en-US" w:eastAsia="zh-CN" w:bidi="ar"/>
                    </w:rPr>
                    <w:t>5</w:t>
                  </w:r>
                  <w:r>
                    <w:rPr>
                      <w:rFonts w:hint="default" w:ascii="Times New Roman" w:hAnsi="Times New Roman" w:eastAsia="宋体" w:cs="Times New Roman"/>
                      <w:color w:val="000000"/>
                      <w:kern w:val="0"/>
                      <w:sz w:val="21"/>
                      <w:szCs w:val="21"/>
                      <w:highlight w:val="none"/>
                      <w:lang w:val="en-US" w:eastAsia="zh-CN" w:bidi="ar"/>
                    </w:rPr>
                    <w:t>、本项目</w:t>
                  </w:r>
                  <w:r>
                    <w:rPr>
                      <w:rFonts w:hint="eastAsia" w:ascii="Times New Roman" w:hAnsi="Times New Roman" w:eastAsia="宋体" w:cs="Times New Roman"/>
                      <w:color w:val="000000"/>
                      <w:kern w:val="0"/>
                      <w:sz w:val="21"/>
                      <w:szCs w:val="21"/>
                      <w:highlight w:val="none"/>
                      <w:lang w:val="en-US" w:eastAsia="zh-CN" w:bidi="ar"/>
                    </w:rPr>
                    <w:t>导热油炉使用天然气作为燃料</w:t>
                  </w:r>
                  <w:r>
                    <w:rPr>
                      <w:rFonts w:hint="default" w:ascii="Times New Roman" w:hAnsi="Times New Roman" w:eastAsia="宋体" w:cs="Times New Roman"/>
                      <w:color w:val="000000"/>
                      <w:kern w:val="0"/>
                      <w:sz w:val="21"/>
                      <w:szCs w:val="21"/>
                      <w:highlight w:val="none"/>
                      <w:lang w:val="en-US" w:eastAsia="zh-CN" w:bidi="ar"/>
                    </w:rPr>
                    <w:t>。</w:t>
                  </w:r>
                </w:p>
              </w:tc>
              <w:tc>
                <w:tcPr>
                  <w:tcW w:w="501" w:type="pct"/>
                  <w:tcBorders>
                    <w:top w:val="single" w:color="auto" w:sz="8" w:space="0"/>
                    <w:bottom w:val="single" w:color="auto" w:sz="6" w:space="0"/>
                  </w:tcBorders>
                  <w:noWrap w:val="0"/>
                  <w:vAlign w:val="center"/>
                </w:tcPr>
                <w:p w14:paraId="56FE1AAA">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r w14:paraId="7C15F350">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374" w:hRule="atLeast"/>
                <w:jc w:val="center"/>
              </w:trPr>
              <w:tc>
                <w:tcPr>
                  <w:tcW w:w="566" w:type="pct"/>
                  <w:vMerge w:val="continue"/>
                  <w:tcBorders>
                    <w:top w:val="single" w:color="auto" w:sz="6" w:space="0"/>
                    <w:bottom w:val="single" w:color="auto" w:sz="6" w:space="0"/>
                  </w:tcBorders>
                  <w:noWrap w:val="0"/>
                  <w:vAlign w:val="center"/>
                </w:tcPr>
                <w:p w14:paraId="3253C64C">
                  <w:pPr>
                    <w:numPr>
                      <w:ilvl w:val="0"/>
                      <w:numId w:val="0"/>
                    </w:numPr>
                    <w:autoSpaceDE w:val="0"/>
                    <w:autoSpaceDN w:val="0"/>
                    <w:adjustRightInd w:val="0"/>
                    <w:snapToGrid w:val="0"/>
                    <w:spacing w:line="360" w:lineRule="auto"/>
                    <w:jc w:val="center"/>
                    <w:rPr>
                      <w:rFonts w:hint="default" w:ascii="Times New Roman" w:hAnsi="Times New Roman" w:eastAsia="宋体" w:cs="Times New Roman"/>
                      <w:sz w:val="24"/>
                      <w:szCs w:val="24"/>
                      <w:highlight w:val="none"/>
                      <w:vertAlign w:val="baseline"/>
                      <w:lang w:val="en-US" w:eastAsia="zh-CN"/>
                    </w:rPr>
                  </w:pPr>
                </w:p>
              </w:tc>
              <w:tc>
                <w:tcPr>
                  <w:tcW w:w="406" w:type="pct"/>
                  <w:tcBorders>
                    <w:top w:val="single" w:color="auto" w:sz="6" w:space="0"/>
                    <w:bottom w:val="single" w:color="auto" w:sz="6" w:space="0"/>
                  </w:tcBorders>
                  <w:noWrap w:val="0"/>
                  <w:vAlign w:val="center"/>
                </w:tcPr>
                <w:p w14:paraId="629B0A1D">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污染物排放管控</w:t>
                  </w:r>
                </w:p>
              </w:tc>
              <w:tc>
                <w:tcPr>
                  <w:tcW w:w="1763" w:type="pct"/>
                  <w:tcBorders>
                    <w:top w:val="single" w:color="auto" w:sz="6" w:space="0"/>
                    <w:bottom w:val="single" w:color="auto" w:sz="6" w:space="0"/>
                  </w:tcBorders>
                  <w:noWrap w:val="0"/>
                  <w:vAlign w:val="center"/>
                </w:tcPr>
                <w:p w14:paraId="722A14B2">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1、聚焦采暖期重污染天气治理，加大重点区域、重点行业结构调整和污染治理力度。</w:t>
                  </w:r>
                </w:p>
                <w:p w14:paraId="21C46DF5">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2、新（改、扩）建项目应执行最严格的大气污染物排放标准。</w:t>
                  </w:r>
                </w:p>
                <w:p w14:paraId="59D3BEE3">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3、</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乌-昌-石</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区域内，已实施超低排放的涉气排污单位，其实施超低排放改造的污染因子执行超低排放限值，其他污染因子执行特别排放限值和特别控制要求。</w:t>
                  </w:r>
                </w:p>
                <w:p w14:paraId="409D7AF0">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4、推动园区企业绿色发展，严格落实水污染物排放标准。</w:t>
                  </w:r>
                </w:p>
                <w:p w14:paraId="561E4E32">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5、严格实施污染物排放总量控制要求；全面深化面源污染治理，积极推进绿色施工。</w:t>
                  </w:r>
                </w:p>
              </w:tc>
              <w:tc>
                <w:tcPr>
                  <w:tcW w:w="1763" w:type="pct"/>
                  <w:tcBorders>
                    <w:top w:val="single" w:color="auto" w:sz="6" w:space="0"/>
                    <w:bottom w:val="single" w:color="auto" w:sz="6" w:space="0"/>
                  </w:tcBorders>
                  <w:noWrap w:val="0"/>
                  <w:vAlign w:val="center"/>
                </w:tcPr>
                <w:p w14:paraId="3C6AE973">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1、</w:t>
                  </w:r>
                  <w:r>
                    <w:rPr>
                      <w:rFonts w:hint="default" w:ascii="Times New Roman" w:hAnsi="Times New Roman" w:eastAsia="宋体" w:cs="Times New Roman"/>
                      <w:sz w:val="21"/>
                      <w:szCs w:val="21"/>
                      <w:highlight w:val="none"/>
                      <w:vertAlign w:val="baseline"/>
                      <w:lang w:val="en-US" w:eastAsia="zh-CN"/>
                    </w:rPr>
                    <w:t>本项目严格执行自治区、乌昌石片区总体准入要求中关于重点管控单元</w:t>
                  </w:r>
                  <w:r>
                    <w:rPr>
                      <w:rFonts w:hint="eastAsia" w:ascii="Times New Roman" w:hAnsi="Times New Roman" w:eastAsia="宋体" w:cs="Times New Roman"/>
                      <w:sz w:val="21"/>
                      <w:szCs w:val="21"/>
                      <w:highlight w:val="none"/>
                      <w:vertAlign w:val="baseline"/>
                      <w:lang w:val="en-US" w:eastAsia="zh-CN"/>
                    </w:rPr>
                    <w:t>污染控制措施要求。</w:t>
                  </w:r>
                </w:p>
                <w:p w14:paraId="4ACD7A8A">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2、本项目有组织废气执行</w:t>
                  </w:r>
                  <w:r>
                    <w:rPr>
                      <w:rFonts w:hint="eastAsia" w:cs="Times New Roman"/>
                      <w:color w:val="000000"/>
                      <w:kern w:val="0"/>
                      <w:sz w:val="21"/>
                      <w:szCs w:val="21"/>
                      <w:highlight w:val="none"/>
                      <w:lang w:val="en-US" w:eastAsia="zh-CN" w:bidi="ar"/>
                    </w:rPr>
                    <w:t>《涂料、油墨及胶粘剂工业大气污染物排放标准》（GB37824-2019）</w:t>
                  </w:r>
                  <w:r>
                    <w:rPr>
                      <w:rFonts w:hint="default" w:ascii="Times New Roman" w:hAnsi="Times New Roman" w:eastAsia="宋体" w:cs="Times New Roman"/>
                      <w:color w:val="000000"/>
                      <w:kern w:val="0"/>
                      <w:sz w:val="21"/>
                      <w:szCs w:val="21"/>
                      <w:highlight w:val="none"/>
                      <w:lang w:val="en-US" w:eastAsia="zh-CN" w:bidi="ar"/>
                    </w:rPr>
                    <w:t>《大气污染物综合排放标准》（GB 16297-1996）</w:t>
                  </w:r>
                  <w:r>
                    <w:rPr>
                      <w:rFonts w:hint="eastAsia" w:ascii="Times New Roman" w:hAnsi="Times New Roman" w:eastAsia="宋体" w:cs="Times New Roman"/>
                      <w:color w:val="000000"/>
                      <w:kern w:val="0"/>
                      <w:sz w:val="21"/>
                      <w:szCs w:val="21"/>
                      <w:highlight w:val="none"/>
                      <w:lang w:val="en-US" w:eastAsia="zh-CN" w:bidi="ar"/>
                    </w:rPr>
                    <w:t>、《锅炉大气污染物排放标准》（GB13271-2014）中重点区域排放限值与《关于开展昌吉州2022年度夏秋季大气污染防治“冬病夏治”有关工作的通知》（昌吉州环委办发〔2022〕18 号）要求</w:t>
                  </w:r>
                  <w:r>
                    <w:rPr>
                      <w:rFonts w:hint="default" w:ascii="Times New Roman" w:hAnsi="Times New Roman" w:eastAsia="宋体" w:cs="Times New Roman"/>
                      <w:color w:val="000000"/>
                      <w:kern w:val="0"/>
                      <w:sz w:val="21"/>
                      <w:szCs w:val="21"/>
                      <w:highlight w:val="none"/>
                      <w:lang w:val="en-US" w:eastAsia="zh-CN" w:bidi="ar"/>
                    </w:rPr>
                    <w:t>。</w:t>
                  </w:r>
                </w:p>
                <w:p w14:paraId="7887A901">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3</w:t>
                  </w:r>
                  <w:r>
                    <w:rPr>
                      <w:rFonts w:hint="default" w:ascii="Times New Roman" w:hAnsi="Times New Roman" w:eastAsia="宋体" w:cs="Times New Roman"/>
                      <w:color w:val="000000"/>
                      <w:kern w:val="0"/>
                      <w:sz w:val="21"/>
                      <w:szCs w:val="21"/>
                      <w:highlight w:val="none"/>
                      <w:lang w:val="en-US" w:eastAsia="zh-CN" w:bidi="ar"/>
                    </w:rPr>
                    <w:t>、本项目</w:t>
                  </w:r>
                  <w:r>
                    <w:rPr>
                      <w:rFonts w:hint="eastAsia" w:ascii="Times New Roman" w:hAnsi="Times New Roman" w:eastAsia="宋体" w:cs="Times New Roman"/>
                      <w:color w:val="000000"/>
                      <w:kern w:val="0"/>
                      <w:sz w:val="21"/>
                      <w:szCs w:val="21"/>
                      <w:highlight w:val="none"/>
                      <w:lang w:val="en-US" w:eastAsia="zh-CN" w:bidi="ar"/>
                    </w:rPr>
                    <w:t>无生产废水外排，设备清洗水经隔油沉淀池处理后循环使用</w:t>
                  </w:r>
                  <w:r>
                    <w:rPr>
                      <w:rFonts w:hint="eastAsia" w:cs="Times New Roman"/>
                      <w:color w:val="000000"/>
                      <w:kern w:val="0"/>
                      <w:sz w:val="21"/>
                      <w:szCs w:val="21"/>
                      <w:highlight w:val="none"/>
                      <w:lang w:val="en-US" w:eastAsia="zh-CN" w:bidi="ar"/>
                    </w:rPr>
                    <w:t>；</w:t>
                  </w:r>
                  <w:r>
                    <w:rPr>
                      <w:rFonts w:hint="eastAsia" w:ascii="Times New Roman" w:hAnsi="Times New Roman" w:eastAsia="宋体" w:cs="Times New Roman"/>
                      <w:color w:val="000000"/>
                      <w:kern w:val="0"/>
                      <w:sz w:val="21"/>
                      <w:szCs w:val="21"/>
                      <w:highlight w:val="none"/>
                      <w:lang w:val="en-US" w:eastAsia="zh-CN" w:bidi="ar"/>
                    </w:rPr>
                    <w:t>冷却水循环利用，不外排。</w:t>
                  </w:r>
                </w:p>
                <w:p w14:paraId="42F5FC5F">
                  <w:pPr>
                    <w:pStyle w:val="3"/>
                    <w:rPr>
                      <w:rFonts w:hint="default"/>
                      <w:b/>
                      <w:bCs/>
                      <w:kern w:val="2"/>
                      <w:sz w:val="21"/>
                      <w:szCs w:val="32"/>
                      <w:highlight w:val="none"/>
                      <w:lang w:val="en-US" w:eastAsia="zh-CN" w:bidi="ar-SA"/>
                    </w:rPr>
                  </w:pPr>
                  <w:r>
                    <w:rPr>
                      <w:rFonts w:hint="eastAsia" w:ascii="Times New Roman" w:hAnsi="Times New Roman" w:eastAsia="宋体" w:cs="Times New Roman"/>
                      <w:b w:val="0"/>
                      <w:bCs w:val="0"/>
                      <w:color w:val="000000"/>
                      <w:kern w:val="0"/>
                      <w:sz w:val="21"/>
                      <w:szCs w:val="21"/>
                      <w:highlight w:val="none"/>
                      <w:lang w:val="en-US" w:eastAsia="zh-CN" w:bidi="ar"/>
                    </w:rPr>
                    <w:t>4、</w:t>
                  </w:r>
                  <w:r>
                    <w:rPr>
                      <w:rFonts w:hint="default" w:ascii="Times New Roman" w:hAnsi="Times New Roman" w:eastAsia="宋体" w:cs="Times New Roman"/>
                      <w:b w:val="0"/>
                      <w:bCs w:val="0"/>
                      <w:color w:val="000000"/>
                      <w:kern w:val="0"/>
                      <w:sz w:val="21"/>
                      <w:szCs w:val="21"/>
                      <w:highlight w:val="none"/>
                      <w:lang w:val="en-US" w:eastAsia="zh-CN" w:bidi="ar"/>
                    </w:rPr>
                    <w:t>本项目</w:t>
                  </w:r>
                  <w:r>
                    <w:rPr>
                      <w:rFonts w:hint="eastAsia" w:ascii="Times New Roman" w:hAnsi="Times New Roman" w:eastAsia="宋体" w:cs="Times New Roman"/>
                      <w:b w:val="0"/>
                      <w:bCs w:val="0"/>
                      <w:color w:val="000000"/>
                      <w:kern w:val="0"/>
                      <w:sz w:val="21"/>
                      <w:szCs w:val="21"/>
                      <w:highlight w:val="none"/>
                      <w:lang w:val="en-US" w:eastAsia="zh-CN" w:bidi="ar"/>
                    </w:rPr>
                    <w:t>严格执行总量控制要求，项目</w:t>
                  </w:r>
                  <w:r>
                    <w:rPr>
                      <w:rFonts w:hint="default" w:ascii="Times New Roman" w:hAnsi="Times New Roman" w:eastAsia="宋体" w:cs="Times New Roman"/>
                      <w:b w:val="0"/>
                      <w:bCs w:val="0"/>
                      <w:color w:val="000000"/>
                      <w:kern w:val="0"/>
                      <w:sz w:val="21"/>
                      <w:szCs w:val="21"/>
                      <w:highlight w:val="none"/>
                      <w:lang w:val="en-US" w:eastAsia="zh-CN" w:bidi="ar"/>
                    </w:rPr>
                    <w:t>总量控制指标为颗粒物、VOCs，</w:t>
                  </w:r>
                  <w:r>
                    <w:rPr>
                      <w:rFonts w:hint="default" w:ascii="Times New Roman" w:hAnsi="Times New Roman" w:eastAsia="宋体" w:cs="Times New Roman"/>
                      <w:b w:val="0"/>
                      <w:bCs w:val="0"/>
                      <w:sz w:val="21"/>
                      <w:szCs w:val="21"/>
                      <w:highlight w:val="none"/>
                      <w:vertAlign w:val="baseline"/>
                      <w:lang w:val="en-US" w:eastAsia="zh-CN"/>
                    </w:rPr>
                    <w:t>SO</w:t>
                  </w:r>
                  <w:r>
                    <w:rPr>
                      <w:rFonts w:hint="default" w:ascii="Times New Roman" w:hAnsi="Times New Roman" w:eastAsia="宋体" w:cs="Times New Roman"/>
                      <w:b w:val="0"/>
                      <w:bCs w:val="0"/>
                      <w:sz w:val="21"/>
                      <w:szCs w:val="21"/>
                      <w:highlight w:val="none"/>
                      <w:vertAlign w:val="subscript"/>
                      <w:lang w:val="en-US" w:eastAsia="zh-CN"/>
                    </w:rPr>
                    <w:t>2</w:t>
                  </w:r>
                  <w:r>
                    <w:rPr>
                      <w:rFonts w:hint="default" w:ascii="Times New Roman" w:hAnsi="Times New Roman" w:eastAsia="宋体" w:cs="Times New Roman"/>
                      <w:b w:val="0"/>
                      <w:bCs w:val="0"/>
                      <w:sz w:val="21"/>
                      <w:szCs w:val="21"/>
                      <w:highlight w:val="none"/>
                      <w:vertAlign w:val="baseline"/>
                      <w:lang w:val="en-US" w:eastAsia="zh-CN"/>
                    </w:rPr>
                    <w:t>、NO</w:t>
                  </w:r>
                  <w:r>
                    <w:rPr>
                      <w:rFonts w:hint="default" w:ascii="Times New Roman" w:hAnsi="Times New Roman" w:eastAsia="宋体" w:cs="Times New Roman"/>
                      <w:b w:val="0"/>
                      <w:bCs w:val="0"/>
                      <w:sz w:val="21"/>
                      <w:szCs w:val="21"/>
                      <w:highlight w:val="none"/>
                      <w:vertAlign w:val="subscript"/>
                      <w:lang w:val="en-US" w:eastAsia="zh-CN"/>
                    </w:rPr>
                    <w:t>x</w:t>
                  </w:r>
                  <w:r>
                    <w:rPr>
                      <w:rFonts w:hint="default" w:ascii="Times New Roman" w:hAnsi="Times New Roman" w:eastAsia="宋体" w:cs="Times New Roman"/>
                      <w:b w:val="0"/>
                      <w:bCs w:val="0"/>
                      <w:color w:val="000000"/>
                      <w:kern w:val="0"/>
                      <w:sz w:val="21"/>
                      <w:szCs w:val="21"/>
                      <w:highlight w:val="none"/>
                      <w:lang w:val="en-US" w:eastAsia="zh-CN" w:bidi="ar"/>
                    </w:rPr>
                    <w:t>实行倍量替代。</w:t>
                  </w:r>
                </w:p>
              </w:tc>
              <w:tc>
                <w:tcPr>
                  <w:tcW w:w="501" w:type="pct"/>
                  <w:tcBorders>
                    <w:top w:val="single" w:color="auto" w:sz="6" w:space="0"/>
                    <w:bottom w:val="single" w:color="auto" w:sz="6" w:space="0"/>
                  </w:tcBorders>
                  <w:noWrap w:val="0"/>
                  <w:vAlign w:val="center"/>
                </w:tcPr>
                <w:p w14:paraId="09F265DB">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r w14:paraId="76FAE1C7">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374" w:hRule="atLeast"/>
                <w:jc w:val="center"/>
              </w:trPr>
              <w:tc>
                <w:tcPr>
                  <w:tcW w:w="566" w:type="pct"/>
                  <w:vMerge w:val="continue"/>
                  <w:tcBorders>
                    <w:top w:val="single" w:color="auto" w:sz="6" w:space="0"/>
                    <w:bottom w:val="single" w:color="auto" w:sz="6" w:space="0"/>
                  </w:tcBorders>
                  <w:noWrap w:val="0"/>
                  <w:vAlign w:val="center"/>
                </w:tcPr>
                <w:p w14:paraId="71BD9F42">
                  <w:pPr>
                    <w:numPr>
                      <w:ilvl w:val="0"/>
                      <w:numId w:val="0"/>
                    </w:numPr>
                    <w:autoSpaceDE w:val="0"/>
                    <w:autoSpaceDN w:val="0"/>
                    <w:adjustRightInd w:val="0"/>
                    <w:snapToGrid w:val="0"/>
                    <w:spacing w:line="360" w:lineRule="auto"/>
                    <w:jc w:val="center"/>
                    <w:rPr>
                      <w:rFonts w:hint="default" w:ascii="Times New Roman" w:hAnsi="Times New Roman" w:eastAsia="宋体" w:cs="Times New Roman"/>
                      <w:sz w:val="24"/>
                      <w:szCs w:val="24"/>
                      <w:highlight w:val="none"/>
                      <w:vertAlign w:val="baseline"/>
                      <w:lang w:val="en-US" w:eastAsia="zh-CN"/>
                    </w:rPr>
                  </w:pPr>
                </w:p>
              </w:tc>
              <w:tc>
                <w:tcPr>
                  <w:tcW w:w="406" w:type="pct"/>
                  <w:tcBorders>
                    <w:top w:val="single" w:color="auto" w:sz="6" w:space="0"/>
                    <w:bottom w:val="single" w:color="auto" w:sz="6" w:space="0"/>
                  </w:tcBorders>
                  <w:noWrap w:val="0"/>
                  <w:vAlign w:val="center"/>
                </w:tcPr>
                <w:p w14:paraId="66BAF81E">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环境风险防控</w:t>
                  </w:r>
                </w:p>
              </w:tc>
              <w:tc>
                <w:tcPr>
                  <w:tcW w:w="1763" w:type="pct"/>
                  <w:tcBorders>
                    <w:top w:val="single" w:color="auto" w:sz="6" w:space="0"/>
                    <w:bottom w:val="single" w:color="auto" w:sz="6" w:space="0"/>
                  </w:tcBorders>
                  <w:noWrap w:val="0"/>
                  <w:vAlign w:val="center"/>
                </w:tcPr>
                <w:p w14:paraId="56CC45AB">
                  <w:pPr>
                    <w:rPr>
                      <w:rFonts w:hint="default"/>
                      <w:highlight w:val="none"/>
                      <w:lang w:val="en-US" w:eastAsia="zh-CN"/>
                    </w:rPr>
                  </w:pPr>
                  <w:r>
                    <w:rPr>
                      <w:rFonts w:hint="default"/>
                      <w:highlight w:val="none"/>
                      <w:lang w:val="en-US" w:eastAsia="zh-CN"/>
                    </w:rPr>
                    <w:t>1、园区应设立环境应急管理机构，建立环境风险监管制度、环境风险预警制度、突发环境事件应急预案、环境风险应急保障制度等环境风险防控体系，并具备环境风险应急救援能力。</w:t>
                  </w:r>
                </w:p>
                <w:p w14:paraId="337CCF20">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kern w:val="2"/>
                      <w:sz w:val="21"/>
                      <w:szCs w:val="21"/>
                      <w:highlight w:val="none"/>
                      <w:vertAlign w:val="baseline"/>
                      <w:lang w:val="en-US" w:eastAsia="zh-CN" w:bidi="ar-SA"/>
                    </w:rPr>
                  </w:pPr>
                </w:p>
              </w:tc>
              <w:tc>
                <w:tcPr>
                  <w:tcW w:w="1763" w:type="pct"/>
                  <w:tcBorders>
                    <w:top w:val="single" w:color="auto" w:sz="6" w:space="0"/>
                    <w:bottom w:val="single" w:color="auto" w:sz="6" w:space="0"/>
                  </w:tcBorders>
                  <w:noWrap w:val="0"/>
                  <w:vAlign w:val="center"/>
                </w:tcPr>
                <w:p w14:paraId="3A3014B5">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1、本项目正常运营后编制环境风险应急预案，并与园区及周边企业建立</w:t>
                  </w:r>
                  <w:r>
                    <w:rPr>
                      <w:rFonts w:hint="eastAsia" w:cs="Times New Roman"/>
                      <w:sz w:val="21"/>
                      <w:szCs w:val="21"/>
                      <w:highlight w:val="none"/>
                      <w:vertAlign w:val="baseline"/>
                      <w:lang w:val="en-US" w:eastAsia="zh-CN"/>
                    </w:rPr>
                    <w:t>应急</w:t>
                  </w:r>
                  <w:r>
                    <w:rPr>
                      <w:rFonts w:hint="default" w:ascii="Times New Roman" w:hAnsi="Times New Roman" w:eastAsia="宋体" w:cs="Times New Roman"/>
                      <w:sz w:val="21"/>
                      <w:szCs w:val="21"/>
                      <w:highlight w:val="none"/>
                      <w:vertAlign w:val="baseline"/>
                      <w:lang w:val="en-US" w:eastAsia="zh-CN"/>
                    </w:rPr>
                    <w:t>联动机制，并设置应急物资库，配备相应应急物资，定期组织应急演练，以便发生突发环境风险事件时能快速妥善处置。本项目符合环境风险防控的相关要求。</w:t>
                  </w:r>
                </w:p>
              </w:tc>
              <w:tc>
                <w:tcPr>
                  <w:tcW w:w="501" w:type="pct"/>
                  <w:tcBorders>
                    <w:top w:val="single" w:color="auto" w:sz="6" w:space="0"/>
                    <w:bottom w:val="single" w:color="auto" w:sz="6" w:space="0"/>
                  </w:tcBorders>
                  <w:noWrap w:val="0"/>
                  <w:vAlign w:val="center"/>
                </w:tcPr>
                <w:p w14:paraId="16C07410">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r w14:paraId="3002E0CA">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90" w:hRule="atLeast"/>
                <w:jc w:val="center"/>
              </w:trPr>
              <w:tc>
                <w:tcPr>
                  <w:tcW w:w="566" w:type="pct"/>
                  <w:vMerge w:val="continue"/>
                  <w:tcBorders>
                    <w:top w:val="single" w:color="auto" w:sz="6" w:space="0"/>
                  </w:tcBorders>
                  <w:noWrap w:val="0"/>
                  <w:vAlign w:val="center"/>
                </w:tcPr>
                <w:p w14:paraId="56404151">
                  <w:pPr>
                    <w:numPr>
                      <w:ilvl w:val="0"/>
                      <w:numId w:val="0"/>
                    </w:numPr>
                    <w:autoSpaceDE w:val="0"/>
                    <w:autoSpaceDN w:val="0"/>
                    <w:adjustRightInd w:val="0"/>
                    <w:snapToGrid w:val="0"/>
                    <w:spacing w:line="360" w:lineRule="auto"/>
                    <w:jc w:val="center"/>
                    <w:rPr>
                      <w:rFonts w:hint="default" w:ascii="Times New Roman" w:hAnsi="Times New Roman" w:eastAsia="宋体" w:cs="Times New Roman"/>
                      <w:sz w:val="24"/>
                      <w:szCs w:val="24"/>
                      <w:highlight w:val="none"/>
                      <w:vertAlign w:val="baseline"/>
                      <w:lang w:val="en-US" w:eastAsia="zh-CN"/>
                    </w:rPr>
                  </w:pPr>
                </w:p>
              </w:tc>
              <w:tc>
                <w:tcPr>
                  <w:tcW w:w="406" w:type="pct"/>
                  <w:tcBorders>
                    <w:top w:val="single" w:color="auto" w:sz="6" w:space="0"/>
                  </w:tcBorders>
                  <w:noWrap w:val="0"/>
                  <w:vAlign w:val="center"/>
                </w:tcPr>
                <w:p w14:paraId="75B6848A">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资源利用效率</w:t>
                  </w:r>
                </w:p>
              </w:tc>
              <w:tc>
                <w:tcPr>
                  <w:tcW w:w="1763" w:type="pct"/>
                  <w:tcBorders>
                    <w:top w:val="single" w:color="auto" w:sz="6" w:space="0"/>
                  </w:tcBorders>
                  <w:noWrap w:val="0"/>
                  <w:vAlign w:val="center"/>
                </w:tcPr>
                <w:p w14:paraId="64EEA880">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1、严守水资源开发利用控制、用水效率控制和水功能区限制纳污</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三条红线</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 xml:space="preserve">，严格实行区域用水总量和强度控制，强化用水定额管理。 </w:t>
                  </w:r>
                </w:p>
                <w:p w14:paraId="3734099D">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 xml:space="preserve">2、推行清洁生产、降低生产水耗、从源头上控制污染物的产生。 </w:t>
                  </w:r>
                </w:p>
                <w:p w14:paraId="63475B8F">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3、加强能耗</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双控</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管理，优化能源消费结构。严格合理控制煤炭消费增长，精准测算原料煤、动力煤，新增原料用能不纳入能源消费总量控制。</w:t>
                  </w:r>
                </w:p>
              </w:tc>
              <w:tc>
                <w:tcPr>
                  <w:tcW w:w="1763" w:type="pct"/>
                  <w:tcBorders>
                    <w:top w:val="single" w:color="auto" w:sz="6" w:space="0"/>
                  </w:tcBorders>
                  <w:noWrap w:val="0"/>
                  <w:vAlign w:val="center"/>
                </w:tcPr>
                <w:p w14:paraId="190AB4EF">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kern w:val="2"/>
                      <w:sz w:val="21"/>
                      <w:szCs w:val="21"/>
                      <w:highlight w:val="none"/>
                      <w:vertAlign w:val="baseline"/>
                      <w:lang w:val="en-US" w:eastAsia="zh-CN" w:bidi="ar-SA"/>
                    </w:rPr>
                    <w:t>1</w:t>
                  </w:r>
                  <w:r>
                    <w:rPr>
                      <w:rFonts w:hint="default"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sz w:val="21"/>
                      <w:szCs w:val="21"/>
                      <w:highlight w:val="none"/>
                      <w:vertAlign w:val="baseline"/>
                      <w:lang w:val="en-US" w:eastAsia="zh-CN"/>
                    </w:rPr>
                    <w:t>本项目设备清洗水经隔油沉淀池处理后循环使用；冷却水循环利用，不外排</w:t>
                  </w:r>
                  <w:r>
                    <w:rPr>
                      <w:rFonts w:hint="eastAsia" w:cs="Times New Roman"/>
                      <w:sz w:val="21"/>
                      <w:szCs w:val="21"/>
                      <w:highlight w:val="none"/>
                      <w:vertAlign w:val="baseline"/>
                      <w:lang w:val="en-US" w:eastAsia="zh-CN"/>
                    </w:rPr>
                    <w:t>；废气处理设施排水经隔油沉淀池收集，油水分离处理后循环使用不外排，</w:t>
                  </w:r>
                  <w:r>
                    <w:rPr>
                      <w:rFonts w:hint="eastAsia" w:ascii="Times New Roman" w:hAnsi="Times New Roman" w:eastAsia="宋体" w:cs="Times New Roman"/>
                      <w:sz w:val="21"/>
                      <w:szCs w:val="21"/>
                      <w:highlight w:val="none"/>
                      <w:vertAlign w:val="baseline"/>
                      <w:lang w:val="en-US" w:eastAsia="zh-CN"/>
                    </w:rPr>
                    <w:t>实现水资源循环利用，</w:t>
                  </w:r>
                  <w:r>
                    <w:rPr>
                      <w:rFonts w:hint="default" w:ascii="Times New Roman" w:hAnsi="Times New Roman" w:eastAsia="宋体" w:cs="Times New Roman"/>
                      <w:sz w:val="21"/>
                      <w:szCs w:val="21"/>
                      <w:highlight w:val="none"/>
                      <w:vertAlign w:val="baseline"/>
                      <w:lang w:val="en-US" w:eastAsia="zh-CN"/>
                    </w:rPr>
                    <w:t>生活污水排入园区管网。</w:t>
                  </w:r>
                </w:p>
                <w:p w14:paraId="59E7F754">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kern w:val="2"/>
                      <w:sz w:val="21"/>
                      <w:szCs w:val="21"/>
                      <w:highlight w:val="none"/>
                      <w:vertAlign w:val="baseline"/>
                      <w:lang w:val="en-US" w:eastAsia="zh-CN" w:bidi="ar-SA"/>
                    </w:rPr>
                    <w:t>2</w:t>
                  </w:r>
                  <w:r>
                    <w:rPr>
                      <w:rFonts w:hint="default" w:ascii="Times New Roman" w:hAnsi="Times New Roman" w:eastAsia="宋体" w:cs="Times New Roman"/>
                      <w:kern w:val="2"/>
                      <w:sz w:val="21"/>
                      <w:szCs w:val="21"/>
                      <w:highlight w:val="none"/>
                      <w:vertAlign w:val="baseline"/>
                      <w:lang w:val="en-US" w:eastAsia="zh-CN" w:bidi="ar-SA"/>
                    </w:rPr>
                    <w:t>、</w:t>
                  </w:r>
                  <w:r>
                    <w:rPr>
                      <w:rFonts w:hint="eastAsia" w:ascii="Times New Roman" w:hAnsi="Times New Roman" w:cs="Times New Roman"/>
                      <w:color w:val="auto"/>
                      <w:sz w:val="21"/>
                      <w:szCs w:val="21"/>
                      <w:highlight w:val="none"/>
                      <w:lang w:val="en-US" w:eastAsia="zh-CN"/>
                    </w:rPr>
                    <w:t>项目环评已要求推行清洁生产，确保企业从源头上控制污染物的产生。</w:t>
                  </w:r>
                </w:p>
                <w:p w14:paraId="061535A3">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eastAsia" w:ascii="Times New Roman" w:hAnsi="Times New Roman" w:eastAsia="宋体" w:cs="Times New Roman"/>
                      <w:sz w:val="21"/>
                      <w:szCs w:val="21"/>
                      <w:highlight w:val="none"/>
                      <w:vertAlign w:val="baseline"/>
                      <w:lang w:val="en-US" w:eastAsia="zh-CN"/>
                    </w:rPr>
                    <w:t>3</w:t>
                  </w:r>
                  <w:r>
                    <w:rPr>
                      <w:rFonts w:hint="default" w:ascii="Times New Roman" w:hAnsi="Times New Roman" w:eastAsia="宋体" w:cs="Times New Roman"/>
                      <w:sz w:val="21"/>
                      <w:szCs w:val="21"/>
                      <w:highlight w:val="none"/>
                      <w:vertAlign w:val="baseline"/>
                      <w:lang w:val="en-US" w:eastAsia="zh-CN"/>
                    </w:rPr>
                    <w:t>、本项目</w:t>
                  </w:r>
                  <w:r>
                    <w:rPr>
                      <w:rFonts w:hint="eastAsia" w:ascii="Times New Roman" w:hAnsi="Times New Roman" w:eastAsia="宋体" w:cs="Times New Roman"/>
                      <w:sz w:val="21"/>
                      <w:szCs w:val="21"/>
                      <w:highlight w:val="none"/>
                      <w:vertAlign w:val="baseline"/>
                      <w:lang w:val="en-US" w:eastAsia="zh-CN"/>
                    </w:rPr>
                    <w:t>导热油炉使用天然气作为燃料，不涉及煤炭使用和原料用能</w:t>
                  </w:r>
                  <w:r>
                    <w:rPr>
                      <w:rFonts w:hint="default" w:ascii="Times New Roman" w:hAnsi="Times New Roman" w:eastAsia="宋体" w:cs="Times New Roman"/>
                      <w:sz w:val="21"/>
                      <w:szCs w:val="21"/>
                      <w:highlight w:val="none"/>
                      <w:vertAlign w:val="baseline"/>
                      <w:lang w:val="en-US" w:eastAsia="zh-CN"/>
                    </w:rPr>
                    <w:t>。</w:t>
                  </w:r>
                </w:p>
              </w:tc>
              <w:tc>
                <w:tcPr>
                  <w:tcW w:w="501" w:type="pct"/>
                  <w:tcBorders>
                    <w:top w:val="single" w:color="auto" w:sz="6" w:space="0"/>
                  </w:tcBorders>
                  <w:noWrap w:val="0"/>
                  <w:vAlign w:val="center"/>
                </w:tcPr>
                <w:p w14:paraId="480A01B7">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bl>
          <w:p w14:paraId="5B238E6C">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157" w:beforeLines="50" w:line="360" w:lineRule="auto"/>
              <w:jc w:val="both"/>
              <w:textAlignment w:val="auto"/>
              <w:rPr>
                <w:rFonts w:hint="default" w:ascii="Times New Roman" w:hAnsi="Times New Roman" w:cs="Times New Roman"/>
                <w:b/>
                <w:bCs/>
                <w:kern w:val="0"/>
                <w:sz w:val="24"/>
                <w:szCs w:val="24"/>
                <w:highlight w:val="none"/>
                <w:lang w:val="en-US" w:eastAsia="zh-CN"/>
              </w:rPr>
            </w:pPr>
            <w:r>
              <w:rPr>
                <w:rFonts w:hint="default" w:ascii="Times New Roman" w:hAnsi="Times New Roman" w:cs="Times New Roman"/>
                <w:b/>
                <w:bCs/>
                <w:kern w:val="0"/>
                <w:sz w:val="24"/>
                <w:szCs w:val="24"/>
                <w:highlight w:val="none"/>
                <w:lang w:val="en-US" w:eastAsia="zh-CN"/>
              </w:rPr>
              <w:t>5</w:t>
            </w:r>
            <w:r>
              <w:rPr>
                <w:rFonts w:hint="eastAsia" w:ascii="Times New Roman" w:hAnsi="Times New Roman" w:cs="Times New Roman"/>
                <w:b/>
                <w:bCs/>
                <w:kern w:val="0"/>
                <w:sz w:val="24"/>
                <w:szCs w:val="24"/>
                <w:highlight w:val="none"/>
                <w:lang w:val="en-US" w:eastAsia="zh-CN"/>
              </w:rPr>
              <w:t xml:space="preserve"> </w:t>
            </w:r>
            <w:r>
              <w:rPr>
                <w:rFonts w:hint="default" w:ascii="Times New Roman" w:hAnsi="Times New Roman" w:cs="Times New Roman"/>
                <w:b/>
                <w:bCs/>
                <w:kern w:val="0"/>
                <w:sz w:val="24"/>
                <w:szCs w:val="24"/>
                <w:highlight w:val="none"/>
                <w:lang w:val="en-US" w:eastAsia="zh-CN"/>
              </w:rPr>
              <w:t>与《新疆维吾尔自治区七大片区</w:t>
            </w:r>
            <w:r>
              <w:rPr>
                <w:rFonts w:hint="eastAsia" w:ascii="Times New Roman" w:hAnsi="Times New Roman" w:cs="Times New Roman"/>
                <w:b/>
                <w:bCs/>
                <w:kern w:val="0"/>
                <w:sz w:val="24"/>
                <w:szCs w:val="24"/>
                <w:highlight w:val="none"/>
                <w:lang w:val="en-US" w:eastAsia="zh-CN"/>
              </w:rPr>
              <w:t>“</w:t>
            </w:r>
            <w:r>
              <w:rPr>
                <w:rFonts w:hint="default" w:ascii="Times New Roman" w:hAnsi="Times New Roman" w:cs="Times New Roman"/>
                <w:b/>
                <w:bCs/>
                <w:kern w:val="0"/>
                <w:sz w:val="24"/>
                <w:szCs w:val="24"/>
                <w:highlight w:val="none"/>
                <w:lang w:val="en-US" w:eastAsia="zh-CN"/>
              </w:rPr>
              <w:t>三线一单</w:t>
            </w:r>
            <w:r>
              <w:rPr>
                <w:rFonts w:hint="eastAsia" w:ascii="Times New Roman" w:hAnsi="Times New Roman" w:cs="Times New Roman"/>
                <w:b/>
                <w:bCs/>
                <w:kern w:val="0"/>
                <w:sz w:val="24"/>
                <w:szCs w:val="24"/>
                <w:highlight w:val="none"/>
                <w:lang w:val="en-US" w:eastAsia="zh-CN"/>
              </w:rPr>
              <w:t>”</w:t>
            </w:r>
            <w:r>
              <w:rPr>
                <w:rFonts w:hint="default" w:ascii="Times New Roman" w:hAnsi="Times New Roman" w:cs="Times New Roman"/>
                <w:b/>
                <w:bCs/>
                <w:kern w:val="0"/>
                <w:sz w:val="24"/>
                <w:szCs w:val="24"/>
                <w:highlight w:val="none"/>
                <w:lang w:val="en-US" w:eastAsia="zh-CN"/>
              </w:rPr>
              <w:t>生态环境分区管控要求》符合性分析</w:t>
            </w:r>
          </w:p>
          <w:p w14:paraId="7251EA73">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根据关于印发《新疆维吾尔自治区七大片区</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三线一单</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生态环境分区管控要求》（2021年版）的通知（新环环评发〔2021〕162 号），本项目位于</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乌</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昌</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石</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区域，具体管控要求见表1-</w:t>
            </w:r>
            <w:r>
              <w:rPr>
                <w:rFonts w:hint="eastAsia" w:ascii="Times New Roman" w:hAnsi="Times New Roman" w:eastAsia="宋体" w:cs="Times New Roman"/>
                <w:sz w:val="24"/>
                <w:szCs w:val="24"/>
                <w:highlight w:val="none"/>
                <w:lang w:val="en-US" w:eastAsia="zh-CN"/>
              </w:rPr>
              <w:t>4</w:t>
            </w:r>
            <w:r>
              <w:rPr>
                <w:rFonts w:hint="default" w:ascii="Times New Roman" w:hAnsi="Times New Roman" w:eastAsia="宋体" w:cs="Times New Roman"/>
                <w:sz w:val="24"/>
                <w:szCs w:val="24"/>
                <w:highlight w:val="none"/>
                <w:lang w:val="en-US" w:eastAsia="zh-CN"/>
              </w:rPr>
              <w:t>。</w:t>
            </w:r>
          </w:p>
          <w:p w14:paraId="36465FF2">
            <w:pPr>
              <w:pStyle w:val="3"/>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表1-</w:t>
            </w:r>
            <w:r>
              <w:rPr>
                <w:rFonts w:hint="eastAsia" w:ascii="Times New Roman" w:hAnsi="Times New Roman" w:eastAsia="宋体" w:cs="Times New Roman"/>
                <w:b/>
                <w:bCs/>
                <w:sz w:val="21"/>
                <w:szCs w:val="21"/>
                <w:highlight w:val="none"/>
                <w:lang w:val="en-US" w:eastAsia="zh-CN"/>
              </w:rPr>
              <w:t xml:space="preserve">4    </w:t>
            </w:r>
            <w:r>
              <w:rPr>
                <w:rFonts w:hint="default" w:ascii="Times New Roman" w:hAnsi="Times New Roman" w:eastAsia="宋体" w:cs="Times New Roman"/>
                <w:b/>
                <w:bCs/>
                <w:sz w:val="21"/>
                <w:szCs w:val="21"/>
                <w:highlight w:val="none"/>
                <w:lang w:val="en-US" w:eastAsia="zh-CN"/>
              </w:rPr>
              <w:t xml:space="preserve"> 项目与《新疆维吾尔自治区七大片区</w:t>
            </w:r>
            <w:r>
              <w:rPr>
                <w:rFonts w:hint="eastAsia" w:ascii="Times New Roman" w:hAnsi="Times New Roman" w:eastAsia="宋体" w:cs="Times New Roman"/>
                <w:b/>
                <w:bCs/>
                <w:sz w:val="21"/>
                <w:szCs w:val="21"/>
                <w:highlight w:val="none"/>
                <w:lang w:val="en-US" w:eastAsia="zh-CN"/>
              </w:rPr>
              <w:t>“</w:t>
            </w:r>
            <w:r>
              <w:rPr>
                <w:rFonts w:hint="default" w:ascii="Times New Roman" w:hAnsi="Times New Roman" w:eastAsia="宋体" w:cs="Times New Roman"/>
                <w:b/>
                <w:bCs/>
                <w:sz w:val="21"/>
                <w:szCs w:val="21"/>
                <w:highlight w:val="none"/>
                <w:lang w:val="en-US" w:eastAsia="zh-CN"/>
              </w:rPr>
              <w:t>三线一单</w:t>
            </w:r>
            <w:r>
              <w:rPr>
                <w:rFonts w:hint="eastAsia" w:ascii="Times New Roman" w:hAnsi="Times New Roman" w:eastAsia="宋体" w:cs="Times New Roman"/>
                <w:b/>
                <w:bCs/>
                <w:sz w:val="21"/>
                <w:szCs w:val="21"/>
                <w:highlight w:val="none"/>
                <w:lang w:val="en-US" w:eastAsia="zh-CN"/>
              </w:rPr>
              <w:t>”</w:t>
            </w:r>
            <w:r>
              <w:rPr>
                <w:rFonts w:hint="default" w:ascii="Times New Roman" w:hAnsi="Times New Roman" w:eastAsia="宋体" w:cs="Times New Roman"/>
                <w:b/>
                <w:bCs/>
                <w:sz w:val="21"/>
                <w:szCs w:val="21"/>
                <w:highlight w:val="none"/>
                <w:lang w:val="en-US" w:eastAsia="zh-CN"/>
              </w:rPr>
              <w:t>生态环境分区管控要求》符合性分析一览表</w:t>
            </w:r>
          </w:p>
          <w:tbl>
            <w:tblPr>
              <w:tblStyle w:val="20"/>
              <w:tblW w:w="4997" w:type="pct"/>
              <w:jc w:val="center"/>
              <w:tblBorders>
                <w:top w:val="single" w:color="000000" w:sz="8" w:space="0"/>
                <w:left w:val="none" w:color="auto" w:sz="0" w:space="0"/>
                <w:bottom w:val="single" w:color="000000" w:sz="8"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840"/>
              <w:gridCol w:w="3133"/>
              <w:gridCol w:w="2881"/>
              <w:gridCol w:w="811"/>
            </w:tblGrid>
            <w:tr w14:paraId="35D07B7C">
              <w:tblPrEx>
                <w:tblBorders>
                  <w:top w:val="single" w:color="000000" w:sz="8" w:space="0"/>
                  <w:left w:val="none" w:color="auto" w:sz="0" w:space="0"/>
                  <w:bottom w:val="single" w:color="000000" w:sz="8" w:space="0"/>
                  <w:right w:val="none" w:color="auto" w:sz="0" w:space="0"/>
                  <w:insideH w:val="single" w:color="000000" w:sz="6" w:space="0"/>
                  <w:insideV w:val="single" w:color="000000" w:sz="6" w:space="0"/>
                </w:tblBorders>
              </w:tblPrEx>
              <w:trPr>
                <w:trHeight w:val="437" w:hRule="atLeast"/>
                <w:jc w:val="center"/>
              </w:trPr>
              <w:tc>
                <w:tcPr>
                  <w:tcW w:w="2591" w:type="pct"/>
                  <w:gridSpan w:val="2"/>
                  <w:tcBorders>
                    <w:bottom w:val="single" w:color="000000" w:sz="8" w:space="0"/>
                  </w:tcBorders>
                  <w:noWrap w:val="0"/>
                  <w:vAlign w:val="center"/>
                </w:tcPr>
                <w:p w14:paraId="1C9C18E1">
                  <w:pPr>
                    <w:keepNext w:val="0"/>
                    <w:keepLines w:val="0"/>
                    <w:pageBreakBefore w:val="0"/>
                    <w:widowControl/>
                    <w:suppressLineNumbers w:val="0"/>
                    <w:kinsoku/>
                    <w:wordWrap/>
                    <w:overflowPunct/>
                    <w:topLinePunct w:val="0"/>
                    <w:bidi w:val="0"/>
                    <w:spacing w:line="240" w:lineRule="auto"/>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b/>
                      <w:bCs/>
                      <w:color w:val="000000"/>
                      <w:kern w:val="0"/>
                      <w:sz w:val="21"/>
                      <w:szCs w:val="21"/>
                      <w:highlight w:val="none"/>
                      <w:lang w:val="en-US" w:eastAsia="zh-CN" w:bidi="ar"/>
                    </w:rPr>
                    <w:t>环境管理政策有关要求</w:t>
                  </w:r>
                </w:p>
              </w:tc>
              <w:tc>
                <w:tcPr>
                  <w:tcW w:w="1879" w:type="pct"/>
                  <w:tcBorders>
                    <w:bottom w:val="single" w:color="000000" w:sz="8" w:space="0"/>
                  </w:tcBorders>
                  <w:noWrap w:val="0"/>
                  <w:vAlign w:val="center"/>
                </w:tcPr>
                <w:p w14:paraId="43A5950C">
                  <w:pPr>
                    <w:keepNext w:val="0"/>
                    <w:keepLines w:val="0"/>
                    <w:pageBreakBefore w:val="0"/>
                    <w:widowControl/>
                    <w:suppressLineNumbers w:val="0"/>
                    <w:kinsoku/>
                    <w:wordWrap/>
                    <w:overflowPunct/>
                    <w:topLinePunct w:val="0"/>
                    <w:bidi w:val="0"/>
                    <w:spacing w:line="240" w:lineRule="auto"/>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b/>
                      <w:bCs/>
                      <w:color w:val="000000"/>
                      <w:kern w:val="0"/>
                      <w:sz w:val="21"/>
                      <w:szCs w:val="21"/>
                      <w:highlight w:val="none"/>
                      <w:lang w:val="en-US" w:eastAsia="zh-CN" w:bidi="ar"/>
                    </w:rPr>
                    <w:t>本项目情况</w:t>
                  </w:r>
                </w:p>
              </w:tc>
              <w:tc>
                <w:tcPr>
                  <w:tcW w:w="529" w:type="pct"/>
                  <w:tcBorders>
                    <w:bottom w:val="single" w:color="000000" w:sz="8" w:space="0"/>
                  </w:tcBorders>
                  <w:noWrap w:val="0"/>
                  <w:vAlign w:val="center"/>
                </w:tcPr>
                <w:p w14:paraId="5455344F">
                  <w:pPr>
                    <w:keepNext w:val="0"/>
                    <w:keepLines w:val="0"/>
                    <w:pageBreakBefore w:val="0"/>
                    <w:widowControl/>
                    <w:suppressLineNumbers w:val="0"/>
                    <w:kinsoku/>
                    <w:wordWrap/>
                    <w:overflowPunct/>
                    <w:topLinePunct w:val="0"/>
                    <w:bidi w:val="0"/>
                    <w:spacing w:line="240" w:lineRule="auto"/>
                    <w:jc w:val="center"/>
                    <w:textAlignment w:val="auto"/>
                    <w:rPr>
                      <w:rFonts w:hint="default" w:ascii="Times New Roman" w:hAnsi="Times New Roman" w:cs="Times New Roman"/>
                      <w:sz w:val="21"/>
                      <w:szCs w:val="21"/>
                      <w:highlight w:val="none"/>
                    </w:rPr>
                  </w:pPr>
                  <w:r>
                    <w:rPr>
                      <w:rFonts w:hint="default" w:ascii="Times New Roman" w:hAnsi="Times New Roman" w:eastAsia="宋体" w:cs="Times New Roman"/>
                      <w:b/>
                      <w:bCs/>
                      <w:color w:val="000000"/>
                      <w:kern w:val="0"/>
                      <w:sz w:val="21"/>
                      <w:szCs w:val="21"/>
                      <w:highlight w:val="none"/>
                      <w:lang w:val="en-US" w:eastAsia="zh-CN" w:bidi="ar"/>
                    </w:rPr>
                    <w:t>符合</w:t>
                  </w:r>
                </w:p>
                <w:p w14:paraId="723A0260">
                  <w:pPr>
                    <w:keepNext w:val="0"/>
                    <w:keepLines w:val="0"/>
                    <w:pageBreakBefore w:val="0"/>
                    <w:widowControl/>
                    <w:suppressLineNumbers w:val="0"/>
                    <w:kinsoku/>
                    <w:wordWrap/>
                    <w:overflowPunct/>
                    <w:topLinePunct w:val="0"/>
                    <w:bidi w:val="0"/>
                    <w:spacing w:line="240" w:lineRule="auto"/>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b/>
                      <w:bCs/>
                      <w:color w:val="000000"/>
                      <w:kern w:val="0"/>
                      <w:sz w:val="21"/>
                      <w:szCs w:val="21"/>
                      <w:highlight w:val="none"/>
                      <w:lang w:val="en-US" w:eastAsia="zh-CN" w:bidi="ar"/>
                    </w:rPr>
                    <w:t>性</w:t>
                  </w:r>
                </w:p>
              </w:tc>
            </w:tr>
            <w:tr w14:paraId="25D952AE">
              <w:tblPrEx>
                <w:tblBorders>
                  <w:top w:val="single" w:color="000000" w:sz="8" w:space="0"/>
                  <w:left w:val="none" w:color="auto" w:sz="0" w:space="0"/>
                  <w:bottom w:val="single" w:color="000000" w:sz="8"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37" w:hRule="atLeast"/>
                <w:jc w:val="center"/>
              </w:trPr>
              <w:tc>
                <w:tcPr>
                  <w:tcW w:w="548" w:type="pct"/>
                  <w:tcBorders>
                    <w:top w:val="single" w:color="000000" w:sz="8" w:space="0"/>
                    <w:tl2br w:val="nil"/>
                    <w:tr2bl w:val="nil"/>
                  </w:tcBorders>
                  <w:noWrap w:val="0"/>
                  <w:vAlign w:val="center"/>
                </w:tcPr>
                <w:p w14:paraId="5559CBE9">
                  <w:pPr>
                    <w:keepNext w:val="0"/>
                    <w:keepLines w:val="0"/>
                    <w:pageBreakBefore w:val="0"/>
                    <w:widowControl/>
                    <w:suppressLineNumbers w:val="0"/>
                    <w:kinsoku/>
                    <w:wordWrap/>
                    <w:overflowPunct/>
                    <w:topLinePunct w:val="0"/>
                    <w:bidi w:val="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空间布局</w:t>
                  </w:r>
                </w:p>
              </w:tc>
              <w:tc>
                <w:tcPr>
                  <w:tcW w:w="2042" w:type="pct"/>
                  <w:tcBorders>
                    <w:top w:val="single" w:color="000000" w:sz="8" w:space="0"/>
                    <w:tl2br w:val="nil"/>
                    <w:tr2bl w:val="nil"/>
                  </w:tcBorders>
                  <w:noWrap w:val="0"/>
                  <w:vAlign w:val="center"/>
                </w:tcPr>
                <w:p w14:paraId="5DE5DBCA">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rPr>
                    <w:t>严格执行国家、自治区产业政策和环境准入要求，严禁</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三高</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项目进新疆，坚决遏制</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两高</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项目盲目发展。不得在水源涵养区、饮用水水源保护区内和河流、湖泊、水库周围建设重化工、涉重金属等工业污染项目。推动项目集聚发展，新建、改建、扩建工业项目原则上应布置于由县级及以上人民政府批准建立、环境保护基础设施完善的产业园区、工业聚集区或规划矿区，并且符合相关规划和规划环评要求。</w:t>
                  </w:r>
                </w:p>
              </w:tc>
              <w:tc>
                <w:tcPr>
                  <w:tcW w:w="1879" w:type="pct"/>
                  <w:tcBorders>
                    <w:top w:val="single" w:color="000000" w:sz="8" w:space="0"/>
                    <w:tl2br w:val="nil"/>
                    <w:tr2bl w:val="nil"/>
                  </w:tcBorders>
                  <w:noWrap w:val="0"/>
                  <w:vAlign w:val="center"/>
                </w:tcPr>
                <w:p w14:paraId="338A714D">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color w:val="000000"/>
                      <w:kern w:val="0"/>
                      <w:sz w:val="21"/>
                      <w:szCs w:val="21"/>
                      <w:highlight w:val="none"/>
                      <w:lang w:val="en-US" w:eastAsia="zh-CN" w:bidi="ar"/>
                    </w:rPr>
                    <w:t>本项目属于《产业结构调整指导目录（2024年本）》中</w:t>
                  </w:r>
                  <w:r>
                    <w:rPr>
                      <w:rFonts w:hint="eastAsia" w:ascii="Times New Roman" w:hAnsi="Times New Roman" w:eastAsia="宋体" w:cs="Times New Roman"/>
                      <w:color w:val="000000"/>
                      <w:kern w:val="0"/>
                      <w:sz w:val="21"/>
                      <w:szCs w:val="21"/>
                      <w:highlight w:val="none"/>
                      <w:lang w:val="en-US" w:eastAsia="zh-CN" w:bidi="ar"/>
                    </w:rPr>
                    <w:t>鼓励类</w:t>
                  </w:r>
                  <w:r>
                    <w:rPr>
                      <w:rFonts w:hint="default" w:ascii="Times New Roman" w:hAnsi="Times New Roman" w:eastAsia="宋体" w:cs="Times New Roman"/>
                      <w:color w:val="000000"/>
                      <w:kern w:val="0"/>
                      <w:sz w:val="21"/>
                      <w:szCs w:val="21"/>
                      <w:highlight w:val="none"/>
                      <w:lang w:val="en-US" w:eastAsia="zh-CN" w:bidi="ar"/>
                    </w:rPr>
                    <w:t>，符合国家产业政策。项目为</w:t>
                  </w:r>
                  <w:r>
                    <w:rPr>
                      <w:rFonts w:hint="eastAsia" w:ascii="Times New Roman" w:hAnsi="Times New Roman" w:eastAsia="宋体" w:cs="Times New Roman"/>
                      <w:color w:val="000000"/>
                      <w:kern w:val="0"/>
                      <w:sz w:val="21"/>
                      <w:szCs w:val="21"/>
                      <w:highlight w:val="none"/>
                      <w:lang w:val="en-US" w:eastAsia="zh-CN" w:bidi="ar"/>
                    </w:rPr>
                    <w:t>防水卷材、涂料制造</w:t>
                  </w:r>
                  <w:r>
                    <w:rPr>
                      <w:rFonts w:hint="default" w:ascii="Times New Roman" w:hAnsi="Times New Roman" w:eastAsia="宋体" w:cs="Times New Roman"/>
                      <w:color w:val="000000"/>
                      <w:kern w:val="0"/>
                      <w:sz w:val="21"/>
                      <w:szCs w:val="21"/>
                      <w:highlight w:val="none"/>
                      <w:lang w:val="en-US" w:eastAsia="zh-CN" w:bidi="ar"/>
                    </w:rPr>
                    <w:t>，属于</w:t>
                  </w:r>
                  <w:r>
                    <w:rPr>
                      <w:rFonts w:hint="eastAsia" w:ascii="Times New Roman" w:hAnsi="Times New Roman" w:eastAsia="宋体" w:cs="Times New Roman"/>
                      <w:color w:val="000000"/>
                      <w:kern w:val="0"/>
                      <w:sz w:val="21"/>
                      <w:szCs w:val="21"/>
                      <w:highlight w:val="none"/>
                      <w:lang w:val="en-US" w:eastAsia="zh-CN" w:bidi="ar"/>
                    </w:rPr>
                    <w:t>防水建筑材料制造</w:t>
                  </w:r>
                  <w:r>
                    <w:rPr>
                      <w:rFonts w:hint="default" w:ascii="Times New Roman" w:hAnsi="Times New Roman" w:eastAsia="宋体" w:cs="Times New Roman"/>
                      <w:color w:val="000000"/>
                      <w:kern w:val="0"/>
                      <w:sz w:val="21"/>
                      <w:szCs w:val="21"/>
                      <w:highlight w:val="none"/>
                      <w:lang w:val="en-US" w:eastAsia="zh-CN" w:bidi="ar"/>
                    </w:rPr>
                    <w:t>，不属于</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三高</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项目。项目不在水源涵养区、饮用水水源保护区内和河流、湖泊、水库等周边，且项目符合新疆</w:t>
                  </w:r>
                  <w:r>
                    <w:rPr>
                      <w:rFonts w:hint="eastAsia" w:ascii="Times New Roman" w:hAnsi="Times New Roman" w:eastAsia="宋体" w:cs="Times New Roman"/>
                      <w:color w:val="000000"/>
                      <w:kern w:val="0"/>
                      <w:sz w:val="21"/>
                      <w:szCs w:val="21"/>
                      <w:highlight w:val="none"/>
                      <w:lang w:val="en-US" w:eastAsia="zh-CN" w:bidi="ar"/>
                    </w:rPr>
                    <w:t>昌吉高新技术产业开发区</w:t>
                  </w:r>
                  <w:r>
                    <w:rPr>
                      <w:rFonts w:hint="default" w:ascii="Times New Roman" w:hAnsi="Times New Roman" w:eastAsia="宋体" w:cs="Times New Roman"/>
                      <w:color w:val="000000"/>
                      <w:kern w:val="0"/>
                      <w:sz w:val="21"/>
                      <w:szCs w:val="21"/>
                      <w:highlight w:val="none"/>
                      <w:lang w:val="en-US" w:eastAsia="zh-CN" w:bidi="ar"/>
                    </w:rPr>
                    <w:t>总体规划及规划环评的相关要求。</w:t>
                  </w:r>
                </w:p>
              </w:tc>
              <w:tc>
                <w:tcPr>
                  <w:tcW w:w="529" w:type="pct"/>
                  <w:tcBorders>
                    <w:top w:val="single" w:color="000000" w:sz="8" w:space="0"/>
                    <w:tl2br w:val="nil"/>
                    <w:tr2bl w:val="nil"/>
                  </w:tcBorders>
                  <w:noWrap w:val="0"/>
                  <w:vAlign w:val="center"/>
                </w:tcPr>
                <w:p w14:paraId="6DDBE449">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r w14:paraId="20C161C2">
              <w:tblPrEx>
                <w:tblBorders>
                  <w:top w:val="single" w:color="000000" w:sz="8" w:space="0"/>
                  <w:left w:val="none" w:color="auto" w:sz="0" w:space="0"/>
                  <w:bottom w:val="single" w:color="000000" w:sz="8"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37" w:hRule="atLeast"/>
                <w:jc w:val="center"/>
              </w:trPr>
              <w:tc>
                <w:tcPr>
                  <w:tcW w:w="548" w:type="pct"/>
                  <w:tcBorders>
                    <w:tl2br w:val="nil"/>
                    <w:tr2bl w:val="nil"/>
                  </w:tcBorders>
                  <w:noWrap w:val="0"/>
                  <w:vAlign w:val="center"/>
                </w:tcPr>
                <w:p w14:paraId="745F596D">
                  <w:pPr>
                    <w:keepNext w:val="0"/>
                    <w:keepLines w:val="0"/>
                    <w:pageBreakBefore w:val="0"/>
                    <w:widowControl/>
                    <w:suppressLineNumbers w:val="0"/>
                    <w:kinsoku/>
                    <w:wordWrap/>
                    <w:overflowPunct/>
                    <w:topLinePunct w:val="0"/>
                    <w:bidi w:val="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rPr>
                    <w:t>污染物排放管控</w:t>
                  </w:r>
                </w:p>
              </w:tc>
              <w:tc>
                <w:tcPr>
                  <w:tcW w:w="2042" w:type="pct"/>
                  <w:tcBorders>
                    <w:tl2br w:val="nil"/>
                    <w:tr2bl w:val="nil"/>
                  </w:tcBorders>
                  <w:noWrap w:val="0"/>
                  <w:vAlign w:val="center"/>
                </w:tcPr>
                <w:p w14:paraId="277183B1">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深化行业污染源头治理，深入开展火电行业减排，全力推进钢铁行业超低排放改造，有序推进石化行业</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泄漏检测与修复</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技术改造。强化煤化工、石化、有机化工、表面涂装、包装印刷等重点行业挥发性有机物控制。深入开展燃煤锅炉污染综合整治，深化工业炉窑综合治理。加强</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散乱污</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企业综合整治。优化区域交通运输结构，加快货物运输绿色转型，做好车油联合管控。以改善流域水环境质量为核心，强化源头控制，</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一河（湖）一策</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精准施治，减少水污染物排放，持续改善水环境质量。强化园区（工业集聚区）水污染防治，不断提高工业用水重复利用率。加快实施城镇污水处理设施提质增效，补齐生活污水收集和处理设施短板，提高再生水回用比例。持续推进农业农村污染防治。提升土壤环境监管能力，加强污染地块安全利用监管。强化工矿用地管理，严格建设用地土壤环境风险管控。加强农用地土壤污染源头控制，科学施用化肥农药，提高农膜回收率。</w:t>
                  </w:r>
                </w:p>
              </w:tc>
              <w:tc>
                <w:tcPr>
                  <w:tcW w:w="1879" w:type="pct"/>
                  <w:tcBorders>
                    <w:tl2br w:val="nil"/>
                    <w:tr2bl w:val="nil"/>
                  </w:tcBorders>
                  <w:noWrap w:val="0"/>
                  <w:vAlign w:val="center"/>
                </w:tcPr>
                <w:p w14:paraId="1E5FD75F">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eastAsia" w:ascii="Times New Roman" w:hAnsi="Times New Roman" w:eastAsia="宋体" w:cs="Times New Roman"/>
                      <w:sz w:val="21"/>
                      <w:szCs w:val="21"/>
                      <w:highlight w:val="none"/>
                      <w:vertAlign w:val="baseline"/>
                      <w:lang w:val="en-US" w:eastAsia="zh-CN"/>
                    </w:rPr>
                    <w:t>本项目为防水建筑材料制造，不属于</w:t>
                  </w:r>
                  <w:r>
                    <w:rPr>
                      <w:rFonts w:hint="default" w:ascii="Times New Roman" w:hAnsi="Times New Roman" w:eastAsia="宋体" w:cs="Times New Roman"/>
                      <w:sz w:val="21"/>
                      <w:szCs w:val="21"/>
                      <w:highlight w:val="none"/>
                      <w:vertAlign w:val="baseline"/>
                      <w:lang w:val="en-US" w:eastAsia="zh-CN"/>
                    </w:rPr>
                    <w:t>煤化工、石化、有机化工、表面涂装、包装印刷等挥发性有机物控制重点</w:t>
                  </w:r>
                  <w:r>
                    <w:rPr>
                      <w:rFonts w:hint="eastAsia" w:ascii="Times New Roman" w:hAnsi="Times New Roman" w:eastAsia="宋体" w:cs="Times New Roman"/>
                      <w:sz w:val="21"/>
                      <w:szCs w:val="21"/>
                      <w:highlight w:val="none"/>
                      <w:vertAlign w:val="baseline"/>
                      <w:lang w:val="en-US" w:eastAsia="zh-CN"/>
                    </w:rPr>
                    <w:t>行业；项目导热油炉采用天然气作为燃料；项目无生产废水排放，设备清洗水经隔油沉淀池处理后循环使用；冷却水循环利用，不外排；项目废弃包装收集后统一外售给资源回收部门</w:t>
                  </w:r>
                  <w:r>
                    <w:rPr>
                      <w:rFonts w:hint="eastAsia" w:cs="Times New Roman"/>
                      <w:sz w:val="21"/>
                      <w:szCs w:val="21"/>
                      <w:highlight w:val="none"/>
                      <w:vertAlign w:val="baseline"/>
                      <w:lang w:val="en-US" w:eastAsia="zh-CN"/>
                    </w:rPr>
                    <w:t>；废沥青油集中收集后回用于生产；废活性炭、沉渣、废润滑油、废润滑油桶、废含油抹布</w:t>
                  </w:r>
                  <w:r>
                    <w:rPr>
                      <w:rFonts w:hint="eastAsia" w:ascii="Times New Roman" w:hAnsi="Times New Roman" w:eastAsia="宋体" w:cs="Times New Roman"/>
                      <w:sz w:val="21"/>
                      <w:szCs w:val="21"/>
                      <w:highlight w:val="none"/>
                      <w:vertAlign w:val="baseline"/>
                      <w:lang w:val="en-US" w:eastAsia="zh-CN"/>
                    </w:rPr>
                    <w:t>定期委托有资质的单位处理；生活垃圾集中收集后由环卫部门统一清运。</w:t>
                  </w:r>
                  <w:r>
                    <w:rPr>
                      <w:rFonts w:hint="default" w:ascii="Times New Roman" w:hAnsi="Times New Roman" w:cs="Times New Roman"/>
                      <w:color w:val="auto"/>
                      <w:sz w:val="21"/>
                      <w:szCs w:val="21"/>
                      <w:highlight w:val="none"/>
                    </w:rPr>
                    <w:t>本项目采取的环保措施能确保污染物对环境质量影响降到最小。</w:t>
                  </w:r>
                </w:p>
              </w:tc>
              <w:tc>
                <w:tcPr>
                  <w:tcW w:w="529" w:type="pct"/>
                  <w:tcBorders>
                    <w:tl2br w:val="nil"/>
                    <w:tr2bl w:val="nil"/>
                  </w:tcBorders>
                  <w:noWrap w:val="0"/>
                  <w:vAlign w:val="center"/>
                </w:tcPr>
                <w:p w14:paraId="0DD827FF">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r w14:paraId="3CF7A4D6">
              <w:tblPrEx>
                <w:tblBorders>
                  <w:top w:val="single" w:color="000000" w:sz="8" w:space="0"/>
                  <w:left w:val="none" w:color="auto" w:sz="0" w:space="0"/>
                  <w:bottom w:val="single" w:color="000000" w:sz="8"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37" w:hRule="atLeast"/>
                <w:jc w:val="center"/>
              </w:trPr>
              <w:tc>
                <w:tcPr>
                  <w:tcW w:w="548" w:type="pct"/>
                  <w:tcBorders>
                    <w:tl2br w:val="nil"/>
                    <w:tr2bl w:val="nil"/>
                  </w:tcBorders>
                  <w:noWrap w:val="0"/>
                  <w:vAlign w:val="center"/>
                </w:tcPr>
                <w:p w14:paraId="0C69273C">
                  <w:pPr>
                    <w:keepNext w:val="0"/>
                    <w:keepLines w:val="0"/>
                    <w:pageBreakBefore w:val="0"/>
                    <w:widowControl/>
                    <w:suppressLineNumbers w:val="0"/>
                    <w:kinsoku/>
                    <w:wordWrap/>
                    <w:overflowPunct/>
                    <w:topLinePunct w:val="0"/>
                    <w:bidi w:val="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rPr>
                    <w:t>环境风险防控</w:t>
                  </w:r>
                </w:p>
              </w:tc>
              <w:tc>
                <w:tcPr>
                  <w:tcW w:w="2042" w:type="pct"/>
                  <w:tcBorders>
                    <w:tl2br w:val="nil"/>
                    <w:tr2bl w:val="nil"/>
                  </w:tcBorders>
                  <w:noWrap w:val="0"/>
                  <w:vAlign w:val="center"/>
                </w:tcPr>
                <w:p w14:paraId="49C96E82">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rPr>
                    <w:t>禁止在化工园区外新建、扩建危险化学品生产项目。严格落实危险废物处置相关要求。加强重点流域水环境风险管控，保障水环境安全。</w:t>
                  </w:r>
                </w:p>
              </w:tc>
              <w:tc>
                <w:tcPr>
                  <w:tcW w:w="1879" w:type="pct"/>
                  <w:tcBorders>
                    <w:tl2br w:val="nil"/>
                    <w:tr2bl w:val="nil"/>
                  </w:tcBorders>
                  <w:noWrap w:val="0"/>
                  <w:vAlign w:val="center"/>
                </w:tcPr>
                <w:p w14:paraId="38A10DD3">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rPr>
                    <w:t>本项目不涉及危险化学品生产。</w:t>
                  </w:r>
                  <w:r>
                    <w:rPr>
                      <w:rFonts w:hint="eastAsia" w:ascii="Times New Roman" w:hAnsi="Times New Roman" w:cs="Times New Roman"/>
                      <w:color w:val="auto"/>
                      <w:sz w:val="21"/>
                      <w:szCs w:val="21"/>
                      <w:highlight w:val="none"/>
                      <w:lang w:val="en-US" w:eastAsia="zh-CN"/>
                    </w:rPr>
                    <w:t>项目运营期设备维护产生的</w:t>
                  </w:r>
                  <w:r>
                    <w:rPr>
                      <w:rFonts w:hint="eastAsia" w:ascii="Times New Roman" w:hAnsi="Times New Roman" w:eastAsia="宋体" w:cs="Times New Roman"/>
                      <w:sz w:val="21"/>
                      <w:szCs w:val="21"/>
                      <w:highlight w:val="none"/>
                      <w:vertAlign w:val="baseline"/>
                      <w:lang w:val="en-US" w:eastAsia="zh-CN"/>
                    </w:rPr>
                    <w:t>废</w:t>
                  </w:r>
                  <w:r>
                    <w:rPr>
                      <w:rFonts w:hint="eastAsia" w:cs="Times New Roman"/>
                      <w:sz w:val="21"/>
                      <w:szCs w:val="21"/>
                      <w:highlight w:val="none"/>
                      <w:vertAlign w:val="baseline"/>
                      <w:lang w:val="en-US" w:eastAsia="zh-CN"/>
                    </w:rPr>
                    <w:t>润滑油</w:t>
                  </w:r>
                  <w:r>
                    <w:rPr>
                      <w:rFonts w:hint="eastAsia" w:ascii="Times New Roman" w:hAnsi="Times New Roman" w:eastAsia="宋体" w:cs="Times New Roman"/>
                      <w:sz w:val="21"/>
                      <w:szCs w:val="21"/>
                      <w:highlight w:val="none"/>
                      <w:vertAlign w:val="baseline"/>
                      <w:lang w:val="en-US" w:eastAsia="zh-CN"/>
                    </w:rPr>
                    <w:t>、废机油桶、废含油抹布</w:t>
                  </w:r>
                  <w:r>
                    <w:rPr>
                      <w:rFonts w:hint="eastAsia" w:cs="Times New Roman"/>
                      <w:sz w:val="21"/>
                      <w:szCs w:val="21"/>
                      <w:highlight w:val="none"/>
                      <w:vertAlign w:val="baseline"/>
                      <w:lang w:val="en-US" w:eastAsia="zh-CN"/>
                    </w:rPr>
                    <w:t>、废活性炭</w:t>
                  </w:r>
                  <w:r>
                    <w:rPr>
                      <w:rFonts w:hint="eastAsia" w:ascii="Times New Roman" w:hAnsi="Times New Roman" w:eastAsia="宋体" w:cs="Times New Roman"/>
                      <w:sz w:val="21"/>
                      <w:szCs w:val="21"/>
                      <w:highlight w:val="none"/>
                      <w:vertAlign w:val="baseline"/>
                      <w:lang w:val="en-US" w:eastAsia="zh-CN"/>
                    </w:rPr>
                    <w:t>暂存于危废间，定期委托有资质的单位处理。</w:t>
                  </w:r>
                </w:p>
              </w:tc>
              <w:tc>
                <w:tcPr>
                  <w:tcW w:w="529" w:type="pct"/>
                  <w:tcBorders>
                    <w:tl2br w:val="nil"/>
                    <w:tr2bl w:val="nil"/>
                  </w:tcBorders>
                  <w:noWrap w:val="0"/>
                  <w:vAlign w:val="center"/>
                </w:tcPr>
                <w:p w14:paraId="001D9552">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r w14:paraId="6747FCCC">
              <w:tblPrEx>
                <w:tblBorders>
                  <w:top w:val="single" w:color="000000" w:sz="8" w:space="0"/>
                  <w:left w:val="none" w:color="auto" w:sz="0" w:space="0"/>
                  <w:bottom w:val="single" w:color="000000" w:sz="8"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37" w:hRule="atLeast"/>
                <w:jc w:val="center"/>
              </w:trPr>
              <w:tc>
                <w:tcPr>
                  <w:tcW w:w="548" w:type="pct"/>
                  <w:tcBorders>
                    <w:tl2br w:val="nil"/>
                    <w:tr2bl w:val="nil"/>
                  </w:tcBorders>
                  <w:noWrap w:val="0"/>
                  <w:vAlign w:val="center"/>
                </w:tcPr>
                <w:p w14:paraId="48D2D61D">
                  <w:pPr>
                    <w:keepNext w:val="0"/>
                    <w:keepLines w:val="0"/>
                    <w:pageBreakBefore w:val="0"/>
                    <w:widowControl/>
                    <w:suppressLineNumbers w:val="0"/>
                    <w:kinsoku/>
                    <w:wordWrap/>
                    <w:overflowPunct/>
                    <w:topLinePunct w:val="0"/>
                    <w:bidi w:val="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rPr>
                    <w:t>资源利用效率要求</w:t>
                  </w:r>
                </w:p>
              </w:tc>
              <w:tc>
                <w:tcPr>
                  <w:tcW w:w="2042" w:type="pct"/>
                  <w:tcBorders>
                    <w:tl2br w:val="nil"/>
                    <w:tr2bl w:val="nil"/>
                  </w:tcBorders>
                  <w:noWrap w:val="0"/>
                  <w:vAlign w:val="center"/>
                </w:tcPr>
                <w:p w14:paraId="2BAEDC3D">
                  <w:pPr>
                    <w:keepNext w:val="0"/>
                    <w:keepLines w:val="0"/>
                    <w:pageBreakBefore w:val="0"/>
                    <w:widowControl/>
                    <w:suppressLineNumbers w:val="0"/>
                    <w:kinsoku/>
                    <w:wordWrap/>
                    <w:overflowPunct/>
                    <w:topLinePunct w:val="0"/>
                    <w:bidi w:val="0"/>
                    <w:jc w:val="both"/>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优化能源结构，控制煤炭等化石能源使用量，鼓励使用清洁能源，协同推进减污降碳。全面实施节水工程，合理开发利用水资源，提升水资源利用效率，保障生态用水，严防地下水超采。</w:t>
                  </w:r>
                </w:p>
              </w:tc>
              <w:tc>
                <w:tcPr>
                  <w:tcW w:w="1879" w:type="pct"/>
                  <w:tcBorders>
                    <w:tl2br w:val="nil"/>
                    <w:tr2bl w:val="nil"/>
                  </w:tcBorders>
                  <w:noWrap w:val="0"/>
                  <w:vAlign w:val="center"/>
                </w:tcPr>
                <w:p w14:paraId="09DE9E67">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eastAsia" w:ascii="Times New Roman" w:hAnsi="Times New Roman" w:cs="Times New Roman"/>
                      <w:color w:val="auto"/>
                      <w:sz w:val="21"/>
                      <w:szCs w:val="21"/>
                      <w:highlight w:val="none"/>
                      <w:lang w:val="en-US" w:eastAsia="zh-CN"/>
                    </w:rPr>
                    <w:t>项目生产运营过程中无煤炭等化石能源使用，项目用水量较小</w:t>
                  </w:r>
                  <w:r>
                    <w:rPr>
                      <w:rFonts w:hint="default" w:ascii="Times New Roman" w:hAnsi="Times New Roman" w:cs="Times New Roman"/>
                      <w:color w:val="auto"/>
                      <w:sz w:val="21"/>
                      <w:szCs w:val="21"/>
                      <w:highlight w:val="none"/>
                    </w:rPr>
                    <w:t>，</w:t>
                  </w:r>
                  <w:r>
                    <w:rPr>
                      <w:rFonts w:hint="eastAsia" w:ascii="Times New Roman" w:hAnsi="Times New Roman" w:cs="Times New Roman"/>
                      <w:color w:val="auto"/>
                      <w:sz w:val="21"/>
                      <w:szCs w:val="21"/>
                      <w:highlight w:val="none"/>
                      <w:lang w:val="en-US" w:eastAsia="zh-CN"/>
                    </w:rPr>
                    <w:t>生产废水不外排，经隔油沉淀池收集后循环使用</w:t>
                  </w:r>
                  <w:r>
                    <w:rPr>
                      <w:rFonts w:hint="default" w:ascii="Times New Roman" w:hAnsi="Times New Roman" w:cs="Times New Roman"/>
                      <w:color w:val="auto"/>
                      <w:sz w:val="21"/>
                      <w:szCs w:val="21"/>
                      <w:highlight w:val="none"/>
                    </w:rPr>
                    <w:t>不会影响区域水环境质量</w:t>
                  </w:r>
                  <w:r>
                    <w:rPr>
                      <w:rFonts w:hint="eastAsia" w:ascii="Times New Roman" w:hAnsi="Times New Roman" w:cs="Times New Roman"/>
                      <w:color w:val="auto"/>
                      <w:sz w:val="21"/>
                      <w:szCs w:val="21"/>
                      <w:highlight w:val="none"/>
                      <w:lang w:eastAsia="zh-CN"/>
                    </w:rPr>
                    <w:t>。</w:t>
                  </w:r>
                </w:p>
              </w:tc>
              <w:tc>
                <w:tcPr>
                  <w:tcW w:w="529" w:type="pct"/>
                  <w:tcBorders>
                    <w:tl2br w:val="nil"/>
                    <w:tr2bl w:val="nil"/>
                  </w:tcBorders>
                  <w:noWrap w:val="0"/>
                  <w:vAlign w:val="center"/>
                </w:tcPr>
                <w:p w14:paraId="7162E522">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bl>
          <w:p w14:paraId="73B03731">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jc w:val="both"/>
              <w:textAlignment w:val="auto"/>
              <w:rPr>
                <w:rFonts w:hint="default" w:ascii="Times New Roman" w:hAnsi="Times New Roman" w:cs="Times New Roman"/>
                <w:b/>
                <w:bCs/>
                <w:kern w:val="0"/>
                <w:sz w:val="24"/>
                <w:szCs w:val="24"/>
                <w:highlight w:val="none"/>
                <w:lang w:val="en-US" w:eastAsia="zh-CN"/>
              </w:rPr>
            </w:pPr>
            <w:r>
              <w:rPr>
                <w:rFonts w:hint="default" w:ascii="Times New Roman" w:hAnsi="Times New Roman" w:cs="Times New Roman"/>
                <w:b/>
                <w:bCs/>
                <w:kern w:val="0"/>
                <w:sz w:val="24"/>
                <w:szCs w:val="24"/>
                <w:highlight w:val="none"/>
                <w:lang w:val="en-US" w:eastAsia="zh-CN"/>
              </w:rPr>
              <w:t>6 与《新疆维吾尔自治区大气污染防治条例》符合性分析</w:t>
            </w:r>
          </w:p>
          <w:p w14:paraId="21E8330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highlight w:val="none"/>
                <w:lang w:val="en-US" w:eastAsia="zh-CN"/>
              </w:rPr>
            </w:pPr>
            <w:r>
              <w:rPr>
                <w:rFonts w:hint="eastAsia" w:ascii="Times New Roman" w:hAnsi="Times New Roman" w:cs="Times New Roman"/>
                <w:b w:val="0"/>
                <w:bCs w:val="0"/>
                <w:kern w:val="0"/>
                <w:sz w:val="24"/>
                <w:szCs w:val="24"/>
                <w:highlight w:val="none"/>
                <w:lang w:val="en-US" w:eastAsia="zh-CN"/>
              </w:rPr>
              <w:t>本</w:t>
            </w:r>
            <w:r>
              <w:rPr>
                <w:rFonts w:hint="eastAsia" w:ascii="Times New Roman" w:hAnsi="Times New Roman" w:eastAsia="宋体" w:cs="Times New Roman"/>
                <w:sz w:val="24"/>
                <w:szCs w:val="24"/>
                <w:highlight w:val="none"/>
                <w:lang w:val="en-US" w:eastAsia="zh-CN"/>
              </w:rPr>
              <w:t>项目与</w:t>
            </w:r>
            <w:r>
              <w:rPr>
                <w:rFonts w:hint="default" w:ascii="Times New Roman" w:hAnsi="Times New Roman" w:eastAsia="宋体" w:cs="Times New Roman"/>
                <w:sz w:val="24"/>
                <w:szCs w:val="24"/>
                <w:highlight w:val="none"/>
                <w:lang w:val="en-US" w:eastAsia="zh-CN"/>
              </w:rPr>
              <w:t>《新疆维吾尔自治区大气污染防治条例》符合性分析</w:t>
            </w:r>
            <w:r>
              <w:rPr>
                <w:rFonts w:hint="eastAsia" w:ascii="Times New Roman" w:hAnsi="Times New Roman" w:eastAsia="宋体" w:cs="Times New Roman"/>
                <w:sz w:val="24"/>
                <w:szCs w:val="24"/>
                <w:highlight w:val="none"/>
                <w:lang w:val="en-US" w:eastAsia="zh-CN"/>
              </w:rPr>
              <w:t>见表1-5。</w:t>
            </w:r>
          </w:p>
          <w:p w14:paraId="2D860491">
            <w:pPr>
              <w:keepNext w:val="0"/>
              <w:keepLines w:val="0"/>
              <w:widowControl/>
              <w:suppressLineNumbers w:val="0"/>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bidi="ar"/>
              </w:rPr>
              <w:t>表1-</w:t>
            </w:r>
            <w:r>
              <w:rPr>
                <w:rFonts w:hint="eastAsia" w:ascii="Times New Roman" w:hAnsi="Times New Roman" w:eastAsia="宋体" w:cs="Times New Roman"/>
                <w:b/>
                <w:bCs/>
                <w:color w:val="000000"/>
                <w:kern w:val="0"/>
                <w:sz w:val="21"/>
                <w:szCs w:val="21"/>
                <w:highlight w:val="none"/>
                <w:lang w:val="en-US" w:eastAsia="zh-CN" w:bidi="ar"/>
              </w:rPr>
              <w:t>5</w:t>
            </w:r>
            <w:r>
              <w:rPr>
                <w:rFonts w:hint="default" w:ascii="Times New Roman" w:hAnsi="Times New Roman" w:eastAsia="宋体" w:cs="Times New Roman"/>
                <w:b/>
                <w:bCs/>
                <w:color w:val="000000"/>
                <w:kern w:val="0"/>
                <w:sz w:val="21"/>
                <w:szCs w:val="21"/>
                <w:highlight w:val="none"/>
                <w:lang w:val="en-US" w:eastAsia="zh-CN" w:bidi="ar"/>
              </w:rPr>
              <w:t xml:space="preserve"> </w:t>
            </w:r>
            <w:r>
              <w:rPr>
                <w:rFonts w:hint="eastAsia" w:ascii="Times New Roman" w:hAnsi="Times New Roman" w:eastAsia="宋体" w:cs="Times New Roman"/>
                <w:b/>
                <w:bCs/>
                <w:color w:val="000000"/>
                <w:kern w:val="0"/>
                <w:sz w:val="21"/>
                <w:szCs w:val="21"/>
                <w:highlight w:val="none"/>
                <w:lang w:val="en-US" w:eastAsia="zh-CN" w:bidi="ar"/>
              </w:rPr>
              <w:t xml:space="preserve">    </w:t>
            </w:r>
            <w:r>
              <w:rPr>
                <w:rFonts w:hint="default" w:ascii="Times New Roman" w:hAnsi="Times New Roman" w:eastAsia="宋体" w:cs="Times New Roman"/>
                <w:b/>
                <w:bCs/>
                <w:color w:val="000000"/>
                <w:kern w:val="0"/>
                <w:sz w:val="21"/>
                <w:szCs w:val="21"/>
                <w:highlight w:val="none"/>
                <w:lang w:val="en-US" w:eastAsia="zh-CN" w:bidi="ar"/>
              </w:rPr>
              <w:t>本项目与《新疆维吾尔自治区大气污染防治条例》符合性</w:t>
            </w:r>
          </w:p>
          <w:tbl>
            <w:tblPr>
              <w:tblStyle w:val="20"/>
              <w:tblW w:w="7438" w:type="dxa"/>
              <w:tblInd w:w="5" w:type="dxa"/>
              <w:tblBorders>
                <w:top w:val="single" w:color="auto" w:sz="8" w:space="0"/>
                <w:left w:val="none" w:color="auto" w:sz="0" w:space="0"/>
                <w:bottom w:val="single" w:color="auto" w:sz="8" w:space="0"/>
                <w:right w:val="none" w:color="auto" w:sz="0" w:space="0"/>
                <w:insideH w:val="none" w:color="auto" w:sz="0" w:space="0"/>
                <w:insideV w:val="single" w:color="auto" w:sz="6" w:space="0"/>
              </w:tblBorders>
              <w:tblLayout w:type="autofit"/>
              <w:tblCellMar>
                <w:top w:w="0" w:type="dxa"/>
                <w:left w:w="108" w:type="dxa"/>
                <w:bottom w:w="0" w:type="dxa"/>
                <w:right w:w="108" w:type="dxa"/>
              </w:tblCellMar>
            </w:tblPr>
            <w:tblGrid>
              <w:gridCol w:w="4348"/>
              <w:gridCol w:w="2103"/>
              <w:gridCol w:w="987"/>
            </w:tblGrid>
            <w:tr w14:paraId="0B21675E">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358" w:hRule="atLeast"/>
              </w:trPr>
              <w:tc>
                <w:tcPr>
                  <w:tcW w:w="4348" w:type="dxa"/>
                  <w:tcBorders>
                    <w:bottom w:val="single" w:color="auto" w:sz="8" w:space="0"/>
                  </w:tcBorders>
                  <w:noWrap w:val="0"/>
                  <w:vAlign w:val="center"/>
                </w:tcPr>
                <w:p w14:paraId="04E0D131">
                  <w:pPr>
                    <w:autoSpaceDE w:val="0"/>
                    <w:autoSpaceDN w:val="0"/>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条例要求</w:t>
                  </w:r>
                </w:p>
              </w:tc>
              <w:tc>
                <w:tcPr>
                  <w:tcW w:w="2103" w:type="dxa"/>
                  <w:tcBorders>
                    <w:bottom w:val="single" w:color="auto" w:sz="8" w:space="0"/>
                  </w:tcBorders>
                  <w:noWrap w:val="0"/>
                  <w:vAlign w:val="center"/>
                </w:tcPr>
                <w:p w14:paraId="0D6CE6D4">
                  <w:pPr>
                    <w:autoSpaceDE w:val="0"/>
                    <w:autoSpaceDN w:val="0"/>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本项目实际</w:t>
                  </w:r>
                </w:p>
              </w:tc>
              <w:tc>
                <w:tcPr>
                  <w:tcW w:w="987" w:type="dxa"/>
                  <w:tcBorders>
                    <w:bottom w:val="single" w:color="auto" w:sz="8" w:space="0"/>
                  </w:tcBorders>
                  <w:noWrap w:val="0"/>
                  <w:vAlign w:val="center"/>
                </w:tcPr>
                <w:p w14:paraId="5A3D174E">
                  <w:pPr>
                    <w:autoSpaceDE w:val="0"/>
                    <w:autoSpaceDN w:val="0"/>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符合性</w:t>
                  </w:r>
                </w:p>
              </w:tc>
            </w:tr>
            <w:tr w14:paraId="5F1D73BE">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826" w:hRule="atLeast"/>
              </w:trPr>
              <w:tc>
                <w:tcPr>
                  <w:tcW w:w="4348" w:type="dxa"/>
                  <w:tcBorders>
                    <w:top w:val="single" w:color="auto" w:sz="8" w:space="0"/>
                    <w:bottom w:val="single" w:color="auto" w:sz="6" w:space="0"/>
                  </w:tcBorders>
                  <w:noWrap w:val="0"/>
                  <w:vAlign w:val="center"/>
                </w:tcPr>
                <w:p w14:paraId="1965BF6B">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自治区对大气污染物实行排污许可管理制度。</w:t>
                  </w:r>
                </w:p>
              </w:tc>
              <w:tc>
                <w:tcPr>
                  <w:tcW w:w="2103" w:type="dxa"/>
                  <w:tcBorders>
                    <w:top w:val="single" w:color="auto" w:sz="8" w:space="0"/>
                    <w:bottom w:val="single" w:color="auto" w:sz="6" w:space="0"/>
                  </w:tcBorders>
                  <w:noWrap w:val="0"/>
                  <w:vAlign w:val="center"/>
                </w:tcPr>
                <w:p w14:paraId="29976576">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企</w:t>
                  </w:r>
                  <w:r>
                    <w:rPr>
                      <w:rFonts w:hint="eastAsia" w:cs="Times New Roman"/>
                      <w:sz w:val="21"/>
                      <w:szCs w:val="21"/>
                      <w:highlight w:val="none"/>
                      <w:vertAlign w:val="baseline"/>
                      <w:lang w:val="en-US" w:eastAsia="zh-CN"/>
                    </w:rPr>
                    <w:t>业已</w:t>
                  </w:r>
                  <w:r>
                    <w:rPr>
                      <w:rFonts w:hint="default" w:ascii="Times New Roman" w:hAnsi="Times New Roman" w:eastAsia="宋体" w:cs="Times New Roman"/>
                      <w:sz w:val="21"/>
                      <w:szCs w:val="21"/>
                      <w:highlight w:val="none"/>
                      <w:vertAlign w:val="baseline"/>
                      <w:lang w:val="en-US" w:eastAsia="zh-CN"/>
                    </w:rPr>
                    <w:t>规定</w:t>
                  </w:r>
                  <w:r>
                    <w:rPr>
                      <w:rFonts w:hint="eastAsia" w:cs="Times New Roman"/>
                      <w:sz w:val="21"/>
                      <w:szCs w:val="21"/>
                      <w:highlight w:val="none"/>
                      <w:vertAlign w:val="baseline"/>
                      <w:lang w:val="en-US" w:eastAsia="zh-CN"/>
                    </w:rPr>
                    <w:t>进行</w:t>
                  </w:r>
                  <w:r>
                    <w:rPr>
                      <w:rFonts w:hint="default" w:ascii="Times New Roman" w:hAnsi="Times New Roman" w:eastAsia="宋体" w:cs="Times New Roman"/>
                      <w:sz w:val="21"/>
                      <w:szCs w:val="21"/>
                      <w:highlight w:val="none"/>
                      <w:vertAlign w:val="baseline"/>
                      <w:lang w:val="en-US" w:eastAsia="zh-CN"/>
                    </w:rPr>
                    <w:t>排污许可申请 。</w:t>
                  </w:r>
                </w:p>
              </w:tc>
              <w:tc>
                <w:tcPr>
                  <w:tcW w:w="987" w:type="dxa"/>
                  <w:tcBorders>
                    <w:top w:val="single" w:color="auto" w:sz="8" w:space="0"/>
                    <w:bottom w:val="single" w:color="auto" w:sz="6" w:space="0"/>
                  </w:tcBorders>
                  <w:noWrap w:val="0"/>
                  <w:vAlign w:val="center"/>
                </w:tcPr>
                <w:p w14:paraId="4564A6CF">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r w14:paraId="5FE78696">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1628" w:hRule="atLeast"/>
              </w:trPr>
              <w:tc>
                <w:tcPr>
                  <w:tcW w:w="4348" w:type="dxa"/>
                  <w:tcBorders>
                    <w:top w:val="single" w:color="auto" w:sz="6" w:space="0"/>
                    <w:bottom w:val="single" w:color="auto" w:sz="6" w:space="0"/>
                  </w:tcBorders>
                  <w:noWrap w:val="0"/>
                  <w:vAlign w:val="center"/>
                </w:tcPr>
                <w:p w14:paraId="17BDF5B0">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向大气排放污染物的企业事业单位和其他生产经营者，应当按照国家有关规定和监测规范，自行或者委托有资质的监测机构监测大气污染物排放情况，并保存原始监测数据记录。</w:t>
                  </w:r>
                </w:p>
              </w:tc>
              <w:tc>
                <w:tcPr>
                  <w:tcW w:w="2103" w:type="dxa"/>
                  <w:tcBorders>
                    <w:top w:val="single" w:color="auto" w:sz="6" w:space="0"/>
                    <w:bottom w:val="single" w:color="auto" w:sz="6" w:space="0"/>
                  </w:tcBorders>
                  <w:noWrap w:val="0"/>
                  <w:vAlign w:val="center"/>
                </w:tcPr>
                <w:p w14:paraId="731ECB9A">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本项目运营期对</w:t>
                  </w:r>
                  <w:r>
                    <w:rPr>
                      <w:rFonts w:hint="eastAsia" w:ascii="Times New Roman" w:hAnsi="Times New Roman" w:eastAsia="宋体" w:cs="Times New Roman"/>
                      <w:sz w:val="21"/>
                      <w:szCs w:val="21"/>
                      <w:highlight w:val="none"/>
                      <w:vertAlign w:val="baseline"/>
                      <w:lang w:val="en-US" w:eastAsia="zh-CN"/>
                    </w:rPr>
                    <w:t>沥青烟、</w:t>
                  </w:r>
                  <w:r>
                    <w:rPr>
                      <w:rFonts w:hint="default" w:ascii="Times New Roman" w:hAnsi="Times New Roman" w:eastAsia="宋体" w:cs="Times New Roman"/>
                      <w:sz w:val="21"/>
                      <w:szCs w:val="21"/>
                      <w:highlight w:val="none"/>
                      <w:vertAlign w:val="baseline"/>
                      <w:lang w:val="en-US" w:eastAsia="zh-CN"/>
                    </w:rPr>
                    <w:t>颗粒物、非甲烷总烃</w:t>
                  </w:r>
                  <w:r>
                    <w:rPr>
                      <w:rFonts w:hint="eastAsia" w:ascii="Times New Roman" w:hAnsi="Times New Roman" w:eastAsia="宋体" w:cs="Times New Roman"/>
                      <w:sz w:val="21"/>
                      <w:szCs w:val="21"/>
                      <w:highlight w:val="none"/>
                      <w:vertAlign w:val="baseline"/>
                      <w:lang w:val="en-US" w:eastAsia="zh-CN"/>
                    </w:rPr>
                    <w:t>、苯并[a]芘</w:t>
                  </w:r>
                  <w:r>
                    <w:rPr>
                      <w:rFonts w:hint="default" w:ascii="Times New Roman" w:hAnsi="Times New Roman" w:eastAsia="宋体" w:cs="Times New Roman"/>
                      <w:sz w:val="21"/>
                      <w:szCs w:val="21"/>
                      <w:highlight w:val="none"/>
                      <w:vertAlign w:val="baseline"/>
                      <w:lang w:val="en-US" w:eastAsia="zh-CN"/>
                    </w:rPr>
                    <w:t>进行监测。监测报告按要求进行上报，并依法公开。</w:t>
                  </w:r>
                </w:p>
              </w:tc>
              <w:tc>
                <w:tcPr>
                  <w:tcW w:w="987" w:type="dxa"/>
                  <w:tcBorders>
                    <w:top w:val="single" w:color="auto" w:sz="6" w:space="0"/>
                    <w:bottom w:val="single" w:color="auto" w:sz="6" w:space="0"/>
                  </w:tcBorders>
                  <w:noWrap w:val="0"/>
                  <w:vAlign w:val="center"/>
                </w:tcPr>
                <w:p w14:paraId="5B74F763">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r w14:paraId="3B5B470B">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1358" w:hRule="atLeast"/>
              </w:trPr>
              <w:tc>
                <w:tcPr>
                  <w:tcW w:w="4348" w:type="dxa"/>
                  <w:tcBorders>
                    <w:top w:val="single" w:color="auto" w:sz="6" w:space="0"/>
                    <w:bottom w:val="single" w:color="auto" w:sz="6" w:space="0"/>
                  </w:tcBorders>
                  <w:noWrap w:val="0"/>
                  <w:vAlign w:val="center"/>
                </w:tcPr>
                <w:p w14:paraId="2153D679">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实行煤炭消费总量控制制度，采取有利于煤炭消费总量削减的经济、技术政策和措施，鼓励和支持清洁能源的开发利用，引导企业开展清洁能源替代，减少煤炭生产、使用、转化过程中的大气污染物排放。</w:t>
                  </w:r>
                </w:p>
              </w:tc>
              <w:tc>
                <w:tcPr>
                  <w:tcW w:w="2103" w:type="dxa"/>
                  <w:tcBorders>
                    <w:top w:val="single" w:color="auto" w:sz="6" w:space="0"/>
                    <w:bottom w:val="single" w:color="auto" w:sz="6" w:space="0"/>
                  </w:tcBorders>
                  <w:noWrap w:val="0"/>
                  <w:vAlign w:val="center"/>
                </w:tcPr>
                <w:p w14:paraId="794B97DF">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本项目不涉及燃煤工艺。</w:t>
                  </w:r>
                </w:p>
              </w:tc>
              <w:tc>
                <w:tcPr>
                  <w:tcW w:w="987" w:type="dxa"/>
                  <w:tcBorders>
                    <w:top w:val="single" w:color="auto" w:sz="6" w:space="0"/>
                    <w:bottom w:val="single" w:color="auto" w:sz="6" w:space="0"/>
                  </w:tcBorders>
                  <w:noWrap w:val="0"/>
                  <w:vAlign w:val="center"/>
                </w:tcPr>
                <w:p w14:paraId="3473BF6A">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r w14:paraId="25057FEC">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552" w:hRule="atLeast"/>
              </w:trPr>
              <w:tc>
                <w:tcPr>
                  <w:tcW w:w="4348" w:type="dxa"/>
                  <w:tcBorders>
                    <w:top w:val="single" w:color="auto" w:sz="6" w:space="0"/>
                    <w:bottom w:val="single" w:color="auto" w:sz="6" w:space="0"/>
                  </w:tcBorders>
                  <w:noWrap w:val="0"/>
                  <w:vAlign w:val="center"/>
                </w:tcPr>
                <w:p w14:paraId="5E9B7E93">
                  <w:pPr>
                    <w:keepNext w:val="0"/>
                    <w:keepLines w:val="0"/>
                    <w:widowControl/>
                    <w:suppressLineNumbers w:val="0"/>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推进城市建成区、工业园区实行集中供热，使用清洁燃料。</w:t>
                  </w:r>
                </w:p>
              </w:tc>
              <w:tc>
                <w:tcPr>
                  <w:tcW w:w="2103" w:type="dxa"/>
                  <w:tcBorders>
                    <w:top w:val="single" w:color="auto" w:sz="6" w:space="0"/>
                    <w:bottom w:val="single" w:color="auto" w:sz="6" w:space="0"/>
                  </w:tcBorders>
                  <w:noWrap w:val="0"/>
                  <w:vAlign w:val="center"/>
                </w:tcPr>
                <w:p w14:paraId="62587871">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项目园区集中供热。</w:t>
                  </w:r>
                </w:p>
              </w:tc>
              <w:tc>
                <w:tcPr>
                  <w:tcW w:w="987" w:type="dxa"/>
                  <w:tcBorders>
                    <w:top w:val="single" w:color="auto" w:sz="6" w:space="0"/>
                    <w:bottom w:val="single" w:color="auto" w:sz="6" w:space="0"/>
                  </w:tcBorders>
                  <w:noWrap w:val="0"/>
                  <w:vAlign w:val="center"/>
                </w:tcPr>
                <w:p w14:paraId="37649A3F">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r w14:paraId="701CAC22">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1049" w:hRule="atLeast"/>
              </w:trPr>
              <w:tc>
                <w:tcPr>
                  <w:tcW w:w="4348" w:type="dxa"/>
                  <w:tcBorders>
                    <w:top w:val="single" w:color="auto" w:sz="6" w:space="0"/>
                    <w:bottom w:val="single" w:color="auto" w:sz="6" w:space="0"/>
                  </w:tcBorders>
                  <w:noWrap w:val="0"/>
                  <w:vAlign w:val="center"/>
                </w:tcPr>
                <w:p w14:paraId="558B0F9F">
                  <w:pPr>
                    <w:keepNext w:val="0"/>
                    <w:keepLines w:val="0"/>
                    <w:widowControl/>
                    <w:suppressLineNumbers w:val="0"/>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在禁燃区内，禁止销售、燃用高污染燃料；禁止新建、扩建燃用高污染燃料的设施。已建成的，应当在规定期限内改用清洁能源。</w:t>
                  </w:r>
                </w:p>
              </w:tc>
              <w:tc>
                <w:tcPr>
                  <w:tcW w:w="2103" w:type="dxa"/>
                  <w:tcBorders>
                    <w:top w:val="single" w:color="auto" w:sz="6" w:space="0"/>
                    <w:bottom w:val="single" w:color="auto" w:sz="6" w:space="0"/>
                  </w:tcBorders>
                  <w:noWrap w:val="0"/>
                  <w:vAlign w:val="center"/>
                </w:tcPr>
                <w:p w14:paraId="0486852D">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项目使用的天然气由园区管网供应。</w:t>
                  </w:r>
                </w:p>
              </w:tc>
              <w:tc>
                <w:tcPr>
                  <w:tcW w:w="987" w:type="dxa"/>
                  <w:tcBorders>
                    <w:top w:val="single" w:color="auto" w:sz="6" w:space="0"/>
                    <w:bottom w:val="single" w:color="auto" w:sz="6" w:space="0"/>
                  </w:tcBorders>
                  <w:noWrap w:val="0"/>
                  <w:vAlign w:val="center"/>
                </w:tcPr>
                <w:p w14:paraId="46CD1320">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r w14:paraId="37CB504D">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1358" w:hRule="atLeast"/>
              </w:trPr>
              <w:tc>
                <w:tcPr>
                  <w:tcW w:w="4348" w:type="dxa"/>
                  <w:tcBorders>
                    <w:top w:val="single" w:color="auto" w:sz="6" w:space="0"/>
                    <w:bottom w:val="single" w:color="auto" w:sz="6" w:space="0"/>
                  </w:tcBorders>
                  <w:noWrap w:val="0"/>
                  <w:vAlign w:val="center"/>
                </w:tcPr>
                <w:p w14:paraId="5FFDF49F">
                  <w:pPr>
                    <w:keepNext w:val="0"/>
                    <w:keepLines w:val="0"/>
                    <w:widowControl/>
                    <w:suppressLineNumbers w:val="0"/>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禁止在自治区行政区域内引进能(水)耗不符合相关国家标准中准入值要求且污染物排放和环境风险防控不符合国家(地方)标准及有关产业准入条件的高污染（排放）、高能（水）耗、高环境风险的工业项目。</w:t>
                  </w:r>
                </w:p>
              </w:tc>
              <w:tc>
                <w:tcPr>
                  <w:tcW w:w="2103" w:type="dxa"/>
                  <w:tcBorders>
                    <w:top w:val="single" w:color="auto" w:sz="6" w:space="0"/>
                    <w:bottom w:val="single" w:color="auto" w:sz="6" w:space="0"/>
                  </w:tcBorders>
                  <w:noWrap w:val="0"/>
                  <w:vAlign w:val="center"/>
                </w:tcPr>
                <w:p w14:paraId="08FDB4F2">
                  <w:pPr>
                    <w:keepNext w:val="0"/>
                    <w:keepLines w:val="0"/>
                    <w:widowControl/>
                    <w:suppressLineNumbers w:val="0"/>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color w:val="000000"/>
                      <w:kern w:val="0"/>
                      <w:sz w:val="20"/>
                      <w:szCs w:val="20"/>
                      <w:highlight w:val="none"/>
                      <w:lang w:val="en-US" w:eastAsia="zh-CN" w:bidi="ar"/>
                    </w:rPr>
                    <w:t>本项目不属于高污染（排放）、高能（水）耗、高环境风险的工业项目。</w:t>
                  </w:r>
                </w:p>
              </w:tc>
              <w:tc>
                <w:tcPr>
                  <w:tcW w:w="987" w:type="dxa"/>
                  <w:tcBorders>
                    <w:top w:val="single" w:color="auto" w:sz="6" w:space="0"/>
                    <w:bottom w:val="single" w:color="auto" w:sz="6" w:space="0"/>
                  </w:tcBorders>
                  <w:noWrap w:val="0"/>
                  <w:vAlign w:val="center"/>
                </w:tcPr>
                <w:p w14:paraId="104DA011">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r w14:paraId="6BE7A8D9">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1304" w:hRule="atLeast"/>
              </w:trPr>
              <w:tc>
                <w:tcPr>
                  <w:tcW w:w="4348" w:type="dxa"/>
                  <w:tcBorders>
                    <w:top w:val="single" w:color="auto" w:sz="6" w:space="0"/>
                    <w:bottom w:val="single" w:color="auto" w:sz="6" w:space="0"/>
                  </w:tcBorders>
                  <w:noWrap w:val="0"/>
                  <w:vAlign w:val="center"/>
                </w:tcPr>
                <w:p w14:paraId="56878A86">
                  <w:pPr>
                    <w:keepNext w:val="0"/>
                    <w:keepLines w:val="0"/>
                    <w:widowControl/>
                    <w:suppressLineNumbers w:val="0"/>
                    <w:jc w:val="both"/>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禁止新建、改建、扩建列入淘汰类目录的高污染工业项目。禁止使用列入淘汰类目录的工艺、设备、产品。</w:t>
                  </w:r>
                </w:p>
              </w:tc>
              <w:tc>
                <w:tcPr>
                  <w:tcW w:w="2103" w:type="dxa"/>
                  <w:tcBorders>
                    <w:top w:val="single" w:color="auto" w:sz="6" w:space="0"/>
                    <w:bottom w:val="single" w:color="auto" w:sz="6" w:space="0"/>
                  </w:tcBorders>
                  <w:noWrap w:val="0"/>
                  <w:vAlign w:val="center"/>
                </w:tcPr>
                <w:p w14:paraId="09B39B01">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本项目不属于高污染工业项目，不使用列入淘汰 类目录的工艺、设备、产品。</w:t>
                  </w:r>
                </w:p>
              </w:tc>
              <w:tc>
                <w:tcPr>
                  <w:tcW w:w="987" w:type="dxa"/>
                  <w:tcBorders>
                    <w:top w:val="single" w:color="auto" w:sz="6" w:space="0"/>
                    <w:bottom w:val="single" w:color="auto" w:sz="6" w:space="0"/>
                  </w:tcBorders>
                  <w:noWrap w:val="0"/>
                  <w:vAlign w:val="center"/>
                </w:tcPr>
                <w:p w14:paraId="4C6EB629">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r w14:paraId="4DD6237F">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1090" w:hRule="atLeast"/>
              </w:trPr>
              <w:tc>
                <w:tcPr>
                  <w:tcW w:w="4348" w:type="dxa"/>
                  <w:tcBorders>
                    <w:top w:val="single" w:color="auto" w:sz="6" w:space="0"/>
                    <w:bottom w:val="single" w:color="auto" w:sz="6" w:space="0"/>
                  </w:tcBorders>
                  <w:noWrap w:val="0"/>
                  <w:vAlign w:val="center"/>
                </w:tcPr>
                <w:p w14:paraId="3E5FBB59">
                  <w:pPr>
                    <w:keepNext w:val="0"/>
                    <w:keepLines w:val="0"/>
                    <w:widowControl/>
                    <w:suppressLineNumbers w:val="0"/>
                    <w:jc w:val="both"/>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产生含挥发性有机物废气的生产和服务活动，应当按照国家规定在密闭空间或者设备中进行，并安装、使用污染防治设施；无法密闭的，应当采取措施减少废气排放</w:t>
                  </w:r>
                </w:p>
              </w:tc>
              <w:tc>
                <w:tcPr>
                  <w:tcW w:w="2103" w:type="dxa"/>
                  <w:tcBorders>
                    <w:top w:val="single" w:color="auto" w:sz="6" w:space="0"/>
                    <w:bottom w:val="single" w:color="auto" w:sz="6" w:space="0"/>
                  </w:tcBorders>
                  <w:noWrap w:val="0"/>
                  <w:vAlign w:val="center"/>
                </w:tcPr>
                <w:p w14:paraId="0FB4AC74">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本项目有机物废气收集经</w:t>
                  </w:r>
                  <w:r>
                    <w:rPr>
                      <w:rFonts w:hint="eastAsia" w:ascii="Times New Roman" w:hAnsi="Times New Roman" w:eastAsia="宋体" w:cs="Times New Roman"/>
                      <w:sz w:val="21"/>
                      <w:szCs w:val="21"/>
                      <w:highlight w:val="none"/>
                      <w:vertAlign w:val="baseline"/>
                      <w:lang w:val="en-US" w:eastAsia="zh-CN"/>
                    </w:rPr>
                    <w:t>活性炭吸附</w:t>
                  </w:r>
                  <w:r>
                    <w:rPr>
                      <w:rFonts w:hint="default" w:ascii="Times New Roman" w:hAnsi="Times New Roman" w:eastAsia="宋体" w:cs="Times New Roman"/>
                      <w:sz w:val="21"/>
                      <w:szCs w:val="21"/>
                      <w:highlight w:val="none"/>
                      <w:vertAlign w:val="baseline"/>
                      <w:lang w:val="en-US" w:eastAsia="zh-CN"/>
                    </w:rPr>
                    <w:t>处理后排放。</w:t>
                  </w:r>
                </w:p>
              </w:tc>
              <w:tc>
                <w:tcPr>
                  <w:tcW w:w="987" w:type="dxa"/>
                  <w:tcBorders>
                    <w:top w:val="single" w:color="auto" w:sz="6" w:space="0"/>
                    <w:bottom w:val="single" w:color="auto" w:sz="6" w:space="0"/>
                  </w:tcBorders>
                  <w:noWrap w:val="0"/>
                  <w:vAlign w:val="center"/>
                </w:tcPr>
                <w:p w14:paraId="59AAAB1E">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r w14:paraId="5762058E">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1628" w:hRule="atLeast"/>
              </w:trPr>
              <w:tc>
                <w:tcPr>
                  <w:tcW w:w="4348" w:type="dxa"/>
                  <w:tcBorders>
                    <w:top w:val="single" w:color="auto" w:sz="6" w:space="0"/>
                    <w:bottom w:val="single" w:color="auto" w:sz="6" w:space="0"/>
                  </w:tcBorders>
                  <w:noWrap w:val="0"/>
                  <w:vAlign w:val="center"/>
                </w:tcPr>
                <w:p w14:paraId="5BD843D5">
                  <w:pPr>
                    <w:keepNext w:val="0"/>
                    <w:keepLines w:val="0"/>
                    <w:widowControl/>
                    <w:suppressLineNumbers w:val="0"/>
                    <w:jc w:val="both"/>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新建储油库、储气库、加油加气站以及新登记油罐车、气罐车，应当按照国家有关规定安装油气回收装置并正常使用；已建储油库、储气库、加油加气站以及在用油罐车、气罐车，不符合国家有关规定的，应当限期完成回收治理。</w:t>
                  </w:r>
                </w:p>
              </w:tc>
              <w:tc>
                <w:tcPr>
                  <w:tcW w:w="2103" w:type="dxa"/>
                  <w:tcBorders>
                    <w:top w:val="single" w:color="auto" w:sz="6" w:space="0"/>
                    <w:bottom w:val="single" w:color="auto" w:sz="6" w:space="0"/>
                  </w:tcBorders>
                  <w:noWrap w:val="0"/>
                  <w:vAlign w:val="center"/>
                </w:tcPr>
                <w:p w14:paraId="2BA4C3D7">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本项目不涉及所列项目。</w:t>
                  </w:r>
                </w:p>
              </w:tc>
              <w:tc>
                <w:tcPr>
                  <w:tcW w:w="987" w:type="dxa"/>
                  <w:tcBorders>
                    <w:top w:val="single" w:color="auto" w:sz="6" w:space="0"/>
                    <w:bottom w:val="single" w:color="auto" w:sz="6" w:space="0"/>
                  </w:tcBorders>
                  <w:noWrap w:val="0"/>
                  <w:vAlign w:val="center"/>
                </w:tcPr>
                <w:p w14:paraId="40FAA348">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r w14:paraId="394FBB55">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1090" w:hRule="atLeast"/>
              </w:trPr>
              <w:tc>
                <w:tcPr>
                  <w:tcW w:w="4348" w:type="dxa"/>
                  <w:tcBorders>
                    <w:top w:val="single" w:color="auto" w:sz="6" w:space="0"/>
                    <w:bottom w:val="single" w:color="auto" w:sz="6" w:space="0"/>
                  </w:tcBorders>
                  <w:noWrap w:val="0"/>
                  <w:vAlign w:val="center"/>
                </w:tcPr>
                <w:p w14:paraId="2331F32F">
                  <w:pPr>
                    <w:keepNext w:val="0"/>
                    <w:keepLines w:val="0"/>
                    <w:widowControl/>
                    <w:suppressLineNumbers w:val="0"/>
                    <w:jc w:val="both"/>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向大气排放恶臭气体的排污单位、垃圾处置场、污水处理厂，应当设置合理的防护距离，安装净化装置或者采取其他措施，防止恶臭气体排放。</w:t>
                  </w:r>
                </w:p>
              </w:tc>
              <w:tc>
                <w:tcPr>
                  <w:tcW w:w="2103" w:type="dxa"/>
                  <w:tcBorders>
                    <w:top w:val="single" w:color="auto" w:sz="6" w:space="0"/>
                    <w:bottom w:val="single" w:color="auto" w:sz="6" w:space="0"/>
                  </w:tcBorders>
                  <w:noWrap w:val="0"/>
                  <w:vAlign w:val="center"/>
                </w:tcPr>
                <w:p w14:paraId="7B9AA478">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本项目不排放恶臭气体。</w:t>
                  </w:r>
                </w:p>
              </w:tc>
              <w:tc>
                <w:tcPr>
                  <w:tcW w:w="987" w:type="dxa"/>
                  <w:tcBorders>
                    <w:top w:val="single" w:color="auto" w:sz="6" w:space="0"/>
                    <w:bottom w:val="single" w:color="auto" w:sz="6" w:space="0"/>
                  </w:tcBorders>
                  <w:noWrap w:val="0"/>
                  <w:vAlign w:val="center"/>
                </w:tcPr>
                <w:p w14:paraId="4F1EDAA5">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r w14:paraId="3F7E71A1">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1598" w:hRule="atLeast"/>
              </w:trPr>
              <w:tc>
                <w:tcPr>
                  <w:tcW w:w="4348" w:type="dxa"/>
                  <w:tcBorders>
                    <w:top w:val="single" w:color="auto" w:sz="6" w:space="0"/>
                  </w:tcBorders>
                  <w:noWrap w:val="0"/>
                  <w:vAlign w:val="center"/>
                </w:tcPr>
                <w:p w14:paraId="5F02BEAC">
                  <w:pPr>
                    <w:keepNext w:val="0"/>
                    <w:keepLines w:val="0"/>
                    <w:widowControl/>
                    <w:suppressLineNumbers w:val="0"/>
                    <w:jc w:val="both"/>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贮存易产生扬尘的煤炭、煤矸石、煤渣、煤灰、水泥、石灰、石膏、砂土等物料的堆场应当密闭；露天装卸物料应当采取密闭或者喷淋等抑尘措施；输送的物料应当在装料、卸料处配备吸尘、喷淋等防尘设施。</w:t>
                  </w:r>
                </w:p>
              </w:tc>
              <w:tc>
                <w:tcPr>
                  <w:tcW w:w="2103" w:type="dxa"/>
                  <w:tcBorders>
                    <w:top w:val="single" w:color="auto" w:sz="6" w:space="0"/>
                  </w:tcBorders>
                  <w:noWrap w:val="0"/>
                  <w:vAlign w:val="center"/>
                </w:tcPr>
                <w:p w14:paraId="6E41892B">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本项目不属于上述工艺。</w:t>
                  </w:r>
                </w:p>
              </w:tc>
              <w:tc>
                <w:tcPr>
                  <w:tcW w:w="987" w:type="dxa"/>
                  <w:tcBorders>
                    <w:top w:val="single" w:color="auto" w:sz="6" w:space="0"/>
                  </w:tcBorders>
                  <w:noWrap w:val="0"/>
                  <w:vAlign w:val="center"/>
                </w:tcPr>
                <w:p w14:paraId="2945AA3A">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bl>
          <w:p w14:paraId="515E7620">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157" w:beforeLines="50" w:line="360" w:lineRule="auto"/>
              <w:jc w:val="both"/>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7 与《关于加强乌鲁木齐、昌吉、石河子、五家渠区域环境同防同治的意见》（新政发</w:t>
            </w:r>
            <w:r>
              <w:rPr>
                <w:rFonts w:hint="eastAsia" w:cs="Times New Roman"/>
                <w:b/>
                <w:bCs/>
                <w:sz w:val="24"/>
                <w:szCs w:val="24"/>
                <w:highlight w:val="none"/>
                <w:lang w:val="en-US" w:eastAsia="zh-CN"/>
              </w:rPr>
              <w:t>〔2016〕</w:t>
            </w:r>
            <w:r>
              <w:rPr>
                <w:rFonts w:hint="default" w:ascii="Times New Roman" w:hAnsi="Times New Roman" w:eastAsia="宋体" w:cs="Times New Roman"/>
                <w:b/>
                <w:bCs/>
                <w:sz w:val="24"/>
                <w:szCs w:val="24"/>
                <w:highlight w:val="none"/>
                <w:lang w:val="en-US" w:eastAsia="zh-CN"/>
              </w:rPr>
              <w:t>140</w:t>
            </w:r>
            <w:r>
              <w:rPr>
                <w:rFonts w:hint="eastAsia" w:ascii="Times New Roman" w:hAnsi="Times New Roman" w:eastAsia="宋体" w:cs="Times New Roman"/>
                <w:b/>
                <w:bCs/>
                <w:sz w:val="24"/>
                <w:szCs w:val="24"/>
                <w:highlight w:val="none"/>
                <w:lang w:val="en-US" w:eastAsia="zh-CN"/>
              </w:rPr>
              <w:t xml:space="preserve"> </w:t>
            </w:r>
            <w:r>
              <w:rPr>
                <w:rFonts w:hint="default" w:ascii="Times New Roman" w:hAnsi="Times New Roman" w:eastAsia="宋体" w:cs="Times New Roman"/>
                <w:b/>
                <w:bCs/>
                <w:sz w:val="24"/>
                <w:szCs w:val="24"/>
                <w:highlight w:val="none"/>
                <w:lang w:val="en-US" w:eastAsia="zh-CN"/>
              </w:rPr>
              <w:t>号）符合性分析</w:t>
            </w:r>
          </w:p>
          <w:p w14:paraId="1249A4F1">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乌昌石区域包括乌鲁木齐市七区一县、昌吉市、阜康市、石河子市、五家渠市、玛纳斯县、呼图壁县、沙湾县、生产建设兵团第六师、第八师、第十二师，总面积6.9万km</w:t>
            </w:r>
            <w:r>
              <w:rPr>
                <w:rFonts w:hint="default" w:ascii="Times New Roman" w:hAnsi="Times New Roman" w:eastAsia="宋体" w:cs="Times New Roman"/>
                <w:sz w:val="24"/>
                <w:szCs w:val="24"/>
                <w:highlight w:val="none"/>
                <w:vertAlign w:val="superscript"/>
                <w:lang w:val="en-US" w:eastAsia="zh-CN"/>
              </w:rPr>
              <w:t>2</w:t>
            </w:r>
            <w:r>
              <w:rPr>
                <w:rFonts w:hint="default" w:ascii="Times New Roman" w:hAnsi="Times New Roman" w:eastAsia="宋体" w:cs="Times New Roman"/>
                <w:sz w:val="24"/>
                <w:szCs w:val="24"/>
                <w:highlight w:val="none"/>
                <w:lang w:val="en-US" w:eastAsia="zh-CN"/>
              </w:rPr>
              <w:t>左右。区域内建成区及周边敏感区域为重点区域，总面积1.7万km</w:t>
            </w:r>
            <w:r>
              <w:rPr>
                <w:rFonts w:hint="default" w:ascii="Times New Roman" w:hAnsi="Times New Roman" w:eastAsia="宋体" w:cs="Times New Roman"/>
                <w:sz w:val="24"/>
                <w:szCs w:val="24"/>
                <w:highlight w:val="none"/>
                <w:vertAlign w:val="superscript"/>
                <w:lang w:val="en-US" w:eastAsia="zh-CN"/>
              </w:rPr>
              <w:t>2</w:t>
            </w:r>
            <w:r>
              <w:rPr>
                <w:rFonts w:hint="default" w:ascii="Times New Roman" w:hAnsi="Times New Roman" w:eastAsia="宋体" w:cs="Times New Roman"/>
                <w:sz w:val="24"/>
                <w:szCs w:val="24"/>
                <w:highlight w:val="none"/>
                <w:lang w:val="en-US" w:eastAsia="zh-CN"/>
              </w:rPr>
              <w:t xml:space="preserve">左右。 </w:t>
            </w:r>
          </w:p>
          <w:p w14:paraId="5372ACDD">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意见要求严格污染物排放浓度，认真落实《重点区域大气污染物排放特别限值的公告》（环保厅2016第45 号），钢铁、石化、火电、水泥等行业和燃煤锅炉严格执行重点行业污染物排放特别限值要求。其他工业企业一律执行国家最新污染物排放标准，减少污染物排放总量。</w:t>
            </w:r>
          </w:p>
          <w:p w14:paraId="3C0BF8A3">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本项目位于昌吉高新技术产业开发区，处于乌鲁木齐、昌吉、石河子、五家渠区域环境同防同治的重点区域。本项目为防水建筑材料制造，不属于钢铁、石化、火电、水泥等重点行业，</w:t>
            </w:r>
            <w:r>
              <w:rPr>
                <w:rFonts w:hint="eastAsia" w:cs="Times New Roman"/>
                <w:sz w:val="24"/>
                <w:szCs w:val="24"/>
                <w:highlight w:val="none"/>
                <w:lang w:val="en-US" w:eastAsia="zh-CN"/>
              </w:rPr>
              <w:t>本项目搅拌、浸涂工序、覆膜工序和沥青储罐产生的沥青烟、非甲烷总烃、苯并[a]芘经水喷淋+电捕焦油器+活性炭吸附处理后通过20m高排气筒（DA001）排放；</w:t>
            </w:r>
            <w:r>
              <w:rPr>
                <w:rFonts w:hint="default" w:ascii="Times New Roman" w:hAnsi="Times New Roman" w:eastAsia="宋体" w:cs="Times New Roman"/>
                <w:sz w:val="24"/>
                <w:szCs w:val="24"/>
                <w:highlight w:val="none"/>
                <w:lang w:val="en-US" w:eastAsia="zh-CN"/>
              </w:rPr>
              <w:t>导热油炉工作过程中产生的颗粒物、SO</w:t>
            </w:r>
            <w:r>
              <w:rPr>
                <w:rFonts w:hint="default" w:ascii="Times New Roman" w:hAnsi="Times New Roman" w:eastAsia="宋体" w:cs="Times New Roman"/>
                <w:sz w:val="24"/>
                <w:szCs w:val="24"/>
                <w:highlight w:val="none"/>
                <w:vertAlign w:val="subscript"/>
                <w:lang w:val="en-US" w:eastAsia="zh-CN"/>
              </w:rPr>
              <w:t>2</w:t>
            </w:r>
            <w:r>
              <w:rPr>
                <w:rFonts w:hint="default" w:ascii="Times New Roman" w:hAnsi="Times New Roman" w:eastAsia="宋体" w:cs="Times New Roman"/>
                <w:sz w:val="24"/>
                <w:szCs w:val="24"/>
                <w:highlight w:val="none"/>
                <w:lang w:val="en-US" w:eastAsia="zh-CN"/>
              </w:rPr>
              <w:t>、NO</w:t>
            </w:r>
            <w:r>
              <w:rPr>
                <w:rFonts w:hint="default" w:ascii="Times New Roman" w:hAnsi="Times New Roman" w:eastAsia="宋体" w:cs="Times New Roman"/>
                <w:sz w:val="24"/>
                <w:szCs w:val="24"/>
                <w:highlight w:val="none"/>
                <w:vertAlign w:val="subscript"/>
                <w:lang w:val="en-US" w:eastAsia="zh-CN"/>
              </w:rPr>
              <w:t>x</w:t>
            </w:r>
            <w:r>
              <w:rPr>
                <w:rFonts w:hint="default" w:ascii="Times New Roman" w:hAnsi="Times New Roman" w:eastAsia="宋体" w:cs="Times New Roman"/>
                <w:sz w:val="24"/>
                <w:szCs w:val="24"/>
                <w:highlight w:val="none"/>
                <w:lang w:val="en-US" w:eastAsia="zh-CN"/>
              </w:rPr>
              <w:t>经低氮燃烧处理后通过</w:t>
            </w:r>
            <w:r>
              <w:rPr>
                <w:rFonts w:hint="eastAsia" w:ascii="Times New Roman" w:hAnsi="Times New Roman" w:eastAsia="宋体" w:cs="Times New Roman"/>
                <w:sz w:val="24"/>
                <w:szCs w:val="24"/>
                <w:highlight w:val="none"/>
                <w:lang w:val="en-US" w:eastAsia="zh-CN"/>
              </w:rPr>
              <w:t>一根</w:t>
            </w:r>
            <w:r>
              <w:rPr>
                <w:rFonts w:hint="eastAsia" w:cs="Times New Roman"/>
                <w:sz w:val="24"/>
                <w:szCs w:val="24"/>
                <w:highlight w:val="none"/>
                <w:lang w:val="en-US" w:eastAsia="zh-CN"/>
              </w:rPr>
              <w:t>12</w:t>
            </w:r>
            <w:r>
              <w:rPr>
                <w:rFonts w:hint="eastAsia" w:ascii="Times New Roman" w:hAnsi="Times New Roman" w:eastAsia="宋体" w:cs="Times New Roman"/>
                <w:sz w:val="24"/>
                <w:szCs w:val="24"/>
                <w:highlight w:val="none"/>
                <w:lang w:val="en-US" w:eastAsia="zh-CN"/>
              </w:rPr>
              <w:t>m的</w:t>
            </w:r>
            <w:r>
              <w:rPr>
                <w:rFonts w:hint="default" w:ascii="Times New Roman" w:hAnsi="Times New Roman" w:eastAsia="宋体" w:cs="Times New Roman"/>
                <w:sz w:val="24"/>
                <w:szCs w:val="24"/>
                <w:highlight w:val="none"/>
                <w:lang w:val="en-US" w:eastAsia="zh-CN"/>
              </w:rPr>
              <w:t>排气筒（</w:t>
            </w:r>
            <w:r>
              <w:rPr>
                <w:rFonts w:hint="eastAsia" w:ascii="Times New Roman" w:hAnsi="Times New Roman" w:eastAsia="宋体" w:cs="Times New Roman"/>
                <w:sz w:val="24"/>
                <w:szCs w:val="24"/>
                <w:highlight w:val="none"/>
                <w:lang w:val="en-US" w:eastAsia="zh-CN"/>
              </w:rPr>
              <w:t>DA00</w:t>
            </w:r>
            <w:r>
              <w:rPr>
                <w:rFonts w:hint="eastAsia" w:cs="Times New Roman"/>
                <w:sz w:val="24"/>
                <w:szCs w:val="24"/>
                <w:highlight w:val="none"/>
                <w:lang w:val="en-US" w:eastAsia="zh-CN"/>
              </w:rPr>
              <w:t>2</w:t>
            </w:r>
            <w:r>
              <w:rPr>
                <w:rFonts w:hint="default" w:ascii="Times New Roman" w:hAnsi="Times New Roman" w:eastAsia="宋体" w:cs="Times New Roman"/>
                <w:sz w:val="24"/>
                <w:szCs w:val="24"/>
                <w:highlight w:val="none"/>
                <w:lang w:val="en-US" w:eastAsia="zh-CN"/>
              </w:rPr>
              <w:t>）排放。项目排放的污染物均达到国家最新污染物排放标准，符合《关于加强乌鲁木齐、昌吉、石河子、五家渠区域环境同防同治的意见》（新政发</w:t>
            </w:r>
            <w:r>
              <w:rPr>
                <w:rFonts w:hint="eastAsia" w:cs="Times New Roman"/>
                <w:sz w:val="24"/>
                <w:szCs w:val="24"/>
                <w:highlight w:val="none"/>
                <w:lang w:val="en-US" w:eastAsia="zh-CN"/>
              </w:rPr>
              <w:t>〔2016〕</w:t>
            </w:r>
            <w:r>
              <w:rPr>
                <w:rFonts w:hint="default" w:ascii="Times New Roman" w:hAnsi="Times New Roman" w:eastAsia="宋体" w:cs="Times New Roman"/>
                <w:sz w:val="24"/>
                <w:szCs w:val="24"/>
                <w:highlight w:val="none"/>
                <w:lang w:val="en-US" w:eastAsia="zh-CN"/>
              </w:rPr>
              <w:t>140 号）相关要求。</w:t>
            </w:r>
          </w:p>
          <w:p w14:paraId="48927F2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8</w:t>
            </w:r>
            <w:r>
              <w:rPr>
                <w:rFonts w:hint="default" w:ascii="Times New Roman" w:hAnsi="Times New Roman" w:eastAsia="宋体" w:cs="Times New Roman"/>
                <w:b/>
                <w:bCs/>
                <w:sz w:val="24"/>
                <w:szCs w:val="24"/>
                <w:highlight w:val="none"/>
                <w:lang w:val="en-US" w:eastAsia="zh-CN"/>
              </w:rPr>
              <w:t xml:space="preserve"> 与《关于</w:t>
            </w:r>
            <w:r>
              <w:rPr>
                <w:rFonts w:hint="eastAsia" w:ascii="Times New Roman" w:hAnsi="Times New Roman" w:eastAsia="宋体" w:cs="Times New Roman"/>
                <w:b/>
                <w:bCs/>
                <w:sz w:val="24"/>
                <w:szCs w:val="24"/>
                <w:highlight w:val="none"/>
                <w:lang w:val="en-US" w:eastAsia="zh-CN"/>
              </w:rPr>
              <w:t>进一步</w:t>
            </w:r>
            <w:r>
              <w:rPr>
                <w:rFonts w:hint="default" w:ascii="Times New Roman" w:hAnsi="Times New Roman" w:eastAsia="宋体" w:cs="Times New Roman"/>
                <w:b/>
                <w:bCs/>
                <w:sz w:val="24"/>
                <w:szCs w:val="24"/>
                <w:highlight w:val="none"/>
                <w:lang w:val="en-US" w:eastAsia="zh-CN"/>
              </w:rPr>
              <w:t>加强乌鲁木齐、昌吉、石河子、五家渠区域环境同防同治的意见》（新政发〔2023〕29</w:t>
            </w:r>
            <w:r>
              <w:rPr>
                <w:rFonts w:hint="eastAsia" w:ascii="Times New Roman" w:hAnsi="Times New Roman" w:eastAsia="宋体" w:cs="Times New Roman"/>
                <w:b/>
                <w:bCs/>
                <w:sz w:val="24"/>
                <w:szCs w:val="24"/>
                <w:highlight w:val="none"/>
                <w:lang w:val="en-US" w:eastAsia="zh-CN"/>
              </w:rPr>
              <w:t xml:space="preserve"> </w:t>
            </w:r>
            <w:r>
              <w:rPr>
                <w:rFonts w:hint="default" w:ascii="Times New Roman" w:hAnsi="Times New Roman" w:eastAsia="宋体" w:cs="Times New Roman"/>
                <w:b/>
                <w:bCs/>
                <w:sz w:val="24"/>
                <w:szCs w:val="24"/>
                <w:highlight w:val="none"/>
                <w:lang w:val="en-US" w:eastAsia="zh-CN"/>
              </w:rPr>
              <w:t>号）符合性分析</w:t>
            </w:r>
          </w:p>
          <w:p w14:paraId="68844783">
            <w:pPr>
              <w:pStyle w:val="3"/>
              <w:spacing w:line="360" w:lineRule="auto"/>
              <w:ind w:firstLine="480" w:firstLineChars="200"/>
              <w:rPr>
                <w:rFonts w:hint="default" w:ascii="Times New Roman" w:hAnsi="Times New Roman" w:eastAsia="宋体" w:cs="Times New Roman"/>
                <w:b w:val="0"/>
                <w:bCs w:val="0"/>
                <w:kern w:val="2"/>
                <w:sz w:val="24"/>
                <w:szCs w:val="24"/>
                <w:highlight w:val="none"/>
                <w:lang w:val="en-US" w:eastAsia="zh-CN" w:bidi="ar-SA"/>
              </w:rPr>
            </w:pPr>
            <w:r>
              <w:rPr>
                <w:rFonts w:hint="eastAsia" w:ascii="Times New Roman" w:hAnsi="Times New Roman" w:eastAsia="宋体" w:cs="Times New Roman"/>
                <w:b w:val="0"/>
                <w:bCs w:val="0"/>
                <w:kern w:val="2"/>
                <w:sz w:val="24"/>
                <w:szCs w:val="24"/>
                <w:highlight w:val="none"/>
                <w:lang w:val="en-US" w:eastAsia="zh-CN" w:bidi="ar-SA"/>
              </w:rPr>
              <w:t>意见提出优化产业布局和结构的主要任务：</w:t>
            </w:r>
            <w:r>
              <w:rPr>
                <w:rFonts w:hint="default" w:ascii="Times New Roman" w:hAnsi="Times New Roman" w:eastAsia="宋体" w:cs="Times New Roman"/>
                <w:b w:val="0"/>
                <w:bCs w:val="0"/>
                <w:kern w:val="2"/>
                <w:sz w:val="24"/>
                <w:szCs w:val="24"/>
                <w:highlight w:val="none"/>
                <w:lang w:val="en-US" w:eastAsia="zh-CN" w:bidi="ar-SA"/>
              </w:rPr>
              <w:t>坚决遏制“高耗能、高排放、低水平”项目盲目发展。加快推进产业布局调整</w:t>
            </w:r>
            <w:r>
              <w:rPr>
                <w:rFonts w:hint="eastAsia" w:cs="Times New Roman"/>
                <w:b w:val="0"/>
                <w:bCs w:val="0"/>
                <w:kern w:val="2"/>
                <w:sz w:val="24"/>
                <w:szCs w:val="24"/>
                <w:highlight w:val="none"/>
                <w:lang w:val="en-US" w:eastAsia="zh-CN" w:bidi="ar-SA"/>
              </w:rPr>
              <w:t>，</w:t>
            </w:r>
            <w:r>
              <w:rPr>
                <w:rFonts w:hint="default" w:ascii="Times New Roman" w:hAnsi="Times New Roman" w:eastAsia="宋体" w:cs="Times New Roman"/>
                <w:b w:val="0"/>
                <w:bCs w:val="0"/>
                <w:kern w:val="2"/>
                <w:sz w:val="24"/>
                <w:szCs w:val="24"/>
                <w:highlight w:val="none"/>
                <w:lang w:val="en-US" w:eastAsia="zh-CN" w:bidi="ar-SA"/>
              </w:rPr>
              <w:t>严格高耗能、高排放、低水平(“两高一低”)项目准入</w:t>
            </w:r>
            <w:r>
              <w:rPr>
                <w:rFonts w:hint="eastAsia" w:cs="Times New Roman"/>
                <w:b w:val="0"/>
                <w:bCs w:val="0"/>
                <w:kern w:val="2"/>
                <w:sz w:val="24"/>
                <w:szCs w:val="24"/>
                <w:highlight w:val="none"/>
                <w:lang w:val="en-US" w:eastAsia="zh-CN" w:bidi="ar-SA"/>
              </w:rPr>
              <w:t>，</w:t>
            </w:r>
            <w:r>
              <w:rPr>
                <w:rFonts w:hint="default" w:ascii="Times New Roman" w:hAnsi="Times New Roman" w:eastAsia="宋体" w:cs="Times New Roman"/>
                <w:b w:val="0"/>
                <w:bCs w:val="0"/>
                <w:kern w:val="2"/>
                <w:sz w:val="24"/>
                <w:szCs w:val="24"/>
                <w:highlight w:val="none"/>
                <w:lang w:val="en-US" w:eastAsia="zh-CN" w:bidi="ar-SA"/>
              </w:rPr>
              <w:t>严格落实国家产业规划、产业政策、“三线一单”、规划环评</w:t>
            </w:r>
            <w:r>
              <w:rPr>
                <w:rFonts w:hint="eastAsia" w:cs="Times New Roman"/>
                <w:b w:val="0"/>
                <w:bCs w:val="0"/>
                <w:kern w:val="2"/>
                <w:sz w:val="24"/>
                <w:szCs w:val="24"/>
                <w:highlight w:val="none"/>
                <w:lang w:val="en-US" w:eastAsia="zh-CN" w:bidi="ar-SA"/>
              </w:rPr>
              <w:t>，</w:t>
            </w:r>
            <w:r>
              <w:rPr>
                <w:rFonts w:hint="default" w:ascii="Times New Roman" w:hAnsi="Times New Roman" w:eastAsia="宋体" w:cs="Times New Roman"/>
                <w:b w:val="0"/>
                <w:bCs w:val="0"/>
                <w:kern w:val="2"/>
                <w:sz w:val="24"/>
                <w:szCs w:val="24"/>
                <w:highlight w:val="none"/>
                <w:lang w:val="en-US" w:eastAsia="zh-CN" w:bidi="ar-SA"/>
              </w:rPr>
              <w:t>以及产能置换、煤炭消费减量替代、区域污染物削减等要求</w:t>
            </w:r>
            <w:r>
              <w:rPr>
                <w:rFonts w:hint="eastAsia" w:cs="Times New Roman"/>
                <w:b w:val="0"/>
                <w:bCs w:val="0"/>
                <w:kern w:val="2"/>
                <w:sz w:val="24"/>
                <w:szCs w:val="24"/>
                <w:highlight w:val="none"/>
                <w:lang w:val="en-US" w:eastAsia="zh-CN" w:bidi="ar-SA"/>
              </w:rPr>
              <w:t>，</w:t>
            </w:r>
            <w:r>
              <w:rPr>
                <w:rFonts w:hint="default" w:ascii="Times New Roman" w:hAnsi="Times New Roman" w:eastAsia="宋体" w:cs="Times New Roman"/>
                <w:b w:val="0"/>
                <w:bCs w:val="0"/>
                <w:kern w:val="2"/>
                <w:sz w:val="24"/>
                <w:szCs w:val="24"/>
                <w:highlight w:val="none"/>
                <w:lang w:val="en-US" w:eastAsia="zh-CN" w:bidi="ar-SA"/>
              </w:rPr>
              <w:t>坚决叫停不符合要求的“两高一低”项目。新建、改建、扩建“两高一低”项目须符合生态环境保护法律法规和相关法定规划</w:t>
            </w:r>
            <w:r>
              <w:rPr>
                <w:rFonts w:hint="eastAsia" w:cs="Times New Roman"/>
                <w:b w:val="0"/>
                <w:bCs w:val="0"/>
                <w:kern w:val="2"/>
                <w:sz w:val="24"/>
                <w:szCs w:val="24"/>
                <w:highlight w:val="none"/>
                <w:lang w:val="en-US" w:eastAsia="zh-CN" w:bidi="ar-SA"/>
              </w:rPr>
              <w:t>，</w:t>
            </w:r>
            <w:r>
              <w:rPr>
                <w:rFonts w:hint="default" w:ascii="Times New Roman" w:hAnsi="Times New Roman" w:eastAsia="宋体" w:cs="Times New Roman"/>
                <w:b w:val="0"/>
                <w:bCs w:val="0"/>
                <w:kern w:val="2"/>
                <w:sz w:val="24"/>
                <w:szCs w:val="24"/>
                <w:highlight w:val="none"/>
                <w:lang w:val="en-US" w:eastAsia="zh-CN" w:bidi="ar-SA"/>
              </w:rPr>
              <w:t>满足重点污染物排放总量控制、碳排放碳达峰目标、生态环境准入清单、相关规划环评和相应行业建设项目环境准入条件、环评文件审批原则要求。要充分考虑环境容量、能耗双控、碳排放等因素</w:t>
            </w:r>
            <w:r>
              <w:rPr>
                <w:rFonts w:hint="eastAsia" w:cs="Times New Roman"/>
                <w:b w:val="0"/>
                <w:bCs w:val="0"/>
                <w:kern w:val="2"/>
                <w:sz w:val="24"/>
                <w:szCs w:val="24"/>
                <w:highlight w:val="none"/>
                <w:lang w:val="en-US" w:eastAsia="zh-CN" w:bidi="ar-SA"/>
              </w:rPr>
              <w:t>，</w:t>
            </w:r>
            <w:r>
              <w:rPr>
                <w:rFonts w:hint="default" w:ascii="Times New Roman" w:hAnsi="Times New Roman" w:eastAsia="宋体" w:cs="Times New Roman"/>
                <w:b w:val="0"/>
                <w:bCs w:val="0"/>
                <w:kern w:val="2"/>
                <w:sz w:val="24"/>
                <w:szCs w:val="24"/>
                <w:highlight w:val="none"/>
                <w:lang w:val="en-US" w:eastAsia="zh-CN" w:bidi="ar-SA"/>
              </w:rPr>
              <w:t>除国家规定新增原料用能不纳入能源消费总量控制的项目和列入国家规划项目外</w:t>
            </w:r>
            <w:r>
              <w:rPr>
                <w:rFonts w:hint="eastAsia" w:cs="Times New Roman"/>
                <w:b w:val="0"/>
                <w:bCs w:val="0"/>
                <w:kern w:val="2"/>
                <w:sz w:val="24"/>
                <w:szCs w:val="24"/>
                <w:highlight w:val="none"/>
                <w:lang w:val="en-US" w:eastAsia="zh-CN" w:bidi="ar-SA"/>
              </w:rPr>
              <w:t>，</w:t>
            </w:r>
            <w:r>
              <w:rPr>
                <w:rFonts w:hint="default" w:ascii="Times New Roman" w:hAnsi="Times New Roman" w:eastAsia="宋体" w:cs="Times New Roman"/>
                <w:b w:val="0"/>
                <w:bCs w:val="0"/>
                <w:kern w:val="2"/>
                <w:sz w:val="24"/>
                <w:szCs w:val="24"/>
                <w:highlight w:val="none"/>
                <w:lang w:val="en-US" w:eastAsia="zh-CN" w:bidi="ar-SA"/>
              </w:rPr>
              <w:t>“乌一昌一石”区域严控新建、扩建使用煤炭项目。新建、改建、扩建项目严格按照产能置换办法实施减量置换。</w:t>
            </w:r>
          </w:p>
          <w:p w14:paraId="0DB7688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kern w:val="2"/>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
              </w:rPr>
              <w:t>根据国家发展和改革委员会发布的《产业结构调整目录（2024年本）》</w:t>
            </w:r>
            <w:r>
              <w:rPr>
                <w:rFonts w:hint="eastAsia" w:ascii="Times New Roman" w:hAnsi="Times New Roman" w:eastAsia="宋体" w:cs="Times New Roman"/>
                <w:color w:val="000000"/>
                <w:kern w:val="0"/>
                <w:sz w:val="24"/>
                <w:szCs w:val="24"/>
                <w:highlight w:val="none"/>
                <w:lang w:val="en-US" w:eastAsia="zh-CN" w:bidi="ar"/>
              </w:rPr>
              <w:t>，</w:t>
            </w:r>
            <w:r>
              <w:rPr>
                <w:rFonts w:hint="eastAsia" w:ascii="Times New Roman" w:hAnsi="Times New Roman" w:eastAsia="宋体" w:cs="Times New Roman"/>
                <w:b w:val="0"/>
                <w:bCs w:val="0"/>
                <w:kern w:val="2"/>
                <w:sz w:val="24"/>
                <w:szCs w:val="24"/>
                <w:highlight w:val="none"/>
                <w:lang w:val="en-US" w:eastAsia="zh-CN" w:bidi="ar-SA"/>
              </w:rPr>
              <w:t>本项目属于建材行业中高性</w:t>
            </w:r>
            <w:r>
              <w:rPr>
                <w:rFonts w:hint="eastAsia" w:cs="Times New Roman"/>
                <w:b w:val="0"/>
                <w:bCs w:val="0"/>
                <w:kern w:val="2"/>
                <w:sz w:val="24"/>
                <w:szCs w:val="24"/>
                <w:highlight w:val="none"/>
                <w:lang w:val="en-US" w:eastAsia="zh-CN" w:bidi="ar-SA"/>
              </w:rPr>
              <w:t>能</w:t>
            </w:r>
            <w:r>
              <w:rPr>
                <w:rFonts w:hint="eastAsia" w:ascii="Times New Roman" w:hAnsi="Times New Roman" w:eastAsia="宋体" w:cs="Times New Roman"/>
                <w:b w:val="0"/>
                <w:bCs w:val="0"/>
                <w:kern w:val="2"/>
                <w:sz w:val="24"/>
                <w:szCs w:val="24"/>
                <w:highlight w:val="none"/>
                <w:lang w:val="en-US" w:eastAsia="zh-CN" w:bidi="ar-SA"/>
              </w:rPr>
              <w:t>改性沥青防水卷材行业，属于国家鼓励类项目，不属于</w:t>
            </w:r>
            <w:r>
              <w:rPr>
                <w:rFonts w:hint="default" w:ascii="Times New Roman" w:hAnsi="Times New Roman" w:eastAsia="宋体" w:cs="Times New Roman"/>
                <w:b w:val="0"/>
                <w:bCs w:val="0"/>
                <w:kern w:val="2"/>
                <w:sz w:val="24"/>
                <w:szCs w:val="24"/>
                <w:highlight w:val="none"/>
                <w:lang w:val="en-US" w:eastAsia="zh-CN" w:bidi="ar-SA"/>
              </w:rPr>
              <w:t>“两高一低”</w:t>
            </w:r>
            <w:r>
              <w:rPr>
                <w:rFonts w:hint="eastAsia" w:ascii="Times New Roman" w:hAnsi="Times New Roman" w:eastAsia="宋体" w:cs="Times New Roman"/>
                <w:b w:val="0"/>
                <w:bCs w:val="0"/>
                <w:kern w:val="2"/>
                <w:sz w:val="24"/>
                <w:szCs w:val="24"/>
                <w:highlight w:val="none"/>
                <w:lang w:val="en-US" w:eastAsia="zh-CN" w:bidi="ar-SA"/>
              </w:rPr>
              <w:t>项目，不涉及淘汰落后产能和工艺，符合昌吉回族自治州“三线一单”相关要求。本项目生产供热所需</w:t>
            </w:r>
            <w:r>
              <w:rPr>
                <w:rFonts w:hint="eastAsia" w:cs="Times New Roman"/>
                <w:b w:val="0"/>
                <w:bCs w:val="0"/>
                <w:kern w:val="2"/>
                <w:sz w:val="24"/>
                <w:szCs w:val="24"/>
                <w:highlight w:val="none"/>
                <w:lang w:val="en-US" w:eastAsia="zh-CN" w:bidi="ar-SA"/>
              </w:rPr>
              <w:t>天然气</w:t>
            </w:r>
            <w:r>
              <w:rPr>
                <w:rFonts w:hint="eastAsia" w:ascii="Times New Roman" w:hAnsi="Times New Roman" w:eastAsia="宋体" w:cs="Times New Roman"/>
                <w:b w:val="0"/>
                <w:bCs w:val="0"/>
                <w:kern w:val="2"/>
                <w:sz w:val="24"/>
                <w:szCs w:val="24"/>
                <w:highlight w:val="none"/>
                <w:lang w:val="en-US" w:eastAsia="zh-CN" w:bidi="ar-SA"/>
              </w:rPr>
              <w:t>由园区天然气</w:t>
            </w:r>
            <w:r>
              <w:rPr>
                <w:rFonts w:hint="eastAsia" w:cs="Times New Roman"/>
                <w:b w:val="0"/>
                <w:bCs w:val="0"/>
                <w:kern w:val="2"/>
                <w:sz w:val="24"/>
                <w:szCs w:val="24"/>
                <w:highlight w:val="none"/>
                <w:lang w:val="en-US" w:eastAsia="zh-CN" w:bidi="ar-SA"/>
              </w:rPr>
              <w:t>管网</w:t>
            </w:r>
            <w:r>
              <w:rPr>
                <w:rFonts w:hint="eastAsia" w:ascii="Times New Roman" w:hAnsi="Times New Roman" w:eastAsia="宋体" w:cs="Times New Roman"/>
                <w:b w:val="0"/>
                <w:bCs w:val="0"/>
                <w:kern w:val="2"/>
                <w:sz w:val="24"/>
                <w:szCs w:val="24"/>
                <w:highlight w:val="none"/>
                <w:lang w:val="en-US" w:eastAsia="zh-CN" w:bidi="ar-SA"/>
              </w:rPr>
              <w:t>供给，不涉及煤炭的使用。本项目严格执行总量控制要求，项目总量控制指标为颗粒物、VOCs，SO</w:t>
            </w:r>
            <w:r>
              <w:rPr>
                <w:rFonts w:hint="eastAsia" w:ascii="Times New Roman" w:hAnsi="Times New Roman" w:eastAsia="宋体" w:cs="Times New Roman"/>
                <w:b w:val="0"/>
                <w:bCs w:val="0"/>
                <w:kern w:val="2"/>
                <w:sz w:val="24"/>
                <w:szCs w:val="24"/>
                <w:highlight w:val="none"/>
                <w:vertAlign w:val="subscript"/>
                <w:lang w:val="en-US" w:eastAsia="zh-CN" w:bidi="ar-SA"/>
              </w:rPr>
              <w:t>2</w:t>
            </w:r>
            <w:r>
              <w:rPr>
                <w:rFonts w:hint="eastAsia" w:ascii="Times New Roman" w:hAnsi="Times New Roman" w:eastAsia="宋体" w:cs="Times New Roman"/>
                <w:b w:val="0"/>
                <w:bCs w:val="0"/>
                <w:kern w:val="2"/>
                <w:sz w:val="24"/>
                <w:szCs w:val="24"/>
                <w:highlight w:val="none"/>
                <w:lang w:val="en-US" w:eastAsia="zh-CN" w:bidi="ar-SA"/>
              </w:rPr>
              <w:t>、NO</w:t>
            </w:r>
            <w:r>
              <w:rPr>
                <w:rFonts w:hint="eastAsia" w:ascii="Times New Roman" w:hAnsi="Times New Roman" w:eastAsia="宋体" w:cs="Times New Roman"/>
                <w:b w:val="0"/>
                <w:bCs w:val="0"/>
                <w:kern w:val="2"/>
                <w:sz w:val="24"/>
                <w:szCs w:val="24"/>
                <w:highlight w:val="none"/>
                <w:vertAlign w:val="subscript"/>
                <w:lang w:val="en-US" w:eastAsia="zh-CN" w:bidi="ar-SA"/>
              </w:rPr>
              <w:t>x</w:t>
            </w:r>
            <w:r>
              <w:rPr>
                <w:rFonts w:hint="eastAsia" w:ascii="Times New Roman" w:hAnsi="Times New Roman" w:eastAsia="宋体" w:cs="Times New Roman"/>
                <w:b w:val="0"/>
                <w:bCs w:val="0"/>
                <w:kern w:val="2"/>
                <w:sz w:val="24"/>
                <w:szCs w:val="24"/>
                <w:highlight w:val="none"/>
                <w:vertAlign w:val="baseline"/>
                <w:lang w:val="en-US" w:eastAsia="zh-CN" w:bidi="ar-SA"/>
              </w:rPr>
              <w:t>由当地环境部门</w:t>
            </w:r>
            <w:r>
              <w:rPr>
                <w:rFonts w:hint="eastAsia" w:ascii="Times New Roman" w:hAnsi="Times New Roman" w:eastAsia="宋体" w:cs="Times New Roman"/>
                <w:b w:val="0"/>
                <w:bCs w:val="0"/>
                <w:kern w:val="2"/>
                <w:sz w:val="24"/>
                <w:szCs w:val="24"/>
                <w:highlight w:val="none"/>
                <w:lang w:val="en-US" w:eastAsia="zh-CN" w:bidi="ar-SA"/>
              </w:rPr>
              <w:t>实行倍量替代。故本项目符合《关于进一步加强乌鲁木齐、昌吉、石河子、五家渠区域环境同防同治的意见》（新政发〔2023〕29 号）相关要求。</w:t>
            </w:r>
          </w:p>
          <w:p w14:paraId="76E8A73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9</w:t>
            </w:r>
            <w:r>
              <w:rPr>
                <w:rFonts w:hint="default" w:ascii="Times New Roman" w:hAnsi="Times New Roman" w:eastAsia="宋体" w:cs="Times New Roman"/>
                <w:b/>
                <w:bCs/>
                <w:sz w:val="24"/>
                <w:szCs w:val="24"/>
                <w:highlight w:val="none"/>
                <w:lang w:val="en-US" w:eastAsia="zh-CN"/>
              </w:rPr>
              <w:t xml:space="preserve"> 与《新疆维吾尔自治区</w:t>
            </w:r>
            <w:r>
              <w:rPr>
                <w:rFonts w:hint="eastAsia"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b/>
                <w:bCs/>
                <w:sz w:val="24"/>
                <w:szCs w:val="24"/>
                <w:highlight w:val="none"/>
                <w:lang w:val="en-US" w:eastAsia="zh-CN"/>
              </w:rPr>
              <w:t>十四五</w:t>
            </w:r>
            <w:r>
              <w:rPr>
                <w:rFonts w:hint="eastAsia"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b/>
                <w:bCs/>
                <w:sz w:val="24"/>
                <w:szCs w:val="24"/>
                <w:highlight w:val="none"/>
                <w:lang w:val="en-US" w:eastAsia="zh-CN"/>
              </w:rPr>
              <w:t>生态环境保护规划》符合性分析</w:t>
            </w:r>
          </w:p>
          <w:p w14:paraId="3AB8063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根据《新疆生态环境保护</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十四五</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规划》</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第五章加强协同控制，改善大气环境</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中的第一节</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完善区域大气污染综合治理体系</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健全污染防治区域联动机制。进一步加强</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乌</w:t>
            </w:r>
            <w:r>
              <w:rPr>
                <w:rFonts w:hint="eastAsia" w:ascii="宋体" w:hAnsi="宋体" w:eastAsia="宋体" w:cs="宋体"/>
                <w:b w:val="0"/>
                <w:bCs w:val="0"/>
                <w:color w:val="000000"/>
                <w:kern w:val="0"/>
                <w:sz w:val="24"/>
                <w:szCs w:val="24"/>
                <w:lang w:val="en-US" w:eastAsia="zh-CN" w:bidi="ar"/>
              </w:rPr>
              <w:t>-</w:t>
            </w:r>
            <w:r>
              <w:rPr>
                <w:rFonts w:hint="default" w:ascii="Times New Roman" w:hAnsi="Times New Roman" w:eastAsia="宋体" w:cs="Times New Roman"/>
                <w:sz w:val="24"/>
                <w:szCs w:val="24"/>
                <w:highlight w:val="none"/>
                <w:lang w:val="en-US" w:eastAsia="zh-CN"/>
              </w:rPr>
              <w:t>昌</w:t>
            </w:r>
            <w:r>
              <w:rPr>
                <w:rFonts w:hint="eastAsia" w:ascii="宋体" w:hAnsi="宋体" w:eastAsia="宋体" w:cs="宋体"/>
                <w:b w:val="0"/>
                <w:bCs w:val="0"/>
                <w:color w:val="000000"/>
                <w:kern w:val="0"/>
                <w:sz w:val="24"/>
                <w:szCs w:val="24"/>
                <w:lang w:val="en-US" w:eastAsia="zh-CN" w:bidi="ar"/>
              </w:rPr>
              <w:t>-</w:t>
            </w:r>
            <w:r>
              <w:rPr>
                <w:rFonts w:hint="default" w:ascii="Times New Roman" w:hAnsi="Times New Roman" w:eastAsia="宋体" w:cs="Times New Roman"/>
                <w:sz w:val="24"/>
                <w:szCs w:val="24"/>
                <w:highlight w:val="none"/>
                <w:lang w:val="en-US" w:eastAsia="zh-CN"/>
              </w:rPr>
              <w:t>石</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奎</w:t>
            </w:r>
            <w:r>
              <w:rPr>
                <w:rFonts w:hint="eastAsia" w:ascii="宋体" w:hAnsi="宋体" w:eastAsia="宋体" w:cs="宋体"/>
                <w:b w:val="0"/>
                <w:bCs w:val="0"/>
                <w:color w:val="000000"/>
                <w:kern w:val="0"/>
                <w:sz w:val="24"/>
                <w:szCs w:val="24"/>
                <w:lang w:val="en-US" w:eastAsia="zh-CN" w:bidi="ar"/>
              </w:rPr>
              <w:t>-</w:t>
            </w:r>
            <w:r>
              <w:rPr>
                <w:rFonts w:hint="default" w:ascii="Times New Roman" w:hAnsi="Times New Roman" w:eastAsia="宋体" w:cs="Times New Roman"/>
                <w:sz w:val="24"/>
                <w:szCs w:val="24"/>
                <w:highlight w:val="none"/>
                <w:lang w:val="en-US" w:eastAsia="zh-CN"/>
              </w:rPr>
              <w:t>独</w:t>
            </w:r>
            <w:r>
              <w:rPr>
                <w:rFonts w:hint="eastAsia" w:ascii="宋体" w:hAnsi="宋体" w:eastAsia="宋体" w:cs="宋体"/>
                <w:b w:val="0"/>
                <w:bCs w:val="0"/>
                <w:color w:val="000000"/>
                <w:kern w:val="0"/>
                <w:sz w:val="24"/>
                <w:szCs w:val="24"/>
                <w:lang w:val="en-US" w:eastAsia="zh-CN" w:bidi="ar"/>
              </w:rPr>
              <w:t>-</w:t>
            </w:r>
            <w:r>
              <w:rPr>
                <w:rFonts w:hint="default" w:ascii="Times New Roman" w:hAnsi="Times New Roman" w:eastAsia="宋体" w:cs="Times New Roman"/>
                <w:sz w:val="24"/>
                <w:szCs w:val="24"/>
                <w:highlight w:val="none"/>
                <w:lang w:val="en-US" w:eastAsia="zh-CN"/>
              </w:rPr>
              <w:t>乌</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区域和伊宁市及周边区域大气污染同防同治，编制实施大气污染防治中长期规划。推进区域大气污染联防联控，落实兵地统一规划、统一政策、统一标准、统一要求、统一推进的防治管理措施，完善重大项目环境影响评价区域会商机制。建立兵地生态环境联合执法和联合监测长效机制，开展兵地联合执法监测。 </w:t>
            </w:r>
          </w:p>
          <w:p w14:paraId="31E45AF7">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本项目租用新疆昌吉州昌吉高新技术开发区</w:t>
            </w:r>
            <w:r>
              <w:rPr>
                <w:rFonts w:hint="eastAsia" w:cs="Times New Roman"/>
                <w:sz w:val="24"/>
                <w:szCs w:val="24"/>
                <w:highlight w:val="none"/>
                <w:lang w:val="en-US" w:eastAsia="zh-CN"/>
              </w:rPr>
              <w:t>新疆天佳利美防水保温工程有限公司</w:t>
            </w:r>
            <w:r>
              <w:rPr>
                <w:rFonts w:hint="default" w:ascii="Times New Roman" w:hAnsi="Times New Roman" w:eastAsia="宋体" w:cs="Times New Roman"/>
                <w:sz w:val="24"/>
                <w:szCs w:val="24"/>
                <w:highlight w:val="none"/>
                <w:lang w:val="en-US" w:eastAsia="zh-CN"/>
              </w:rPr>
              <w:t>厂房，属于工业用地，项目设备清洗用水、冷却水</w:t>
            </w:r>
            <w:r>
              <w:rPr>
                <w:rFonts w:hint="eastAsia" w:cs="Times New Roman"/>
                <w:sz w:val="24"/>
                <w:szCs w:val="24"/>
                <w:highlight w:val="none"/>
                <w:lang w:val="en-US" w:eastAsia="zh-CN"/>
              </w:rPr>
              <w:t>循环利用</w:t>
            </w:r>
            <w:r>
              <w:rPr>
                <w:rFonts w:hint="default" w:ascii="Times New Roman" w:hAnsi="Times New Roman" w:eastAsia="宋体" w:cs="Times New Roman"/>
                <w:sz w:val="24"/>
                <w:szCs w:val="24"/>
                <w:highlight w:val="none"/>
                <w:lang w:val="en-US" w:eastAsia="zh-CN"/>
              </w:rPr>
              <w:t>不外排，</w:t>
            </w:r>
            <w:r>
              <w:rPr>
                <w:rFonts w:hint="eastAsia"/>
                <w:sz w:val="24"/>
                <w:szCs w:val="24"/>
                <w:highlight w:val="none"/>
                <w:lang w:val="en-US" w:eastAsia="zh-CN"/>
              </w:rPr>
              <w:t>废气处理设施排水</w:t>
            </w:r>
            <w:r>
              <w:rPr>
                <w:rFonts w:hint="default"/>
                <w:sz w:val="24"/>
                <w:szCs w:val="24"/>
                <w:highlight w:val="none"/>
                <w:lang w:val="en-US" w:eastAsia="zh-CN"/>
              </w:rPr>
              <w:t>经</w:t>
            </w:r>
            <w:r>
              <w:rPr>
                <w:rFonts w:hint="eastAsia"/>
                <w:sz w:val="24"/>
                <w:szCs w:val="24"/>
                <w:highlight w:val="none"/>
                <w:lang w:val="en-US" w:eastAsia="zh-CN"/>
              </w:rPr>
              <w:t>隔油沉淀池</w:t>
            </w:r>
            <w:r>
              <w:rPr>
                <w:rFonts w:hint="default"/>
                <w:sz w:val="24"/>
                <w:szCs w:val="24"/>
                <w:highlight w:val="none"/>
                <w:lang w:val="en-US" w:eastAsia="zh-CN"/>
              </w:rPr>
              <w:t>收集，油水分离</w:t>
            </w:r>
            <w:r>
              <w:rPr>
                <w:rFonts w:hint="eastAsia"/>
                <w:sz w:val="24"/>
                <w:szCs w:val="24"/>
                <w:highlight w:val="none"/>
                <w:lang w:val="en-US" w:eastAsia="zh-CN"/>
              </w:rPr>
              <w:t>处理</w:t>
            </w:r>
            <w:r>
              <w:rPr>
                <w:rFonts w:hint="default"/>
                <w:sz w:val="24"/>
                <w:szCs w:val="24"/>
                <w:highlight w:val="none"/>
                <w:lang w:val="en-US" w:eastAsia="zh-CN"/>
              </w:rPr>
              <w:t>后循环使用不外排</w:t>
            </w:r>
            <w:r>
              <w:rPr>
                <w:rFonts w:hint="eastAsia"/>
                <w:sz w:val="24"/>
                <w:szCs w:val="24"/>
                <w:highlight w:val="none"/>
                <w:lang w:val="en-US" w:eastAsia="zh-CN"/>
              </w:rPr>
              <w:t>，</w:t>
            </w:r>
            <w:r>
              <w:rPr>
                <w:rFonts w:hint="default" w:ascii="Times New Roman" w:hAnsi="Times New Roman" w:eastAsia="宋体" w:cs="Times New Roman"/>
                <w:sz w:val="24"/>
                <w:szCs w:val="24"/>
                <w:highlight w:val="none"/>
                <w:lang w:val="en-US" w:eastAsia="zh-CN"/>
              </w:rPr>
              <w:t>生活污水</w:t>
            </w:r>
            <w:r>
              <w:rPr>
                <w:rFonts w:hint="eastAsia" w:ascii="Times New Roman" w:hAnsi="Times New Roman" w:eastAsia="宋体" w:cs="Times New Roman"/>
                <w:sz w:val="24"/>
                <w:szCs w:val="24"/>
                <w:highlight w:val="none"/>
                <w:lang w:val="en-US" w:eastAsia="zh-CN"/>
              </w:rPr>
              <w:t>排入</w:t>
            </w:r>
            <w:r>
              <w:rPr>
                <w:rFonts w:hint="default" w:ascii="Times New Roman" w:hAnsi="Times New Roman" w:eastAsia="宋体" w:cs="Times New Roman"/>
                <w:sz w:val="24"/>
                <w:szCs w:val="24"/>
                <w:highlight w:val="none"/>
                <w:lang w:val="en-US" w:eastAsia="zh-CN"/>
              </w:rPr>
              <w:t>园区污水处理站进行深度处理。</w:t>
            </w:r>
            <w:r>
              <w:rPr>
                <w:rFonts w:hint="eastAsia" w:cs="Times New Roman"/>
                <w:sz w:val="24"/>
                <w:szCs w:val="24"/>
                <w:highlight w:val="none"/>
                <w:lang w:val="en-US" w:eastAsia="zh-CN"/>
              </w:rPr>
              <w:t>本项目搅拌、浸涂工序、覆膜工序和沥青储罐产生的沥青烟、非甲烷总烃、苯并[a]芘经水喷淋+电捕焦油器+活性炭吸附处理后通过20m高排气筒（DA001）排放；</w:t>
            </w:r>
            <w:r>
              <w:rPr>
                <w:rFonts w:hint="default" w:ascii="Times New Roman" w:hAnsi="Times New Roman" w:eastAsia="宋体" w:cs="Times New Roman"/>
                <w:sz w:val="24"/>
                <w:szCs w:val="24"/>
                <w:highlight w:val="none"/>
                <w:lang w:val="en-US" w:eastAsia="zh-CN"/>
              </w:rPr>
              <w:t>导热油炉工作过程中产生的颗粒物、SO</w:t>
            </w:r>
            <w:r>
              <w:rPr>
                <w:rFonts w:hint="default" w:ascii="Times New Roman" w:hAnsi="Times New Roman" w:eastAsia="宋体" w:cs="Times New Roman"/>
                <w:sz w:val="24"/>
                <w:szCs w:val="24"/>
                <w:highlight w:val="none"/>
                <w:vertAlign w:val="subscript"/>
                <w:lang w:val="en-US" w:eastAsia="zh-CN"/>
              </w:rPr>
              <w:t>2</w:t>
            </w:r>
            <w:r>
              <w:rPr>
                <w:rFonts w:hint="default" w:ascii="Times New Roman" w:hAnsi="Times New Roman" w:eastAsia="宋体" w:cs="Times New Roman"/>
                <w:sz w:val="24"/>
                <w:szCs w:val="24"/>
                <w:highlight w:val="none"/>
                <w:lang w:val="en-US" w:eastAsia="zh-CN"/>
              </w:rPr>
              <w:t>、NO</w:t>
            </w:r>
            <w:r>
              <w:rPr>
                <w:rFonts w:hint="default" w:ascii="Times New Roman" w:hAnsi="Times New Roman" w:eastAsia="宋体" w:cs="Times New Roman"/>
                <w:sz w:val="24"/>
                <w:szCs w:val="24"/>
                <w:highlight w:val="none"/>
                <w:vertAlign w:val="subscript"/>
                <w:lang w:val="en-US" w:eastAsia="zh-CN"/>
              </w:rPr>
              <w:t>x</w:t>
            </w:r>
            <w:r>
              <w:rPr>
                <w:rFonts w:hint="default" w:ascii="Times New Roman" w:hAnsi="Times New Roman" w:eastAsia="宋体" w:cs="Times New Roman"/>
                <w:sz w:val="24"/>
                <w:szCs w:val="24"/>
                <w:highlight w:val="none"/>
                <w:lang w:val="en-US" w:eastAsia="zh-CN"/>
              </w:rPr>
              <w:t>经低氮燃烧</w:t>
            </w:r>
            <w:r>
              <w:rPr>
                <w:rFonts w:hint="eastAsia" w:ascii="Times New Roman" w:hAnsi="Times New Roman" w:eastAsia="宋体" w:cs="Times New Roman"/>
                <w:sz w:val="24"/>
                <w:szCs w:val="24"/>
                <w:highlight w:val="none"/>
                <w:lang w:val="en-US" w:eastAsia="zh-CN"/>
              </w:rPr>
              <w:t>技术</w:t>
            </w:r>
            <w:r>
              <w:rPr>
                <w:rFonts w:hint="default" w:ascii="Times New Roman" w:hAnsi="Times New Roman" w:eastAsia="宋体" w:cs="Times New Roman"/>
                <w:sz w:val="24"/>
                <w:szCs w:val="24"/>
                <w:highlight w:val="none"/>
                <w:lang w:val="en-US" w:eastAsia="zh-CN"/>
              </w:rPr>
              <w:t>处理后通过</w:t>
            </w:r>
            <w:r>
              <w:rPr>
                <w:rFonts w:hint="eastAsia" w:ascii="Times New Roman" w:hAnsi="Times New Roman" w:eastAsia="宋体" w:cs="Times New Roman"/>
                <w:sz w:val="24"/>
                <w:szCs w:val="24"/>
                <w:highlight w:val="none"/>
                <w:lang w:val="en-US" w:eastAsia="zh-CN"/>
              </w:rPr>
              <w:t>一根</w:t>
            </w:r>
            <w:r>
              <w:rPr>
                <w:rFonts w:hint="eastAsia" w:cs="Times New Roman"/>
                <w:sz w:val="24"/>
                <w:szCs w:val="24"/>
                <w:highlight w:val="none"/>
                <w:lang w:val="en-US" w:eastAsia="zh-CN"/>
              </w:rPr>
              <w:t>12</w:t>
            </w:r>
            <w:r>
              <w:rPr>
                <w:rFonts w:hint="eastAsia" w:ascii="Times New Roman" w:hAnsi="Times New Roman" w:eastAsia="宋体" w:cs="Times New Roman"/>
                <w:sz w:val="24"/>
                <w:szCs w:val="24"/>
                <w:highlight w:val="none"/>
                <w:lang w:val="en-US" w:eastAsia="zh-CN"/>
              </w:rPr>
              <w:t>m的</w:t>
            </w:r>
            <w:r>
              <w:rPr>
                <w:rFonts w:hint="default" w:ascii="Times New Roman" w:hAnsi="Times New Roman" w:eastAsia="宋体" w:cs="Times New Roman"/>
                <w:sz w:val="24"/>
                <w:szCs w:val="24"/>
                <w:highlight w:val="none"/>
                <w:lang w:val="en-US" w:eastAsia="zh-CN"/>
              </w:rPr>
              <w:t>排气筒（</w:t>
            </w:r>
            <w:r>
              <w:rPr>
                <w:rFonts w:hint="eastAsia" w:ascii="Times New Roman" w:hAnsi="Times New Roman" w:eastAsia="宋体" w:cs="Times New Roman"/>
                <w:sz w:val="24"/>
                <w:szCs w:val="24"/>
                <w:highlight w:val="none"/>
                <w:lang w:val="en-US" w:eastAsia="zh-CN"/>
              </w:rPr>
              <w:t>DA00</w:t>
            </w:r>
            <w:r>
              <w:rPr>
                <w:rFonts w:hint="eastAsia" w:cs="Times New Roman"/>
                <w:sz w:val="24"/>
                <w:szCs w:val="24"/>
                <w:highlight w:val="none"/>
                <w:lang w:val="en-US" w:eastAsia="zh-CN"/>
              </w:rPr>
              <w:t>2</w:t>
            </w:r>
            <w:r>
              <w:rPr>
                <w:rFonts w:hint="default" w:ascii="Times New Roman" w:hAnsi="Times New Roman" w:eastAsia="宋体" w:cs="Times New Roman"/>
                <w:sz w:val="24"/>
                <w:szCs w:val="24"/>
                <w:highlight w:val="none"/>
                <w:lang w:val="en-US" w:eastAsia="zh-CN"/>
              </w:rPr>
              <w:t>）排放。项目产生的危废集中收集后暂存于危废间，定期委托有资质的单位处置。</w:t>
            </w:r>
          </w:p>
          <w:p w14:paraId="2F1BC0B1">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kern w:val="2"/>
                <w:sz w:val="24"/>
                <w:szCs w:val="24"/>
                <w:highlight w:val="none"/>
                <w:lang w:val="en-US" w:eastAsia="zh-CN" w:bidi="ar-SA"/>
              </w:rPr>
              <w:t>运营期产生的废气、废水、噪声、固废均可得到有效处理，排放能够满足相关要求，</w:t>
            </w:r>
            <w:r>
              <w:rPr>
                <w:rFonts w:hint="default" w:ascii="Times New Roman" w:hAnsi="Times New Roman" w:eastAsia="宋体" w:cs="Times New Roman"/>
                <w:sz w:val="24"/>
                <w:szCs w:val="24"/>
                <w:highlight w:val="none"/>
                <w:lang w:val="en-US" w:eastAsia="zh-CN"/>
              </w:rPr>
              <w:t>对区域环境空气质量影响较小，本项目符合《新疆维吾尔自治区</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十四五</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生态环境保护规划》的相关要求。</w:t>
            </w:r>
          </w:p>
          <w:p w14:paraId="7DBADF2B">
            <w:pPr>
              <w:numPr>
                <w:ilvl w:val="0"/>
                <w:numId w:val="0"/>
              </w:numPr>
              <w:autoSpaceDE w:val="0"/>
              <w:autoSpaceDN w:val="0"/>
              <w:adjustRightInd w:val="0"/>
              <w:snapToGrid w:val="0"/>
              <w:spacing w:line="360" w:lineRule="auto"/>
              <w:jc w:val="both"/>
              <w:rPr>
                <w:rFonts w:hint="default"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10</w:t>
            </w:r>
            <w:r>
              <w:rPr>
                <w:rFonts w:hint="default" w:ascii="Times New Roman" w:hAnsi="Times New Roman" w:eastAsia="宋体" w:cs="Times New Roman"/>
                <w:b/>
                <w:bCs/>
                <w:sz w:val="24"/>
                <w:szCs w:val="24"/>
                <w:highlight w:val="none"/>
                <w:lang w:val="en-US" w:eastAsia="zh-CN"/>
              </w:rPr>
              <w:t xml:space="preserve"> 与《昌吉回族自治州生态环境保护与建设“十四五”规划》符合性分析 </w:t>
            </w:r>
          </w:p>
          <w:p w14:paraId="55254649">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《昌吉回族自治州生态环境保护与建设“十四五”规划》提出，以</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乌</w:t>
            </w:r>
            <w:r>
              <w:rPr>
                <w:rFonts w:hint="eastAsia" w:ascii="宋体" w:hAnsi="宋体" w:eastAsia="宋体" w:cs="宋体"/>
                <w:b w:val="0"/>
                <w:bCs w:val="0"/>
                <w:color w:val="000000"/>
                <w:kern w:val="0"/>
                <w:sz w:val="24"/>
                <w:szCs w:val="24"/>
                <w:lang w:val="en-US" w:eastAsia="zh-CN" w:bidi="ar"/>
              </w:rPr>
              <w:t>-</w:t>
            </w:r>
            <w:r>
              <w:rPr>
                <w:rFonts w:hint="default" w:ascii="Times New Roman" w:hAnsi="Times New Roman" w:eastAsia="宋体" w:cs="Times New Roman"/>
                <w:sz w:val="24"/>
                <w:szCs w:val="24"/>
                <w:highlight w:val="none"/>
                <w:lang w:val="en-US" w:eastAsia="zh-CN"/>
              </w:rPr>
              <w:t>昌</w:t>
            </w:r>
            <w:r>
              <w:rPr>
                <w:rFonts w:hint="eastAsia" w:ascii="宋体" w:hAnsi="宋体" w:eastAsia="宋体" w:cs="宋体"/>
                <w:b w:val="0"/>
                <w:bCs w:val="0"/>
                <w:color w:val="000000"/>
                <w:kern w:val="0"/>
                <w:sz w:val="24"/>
                <w:szCs w:val="24"/>
                <w:lang w:val="en-US" w:eastAsia="zh-CN" w:bidi="ar"/>
              </w:rPr>
              <w:t>-</w:t>
            </w:r>
            <w:r>
              <w:rPr>
                <w:rFonts w:hint="default" w:ascii="Times New Roman" w:hAnsi="Times New Roman" w:eastAsia="宋体" w:cs="Times New Roman"/>
                <w:sz w:val="24"/>
                <w:szCs w:val="24"/>
                <w:highlight w:val="none"/>
                <w:lang w:val="en-US" w:eastAsia="zh-CN"/>
              </w:rPr>
              <w:t>石</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重点区域内4县市、2园区为主战场，全面落实环境空气质量强化管控九项专项行动方案，以明显降低细颗粒物（PM</w:t>
            </w:r>
            <w:r>
              <w:rPr>
                <w:rFonts w:hint="default" w:ascii="Times New Roman" w:hAnsi="Times New Roman" w:eastAsia="宋体" w:cs="Times New Roman"/>
                <w:sz w:val="24"/>
                <w:szCs w:val="24"/>
                <w:highlight w:val="none"/>
                <w:vertAlign w:val="subscript"/>
                <w:lang w:val="en-US" w:eastAsia="zh-CN"/>
              </w:rPr>
              <w:t>2.5</w:t>
            </w:r>
            <w:r>
              <w:rPr>
                <w:rFonts w:hint="default" w:ascii="Times New Roman" w:hAnsi="Times New Roman" w:eastAsia="宋体" w:cs="Times New Roman"/>
                <w:sz w:val="24"/>
                <w:szCs w:val="24"/>
                <w:highlight w:val="none"/>
                <w:lang w:val="en-US" w:eastAsia="zh-CN"/>
              </w:rPr>
              <w:t>）浓度、提升空气质量优良率为重点，以减少重污染天数为主攻方向，以采暖季为重点时段，分区控制与区域协作相结合，强化重点区域、重点行业、重点企业的污染防治，协同防治，科学施策、精准治污，明显改善环境空气质量。《昌吉回族自治州生态环境保护与建设“十四五”规划》提出，强化高污染燃料禁燃区监督管理，加强</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乌</w:t>
            </w:r>
            <w:r>
              <w:rPr>
                <w:rFonts w:hint="eastAsia" w:ascii="宋体" w:hAnsi="宋体" w:eastAsia="宋体" w:cs="宋体"/>
                <w:b w:val="0"/>
                <w:bCs w:val="0"/>
                <w:color w:val="000000"/>
                <w:kern w:val="0"/>
                <w:sz w:val="24"/>
                <w:szCs w:val="24"/>
                <w:lang w:val="en-US" w:eastAsia="zh-CN" w:bidi="ar"/>
              </w:rPr>
              <w:t>-</w:t>
            </w:r>
            <w:r>
              <w:rPr>
                <w:rFonts w:hint="default" w:ascii="Times New Roman" w:hAnsi="Times New Roman" w:eastAsia="宋体" w:cs="Times New Roman"/>
                <w:sz w:val="24"/>
                <w:szCs w:val="24"/>
                <w:highlight w:val="none"/>
                <w:lang w:val="en-US" w:eastAsia="zh-CN"/>
              </w:rPr>
              <w:t>昌</w:t>
            </w:r>
            <w:r>
              <w:rPr>
                <w:rFonts w:hint="eastAsia" w:ascii="宋体" w:hAnsi="宋体" w:eastAsia="宋体" w:cs="宋体"/>
                <w:b w:val="0"/>
                <w:bCs w:val="0"/>
                <w:color w:val="000000"/>
                <w:kern w:val="0"/>
                <w:sz w:val="24"/>
                <w:szCs w:val="24"/>
                <w:lang w:val="en-US" w:eastAsia="zh-CN" w:bidi="ar"/>
              </w:rPr>
              <w:t>-</w:t>
            </w:r>
            <w:r>
              <w:rPr>
                <w:rFonts w:hint="default" w:ascii="Times New Roman" w:hAnsi="Times New Roman" w:eastAsia="宋体" w:cs="Times New Roman"/>
                <w:sz w:val="24"/>
                <w:szCs w:val="24"/>
                <w:highlight w:val="none"/>
                <w:lang w:val="en-US" w:eastAsia="zh-CN"/>
              </w:rPr>
              <w:t>石</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区域4县市禁燃区监督管理工作，禁燃区内工业生产、居民生活全部使用清洁能源，全面禁止销售和使用高污染燃料。积极推进城市建成区、工业园区热电联供，加快推进集中供热、</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煤改电</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工程建设。</w:t>
            </w:r>
          </w:p>
          <w:p w14:paraId="4A4AA289">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本项目位于</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乌</w:t>
            </w:r>
            <w:r>
              <w:rPr>
                <w:rFonts w:hint="eastAsia" w:ascii="宋体" w:hAnsi="宋体" w:eastAsia="宋体" w:cs="宋体"/>
                <w:b w:val="0"/>
                <w:bCs w:val="0"/>
                <w:color w:val="000000"/>
                <w:kern w:val="0"/>
                <w:sz w:val="24"/>
                <w:szCs w:val="24"/>
                <w:lang w:val="en-US" w:eastAsia="zh-CN" w:bidi="ar"/>
              </w:rPr>
              <w:t>-</w:t>
            </w:r>
            <w:r>
              <w:rPr>
                <w:rFonts w:hint="default" w:ascii="Times New Roman" w:hAnsi="Times New Roman" w:eastAsia="宋体" w:cs="Times New Roman"/>
                <w:sz w:val="24"/>
                <w:szCs w:val="24"/>
                <w:highlight w:val="none"/>
                <w:lang w:val="en-US" w:eastAsia="zh-CN"/>
              </w:rPr>
              <w:t>昌</w:t>
            </w:r>
            <w:r>
              <w:rPr>
                <w:rFonts w:hint="eastAsia" w:ascii="宋体" w:hAnsi="宋体" w:eastAsia="宋体" w:cs="宋体"/>
                <w:b w:val="0"/>
                <w:bCs w:val="0"/>
                <w:color w:val="000000"/>
                <w:kern w:val="0"/>
                <w:sz w:val="24"/>
                <w:szCs w:val="24"/>
                <w:lang w:val="en-US" w:eastAsia="zh-CN" w:bidi="ar"/>
              </w:rPr>
              <w:t>-</w:t>
            </w:r>
            <w:r>
              <w:rPr>
                <w:rFonts w:hint="default" w:ascii="Times New Roman" w:hAnsi="Times New Roman" w:eastAsia="宋体" w:cs="Times New Roman"/>
                <w:sz w:val="24"/>
                <w:szCs w:val="24"/>
                <w:highlight w:val="none"/>
                <w:lang w:val="en-US" w:eastAsia="zh-CN"/>
              </w:rPr>
              <w:t>石</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重点区域内4县市、2园区的昌吉高新技术产业开发区内，积极响应《昌吉州生态环境保护</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十四五</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规划》提出的相关要求。运营期间导热油炉采用园区管网输送的天然气为燃料，</w:t>
            </w:r>
            <w:r>
              <w:rPr>
                <w:rFonts w:hint="eastAsia" w:cs="Times New Roman"/>
                <w:sz w:val="24"/>
                <w:szCs w:val="24"/>
                <w:highlight w:val="none"/>
                <w:lang w:val="en-US" w:eastAsia="zh-CN"/>
              </w:rPr>
              <w:t>运营</w:t>
            </w:r>
            <w:r>
              <w:rPr>
                <w:rFonts w:hint="default" w:ascii="Times New Roman" w:hAnsi="Times New Roman" w:eastAsia="宋体" w:cs="Times New Roman"/>
                <w:sz w:val="24"/>
                <w:szCs w:val="24"/>
                <w:highlight w:val="none"/>
                <w:lang w:val="en-US" w:eastAsia="zh-CN"/>
              </w:rPr>
              <w:t>过程中产生的颗粒物、SO</w:t>
            </w:r>
            <w:r>
              <w:rPr>
                <w:rFonts w:hint="default" w:ascii="Times New Roman" w:hAnsi="Times New Roman" w:eastAsia="宋体" w:cs="Times New Roman"/>
                <w:sz w:val="24"/>
                <w:szCs w:val="24"/>
                <w:highlight w:val="none"/>
                <w:vertAlign w:val="subscript"/>
                <w:lang w:val="en-US" w:eastAsia="zh-CN"/>
              </w:rPr>
              <w:t>2</w:t>
            </w:r>
            <w:r>
              <w:rPr>
                <w:rFonts w:hint="default" w:ascii="Times New Roman" w:hAnsi="Times New Roman" w:eastAsia="宋体" w:cs="Times New Roman"/>
                <w:sz w:val="24"/>
                <w:szCs w:val="24"/>
                <w:highlight w:val="none"/>
                <w:lang w:val="en-US" w:eastAsia="zh-CN"/>
              </w:rPr>
              <w:t>、NO</w:t>
            </w:r>
            <w:r>
              <w:rPr>
                <w:rFonts w:hint="default" w:ascii="Times New Roman" w:hAnsi="Times New Roman" w:eastAsia="宋体" w:cs="Times New Roman"/>
                <w:sz w:val="24"/>
                <w:szCs w:val="24"/>
                <w:highlight w:val="none"/>
                <w:vertAlign w:val="subscript"/>
                <w:lang w:val="en-US" w:eastAsia="zh-CN"/>
              </w:rPr>
              <w:t>x</w:t>
            </w:r>
            <w:r>
              <w:rPr>
                <w:rFonts w:hint="default" w:ascii="Times New Roman" w:hAnsi="Times New Roman" w:eastAsia="宋体" w:cs="Times New Roman"/>
                <w:sz w:val="24"/>
                <w:szCs w:val="24"/>
                <w:highlight w:val="none"/>
                <w:lang w:val="en-US" w:eastAsia="zh-CN"/>
              </w:rPr>
              <w:t>经低氮燃烧</w:t>
            </w:r>
            <w:r>
              <w:rPr>
                <w:rFonts w:hint="eastAsia" w:ascii="Times New Roman" w:hAnsi="Times New Roman" w:eastAsia="宋体" w:cs="Times New Roman"/>
                <w:sz w:val="24"/>
                <w:szCs w:val="24"/>
                <w:highlight w:val="none"/>
                <w:lang w:val="en-US" w:eastAsia="zh-CN"/>
              </w:rPr>
              <w:t>技术</w:t>
            </w:r>
            <w:r>
              <w:rPr>
                <w:rFonts w:hint="default" w:ascii="Times New Roman" w:hAnsi="Times New Roman" w:eastAsia="宋体" w:cs="Times New Roman"/>
                <w:sz w:val="24"/>
                <w:szCs w:val="24"/>
                <w:highlight w:val="none"/>
                <w:lang w:val="en-US" w:eastAsia="zh-CN"/>
              </w:rPr>
              <w:t>处理后通过</w:t>
            </w:r>
            <w:r>
              <w:rPr>
                <w:rFonts w:hint="eastAsia" w:ascii="Times New Roman" w:hAnsi="Times New Roman" w:eastAsia="宋体" w:cs="Times New Roman"/>
                <w:sz w:val="24"/>
                <w:szCs w:val="24"/>
                <w:highlight w:val="none"/>
                <w:lang w:val="en-US" w:eastAsia="zh-CN"/>
              </w:rPr>
              <w:t>一根</w:t>
            </w:r>
            <w:r>
              <w:rPr>
                <w:rFonts w:hint="eastAsia" w:cs="Times New Roman"/>
                <w:sz w:val="24"/>
                <w:szCs w:val="24"/>
                <w:highlight w:val="none"/>
                <w:lang w:val="en-US" w:eastAsia="zh-CN"/>
              </w:rPr>
              <w:t>12</w:t>
            </w:r>
            <w:r>
              <w:rPr>
                <w:rFonts w:hint="eastAsia" w:ascii="Times New Roman" w:hAnsi="Times New Roman" w:eastAsia="宋体" w:cs="Times New Roman"/>
                <w:sz w:val="24"/>
                <w:szCs w:val="24"/>
                <w:highlight w:val="none"/>
                <w:lang w:val="en-US" w:eastAsia="zh-CN"/>
              </w:rPr>
              <w:t>m的</w:t>
            </w:r>
            <w:r>
              <w:rPr>
                <w:rFonts w:hint="default" w:ascii="Times New Roman" w:hAnsi="Times New Roman" w:eastAsia="宋体" w:cs="Times New Roman"/>
                <w:sz w:val="24"/>
                <w:szCs w:val="24"/>
                <w:highlight w:val="none"/>
                <w:lang w:val="en-US" w:eastAsia="zh-CN"/>
              </w:rPr>
              <w:t>排气筒（</w:t>
            </w:r>
            <w:r>
              <w:rPr>
                <w:rFonts w:hint="eastAsia" w:ascii="Times New Roman" w:hAnsi="Times New Roman" w:eastAsia="宋体" w:cs="Times New Roman"/>
                <w:sz w:val="24"/>
                <w:szCs w:val="24"/>
                <w:highlight w:val="none"/>
                <w:lang w:val="en-US" w:eastAsia="zh-CN"/>
              </w:rPr>
              <w:t>DA00</w:t>
            </w:r>
            <w:r>
              <w:rPr>
                <w:rFonts w:hint="eastAsia" w:cs="Times New Roman"/>
                <w:sz w:val="24"/>
                <w:szCs w:val="24"/>
                <w:highlight w:val="none"/>
                <w:lang w:val="en-US" w:eastAsia="zh-CN"/>
              </w:rPr>
              <w:t>2</w:t>
            </w:r>
            <w:r>
              <w:rPr>
                <w:rFonts w:hint="default" w:ascii="Times New Roman" w:hAnsi="Times New Roman" w:eastAsia="宋体" w:cs="Times New Roman"/>
                <w:sz w:val="24"/>
                <w:szCs w:val="24"/>
                <w:highlight w:val="none"/>
                <w:lang w:val="en-US" w:eastAsia="zh-CN"/>
              </w:rPr>
              <w:t>）排放；本项目搅拌、浸涂工序和覆膜工序产生的沥青烟、非甲烷总烃、苯并[a]芘经水喷淋+电捕焦油器+活性炭吸附处理后通过</w:t>
            </w:r>
            <w:r>
              <w:rPr>
                <w:rFonts w:hint="eastAsia" w:cs="Times New Roman"/>
                <w:sz w:val="24"/>
                <w:szCs w:val="24"/>
                <w:highlight w:val="none"/>
                <w:lang w:val="en-US" w:eastAsia="zh-CN"/>
              </w:rPr>
              <w:t>20</w:t>
            </w:r>
            <w:r>
              <w:rPr>
                <w:rFonts w:hint="default" w:ascii="Times New Roman" w:hAnsi="Times New Roman" w:eastAsia="宋体" w:cs="Times New Roman"/>
                <w:sz w:val="24"/>
                <w:szCs w:val="24"/>
                <w:highlight w:val="none"/>
                <w:lang w:val="en-US" w:eastAsia="zh-CN"/>
              </w:rPr>
              <w:t>m高排气筒（DA001）排放。项目产生的各类污染物都得到合理的处置，故本项目符合《昌吉回族自治州生态环境保护与建设“十四五”规划》的要求。</w:t>
            </w:r>
          </w:p>
          <w:p w14:paraId="195102FE">
            <w:pPr>
              <w:keepNext w:val="0"/>
              <w:keepLines w:val="0"/>
              <w:widowControl/>
              <w:suppressLineNumbers w:val="0"/>
              <w:jc w:val="left"/>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1</w:t>
            </w:r>
            <w:r>
              <w:rPr>
                <w:rFonts w:hint="eastAsia" w:ascii="Times New Roman" w:hAnsi="Times New Roman" w:eastAsia="宋体" w:cs="Times New Roman"/>
                <w:b/>
                <w:bCs/>
                <w:color w:val="000000"/>
                <w:kern w:val="0"/>
                <w:sz w:val="24"/>
                <w:szCs w:val="24"/>
                <w:highlight w:val="none"/>
                <w:lang w:val="en-US" w:eastAsia="zh-CN" w:bidi="ar"/>
              </w:rPr>
              <w:t>1</w:t>
            </w:r>
            <w:r>
              <w:rPr>
                <w:rFonts w:hint="default" w:ascii="Times New Roman" w:hAnsi="Times New Roman" w:eastAsia="宋体" w:cs="Times New Roman"/>
                <w:b/>
                <w:bCs/>
                <w:color w:val="000000"/>
                <w:kern w:val="0"/>
                <w:sz w:val="24"/>
                <w:szCs w:val="24"/>
                <w:highlight w:val="none"/>
                <w:lang w:val="en-US" w:eastAsia="zh-CN" w:bidi="ar"/>
              </w:rPr>
              <w:t xml:space="preserve"> 与《空气质量持续改善行动计划》（国发</w:t>
            </w:r>
            <w:r>
              <w:rPr>
                <w:rFonts w:hint="eastAsia" w:cs="Times New Roman"/>
                <w:b/>
                <w:bCs/>
                <w:color w:val="000000"/>
                <w:kern w:val="0"/>
                <w:sz w:val="24"/>
                <w:szCs w:val="24"/>
                <w:highlight w:val="none"/>
                <w:lang w:val="en-US" w:eastAsia="zh-CN" w:bidi="ar"/>
              </w:rPr>
              <w:t>〔2023〕</w:t>
            </w:r>
            <w:r>
              <w:rPr>
                <w:rFonts w:hint="default" w:ascii="Times New Roman" w:hAnsi="Times New Roman" w:eastAsia="宋体" w:cs="Times New Roman"/>
                <w:b/>
                <w:bCs/>
                <w:color w:val="000000"/>
                <w:kern w:val="0"/>
                <w:sz w:val="24"/>
                <w:szCs w:val="24"/>
                <w:highlight w:val="none"/>
                <w:lang w:val="en-US" w:eastAsia="zh-CN" w:bidi="ar"/>
              </w:rPr>
              <w:t>24 号）符合性分析</w:t>
            </w:r>
          </w:p>
          <w:p w14:paraId="5A4C874A">
            <w:pPr>
              <w:keepNext w:val="0"/>
              <w:keepLines w:val="0"/>
              <w:widowControl/>
              <w:suppressLineNumbers w:val="0"/>
              <w:jc w:val="center"/>
              <w:rPr>
                <w:rFonts w:hint="default"/>
                <w:sz w:val="18"/>
                <w:szCs w:val="18"/>
                <w:highlight w:val="none"/>
              </w:rPr>
            </w:pPr>
            <w:r>
              <w:rPr>
                <w:rFonts w:hint="eastAsia" w:ascii="Times New Roman" w:hAnsi="Times New Roman" w:eastAsia="宋体" w:cs="Times New Roman"/>
                <w:b/>
                <w:bCs/>
                <w:color w:val="000000"/>
                <w:kern w:val="0"/>
                <w:sz w:val="21"/>
                <w:szCs w:val="21"/>
                <w:highlight w:val="none"/>
                <w:lang w:val="en-US" w:eastAsia="zh-CN" w:bidi="ar"/>
              </w:rPr>
              <w:t>表</w:t>
            </w:r>
            <w:r>
              <w:rPr>
                <w:rFonts w:hint="default" w:ascii="Times New Roman" w:hAnsi="Times New Roman" w:eastAsia="宋体" w:cs="Times New Roman"/>
                <w:b/>
                <w:bCs/>
                <w:color w:val="000000"/>
                <w:kern w:val="0"/>
                <w:sz w:val="21"/>
                <w:szCs w:val="21"/>
                <w:highlight w:val="none"/>
                <w:lang w:val="en-US" w:eastAsia="zh-CN" w:bidi="ar"/>
              </w:rPr>
              <w:t>1-</w:t>
            </w:r>
            <w:r>
              <w:rPr>
                <w:rFonts w:hint="eastAsia" w:ascii="Times New Roman" w:hAnsi="Times New Roman" w:eastAsia="宋体" w:cs="Times New Roman"/>
                <w:b/>
                <w:bCs/>
                <w:color w:val="000000"/>
                <w:kern w:val="0"/>
                <w:sz w:val="21"/>
                <w:szCs w:val="21"/>
                <w:highlight w:val="none"/>
                <w:lang w:val="en-US" w:eastAsia="zh-CN" w:bidi="ar"/>
              </w:rPr>
              <w:t>6</w:t>
            </w:r>
            <w:r>
              <w:rPr>
                <w:rFonts w:hint="default" w:ascii="Times New Roman" w:hAnsi="Times New Roman" w:eastAsia="宋体" w:cs="Times New Roman"/>
                <w:b/>
                <w:bCs/>
                <w:color w:val="000000"/>
                <w:kern w:val="0"/>
                <w:sz w:val="21"/>
                <w:szCs w:val="21"/>
                <w:highlight w:val="none"/>
                <w:lang w:val="en-US" w:eastAsia="zh-CN" w:bidi="ar"/>
              </w:rPr>
              <w:t xml:space="preserve"> </w:t>
            </w:r>
            <w:r>
              <w:rPr>
                <w:rFonts w:hint="eastAsia" w:ascii="Times New Roman" w:hAnsi="Times New Roman" w:eastAsia="宋体" w:cs="Times New Roman"/>
                <w:b/>
                <w:bCs/>
                <w:color w:val="000000"/>
                <w:kern w:val="0"/>
                <w:sz w:val="21"/>
                <w:szCs w:val="21"/>
                <w:highlight w:val="none"/>
                <w:lang w:val="en-US" w:eastAsia="zh-CN" w:bidi="ar"/>
              </w:rPr>
              <w:t xml:space="preserve">    </w:t>
            </w:r>
            <w:r>
              <w:rPr>
                <w:rFonts w:hint="eastAsia" w:ascii="宋体" w:hAnsi="宋体" w:eastAsia="宋体" w:cs="宋体"/>
                <w:b/>
                <w:bCs/>
                <w:color w:val="000000"/>
                <w:kern w:val="0"/>
                <w:sz w:val="21"/>
                <w:szCs w:val="21"/>
                <w:highlight w:val="none"/>
                <w:lang w:val="en-US" w:eastAsia="zh-CN" w:bidi="ar"/>
              </w:rPr>
              <w:t>项目与《空气质量持续改善行动计划》符合性分析一览表</w:t>
            </w:r>
          </w:p>
          <w:tbl>
            <w:tblPr>
              <w:tblStyle w:val="20"/>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72"/>
              <w:gridCol w:w="1837"/>
              <w:gridCol w:w="961"/>
            </w:tblGrid>
            <w:tr w14:paraId="16B92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center"/>
              </w:trPr>
              <w:tc>
                <w:tcPr>
                  <w:tcW w:w="3176" w:type="pct"/>
                  <w:tcBorders>
                    <w:top w:val="single" w:color="auto" w:sz="8" w:space="0"/>
                    <w:bottom w:val="single" w:color="auto" w:sz="8" w:space="0"/>
                    <w:right w:val="single" w:color="auto" w:sz="6" w:space="0"/>
                  </w:tcBorders>
                  <w:noWrap w:val="0"/>
                  <w:vAlign w:val="center"/>
                </w:tcPr>
                <w:p w14:paraId="2CB09F7A">
                  <w:pPr>
                    <w:numPr>
                      <w:ilvl w:val="0"/>
                      <w:numId w:val="0"/>
                    </w:numPr>
                    <w:autoSpaceDE w:val="0"/>
                    <w:autoSpaceDN w:val="0"/>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eastAsia" w:ascii="Times New Roman" w:hAnsi="Times New Roman" w:eastAsia="宋体" w:cs="Times New Roman"/>
                      <w:b/>
                      <w:bCs/>
                      <w:sz w:val="21"/>
                      <w:szCs w:val="21"/>
                      <w:highlight w:val="none"/>
                      <w:vertAlign w:val="baseline"/>
                      <w:lang w:val="en-US" w:eastAsia="zh-CN"/>
                    </w:rPr>
                    <w:t>文件要求</w:t>
                  </w:r>
                </w:p>
              </w:tc>
              <w:tc>
                <w:tcPr>
                  <w:tcW w:w="1197" w:type="pct"/>
                  <w:tcBorders>
                    <w:top w:val="single" w:color="auto" w:sz="8" w:space="0"/>
                    <w:left w:val="single" w:color="auto" w:sz="6" w:space="0"/>
                    <w:bottom w:val="single" w:color="auto" w:sz="8" w:space="0"/>
                    <w:right w:val="single" w:color="auto" w:sz="6" w:space="0"/>
                  </w:tcBorders>
                  <w:noWrap w:val="0"/>
                  <w:vAlign w:val="center"/>
                </w:tcPr>
                <w:p w14:paraId="5FCC0F36">
                  <w:pPr>
                    <w:numPr>
                      <w:ilvl w:val="0"/>
                      <w:numId w:val="0"/>
                    </w:numPr>
                    <w:autoSpaceDE w:val="0"/>
                    <w:autoSpaceDN w:val="0"/>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eastAsia" w:ascii="Times New Roman" w:hAnsi="Times New Roman" w:eastAsia="宋体" w:cs="Times New Roman"/>
                      <w:b/>
                      <w:bCs/>
                      <w:sz w:val="21"/>
                      <w:szCs w:val="21"/>
                      <w:highlight w:val="none"/>
                      <w:vertAlign w:val="baseline"/>
                      <w:lang w:val="en-US" w:eastAsia="zh-CN"/>
                    </w:rPr>
                    <w:t>本项目情况</w:t>
                  </w:r>
                </w:p>
              </w:tc>
              <w:tc>
                <w:tcPr>
                  <w:tcW w:w="626" w:type="pct"/>
                  <w:tcBorders>
                    <w:top w:val="single" w:color="auto" w:sz="8" w:space="0"/>
                    <w:left w:val="single" w:color="auto" w:sz="6" w:space="0"/>
                    <w:bottom w:val="single" w:color="auto" w:sz="8" w:space="0"/>
                  </w:tcBorders>
                  <w:noWrap w:val="0"/>
                  <w:vAlign w:val="center"/>
                </w:tcPr>
                <w:p w14:paraId="41989885">
                  <w:pPr>
                    <w:numPr>
                      <w:ilvl w:val="0"/>
                      <w:numId w:val="0"/>
                    </w:numPr>
                    <w:autoSpaceDE w:val="0"/>
                    <w:autoSpaceDN w:val="0"/>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eastAsia" w:ascii="Times New Roman" w:hAnsi="Times New Roman" w:eastAsia="宋体" w:cs="Times New Roman"/>
                      <w:b/>
                      <w:bCs/>
                      <w:sz w:val="21"/>
                      <w:szCs w:val="21"/>
                      <w:highlight w:val="none"/>
                      <w:vertAlign w:val="baseline"/>
                      <w:lang w:val="en-US" w:eastAsia="zh-CN"/>
                    </w:rPr>
                    <w:t>符合性</w:t>
                  </w:r>
                </w:p>
              </w:tc>
            </w:tr>
            <w:tr w14:paraId="27BAB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center"/>
              </w:trPr>
              <w:tc>
                <w:tcPr>
                  <w:tcW w:w="3176" w:type="pct"/>
                  <w:tcBorders>
                    <w:top w:val="single" w:color="auto" w:sz="8" w:space="0"/>
                    <w:bottom w:val="single" w:color="auto" w:sz="6" w:space="0"/>
                    <w:right w:val="single" w:color="auto" w:sz="6" w:space="0"/>
                  </w:tcBorders>
                  <w:noWrap w:val="0"/>
                  <w:vAlign w:val="center"/>
                </w:tcPr>
                <w:p w14:paraId="035372C9">
                  <w:pPr>
                    <w:keepNext w:val="0"/>
                    <w:keepLines w:val="0"/>
                    <w:widowControl/>
                    <w:suppressLineNumbers w:val="0"/>
                    <w:jc w:val="both"/>
                    <w:rPr>
                      <w:rFonts w:hint="default" w:ascii="Times New Roman" w:hAnsi="Times New Roman" w:eastAsia="宋体" w:cs="Times New Roman"/>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优化含</w:t>
                  </w:r>
                  <w:r>
                    <w:rPr>
                      <w:rFonts w:hint="default" w:ascii="Times New Roman" w:hAnsi="Times New Roman" w:eastAsia="宋体" w:cs="Times New Roman"/>
                      <w:color w:val="000000"/>
                      <w:kern w:val="0"/>
                      <w:sz w:val="21"/>
                      <w:szCs w:val="21"/>
                      <w:highlight w:val="none"/>
                      <w:lang w:val="en-US" w:eastAsia="zh-CN" w:bidi="ar"/>
                    </w:rPr>
                    <w:t>VOCs</w:t>
                  </w:r>
                  <w:r>
                    <w:rPr>
                      <w:rFonts w:hint="eastAsia" w:ascii="宋体" w:hAnsi="宋体" w:eastAsia="宋体" w:cs="宋体"/>
                      <w:color w:val="000000"/>
                      <w:kern w:val="0"/>
                      <w:sz w:val="21"/>
                      <w:szCs w:val="21"/>
                      <w:highlight w:val="none"/>
                      <w:lang w:val="en-US" w:eastAsia="zh-CN" w:bidi="ar"/>
                    </w:rPr>
                    <w:t>原辅材料和产品结构。严格控制生产和使用高</w:t>
                  </w:r>
                  <w:r>
                    <w:rPr>
                      <w:rFonts w:hint="default" w:ascii="Times New Roman" w:hAnsi="Times New Roman" w:eastAsia="宋体" w:cs="Times New Roman"/>
                      <w:color w:val="000000"/>
                      <w:kern w:val="0"/>
                      <w:sz w:val="21"/>
                      <w:szCs w:val="21"/>
                      <w:highlight w:val="none"/>
                      <w:lang w:val="en-US" w:eastAsia="zh-CN" w:bidi="ar"/>
                    </w:rPr>
                    <w:t>VOCs</w:t>
                  </w:r>
                  <w:r>
                    <w:rPr>
                      <w:rFonts w:hint="eastAsia" w:ascii="宋体" w:hAnsi="宋体" w:eastAsia="宋体" w:cs="宋体"/>
                      <w:color w:val="000000"/>
                      <w:kern w:val="0"/>
                      <w:sz w:val="21"/>
                      <w:szCs w:val="21"/>
                      <w:highlight w:val="none"/>
                      <w:lang w:val="en-US" w:eastAsia="zh-CN" w:bidi="ar"/>
                    </w:rPr>
                    <w:t>含量涂料、油墨、胶粘剂、清洗剂等建设项目，提高低（无）</w:t>
                  </w:r>
                  <w:r>
                    <w:rPr>
                      <w:rFonts w:hint="default" w:ascii="Times New Roman" w:hAnsi="Times New Roman" w:eastAsia="宋体" w:cs="Times New Roman"/>
                      <w:color w:val="000000"/>
                      <w:kern w:val="0"/>
                      <w:sz w:val="21"/>
                      <w:szCs w:val="21"/>
                      <w:highlight w:val="none"/>
                      <w:lang w:val="en-US" w:eastAsia="zh-CN" w:bidi="ar"/>
                    </w:rPr>
                    <w:t>VOCs</w:t>
                  </w:r>
                  <w:r>
                    <w:rPr>
                      <w:rFonts w:hint="eastAsia" w:ascii="宋体" w:hAnsi="宋体" w:eastAsia="宋体" w:cs="宋体"/>
                      <w:color w:val="000000"/>
                      <w:kern w:val="0"/>
                      <w:sz w:val="21"/>
                      <w:szCs w:val="21"/>
                      <w:highlight w:val="none"/>
                      <w:lang w:val="en-US" w:eastAsia="zh-CN" w:bidi="ar"/>
                    </w:rPr>
                    <w:t>含量产品比重。实施源头替代工程，加大工业涂装、包装印刷和电子行业低（无）</w:t>
                  </w:r>
                  <w:r>
                    <w:rPr>
                      <w:rFonts w:hint="default" w:ascii="Times New Roman" w:hAnsi="Times New Roman" w:eastAsia="宋体" w:cs="Times New Roman"/>
                      <w:color w:val="000000"/>
                      <w:kern w:val="0"/>
                      <w:sz w:val="21"/>
                      <w:szCs w:val="21"/>
                      <w:highlight w:val="none"/>
                      <w:lang w:val="en-US" w:eastAsia="zh-CN" w:bidi="ar"/>
                    </w:rPr>
                    <w:t>VOCs</w:t>
                  </w:r>
                  <w:r>
                    <w:rPr>
                      <w:rFonts w:hint="eastAsia" w:ascii="宋体" w:hAnsi="宋体" w:eastAsia="宋体" w:cs="宋体"/>
                      <w:color w:val="000000"/>
                      <w:kern w:val="0"/>
                      <w:sz w:val="21"/>
                      <w:szCs w:val="21"/>
                      <w:highlight w:val="none"/>
                      <w:lang w:val="en-US" w:eastAsia="zh-CN" w:bidi="ar"/>
                    </w:rPr>
                    <w:t>含量原辅材料替代力度。室外构筑物防护和城市道路交通标志推广使用低（无）</w:t>
                  </w:r>
                  <w:r>
                    <w:rPr>
                      <w:rFonts w:hint="default" w:ascii="Times New Roman" w:hAnsi="Times New Roman" w:eastAsia="宋体" w:cs="Times New Roman"/>
                      <w:color w:val="000000"/>
                      <w:kern w:val="0"/>
                      <w:sz w:val="21"/>
                      <w:szCs w:val="21"/>
                      <w:highlight w:val="none"/>
                      <w:lang w:val="en-US" w:eastAsia="zh-CN" w:bidi="ar"/>
                    </w:rPr>
                    <w:t>VOCs</w:t>
                  </w:r>
                  <w:r>
                    <w:rPr>
                      <w:rFonts w:hint="eastAsia" w:ascii="宋体" w:hAnsi="宋体" w:eastAsia="宋体" w:cs="宋体"/>
                      <w:color w:val="000000"/>
                      <w:kern w:val="0"/>
                      <w:sz w:val="21"/>
                      <w:szCs w:val="21"/>
                      <w:highlight w:val="none"/>
                      <w:lang w:val="en-US" w:eastAsia="zh-CN" w:bidi="ar"/>
                    </w:rPr>
                    <w:t>含量涂料。在生产、销售、进口、使用等环节严格执行</w:t>
                  </w:r>
                  <w:r>
                    <w:rPr>
                      <w:rFonts w:hint="default" w:ascii="Times New Roman" w:hAnsi="Times New Roman" w:eastAsia="宋体" w:cs="Times New Roman"/>
                      <w:color w:val="000000"/>
                      <w:kern w:val="0"/>
                      <w:sz w:val="21"/>
                      <w:szCs w:val="21"/>
                      <w:highlight w:val="none"/>
                      <w:lang w:val="en-US" w:eastAsia="zh-CN" w:bidi="ar"/>
                    </w:rPr>
                    <w:t>VOCs</w:t>
                  </w:r>
                  <w:r>
                    <w:rPr>
                      <w:rFonts w:hint="eastAsia" w:ascii="宋体" w:hAnsi="宋体" w:eastAsia="宋体" w:cs="宋体"/>
                      <w:color w:val="000000"/>
                      <w:kern w:val="0"/>
                      <w:sz w:val="21"/>
                      <w:szCs w:val="21"/>
                      <w:highlight w:val="none"/>
                      <w:lang w:val="en-US" w:eastAsia="zh-CN" w:bidi="ar"/>
                    </w:rPr>
                    <w:t>含量限值标准。</w:t>
                  </w:r>
                </w:p>
              </w:tc>
              <w:tc>
                <w:tcPr>
                  <w:tcW w:w="1197" w:type="pct"/>
                  <w:tcBorders>
                    <w:top w:val="single" w:color="auto" w:sz="8" w:space="0"/>
                    <w:left w:val="single" w:color="auto" w:sz="6" w:space="0"/>
                    <w:bottom w:val="single" w:color="auto" w:sz="6" w:space="0"/>
                    <w:right w:val="single" w:color="auto" w:sz="6" w:space="0"/>
                  </w:tcBorders>
                  <w:noWrap w:val="0"/>
                  <w:vAlign w:val="center"/>
                </w:tcPr>
                <w:p w14:paraId="35FDD136">
                  <w:pPr>
                    <w:numPr>
                      <w:ilvl w:val="0"/>
                      <w:numId w:val="0"/>
                    </w:num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改性沥青防水卷材生产线和非固化沥青涂料生产线生产过程中产生非甲烷总烃</w:t>
                  </w:r>
                  <w:r>
                    <w:rPr>
                      <w:rFonts w:hint="eastAsia" w:ascii="Times New Roman" w:hAnsi="Times New Roman" w:eastAsia="宋体" w:cs="Times New Roman"/>
                      <w:sz w:val="21"/>
                      <w:szCs w:val="21"/>
                      <w:highlight w:val="none"/>
                      <w:vertAlign w:val="baseline"/>
                      <w:lang w:val="en-US" w:eastAsia="zh-CN"/>
                    </w:rPr>
                    <w:t>通过活性炭吸附</w:t>
                  </w:r>
                  <w:r>
                    <w:rPr>
                      <w:rFonts w:hint="default" w:ascii="Times New Roman" w:hAnsi="Times New Roman" w:eastAsia="宋体" w:cs="Times New Roman"/>
                      <w:sz w:val="21"/>
                      <w:szCs w:val="21"/>
                      <w:highlight w:val="none"/>
                      <w:vertAlign w:val="baseline"/>
                      <w:lang w:val="en-US" w:eastAsia="zh-CN"/>
                    </w:rPr>
                    <w:t>处理</w:t>
                  </w:r>
                  <w:r>
                    <w:rPr>
                      <w:rFonts w:hint="eastAsia" w:cs="Times New Roman"/>
                      <w:sz w:val="21"/>
                      <w:szCs w:val="21"/>
                      <w:highlight w:val="none"/>
                      <w:vertAlign w:val="baseline"/>
                      <w:lang w:val="en-US" w:eastAsia="zh-CN"/>
                    </w:rPr>
                    <w:t>后通过20m高排气筒达标排放。</w:t>
                  </w:r>
                </w:p>
              </w:tc>
              <w:tc>
                <w:tcPr>
                  <w:tcW w:w="626" w:type="pct"/>
                  <w:tcBorders>
                    <w:top w:val="single" w:color="auto" w:sz="8" w:space="0"/>
                    <w:left w:val="single" w:color="auto" w:sz="6" w:space="0"/>
                    <w:bottom w:val="single" w:color="auto" w:sz="6" w:space="0"/>
                  </w:tcBorders>
                  <w:noWrap w:val="0"/>
                  <w:vAlign w:val="center"/>
                </w:tcPr>
                <w:p w14:paraId="46493309">
                  <w:pPr>
                    <w:numPr>
                      <w:ilvl w:val="0"/>
                      <w:numId w:val="0"/>
                    </w:num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符合</w:t>
                  </w:r>
                </w:p>
              </w:tc>
            </w:tr>
            <w:tr w14:paraId="13A60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8" w:hRule="atLeast"/>
                <w:jc w:val="center"/>
              </w:trPr>
              <w:tc>
                <w:tcPr>
                  <w:tcW w:w="3176" w:type="pct"/>
                  <w:tcBorders>
                    <w:top w:val="single" w:color="auto" w:sz="6" w:space="0"/>
                    <w:bottom w:val="single" w:color="auto" w:sz="8" w:space="0"/>
                    <w:right w:val="single" w:color="auto" w:sz="6" w:space="0"/>
                  </w:tcBorders>
                  <w:noWrap w:val="0"/>
                  <w:vAlign w:val="center"/>
                </w:tcPr>
                <w:p w14:paraId="02EEB1A7">
                  <w:pPr>
                    <w:keepNext w:val="0"/>
                    <w:keepLines w:val="0"/>
                    <w:widowControl/>
                    <w:suppressLineNumbers w:val="0"/>
                    <w:jc w:val="both"/>
                    <w:rPr>
                      <w:rFonts w:hint="default" w:ascii="Times New Roman" w:hAnsi="Times New Roman" w:eastAsia="宋体" w:cs="Times New Roman"/>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推动绿色环保产业健康发展。加大政策支持力度，在低（无）</w:t>
                  </w:r>
                  <w:r>
                    <w:rPr>
                      <w:rFonts w:hint="default" w:ascii="Times New Roman" w:hAnsi="Times New Roman" w:eastAsia="宋体" w:cs="Times New Roman"/>
                      <w:color w:val="000000"/>
                      <w:kern w:val="0"/>
                      <w:sz w:val="21"/>
                      <w:szCs w:val="21"/>
                      <w:highlight w:val="none"/>
                      <w:lang w:val="en-US" w:eastAsia="zh-CN" w:bidi="ar"/>
                    </w:rPr>
                    <w:t>VOCs</w:t>
                  </w:r>
                  <w:r>
                    <w:rPr>
                      <w:rFonts w:hint="eastAsia" w:ascii="宋体" w:hAnsi="宋体" w:eastAsia="宋体" w:cs="宋体"/>
                      <w:color w:val="000000"/>
                      <w:kern w:val="0"/>
                      <w:sz w:val="21"/>
                      <w:szCs w:val="21"/>
                      <w:highlight w:val="none"/>
                      <w:lang w:val="en-US" w:eastAsia="zh-CN" w:bidi="ar"/>
                    </w:rPr>
                    <w:t>含量原辅材料生产和使用、</w:t>
                  </w:r>
                  <w:r>
                    <w:rPr>
                      <w:rFonts w:hint="default" w:ascii="Times New Roman" w:hAnsi="Times New Roman" w:eastAsia="宋体" w:cs="Times New Roman"/>
                      <w:color w:val="000000"/>
                      <w:kern w:val="0"/>
                      <w:sz w:val="21"/>
                      <w:szCs w:val="21"/>
                      <w:highlight w:val="none"/>
                      <w:lang w:val="en-US" w:eastAsia="zh-CN" w:bidi="ar"/>
                    </w:rPr>
                    <w:t>VOCs</w:t>
                  </w:r>
                  <w:r>
                    <w:rPr>
                      <w:rFonts w:hint="eastAsia" w:ascii="宋体" w:hAnsi="宋体" w:eastAsia="宋体" w:cs="宋体"/>
                      <w:color w:val="000000"/>
                      <w:kern w:val="0"/>
                      <w:sz w:val="21"/>
                      <w:szCs w:val="21"/>
                      <w:highlight w:val="none"/>
                      <w:lang w:val="en-US" w:eastAsia="zh-CN" w:bidi="ar"/>
                    </w:rPr>
                    <w:t>污染治理、超低排放、环境和大气成分监测等领域支持培育一批龙头企业。多措并举治理环保领域低价低质中标乱象，营造公平竞争环境，推动产业健康有序发展。</w:t>
                  </w:r>
                </w:p>
              </w:tc>
              <w:tc>
                <w:tcPr>
                  <w:tcW w:w="1197" w:type="pct"/>
                  <w:tcBorders>
                    <w:top w:val="single" w:color="auto" w:sz="6" w:space="0"/>
                    <w:left w:val="single" w:color="auto" w:sz="6" w:space="0"/>
                    <w:bottom w:val="single" w:color="auto" w:sz="8" w:space="0"/>
                    <w:right w:val="single" w:color="auto" w:sz="6" w:space="0"/>
                  </w:tcBorders>
                  <w:noWrap w:val="0"/>
                  <w:vAlign w:val="center"/>
                </w:tcPr>
                <w:p w14:paraId="3028D5D4">
                  <w:pPr>
                    <w:keepNext w:val="0"/>
                    <w:keepLines w:val="0"/>
                    <w:widowControl/>
                    <w:suppressLineNumbers w:val="0"/>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改性沥青防水卷材生产线</w:t>
                  </w:r>
                  <w:r>
                    <w:rPr>
                      <w:rFonts w:hint="eastAsia" w:cs="Times New Roman"/>
                      <w:sz w:val="21"/>
                      <w:szCs w:val="21"/>
                      <w:highlight w:val="none"/>
                      <w:vertAlign w:val="baseline"/>
                      <w:lang w:val="en-US" w:eastAsia="zh-CN"/>
                    </w:rPr>
                    <w:t>储存过程</w:t>
                  </w:r>
                  <w:r>
                    <w:rPr>
                      <w:rFonts w:hint="default" w:ascii="Times New Roman" w:hAnsi="Times New Roman" w:eastAsia="宋体" w:cs="Times New Roman"/>
                      <w:sz w:val="21"/>
                      <w:szCs w:val="21"/>
                      <w:highlight w:val="none"/>
                      <w:vertAlign w:val="baseline"/>
                      <w:lang w:val="en-US" w:eastAsia="zh-CN"/>
                    </w:rPr>
                    <w:t>中产生</w:t>
                  </w:r>
                  <w:r>
                    <w:rPr>
                      <w:rFonts w:hint="eastAsia" w:cs="Times New Roman"/>
                      <w:sz w:val="21"/>
                      <w:szCs w:val="21"/>
                      <w:highlight w:val="none"/>
                      <w:vertAlign w:val="baseline"/>
                      <w:lang w:val="en-US" w:eastAsia="zh-CN"/>
                    </w:rPr>
                    <w:t>的</w:t>
                  </w:r>
                  <w:r>
                    <w:rPr>
                      <w:rFonts w:hint="default" w:ascii="Times New Roman" w:hAnsi="Times New Roman" w:eastAsia="宋体" w:cs="Times New Roman"/>
                      <w:sz w:val="21"/>
                      <w:szCs w:val="21"/>
                      <w:highlight w:val="none"/>
                      <w:vertAlign w:val="baseline"/>
                      <w:lang w:val="en-US" w:eastAsia="zh-CN"/>
                    </w:rPr>
                    <w:t>非甲烷总烃</w:t>
                  </w:r>
                  <w:r>
                    <w:rPr>
                      <w:rFonts w:hint="eastAsia" w:cs="Times New Roman"/>
                      <w:sz w:val="21"/>
                      <w:szCs w:val="21"/>
                      <w:highlight w:val="none"/>
                      <w:vertAlign w:val="baseline"/>
                      <w:lang w:val="en-US" w:eastAsia="zh-CN"/>
                    </w:rPr>
                    <w:t>经集气罩收集，</w:t>
                  </w:r>
                  <w:r>
                    <w:rPr>
                      <w:rFonts w:hint="eastAsia" w:ascii="Times New Roman" w:hAnsi="Times New Roman" w:eastAsia="宋体" w:cs="Times New Roman"/>
                      <w:sz w:val="21"/>
                      <w:szCs w:val="21"/>
                      <w:highlight w:val="none"/>
                      <w:vertAlign w:val="baseline"/>
                      <w:lang w:val="en-US" w:eastAsia="zh-CN"/>
                    </w:rPr>
                    <w:t>通过活性炭吸附</w:t>
                  </w:r>
                  <w:r>
                    <w:rPr>
                      <w:rFonts w:hint="default" w:ascii="Times New Roman" w:hAnsi="Times New Roman" w:eastAsia="宋体" w:cs="Times New Roman"/>
                      <w:sz w:val="21"/>
                      <w:szCs w:val="21"/>
                      <w:highlight w:val="none"/>
                      <w:vertAlign w:val="baseline"/>
                      <w:lang w:val="en-US" w:eastAsia="zh-CN"/>
                    </w:rPr>
                    <w:t>处理</w:t>
                  </w:r>
                  <w:r>
                    <w:rPr>
                      <w:rFonts w:hint="eastAsia" w:cs="Times New Roman"/>
                      <w:sz w:val="21"/>
                      <w:szCs w:val="21"/>
                      <w:highlight w:val="none"/>
                      <w:vertAlign w:val="baseline"/>
                      <w:lang w:val="en-US" w:eastAsia="zh-CN"/>
                    </w:rPr>
                    <w:t>后通过20m高排气筒达标排放。</w:t>
                  </w:r>
                </w:p>
              </w:tc>
              <w:tc>
                <w:tcPr>
                  <w:tcW w:w="626" w:type="pct"/>
                  <w:tcBorders>
                    <w:top w:val="single" w:color="auto" w:sz="6" w:space="0"/>
                    <w:left w:val="single" w:color="auto" w:sz="6" w:space="0"/>
                    <w:bottom w:val="single" w:color="auto" w:sz="8" w:space="0"/>
                  </w:tcBorders>
                  <w:noWrap w:val="0"/>
                  <w:vAlign w:val="center"/>
                </w:tcPr>
                <w:p w14:paraId="55B8B765">
                  <w:pPr>
                    <w:numPr>
                      <w:ilvl w:val="0"/>
                      <w:numId w:val="0"/>
                    </w:num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符合</w:t>
                  </w:r>
                </w:p>
              </w:tc>
            </w:tr>
          </w:tbl>
          <w:p w14:paraId="1553033E">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jc w:val="left"/>
              <w:textAlignment w:val="auto"/>
              <w:rPr>
                <w:rFonts w:hint="eastAsia"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12 与《新疆维吾尔自治区“乌</w:t>
            </w:r>
            <w:r>
              <w:rPr>
                <w:rFonts w:hint="eastAsia" w:ascii="宋体" w:hAnsi="宋体" w:eastAsia="宋体" w:cs="宋体"/>
                <w:b/>
                <w:bCs/>
                <w:color w:val="000000"/>
                <w:kern w:val="0"/>
                <w:sz w:val="24"/>
                <w:szCs w:val="24"/>
                <w:lang w:val="en-US" w:eastAsia="zh-CN" w:bidi="ar"/>
              </w:rPr>
              <w:t>-</w:t>
            </w:r>
            <w:r>
              <w:rPr>
                <w:rFonts w:hint="eastAsia" w:ascii="Times New Roman" w:hAnsi="Times New Roman" w:eastAsia="宋体" w:cs="Times New Roman"/>
                <w:b/>
                <w:bCs/>
                <w:sz w:val="24"/>
                <w:szCs w:val="24"/>
                <w:highlight w:val="none"/>
                <w:lang w:val="en-US" w:eastAsia="zh-CN"/>
              </w:rPr>
              <w:t>昌</w:t>
            </w:r>
            <w:r>
              <w:rPr>
                <w:rFonts w:hint="eastAsia" w:ascii="宋体" w:hAnsi="宋体" w:eastAsia="宋体" w:cs="宋体"/>
                <w:b/>
                <w:bCs/>
                <w:color w:val="000000"/>
                <w:kern w:val="0"/>
                <w:sz w:val="24"/>
                <w:szCs w:val="24"/>
                <w:lang w:val="en-US" w:eastAsia="zh-CN" w:bidi="ar"/>
              </w:rPr>
              <w:t>-</w:t>
            </w:r>
            <w:r>
              <w:rPr>
                <w:rFonts w:hint="eastAsia" w:ascii="Times New Roman" w:hAnsi="Times New Roman" w:eastAsia="宋体" w:cs="Times New Roman"/>
                <w:b/>
                <w:bCs/>
                <w:sz w:val="24"/>
                <w:szCs w:val="24"/>
                <w:highlight w:val="none"/>
                <w:lang w:val="en-US" w:eastAsia="zh-CN"/>
              </w:rPr>
              <w:t>石”区域大气环境整治2024-2025年行动方案》符合性分析</w:t>
            </w:r>
          </w:p>
          <w:p w14:paraId="56FADD7F">
            <w:pPr>
              <w:pStyle w:val="3"/>
              <w:spacing w:line="360" w:lineRule="auto"/>
              <w:ind w:firstLine="480" w:firstLineChars="200"/>
              <w:rPr>
                <w:rFonts w:hint="eastAsia" w:ascii="Times New Roman" w:hAnsi="Times New Roman" w:eastAsia="宋体" w:cs="Times New Roman"/>
                <w:b w:val="0"/>
                <w:bCs w:val="0"/>
                <w:kern w:val="2"/>
                <w:sz w:val="24"/>
                <w:szCs w:val="24"/>
                <w:highlight w:val="none"/>
                <w:lang w:val="en-US" w:eastAsia="zh-CN" w:bidi="ar-SA"/>
              </w:rPr>
            </w:pPr>
            <w:r>
              <w:rPr>
                <w:rFonts w:hint="eastAsia" w:ascii="Times New Roman" w:hAnsi="Times New Roman" w:eastAsia="宋体" w:cs="Times New Roman"/>
                <w:b w:val="0"/>
                <w:bCs w:val="0"/>
                <w:kern w:val="2"/>
                <w:sz w:val="24"/>
                <w:szCs w:val="24"/>
                <w:highlight w:val="none"/>
                <w:lang w:val="en-US" w:eastAsia="zh-CN" w:bidi="ar-SA"/>
              </w:rPr>
              <w:t>《新疆维吾尔自治区“乌</w:t>
            </w:r>
            <w:r>
              <w:rPr>
                <w:rFonts w:hint="eastAsia" w:ascii="宋体" w:hAnsi="宋体" w:eastAsia="宋体" w:cs="宋体"/>
                <w:b w:val="0"/>
                <w:bCs w:val="0"/>
                <w:color w:val="000000"/>
                <w:kern w:val="0"/>
                <w:sz w:val="24"/>
                <w:szCs w:val="24"/>
                <w:lang w:val="en-US" w:eastAsia="zh-CN" w:bidi="ar"/>
              </w:rPr>
              <w:t>-</w:t>
            </w:r>
            <w:r>
              <w:rPr>
                <w:rFonts w:hint="eastAsia" w:ascii="Times New Roman" w:hAnsi="Times New Roman" w:eastAsia="宋体" w:cs="Times New Roman"/>
                <w:b w:val="0"/>
                <w:bCs w:val="0"/>
                <w:kern w:val="2"/>
                <w:sz w:val="24"/>
                <w:szCs w:val="24"/>
                <w:highlight w:val="none"/>
                <w:lang w:val="en-US" w:eastAsia="zh-CN" w:bidi="ar-SA"/>
              </w:rPr>
              <w:t>昌</w:t>
            </w:r>
            <w:r>
              <w:rPr>
                <w:rFonts w:hint="eastAsia" w:ascii="宋体" w:hAnsi="宋体" w:eastAsia="宋体" w:cs="宋体"/>
                <w:b w:val="0"/>
                <w:bCs w:val="0"/>
                <w:color w:val="000000"/>
                <w:kern w:val="0"/>
                <w:sz w:val="24"/>
                <w:szCs w:val="24"/>
                <w:lang w:val="en-US" w:eastAsia="zh-CN" w:bidi="ar"/>
              </w:rPr>
              <w:t>-</w:t>
            </w:r>
            <w:r>
              <w:rPr>
                <w:rFonts w:hint="eastAsia" w:ascii="Times New Roman" w:hAnsi="Times New Roman" w:eastAsia="宋体" w:cs="Times New Roman"/>
                <w:b w:val="0"/>
                <w:bCs w:val="0"/>
                <w:kern w:val="2"/>
                <w:sz w:val="24"/>
                <w:szCs w:val="24"/>
                <w:highlight w:val="none"/>
                <w:lang w:val="en-US" w:eastAsia="zh-CN" w:bidi="ar-SA"/>
              </w:rPr>
              <w:t>石”区域大气环境整治2024-2025年行动方案》提出工业污染治理主要任务与措施：严格限制高耗能、高排放产业准入，淘汰落后产能和工艺；燃煤污染治理主要任务与措施：推动燃煤设施清洁化改造，扩大集中供热范围，减少散煤燃烧；扬尘污染治理主要任务与措施：强化施工工地扬尘管控，落实“六个百分之百”防尘措施。</w:t>
            </w:r>
          </w:p>
          <w:p w14:paraId="0CCFEF23">
            <w:pPr>
              <w:spacing w:line="360" w:lineRule="auto"/>
              <w:ind w:firstLine="480" w:firstLineChars="200"/>
              <w:rPr>
                <w:rFonts w:hint="default"/>
                <w:lang w:val="en-US" w:eastAsia="zh-CN"/>
              </w:rPr>
            </w:pPr>
            <w:r>
              <w:rPr>
                <w:rFonts w:hint="default" w:ascii="Times New Roman" w:hAnsi="Times New Roman" w:eastAsia="宋体" w:cs="Times New Roman"/>
                <w:color w:val="000000"/>
                <w:kern w:val="0"/>
                <w:sz w:val="24"/>
                <w:szCs w:val="24"/>
                <w:highlight w:val="none"/>
                <w:lang w:val="en-US" w:eastAsia="zh-CN" w:bidi="ar"/>
              </w:rPr>
              <w:t>根据国家发展和改革委员会发布的《产业结构调整目录（2024年本）》</w:t>
            </w:r>
            <w:r>
              <w:rPr>
                <w:rFonts w:hint="eastAsia" w:ascii="Times New Roman" w:hAnsi="Times New Roman" w:eastAsia="宋体" w:cs="Times New Roman"/>
                <w:color w:val="000000"/>
                <w:kern w:val="0"/>
                <w:sz w:val="24"/>
                <w:szCs w:val="24"/>
                <w:highlight w:val="none"/>
                <w:lang w:val="en-US" w:eastAsia="zh-CN" w:bidi="ar"/>
              </w:rPr>
              <w:t>，</w:t>
            </w:r>
            <w:r>
              <w:rPr>
                <w:rFonts w:hint="eastAsia" w:ascii="Times New Roman" w:hAnsi="Times New Roman" w:eastAsia="宋体" w:cs="Times New Roman"/>
                <w:b w:val="0"/>
                <w:bCs w:val="0"/>
                <w:kern w:val="2"/>
                <w:sz w:val="24"/>
                <w:szCs w:val="24"/>
                <w:highlight w:val="none"/>
                <w:lang w:val="en-US" w:eastAsia="zh-CN" w:bidi="ar-SA"/>
              </w:rPr>
              <w:t>本项目属于建材行业中高性</w:t>
            </w:r>
            <w:r>
              <w:rPr>
                <w:rFonts w:hint="eastAsia" w:cs="Times New Roman"/>
                <w:b w:val="0"/>
                <w:bCs w:val="0"/>
                <w:kern w:val="2"/>
                <w:sz w:val="24"/>
                <w:szCs w:val="24"/>
                <w:highlight w:val="none"/>
                <w:lang w:val="en-US" w:eastAsia="zh-CN" w:bidi="ar-SA"/>
              </w:rPr>
              <w:t>能</w:t>
            </w:r>
            <w:r>
              <w:rPr>
                <w:rFonts w:hint="eastAsia" w:ascii="Times New Roman" w:hAnsi="Times New Roman" w:eastAsia="宋体" w:cs="Times New Roman"/>
                <w:b w:val="0"/>
                <w:bCs w:val="0"/>
                <w:kern w:val="2"/>
                <w:sz w:val="24"/>
                <w:szCs w:val="24"/>
                <w:highlight w:val="none"/>
                <w:lang w:val="en-US" w:eastAsia="zh-CN" w:bidi="ar-SA"/>
              </w:rPr>
              <w:t>改性沥青防水卷材行业，属于国家鼓励类项目，不属于高耗能、高排放产业，不涉及淘汰落后产能和工艺。本项目生产供热所需</w:t>
            </w:r>
            <w:r>
              <w:rPr>
                <w:rFonts w:hint="eastAsia" w:cs="Times New Roman"/>
                <w:b w:val="0"/>
                <w:bCs w:val="0"/>
                <w:kern w:val="2"/>
                <w:sz w:val="24"/>
                <w:szCs w:val="24"/>
                <w:highlight w:val="none"/>
                <w:lang w:val="en-US" w:eastAsia="zh-CN" w:bidi="ar-SA"/>
              </w:rPr>
              <w:t>天然气</w:t>
            </w:r>
            <w:r>
              <w:rPr>
                <w:rFonts w:hint="eastAsia" w:ascii="Times New Roman" w:hAnsi="Times New Roman" w:eastAsia="宋体" w:cs="Times New Roman"/>
                <w:b w:val="0"/>
                <w:bCs w:val="0"/>
                <w:kern w:val="2"/>
                <w:sz w:val="24"/>
                <w:szCs w:val="24"/>
                <w:highlight w:val="none"/>
                <w:lang w:val="en-US" w:eastAsia="zh-CN" w:bidi="ar-SA"/>
              </w:rPr>
              <w:t>由园区天然气</w:t>
            </w:r>
            <w:r>
              <w:rPr>
                <w:rFonts w:hint="eastAsia" w:cs="Times New Roman"/>
                <w:b w:val="0"/>
                <w:bCs w:val="0"/>
                <w:kern w:val="2"/>
                <w:sz w:val="24"/>
                <w:szCs w:val="24"/>
                <w:highlight w:val="none"/>
                <w:lang w:val="en-US" w:eastAsia="zh-CN" w:bidi="ar-SA"/>
              </w:rPr>
              <w:t>管网</w:t>
            </w:r>
            <w:r>
              <w:rPr>
                <w:rFonts w:hint="eastAsia" w:ascii="Times New Roman" w:hAnsi="Times New Roman" w:eastAsia="宋体" w:cs="Times New Roman"/>
                <w:b w:val="0"/>
                <w:bCs w:val="0"/>
                <w:kern w:val="2"/>
                <w:sz w:val="24"/>
                <w:szCs w:val="24"/>
                <w:highlight w:val="none"/>
                <w:lang w:val="en-US" w:eastAsia="zh-CN" w:bidi="ar-SA"/>
              </w:rPr>
              <w:t>供给，不涉及煤炭的使用。本项目严格落实扬尘治理六个百分百要求，施工期和运营期采取工地周边围挡、施工现场地面硬化、物料堆放覆盖、出入车辆冲洗、渣土车辆密闭运输等降尘措施。故本项目符合《新疆维吾尔自治区“乌</w:t>
            </w:r>
            <w:r>
              <w:rPr>
                <w:rFonts w:hint="eastAsia" w:ascii="宋体" w:hAnsi="宋体" w:eastAsia="宋体" w:cs="宋体"/>
                <w:b w:val="0"/>
                <w:bCs w:val="0"/>
                <w:color w:val="000000"/>
                <w:kern w:val="0"/>
                <w:sz w:val="24"/>
                <w:szCs w:val="24"/>
                <w:lang w:val="en-US" w:eastAsia="zh-CN" w:bidi="ar"/>
              </w:rPr>
              <w:t>-</w:t>
            </w:r>
            <w:r>
              <w:rPr>
                <w:rFonts w:hint="eastAsia" w:ascii="Times New Roman" w:hAnsi="Times New Roman" w:eastAsia="宋体" w:cs="Times New Roman"/>
                <w:b w:val="0"/>
                <w:bCs w:val="0"/>
                <w:kern w:val="2"/>
                <w:sz w:val="24"/>
                <w:szCs w:val="24"/>
                <w:highlight w:val="none"/>
                <w:lang w:val="en-US" w:eastAsia="zh-CN" w:bidi="ar-SA"/>
              </w:rPr>
              <w:t>昌</w:t>
            </w:r>
            <w:r>
              <w:rPr>
                <w:rFonts w:hint="eastAsia" w:ascii="宋体" w:hAnsi="宋体" w:eastAsia="宋体" w:cs="宋体"/>
                <w:b w:val="0"/>
                <w:bCs w:val="0"/>
                <w:color w:val="000000"/>
                <w:kern w:val="0"/>
                <w:sz w:val="24"/>
                <w:szCs w:val="24"/>
                <w:lang w:val="en-US" w:eastAsia="zh-CN" w:bidi="ar"/>
              </w:rPr>
              <w:t>-</w:t>
            </w:r>
            <w:r>
              <w:rPr>
                <w:rFonts w:hint="eastAsia" w:ascii="Times New Roman" w:hAnsi="Times New Roman" w:eastAsia="宋体" w:cs="Times New Roman"/>
                <w:b w:val="0"/>
                <w:bCs w:val="0"/>
                <w:kern w:val="2"/>
                <w:sz w:val="24"/>
                <w:szCs w:val="24"/>
                <w:highlight w:val="none"/>
                <w:lang w:val="en-US" w:eastAsia="zh-CN" w:bidi="ar-SA"/>
              </w:rPr>
              <w:t>石”区域大气环境整治2024-2025年行动方案》要求。</w:t>
            </w:r>
          </w:p>
          <w:p w14:paraId="517AED9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both"/>
              <w:textAlignment w:val="auto"/>
              <w:rPr>
                <w:rFonts w:hint="eastAsia"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 xml:space="preserve">13 与《关于加快解决当前挥发性有机物治理突出问题的通知》（环大气〔2021〕65号）符合性分析 </w:t>
            </w:r>
          </w:p>
          <w:p w14:paraId="1D5CA33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b w:val="0"/>
                <w:bCs w:val="0"/>
                <w:sz w:val="24"/>
                <w:szCs w:val="24"/>
                <w:highlight w:val="none"/>
                <w:lang w:val="en-US" w:eastAsia="zh-CN"/>
              </w:rPr>
            </w:pPr>
            <w:r>
              <w:rPr>
                <w:rFonts w:hint="eastAsia" w:ascii="Times New Roman" w:hAnsi="Times New Roman" w:eastAsia="宋体" w:cs="Times New Roman"/>
                <w:b w:val="0"/>
                <w:bCs w:val="0"/>
                <w:sz w:val="24"/>
                <w:szCs w:val="24"/>
                <w:highlight w:val="none"/>
                <w:lang w:val="en-US" w:eastAsia="zh-CN"/>
              </w:rPr>
              <w:t>《关于加快解决当前挥发性有机物治理突出问题的通知》（环大气〔2021〕65号）文件提出：产生VOCs的生产环节优先采用密闭设备、在密闭空间中操作或采用集气罩收集方式，并保持负压运行。无尘等级要求车间需设置成正压的，宜建设内层正压、外层微负压的双层整体密闭收集空间。对采用局部收集方式的企业，距废气收集系统排风罩开口面最远处的VOCs无组织排放位置控制风速不低于0.3m/s；推广以生产线或设备为单位设置隔间，收集风量应确保隔间保持微负压。加强运行维护管理，做到治理设施较生产设备“先启后停”，在治理设施达到正常运行条件后方可启动生产设备，在生产设备停止、残留VOCs废气收集处理完毕后，方可停运治理设施；及时清理、更换吸附剂、吸收剂、催化剂、蓄热体、过滤棉、灯管、电器元件等治理设施耗材，确保设施能够稳定高效运行；做好生产设备和治理设施启停机时间、检维修情况、治理设施耗材维护更换、处置情况等台账记录；对于VOCs治理设施产生的废过滤棉、废催化剂、废吸附剂、废吸收剂、废有机溶剂等，应及时清运，属于危险废物的应交有资质的单位处理处置。</w:t>
            </w:r>
          </w:p>
          <w:p w14:paraId="1846510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val="0"/>
                <w:bCs w:val="0"/>
                <w:sz w:val="24"/>
                <w:szCs w:val="24"/>
                <w:highlight w:val="none"/>
                <w:lang w:val="en-US" w:eastAsia="zh-CN"/>
              </w:rPr>
              <w:t>本项目</w:t>
            </w:r>
            <w:r>
              <w:rPr>
                <w:rFonts w:hint="eastAsia" w:cs="Times New Roman"/>
                <w:b w:val="0"/>
                <w:bCs w:val="0"/>
                <w:sz w:val="24"/>
                <w:szCs w:val="24"/>
                <w:highlight w:val="none"/>
                <w:lang w:val="en-US" w:eastAsia="zh-CN"/>
              </w:rPr>
              <w:t>沥青</w:t>
            </w:r>
            <w:r>
              <w:rPr>
                <w:rFonts w:hint="eastAsia" w:ascii="Times New Roman" w:hAnsi="Times New Roman" w:eastAsia="宋体" w:cs="Times New Roman"/>
                <w:b w:val="0"/>
                <w:bCs w:val="0"/>
                <w:sz w:val="24"/>
                <w:szCs w:val="24"/>
                <w:highlight w:val="none"/>
                <w:lang w:val="en-US" w:eastAsia="zh-CN"/>
              </w:rPr>
              <w:t>搅拌罐采取密闭措施，搅拌、浸涂沥青烟废气由</w:t>
            </w:r>
            <w:r>
              <w:rPr>
                <w:rFonts w:hint="eastAsia" w:cs="Times New Roman"/>
                <w:b w:val="0"/>
                <w:bCs w:val="0"/>
                <w:sz w:val="24"/>
                <w:szCs w:val="24"/>
                <w:highlight w:val="none"/>
                <w:lang w:val="en-US" w:eastAsia="zh-CN"/>
              </w:rPr>
              <w:t>集气罩</w:t>
            </w:r>
            <w:r>
              <w:rPr>
                <w:rFonts w:hint="eastAsia" w:ascii="Times New Roman" w:hAnsi="Times New Roman" w:eastAsia="宋体" w:cs="Times New Roman"/>
                <w:b w:val="0"/>
                <w:bCs w:val="0"/>
                <w:sz w:val="24"/>
                <w:szCs w:val="24"/>
                <w:highlight w:val="none"/>
                <w:lang w:val="en-US" w:eastAsia="zh-CN"/>
              </w:rPr>
              <w:t>收集</w:t>
            </w:r>
            <w:r>
              <w:rPr>
                <w:rFonts w:hint="eastAsia" w:cs="Times New Roman"/>
                <w:b w:val="0"/>
                <w:bCs w:val="0"/>
                <w:sz w:val="24"/>
                <w:szCs w:val="24"/>
                <w:highlight w:val="none"/>
                <w:lang w:val="en-US" w:eastAsia="zh-CN"/>
              </w:rPr>
              <w:t>，</w:t>
            </w:r>
            <w:r>
              <w:rPr>
                <w:rFonts w:hint="eastAsia" w:ascii="Times New Roman" w:hAnsi="Times New Roman" w:eastAsia="宋体" w:cs="Times New Roman"/>
                <w:b w:val="0"/>
                <w:bCs w:val="0"/>
                <w:sz w:val="24"/>
                <w:szCs w:val="24"/>
                <w:highlight w:val="none"/>
                <w:lang w:val="en-US" w:eastAsia="zh-CN"/>
              </w:rPr>
              <w:t>项目搅拌、浸涂工序和覆膜工序产生的沥青烟、非甲烷总烃、苯并[a]芘经水喷淋+电捕焦油器+活性炭吸附处理后通过</w:t>
            </w:r>
            <w:r>
              <w:rPr>
                <w:rFonts w:hint="eastAsia" w:cs="Times New Roman"/>
                <w:b w:val="0"/>
                <w:bCs w:val="0"/>
                <w:sz w:val="24"/>
                <w:szCs w:val="24"/>
                <w:highlight w:val="none"/>
                <w:lang w:val="en-US" w:eastAsia="zh-CN"/>
              </w:rPr>
              <w:t>20</w:t>
            </w:r>
            <w:r>
              <w:rPr>
                <w:rFonts w:hint="eastAsia" w:ascii="Times New Roman" w:hAnsi="Times New Roman" w:eastAsia="宋体" w:cs="Times New Roman"/>
                <w:b w:val="0"/>
                <w:bCs w:val="0"/>
                <w:sz w:val="24"/>
                <w:szCs w:val="24"/>
                <w:highlight w:val="none"/>
                <w:lang w:val="en-US" w:eastAsia="zh-CN"/>
              </w:rPr>
              <w:t>m高排气筒（DA001）排放，有效降低了挥发性有机物的排放量，对于VOCs治理设施产生的废</w:t>
            </w:r>
            <w:r>
              <w:rPr>
                <w:rFonts w:hint="eastAsia" w:cs="Times New Roman"/>
                <w:b w:val="0"/>
                <w:bCs w:val="0"/>
                <w:sz w:val="24"/>
                <w:szCs w:val="24"/>
                <w:highlight w:val="none"/>
                <w:lang w:val="en-US" w:eastAsia="zh-CN"/>
              </w:rPr>
              <w:t>活性炭</w:t>
            </w:r>
            <w:r>
              <w:rPr>
                <w:rFonts w:hint="eastAsia" w:ascii="Times New Roman" w:hAnsi="Times New Roman" w:eastAsia="宋体" w:cs="Times New Roman"/>
                <w:b w:val="0"/>
                <w:bCs w:val="0"/>
                <w:sz w:val="24"/>
                <w:szCs w:val="24"/>
                <w:highlight w:val="none"/>
                <w:lang w:val="en-US" w:eastAsia="zh-CN"/>
              </w:rPr>
              <w:t>，应及时清运，属于危险废物的应交有资质的单位处理处置</w:t>
            </w:r>
            <w:r>
              <w:rPr>
                <w:rFonts w:hint="eastAsia" w:cs="Times New Roman"/>
                <w:b w:val="0"/>
                <w:bCs w:val="0"/>
                <w:sz w:val="24"/>
                <w:szCs w:val="24"/>
                <w:highlight w:val="none"/>
                <w:lang w:val="en-US" w:eastAsia="zh-CN"/>
              </w:rPr>
              <w:t>，</w:t>
            </w:r>
            <w:r>
              <w:rPr>
                <w:rFonts w:hint="eastAsia" w:ascii="Times New Roman" w:hAnsi="Times New Roman" w:eastAsia="宋体" w:cs="Times New Roman"/>
                <w:b w:val="0"/>
                <w:bCs w:val="0"/>
                <w:sz w:val="24"/>
                <w:szCs w:val="24"/>
                <w:highlight w:val="none"/>
                <w:lang w:val="en-US" w:eastAsia="zh-CN"/>
              </w:rPr>
              <w:t>产生的危险废物暂存在危废暂存间，定期委托有相关资质的单位处置。故本项目符合《关于加快解决当前挥发性有机物治理突出问题的通知》（环大气〔2021〕65号）的要求。</w:t>
            </w:r>
          </w:p>
          <w:p w14:paraId="159BED6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1</w:t>
            </w:r>
            <w:r>
              <w:rPr>
                <w:rFonts w:hint="eastAsia" w:cs="Times New Roman"/>
                <w:b/>
                <w:bCs/>
                <w:sz w:val="24"/>
                <w:szCs w:val="24"/>
                <w:highlight w:val="none"/>
                <w:lang w:val="en-US" w:eastAsia="zh-CN"/>
              </w:rPr>
              <w:t>4</w:t>
            </w:r>
            <w:r>
              <w:rPr>
                <w:rFonts w:hint="eastAsia" w:ascii="Times New Roman" w:hAnsi="Times New Roman" w:eastAsia="宋体" w:cs="Times New Roman"/>
                <w:b/>
                <w:bCs/>
                <w:sz w:val="24"/>
                <w:szCs w:val="24"/>
                <w:highlight w:val="none"/>
                <w:lang w:val="en-US" w:eastAsia="zh-CN"/>
              </w:rPr>
              <w:t xml:space="preserve"> 与《</w:t>
            </w:r>
            <w:r>
              <w:rPr>
                <w:rFonts w:hint="eastAsia" w:cs="Times New Roman"/>
                <w:b/>
                <w:bCs/>
                <w:sz w:val="24"/>
                <w:szCs w:val="24"/>
                <w:highlight w:val="none"/>
                <w:lang w:val="en-US" w:eastAsia="zh-CN"/>
              </w:rPr>
              <w:t>重点行业挥发性有机物综合治理方案</w:t>
            </w:r>
            <w:r>
              <w:rPr>
                <w:rFonts w:hint="eastAsia" w:ascii="Times New Roman" w:hAnsi="Times New Roman" w:eastAsia="宋体" w:cs="Times New Roman"/>
                <w:b/>
                <w:bCs/>
                <w:sz w:val="24"/>
                <w:szCs w:val="24"/>
                <w:highlight w:val="none"/>
                <w:lang w:val="en-US" w:eastAsia="zh-CN"/>
              </w:rPr>
              <w:t>》</w:t>
            </w:r>
            <w:r>
              <w:rPr>
                <w:rFonts w:hint="eastAsia" w:cs="Times New Roman"/>
                <w:b/>
                <w:bCs/>
                <w:sz w:val="24"/>
                <w:szCs w:val="24"/>
                <w:highlight w:val="none"/>
                <w:lang w:val="en-US" w:eastAsia="zh-CN"/>
              </w:rPr>
              <w:t>（环大气</w:t>
            </w:r>
            <w:r>
              <w:rPr>
                <w:rFonts w:hint="eastAsia" w:ascii="宋体" w:hAnsi="宋体" w:eastAsia="宋体" w:cs="宋体"/>
                <w:b/>
                <w:bCs/>
                <w:sz w:val="24"/>
                <w:szCs w:val="24"/>
                <w:highlight w:val="none"/>
                <w:lang w:val="en-US" w:eastAsia="zh-CN"/>
              </w:rPr>
              <w:t>〔</w:t>
            </w:r>
            <w:r>
              <w:rPr>
                <w:rFonts w:hint="eastAsia" w:cs="Times New Roman"/>
                <w:b/>
                <w:bCs/>
                <w:sz w:val="24"/>
                <w:szCs w:val="24"/>
                <w:highlight w:val="none"/>
                <w:lang w:val="en-US" w:eastAsia="zh-CN"/>
              </w:rPr>
              <w:t>2019</w:t>
            </w:r>
            <w:r>
              <w:rPr>
                <w:rFonts w:hint="eastAsia" w:ascii="宋体" w:hAnsi="宋体" w:eastAsia="宋体" w:cs="宋体"/>
                <w:b/>
                <w:bCs/>
                <w:sz w:val="24"/>
                <w:szCs w:val="24"/>
                <w:highlight w:val="none"/>
                <w:lang w:val="en-US" w:eastAsia="zh-CN"/>
              </w:rPr>
              <w:t>〕</w:t>
            </w:r>
            <w:r>
              <w:rPr>
                <w:rFonts w:hint="eastAsia" w:cs="Times New Roman"/>
                <w:b/>
                <w:bCs/>
                <w:sz w:val="24"/>
                <w:szCs w:val="24"/>
                <w:highlight w:val="none"/>
                <w:lang w:val="en-US" w:eastAsia="zh-CN"/>
              </w:rPr>
              <w:t>53号）的</w:t>
            </w:r>
            <w:r>
              <w:rPr>
                <w:rFonts w:hint="eastAsia" w:ascii="Times New Roman" w:hAnsi="Times New Roman" w:eastAsia="宋体" w:cs="Times New Roman"/>
                <w:b/>
                <w:bCs/>
                <w:sz w:val="24"/>
                <w:szCs w:val="24"/>
                <w:highlight w:val="none"/>
                <w:lang w:val="en-US" w:eastAsia="zh-CN"/>
              </w:rPr>
              <w:t>符合性分析</w:t>
            </w:r>
          </w:p>
          <w:p w14:paraId="6D8210DE">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根据《重点行业挥发性有机物综合治理方案》中提出“企业新建治污设施或对现有治污设施实施改造，应依据排放废气的浓度、组分、风量，温度、湿度、压力，以及生产工况等，合理选择治理技术。鼓励企业采用多种技术的组合工艺，提高VOCs治理效率。低浓度、大风量废气，宜采用沸石转轮吸附、活性炭吸附、减风增浓等浓缩技术，提高VOCs浓度后净化处理；高浓度废气，优先进行溶剂回收，难以回收的，宜采用高温焚烧、催化燃烧等技术。油气（溶剂）回收宜采用冷凝+吸附、吸附+吸收、膜分离+吸附等技术。低温等离子、光催化、光氧化技术主要适用于恶臭异味等治理；生物法主要适用于低浓度VOCs废气治理和恶臭异味治理。非水溶性的VOCs废气禁止采用水或水溶液喷淋吸收处理。采用一次性活性炭吸附技术的，应定期更换活性炭，废旧活性炭应再生或处理处置。有条件的工业园区和产业集群等，推广集中喷涂、溶剂集中回收、活性炭集中再生等，加强资源共享，提高VOCs治理效率。”</w:t>
            </w:r>
          </w:p>
          <w:p w14:paraId="6346E8E3">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本项目沥青搅拌罐采取密闭措施，搅拌、浸涂沥青烟废气由集气罩收集，项目搅拌、浸涂工序和覆膜工序产生的沥青烟、非甲烷总烃、苯并[a]芘经水喷淋+电捕焦油器+活性炭吸附处理后通过20m高排气筒（DA001）排放，有效降低了挥发性有机物的排放量，符合《重点行业挥发性有机物综合治理方案》（环大气〔2019〕53号）中相关要求。</w:t>
            </w:r>
          </w:p>
          <w:p w14:paraId="03EBD7A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1</w:t>
            </w:r>
            <w:r>
              <w:rPr>
                <w:rFonts w:hint="eastAsia" w:cs="Times New Roman"/>
                <w:b/>
                <w:bCs/>
                <w:sz w:val="24"/>
                <w:szCs w:val="24"/>
                <w:highlight w:val="none"/>
                <w:lang w:val="en-US" w:eastAsia="zh-CN"/>
              </w:rPr>
              <w:t>5</w:t>
            </w:r>
            <w:r>
              <w:rPr>
                <w:rFonts w:hint="eastAsia" w:ascii="Times New Roman" w:hAnsi="Times New Roman" w:eastAsia="宋体" w:cs="Times New Roman"/>
                <w:b/>
                <w:bCs/>
                <w:sz w:val="24"/>
                <w:szCs w:val="24"/>
                <w:highlight w:val="none"/>
                <w:lang w:val="en-US" w:eastAsia="zh-CN"/>
              </w:rPr>
              <w:t xml:space="preserve"> 与《涂料、油墨及胶粘剂工业大气污染物排放标准》中对VOCs的相关控制要求的符合性分析</w:t>
            </w:r>
          </w:p>
          <w:p w14:paraId="69819724">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本项目与《涂料、油墨及胶粘剂工业大气污染物排放标准》中对VOCs的相关控制要求的符合性分析详见表1-7。</w:t>
            </w:r>
          </w:p>
          <w:p w14:paraId="05491EEF">
            <w:pPr>
              <w:keepNext w:val="0"/>
              <w:keepLines w:val="0"/>
              <w:widowControl/>
              <w:suppressLineNumbers w:val="0"/>
              <w:jc w:val="center"/>
              <w:rPr>
                <w:rFonts w:hint="default"/>
                <w:sz w:val="18"/>
                <w:szCs w:val="18"/>
                <w:highlight w:val="none"/>
              </w:rPr>
            </w:pPr>
            <w:r>
              <w:rPr>
                <w:rFonts w:hint="eastAsia" w:ascii="Times New Roman" w:hAnsi="Times New Roman" w:eastAsia="宋体" w:cs="Times New Roman"/>
                <w:b/>
                <w:bCs/>
                <w:color w:val="000000"/>
                <w:kern w:val="0"/>
                <w:sz w:val="21"/>
                <w:szCs w:val="21"/>
                <w:highlight w:val="none"/>
                <w:lang w:val="en-US" w:eastAsia="zh-CN" w:bidi="ar"/>
              </w:rPr>
              <w:t>表</w:t>
            </w:r>
            <w:r>
              <w:rPr>
                <w:rFonts w:hint="default" w:ascii="Times New Roman" w:hAnsi="Times New Roman" w:eastAsia="宋体" w:cs="Times New Roman"/>
                <w:b/>
                <w:bCs/>
                <w:color w:val="000000"/>
                <w:kern w:val="0"/>
                <w:sz w:val="21"/>
                <w:szCs w:val="21"/>
                <w:highlight w:val="none"/>
                <w:lang w:val="en-US" w:eastAsia="zh-CN" w:bidi="ar"/>
              </w:rPr>
              <w:t>1-</w:t>
            </w:r>
            <w:r>
              <w:rPr>
                <w:rFonts w:hint="eastAsia" w:ascii="Times New Roman" w:hAnsi="Times New Roman" w:cs="Times New Roman"/>
                <w:b/>
                <w:bCs/>
                <w:color w:val="000000"/>
                <w:kern w:val="0"/>
                <w:sz w:val="21"/>
                <w:szCs w:val="21"/>
                <w:highlight w:val="none"/>
                <w:lang w:val="en-US" w:eastAsia="zh-CN" w:bidi="ar"/>
              </w:rPr>
              <w:t>7</w:t>
            </w:r>
            <w:r>
              <w:rPr>
                <w:rFonts w:hint="default" w:ascii="Times New Roman" w:hAnsi="Times New Roman" w:eastAsia="宋体" w:cs="Times New Roman"/>
                <w:b/>
                <w:bCs/>
                <w:color w:val="000000"/>
                <w:kern w:val="0"/>
                <w:sz w:val="21"/>
                <w:szCs w:val="21"/>
                <w:highlight w:val="none"/>
                <w:lang w:val="en-US" w:eastAsia="zh-CN" w:bidi="ar"/>
              </w:rPr>
              <w:t xml:space="preserve"> </w:t>
            </w:r>
            <w:r>
              <w:rPr>
                <w:rFonts w:hint="eastAsia" w:ascii="Times New Roman" w:hAnsi="Times New Roman" w:eastAsia="宋体" w:cs="Times New Roman"/>
                <w:b/>
                <w:bCs/>
                <w:color w:val="000000"/>
                <w:kern w:val="0"/>
                <w:sz w:val="21"/>
                <w:szCs w:val="21"/>
                <w:highlight w:val="none"/>
                <w:lang w:val="en-US" w:eastAsia="zh-CN" w:bidi="ar"/>
              </w:rPr>
              <w:t xml:space="preserve"> </w:t>
            </w:r>
            <w:r>
              <w:rPr>
                <w:rFonts w:hint="eastAsia" w:ascii="宋体" w:hAnsi="宋体" w:eastAsia="宋体" w:cs="宋体"/>
                <w:b/>
                <w:bCs/>
                <w:color w:val="000000"/>
                <w:kern w:val="0"/>
                <w:sz w:val="21"/>
                <w:szCs w:val="21"/>
                <w:highlight w:val="none"/>
                <w:lang w:val="en-US" w:eastAsia="zh-CN" w:bidi="ar"/>
              </w:rPr>
              <w:t>与《涂料、油墨及胶粘剂工业大气污染物排放标准》符合性分析表</w:t>
            </w:r>
          </w:p>
          <w:tbl>
            <w:tblPr>
              <w:tblStyle w:val="20"/>
              <w:tblW w:w="5000" w:type="pct"/>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361"/>
              <w:gridCol w:w="2518"/>
              <w:gridCol w:w="791"/>
            </w:tblGrid>
            <w:tr w14:paraId="2B77B60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pct"/>
                  <w:vAlign w:val="center"/>
                </w:tcPr>
                <w:p w14:paraId="284A83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bCs/>
                      <w:sz w:val="21"/>
                      <w:szCs w:val="21"/>
                      <w:vertAlign w:val="baseline"/>
                      <w:lang w:val="en-US" w:eastAsia="zh-CN"/>
                    </w:rPr>
                  </w:pPr>
                  <w:r>
                    <w:rPr>
                      <w:rFonts w:hint="eastAsia"/>
                      <w:b/>
                      <w:bCs/>
                      <w:sz w:val="21"/>
                      <w:szCs w:val="21"/>
                    </w:rPr>
                    <w:t>涂料、油墨及胶粘剂工业大气污染物排放标准》中对VOCs的相关控制要求</w:t>
                  </w:r>
                </w:p>
              </w:tc>
              <w:tc>
                <w:tcPr>
                  <w:tcW w:w="1641" w:type="pct"/>
                  <w:vAlign w:val="center"/>
                </w:tcPr>
                <w:p w14:paraId="20D9EE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bCs/>
                      <w:sz w:val="21"/>
                      <w:szCs w:val="21"/>
                      <w:vertAlign w:val="baseline"/>
                      <w:lang w:val="en-US" w:eastAsia="zh-CN"/>
                    </w:rPr>
                  </w:pPr>
                  <w:r>
                    <w:rPr>
                      <w:rFonts w:hint="eastAsia"/>
                      <w:b/>
                      <w:bCs/>
                      <w:sz w:val="21"/>
                      <w:szCs w:val="21"/>
                      <w:vertAlign w:val="baseline"/>
                      <w:lang w:val="en-US" w:eastAsia="zh-CN"/>
                    </w:rPr>
                    <w:t>本项目情况</w:t>
                  </w:r>
                </w:p>
              </w:tc>
              <w:tc>
                <w:tcPr>
                  <w:tcW w:w="515" w:type="pct"/>
                  <w:vAlign w:val="center"/>
                </w:tcPr>
                <w:p w14:paraId="7ED63A7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bCs/>
                      <w:sz w:val="21"/>
                      <w:szCs w:val="21"/>
                      <w:vertAlign w:val="baseline"/>
                      <w:lang w:val="en-US" w:eastAsia="zh-CN"/>
                    </w:rPr>
                  </w:pPr>
                  <w:r>
                    <w:rPr>
                      <w:rFonts w:hint="eastAsia"/>
                      <w:b/>
                      <w:bCs/>
                      <w:sz w:val="21"/>
                      <w:szCs w:val="21"/>
                      <w:vertAlign w:val="baseline"/>
                      <w:lang w:val="en-US" w:eastAsia="zh-CN"/>
                    </w:rPr>
                    <w:t>符合性</w:t>
                  </w:r>
                </w:p>
              </w:tc>
            </w:tr>
            <w:tr w14:paraId="37281CB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pct"/>
                  <w:vAlign w:val="center"/>
                </w:tcPr>
                <w:p w14:paraId="00CB75B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废气收集处理系统应与生产工艺设备同步运行。废气收集系统发生故障或者检修时，对应的生产工艺设备应停止运行，待检修完毕后同步投入使用；生产工艺设备不能停止运行或不能及时停止运行的，应设置废气应急处理设施或采取其他替代措施。</w:t>
                  </w:r>
                </w:p>
              </w:tc>
              <w:tc>
                <w:tcPr>
                  <w:tcW w:w="1641" w:type="pct"/>
                  <w:vAlign w:val="center"/>
                </w:tcPr>
                <w:p w14:paraId="288D2D3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本项目废气收集处理系统均与生产工艺设备同步运行，废气系统发生故障或者检修时，对应的生产设备均能停止运行。</w:t>
                  </w:r>
                </w:p>
              </w:tc>
              <w:tc>
                <w:tcPr>
                  <w:tcW w:w="515" w:type="pct"/>
                  <w:vAlign w:val="center"/>
                </w:tcPr>
                <w:p w14:paraId="79E255F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符合</w:t>
                  </w:r>
                </w:p>
              </w:tc>
            </w:tr>
            <w:tr w14:paraId="771EA4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pct"/>
                  <w:vAlign w:val="center"/>
                </w:tcPr>
                <w:p w14:paraId="2695298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VOCs物料的配料、投加、反应、混合、研磨、分散、调色、兑稀、过滤、干燥以及灌装或包装等过程，应采取密闭设备或在密闭空间内操作，废气应排至废气收集处理系统；无法密闭的，应采取局部气体收集措施，废气应排至废气收集处理系统。</w:t>
                  </w:r>
                </w:p>
              </w:tc>
              <w:tc>
                <w:tcPr>
                  <w:tcW w:w="1641" w:type="pct"/>
                  <w:vAlign w:val="center"/>
                </w:tcPr>
                <w:p w14:paraId="2EACAEA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本项目沥青搅拌罐采取密闭措施，搅拌、浸涂沥青烟废气由集气罩收集，项目搅拌、浸涂工序和覆膜工序产生的沥青烟、非甲烷总烃、苯并[a]芘经水喷淋+电捕焦油器+活性炭吸附处理后通过20m高排气筒（DA001）排放，已采用环保措施进行处理</w:t>
                  </w:r>
                </w:p>
              </w:tc>
              <w:tc>
                <w:tcPr>
                  <w:tcW w:w="515" w:type="pct"/>
                  <w:vAlign w:val="center"/>
                </w:tcPr>
                <w:p w14:paraId="798FF50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符合</w:t>
                  </w:r>
                </w:p>
              </w:tc>
            </w:tr>
          </w:tbl>
          <w:p w14:paraId="7E9EB60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1</w:t>
            </w:r>
            <w:r>
              <w:rPr>
                <w:rFonts w:hint="eastAsia" w:cs="Times New Roman"/>
                <w:b/>
                <w:bCs/>
                <w:sz w:val="24"/>
                <w:szCs w:val="24"/>
                <w:highlight w:val="none"/>
                <w:lang w:val="en-US" w:eastAsia="zh-CN"/>
              </w:rPr>
              <w:t>6</w:t>
            </w:r>
            <w:r>
              <w:rPr>
                <w:rFonts w:hint="eastAsia" w:ascii="Times New Roman" w:hAnsi="Times New Roman" w:eastAsia="宋体" w:cs="Times New Roman"/>
                <w:b/>
                <w:bCs/>
                <w:sz w:val="24"/>
                <w:szCs w:val="24"/>
                <w:highlight w:val="none"/>
                <w:lang w:val="en-US" w:eastAsia="zh-CN"/>
              </w:rPr>
              <w:t xml:space="preserve"> 与《</w:t>
            </w:r>
            <w:r>
              <w:rPr>
                <w:rFonts w:hint="eastAsia" w:ascii="宋体" w:hAnsi="宋体" w:eastAsia="宋体" w:cs="宋体"/>
                <w:b/>
                <w:bCs/>
                <w:color w:val="000000"/>
                <w:kern w:val="0"/>
                <w:sz w:val="24"/>
                <w:szCs w:val="24"/>
                <w:lang w:val="en-US" w:eastAsia="zh-CN" w:bidi="ar"/>
              </w:rPr>
              <w:t>新疆维吾尔自治区2025年空气质量持续改善行动实施方案的通知》（新政办发〔2024〕58号）</w:t>
            </w:r>
            <w:r>
              <w:rPr>
                <w:rFonts w:hint="eastAsia" w:ascii="Times New Roman" w:hAnsi="Times New Roman" w:eastAsia="宋体" w:cs="Times New Roman"/>
                <w:b/>
                <w:bCs/>
                <w:sz w:val="24"/>
                <w:szCs w:val="24"/>
                <w:highlight w:val="none"/>
                <w:lang w:val="en-US" w:eastAsia="zh-CN"/>
              </w:rPr>
              <w:t>的符合性分析</w:t>
            </w:r>
          </w:p>
          <w:p w14:paraId="2A97DCBC">
            <w:pPr>
              <w:numPr>
                <w:ilvl w:val="0"/>
                <w:numId w:val="0"/>
              </w:numPr>
              <w:autoSpaceDE w:val="0"/>
              <w:autoSpaceDN w:val="0"/>
              <w:adjustRightInd w:val="0"/>
              <w:snapToGrid w:val="0"/>
              <w:spacing w:line="360" w:lineRule="auto"/>
              <w:ind w:firstLine="480" w:firstLineChars="200"/>
              <w:jc w:val="both"/>
              <w:rPr>
                <w:rFonts w:hint="eastAsia"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根据《新疆维吾尔自治区2025年空气质量持续改善行动实施方案的通知》（一）</w:t>
            </w:r>
            <w:r>
              <w:rPr>
                <w:rFonts w:hint="eastAsia" w:ascii="Times New Roman" w:hAnsi="Times New Roman" w:eastAsia="宋体" w:cs="Times New Roman"/>
                <w:sz w:val="24"/>
                <w:szCs w:val="24"/>
                <w:highlight w:val="none"/>
                <w:lang w:val="en-US" w:eastAsia="zh-CN"/>
              </w:rPr>
              <w:t>坚决遏制高耗能、高排放、低水平项目盲目上马。新改扩建项目严格落实国家和自治区产业规划、产业政策、生态环境分区管控方案、规划环评、项目环评、节能审查、产能置换、重点污染物总量控制、污染物排放区域削减、碳排放达峰目标等相关要求，原则上采用清洁运输方式，达到能效标杆水平、环保绩效A级水平</w:t>
            </w:r>
            <w:r>
              <w:rPr>
                <w:rFonts w:hint="eastAsia" w:ascii="Times New Roman" w:hAnsi="Times New Roman" w:cs="Times New Roman"/>
                <w:sz w:val="24"/>
                <w:szCs w:val="24"/>
                <w:highlight w:val="none"/>
                <w:lang w:val="en-US" w:eastAsia="zh-CN"/>
              </w:rPr>
              <w:t>（十七）</w:t>
            </w:r>
            <w:r>
              <w:rPr>
                <w:rFonts w:hint="eastAsia" w:ascii="Times New Roman" w:hAnsi="Times New Roman" w:eastAsia="宋体" w:cs="Times New Roman"/>
                <w:sz w:val="24"/>
                <w:szCs w:val="24"/>
                <w:highlight w:val="none"/>
                <w:lang w:val="en-US" w:eastAsia="zh-CN"/>
              </w:rPr>
              <w:t>强化挥发性有机物和氮氧化物综合治理。</w:t>
            </w:r>
            <w:r>
              <w:rPr>
                <w:rFonts w:hint="default" w:ascii="Times New Roman" w:hAnsi="Times New Roman" w:eastAsia="宋体" w:cs="Times New Roman"/>
                <w:sz w:val="24"/>
                <w:szCs w:val="24"/>
                <w:highlight w:val="none"/>
                <w:lang w:val="en-US" w:eastAsia="zh-CN"/>
              </w:rPr>
              <w:t>优化含VOCs原辅材料和产品结构，加快推进含VOCs原辅材料源头替代，推广使用低（无）VOCs含量涂料，严格执行VOCs含量限值标准。实施石化、化工、工业涂装、包装印刷等重点行业及油品储运销（储罐）VOCs深度治理</w:t>
            </w:r>
          </w:p>
          <w:p w14:paraId="0265B2BF">
            <w:pPr>
              <w:numPr>
                <w:ilvl w:val="0"/>
                <w:numId w:val="0"/>
              </w:numPr>
              <w:autoSpaceDE w:val="0"/>
              <w:autoSpaceDN w:val="0"/>
              <w:adjustRightInd w:val="0"/>
              <w:snapToGrid w:val="0"/>
              <w:spacing w:line="360" w:lineRule="auto"/>
              <w:ind w:firstLine="480" w:firstLineChars="200"/>
              <w:jc w:val="both"/>
              <w:rPr>
                <w:rFonts w:hint="default" w:ascii="Times New Roman" w:hAnsi="Times New Roman" w:cs="Times New Roman"/>
                <w:highlight w:val="none"/>
                <w:lang w:val="en-US" w:eastAsia="zh-CN"/>
              </w:rPr>
            </w:pPr>
            <w:r>
              <w:rPr>
                <w:rFonts w:hint="eastAsia" w:cs="Times New Roman"/>
                <w:sz w:val="24"/>
                <w:szCs w:val="24"/>
                <w:highlight w:val="none"/>
                <w:lang w:val="en-US" w:eastAsia="zh-CN"/>
              </w:rPr>
              <w:t>本项目为扩建项目沥青搅拌罐采取密闭措施，搅拌、浸涂沥青烟废气由集气罩收集，项目搅拌、浸涂工序和覆膜工序产生的沥青烟、非甲烷总烃、苯并[a]芘经水喷淋+电捕焦油器+活性炭吸附处理后通过20m高排气筒（DA001）排放，有效降低了挥发性有机物的排放量；本项目的VOCs产生过程为沥青加热过程中产生的废气，通过废气处理装置处理后可以达标排放。</w:t>
            </w:r>
          </w:p>
        </w:tc>
      </w:tr>
    </w:tbl>
    <w:p w14:paraId="668388C8">
      <w:pPr>
        <w:spacing w:line="360" w:lineRule="auto"/>
        <w:outlineLvl w:val="0"/>
        <w:rPr>
          <w:rFonts w:eastAsia="黑体"/>
          <w:sz w:val="30"/>
          <w:highlight w:val="none"/>
        </w:rPr>
        <w:sectPr>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69E01276">
      <w:pPr>
        <w:pStyle w:val="18"/>
        <w:jc w:val="center"/>
        <w:outlineLvl w:val="0"/>
        <w:rPr>
          <w:rFonts w:ascii="黑体" w:hAnsi="黑体" w:eastAsia="黑体"/>
          <w:snapToGrid w:val="0"/>
          <w:sz w:val="30"/>
          <w:szCs w:val="30"/>
          <w:highlight w:val="none"/>
        </w:rPr>
      </w:pPr>
      <w:r>
        <w:rPr>
          <w:rFonts w:hint="eastAsia" w:ascii="黑体" w:hAnsi="黑体" w:eastAsia="黑体"/>
          <w:snapToGrid w:val="0"/>
          <w:sz w:val="30"/>
          <w:szCs w:val="30"/>
          <w:highlight w:val="none"/>
        </w:rPr>
        <w:t>二、建设项目工程分析</w:t>
      </w:r>
    </w:p>
    <w:tbl>
      <w:tblPr>
        <w:tblStyle w:val="1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20"/>
        <w:gridCol w:w="8441"/>
      </w:tblGrid>
      <w:tr w14:paraId="5BA6FC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90" w:hRule="atLeast"/>
          <w:jc w:val="center"/>
        </w:trPr>
        <w:tc>
          <w:tcPr>
            <w:tcW w:w="342" w:type="pct"/>
            <w:noWrap w:val="0"/>
            <w:vAlign w:val="center"/>
          </w:tcPr>
          <w:p w14:paraId="6E136601">
            <w:pPr>
              <w:pStyle w:val="18"/>
              <w:adjustRightInd w:val="0"/>
              <w:snapToGrid w:val="0"/>
              <w:spacing w:before="0" w:beforeAutospacing="0" w:after="0" w:afterAutospacing="0"/>
              <w:jc w:val="center"/>
              <w:rPr>
                <w:rFonts w:hint="default" w:ascii="Times New Roman" w:hAnsi="Times New Roman" w:cs="Times New Roman"/>
                <w:sz w:val="21"/>
                <w:szCs w:val="21"/>
                <w:highlight w:val="none"/>
              </w:rPr>
            </w:pPr>
            <w:r>
              <w:rPr>
                <w:rFonts w:hint="default" w:ascii="Times New Roman" w:hAnsi="Times New Roman" w:cs="Times New Roman"/>
                <w:sz w:val="24"/>
                <w:szCs w:val="24"/>
                <w:highlight w:val="none"/>
              </w:rPr>
              <w:t>建设内容</w:t>
            </w:r>
          </w:p>
        </w:tc>
        <w:tc>
          <w:tcPr>
            <w:tcW w:w="4657" w:type="pct"/>
            <w:noWrap w:val="0"/>
            <w:vAlign w:val="top"/>
          </w:tcPr>
          <w:p w14:paraId="75EB7F8D">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jc w:val="both"/>
              <w:textAlignment w:val="auto"/>
              <w:rPr>
                <w:rFonts w:hint="default" w:ascii="Times New Roman" w:hAnsi="Times New Roman" w:cs="Times New Roman"/>
                <w:b/>
                <w:bCs w:val="0"/>
                <w:sz w:val="24"/>
                <w:szCs w:val="24"/>
                <w:highlight w:val="none"/>
                <w:lang w:val="en-US" w:eastAsia="zh-CN"/>
              </w:rPr>
            </w:pPr>
            <w:r>
              <w:rPr>
                <w:rFonts w:hint="default" w:ascii="Times New Roman" w:hAnsi="Times New Roman" w:cs="Times New Roman"/>
                <w:b/>
                <w:bCs w:val="0"/>
                <w:sz w:val="24"/>
                <w:szCs w:val="24"/>
                <w:highlight w:val="none"/>
                <w:lang w:val="en-US" w:eastAsia="zh-CN"/>
              </w:rPr>
              <w:t>1 项目</w:t>
            </w:r>
            <w:r>
              <w:rPr>
                <w:rFonts w:hint="eastAsia" w:cs="Times New Roman"/>
                <w:b/>
                <w:bCs w:val="0"/>
                <w:sz w:val="24"/>
                <w:szCs w:val="24"/>
                <w:highlight w:val="none"/>
                <w:lang w:val="en-US" w:eastAsia="zh-CN"/>
              </w:rPr>
              <w:t>背景</w:t>
            </w:r>
          </w:p>
          <w:p w14:paraId="35FA93E4">
            <w:pPr>
              <w:numPr>
                <w:ilvl w:val="0"/>
                <w:numId w:val="0"/>
              </w:numPr>
              <w:adjustRightInd w:val="0"/>
              <w:snapToGrid w:val="0"/>
              <w:spacing w:line="360" w:lineRule="auto"/>
              <w:ind w:firstLine="480" w:firstLineChars="200"/>
              <w:jc w:val="both"/>
              <w:rPr>
                <w:rFonts w:hint="default" w:cs="Times New Roman"/>
                <w:sz w:val="24"/>
                <w:szCs w:val="24"/>
                <w:highlight w:val="none"/>
                <w:lang w:val="en-US" w:eastAsia="zh-CN"/>
              </w:rPr>
            </w:pPr>
            <w:r>
              <w:rPr>
                <w:rFonts w:hint="eastAsia" w:cs="Times New Roman"/>
                <w:sz w:val="24"/>
                <w:szCs w:val="24"/>
                <w:highlight w:val="none"/>
                <w:lang w:val="en-US" w:eastAsia="zh-CN"/>
              </w:rPr>
              <w:t>本项目一期为《新疆天佳利防水保温工程有限公司年产1000万m</w:t>
            </w:r>
            <w:r>
              <w:rPr>
                <w:rFonts w:hint="eastAsia" w:cs="Times New Roman"/>
                <w:sz w:val="24"/>
                <w:szCs w:val="24"/>
                <w:highlight w:val="none"/>
                <w:vertAlign w:val="superscript"/>
                <w:lang w:val="en-US" w:eastAsia="zh-CN"/>
              </w:rPr>
              <w:t>3</w:t>
            </w:r>
            <w:r>
              <w:rPr>
                <w:rFonts w:hint="eastAsia" w:cs="Times New Roman"/>
                <w:sz w:val="24"/>
                <w:szCs w:val="24"/>
                <w:highlight w:val="none"/>
                <w:lang w:val="en-US" w:eastAsia="zh-CN"/>
              </w:rPr>
              <w:t>防水卷材项目》，原先由新疆天佳利美防水保温工程有限公司作为环境影响评价主体，因新疆天佳利美防水保温工程有限公司经营困难，厂房及生产设施对外租赁，2025年6月经营主体由新疆天佳利美防水保温工程有限公司变更为新疆建疆创新防水新材料有限公司，已于2025年6月11日在高新区生态环境局进行环境影响评价主体变更申请，因本项目的设备、产能、污染治理设施，无需重新报批环境影响评价报告表，已在附件附高新区环境局出具的环境影响评价主体变更的复函。</w:t>
            </w:r>
          </w:p>
          <w:p w14:paraId="79A6707E">
            <w:pPr>
              <w:numPr>
                <w:ilvl w:val="0"/>
                <w:numId w:val="0"/>
              </w:numPr>
              <w:adjustRightInd w:val="0"/>
              <w:snapToGrid w:val="0"/>
              <w:spacing w:line="360" w:lineRule="auto"/>
              <w:ind w:firstLine="480" w:firstLineChars="200"/>
              <w:jc w:val="both"/>
              <w:rPr>
                <w:rFonts w:hint="default" w:ascii="Times New Roman" w:hAnsi="Times New Roman" w:cs="Times New Roman"/>
                <w:sz w:val="24"/>
                <w:szCs w:val="24"/>
                <w:highlight w:val="none"/>
                <w:lang w:eastAsia="zh-CN"/>
              </w:rPr>
            </w:pPr>
            <w:r>
              <w:rPr>
                <w:rFonts w:hint="eastAsia" w:cs="Times New Roman"/>
                <w:sz w:val="24"/>
                <w:szCs w:val="24"/>
                <w:highlight w:val="none"/>
                <w:lang w:val="en-US" w:eastAsia="zh-CN"/>
              </w:rPr>
              <w:t>新疆建疆创新防水新材料有限公司成立于2019年08月20日，注册地位于新疆昌吉回族自治州昌吉市高新技术产业开发区，法定代表人为李娜娜。</w:t>
            </w:r>
          </w:p>
          <w:p w14:paraId="5B5DDF0A">
            <w:pPr>
              <w:numPr>
                <w:ilvl w:val="0"/>
                <w:numId w:val="0"/>
              </w:numPr>
              <w:adjustRightInd w:val="0"/>
              <w:snapToGrid w:val="0"/>
              <w:spacing w:line="360" w:lineRule="auto"/>
              <w:ind w:firstLine="480" w:firstLineChars="200"/>
              <w:jc w:val="both"/>
              <w:rPr>
                <w:rFonts w:hint="eastAsia" w:cs="Times New Roman"/>
                <w:sz w:val="24"/>
                <w:szCs w:val="24"/>
                <w:highlight w:val="none"/>
                <w:lang w:val="en-US" w:eastAsia="zh-CN"/>
              </w:rPr>
            </w:pPr>
            <w:r>
              <w:rPr>
                <w:rFonts w:hint="eastAsia" w:cs="Times New Roman"/>
                <w:sz w:val="24"/>
                <w:szCs w:val="24"/>
                <w:highlight w:val="none"/>
                <w:lang w:val="en-US" w:eastAsia="zh-CN"/>
              </w:rPr>
              <w:t>本项目于2014年1月委托新疆净源环境咨询有限公司编制完成了《昌吉市防水建材有限责任公司年产1000万m</w:t>
            </w:r>
            <w:r>
              <w:rPr>
                <w:rFonts w:hint="eastAsia" w:cs="Times New Roman"/>
                <w:sz w:val="24"/>
                <w:szCs w:val="24"/>
                <w:highlight w:val="none"/>
                <w:vertAlign w:val="superscript"/>
                <w:lang w:val="en-US" w:eastAsia="zh-CN"/>
              </w:rPr>
              <w:t>2</w:t>
            </w:r>
            <w:r>
              <w:rPr>
                <w:rFonts w:hint="eastAsia" w:cs="Times New Roman"/>
                <w:sz w:val="24"/>
                <w:szCs w:val="24"/>
                <w:highlight w:val="none"/>
                <w:lang w:val="en-US" w:eastAsia="zh-CN"/>
              </w:rPr>
              <w:t>防水卷材料项目环境影响报告表》，2014年1月13日取得本项目的批复，文号为（昌高环管字〔2014〕2号文件），本项目于2017年11月委托新疆天蓝蓝环保技术服务有限公司进行验收并通过专家评审；于2019年11月4日获得了排污许可</w:t>
            </w:r>
            <w:r>
              <w:rPr>
                <w:rFonts w:hint="default" w:ascii="Times New Roman" w:hAnsi="Times New Roman" w:cs="Times New Roman"/>
                <w:sz w:val="24"/>
                <w:szCs w:val="24"/>
                <w:highlight w:val="none"/>
                <w:lang w:val="en-US" w:eastAsia="zh-CN"/>
              </w:rPr>
              <w:t>（91652302MA78GBPDXX002Q）</w:t>
            </w:r>
            <w:r>
              <w:rPr>
                <w:rFonts w:hint="eastAsia" w:cs="Times New Roman"/>
                <w:sz w:val="24"/>
                <w:szCs w:val="24"/>
                <w:highlight w:val="none"/>
                <w:lang w:val="en-US" w:eastAsia="zh-CN"/>
              </w:rPr>
              <w:t>；</w:t>
            </w:r>
            <w:r>
              <w:rPr>
                <w:rFonts w:hint="eastAsia" w:cs="Times New Roman"/>
                <w:color w:val="auto"/>
                <w:sz w:val="24"/>
                <w:szCs w:val="24"/>
                <w:highlight w:val="none"/>
                <w:lang w:val="en-US" w:eastAsia="zh-CN"/>
              </w:rPr>
              <w:t>本项目不新增占地面积。</w:t>
            </w:r>
          </w:p>
          <w:p w14:paraId="6F5E8FF0">
            <w:pPr>
              <w:numPr>
                <w:ilvl w:val="0"/>
                <w:numId w:val="0"/>
              </w:numPr>
              <w:adjustRightInd w:val="0"/>
              <w:snapToGrid w:val="0"/>
              <w:spacing w:line="360" w:lineRule="auto"/>
              <w:ind w:firstLine="480" w:firstLineChars="200"/>
              <w:jc w:val="both"/>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经现场核实，原有项目的产量仅为500万m</w:t>
            </w:r>
            <w:r>
              <w:rPr>
                <w:rFonts w:hint="eastAsia" w:cs="Times New Roman"/>
                <w:color w:val="auto"/>
                <w:sz w:val="24"/>
                <w:szCs w:val="24"/>
                <w:highlight w:val="none"/>
                <w:vertAlign w:val="superscript"/>
                <w:lang w:val="en-US" w:eastAsia="zh-CN"/>
              </w:rPr>
              <w:t>2</w:t>
            </w:r>
            <w:r>
              <w:rPr>
                <w:rFonts w:hint="eastAsia" w:cs="Times New Roman"/>
                <w:color w:val="auto"/>
                <w:sz w:val="24"/>
                <w:szCs w:val="24"/>
                <w:highlight w:val="none"/>
                <w:vertAlign w:val="baseline"/>
                <w:lang w:val="en-US" w:eastAsia="zh-CN"/>
              </w:rPr>
              <w:t>，且只有一条年产</w:t>
            </w:r>
            <w:r>
              <w:rPr>
                <w:rFonts w:hint="eastAsia" w:cs="Times New Roman"/>
                <w:color w:val="auto"/>
                <w:sz w:val="24"/>
                <w:szCs w:val="24"/>
                <w:highlight w:val="none"/>
                <w:lang w:val="en-US" w:eastAsia="zh-CN"/>
              </w:rPr>
              <w:t>500万m</w:t>
            </w:r>
            <w:r>
              <w:rPr>
                <w:rFonts w:hint="eastAsia" w:cs="Times New Roman"/>
                <w:color w:val="auto"/>
                <w:sz w:val="24"/>
                <w:szCs w:val="24"/>
                <w:highlight w:val="none"/>
                <w:vertAlign w:val="superscript"/>
                <w:lang w:val="en-US" w:eastAsia="zh-CN"/>
              </w:rPr>
              <w:t>2</w:t>
            </w:r>
            <w:r>
              <w:rPr>
                <w:rFonts w:hint="eastAsia" w:cs="Times New Roman"/>
                <w:color w:val="auto"/>
                <w:sz w:val="24"/>
                <w:szCs w:val="24"/>
                <w:highlight w:val="none"/>
                <w:vertAlign w:val="baseline"/>
                <w:lang w:val="en-US" w:eastAsia="zh-CN"/>
              </w:rPr>
              <w:t>的生产线，</w:t>
            </w:r>
            <w:r>
              <w:rPr>
                <w:rFonts w:hint="eastAsia" w:cs="Times New Roman"/>
                <w:color w:val="auto"/>
                <w:sz w:val="24"/>
                <w:szCs w:val="24"/>
                <w:highlight w:val="none"/>
                <w:lang w:val="en-US" w:eastAsia="zh-CN"/>
              </w:rPr>
              <w:t>本次扩建，在保持原有产品的基础上，新增一条防水卷材生产线，产量为500万m</w:t>
            </w:r>
            <w:r>
              <w:rPr>
                <w:rFonts w:hint="eastAsia" w:cs="Times New Roman"/>
                <w:color w:val="auto"/>
                <w:sz w:val="24"/>
                <w:szCs w:val="24"/>
                <w:highlight w:val="none"/>
                <w:vertAlign w:val="superscript"/>
                <w:lang w:val="en-US" w:eastAsia="zh-CN"/>
              </w:rPr>
              <w:t>2</w:t>
            </w:r>
            <w:r>
              <w:rPr>
                <w:rFonts w:hint="eastAsia" w:cs="Times New Roman"/>
                <w:color w:val="auto"/>
                <w:sz w:val="24"/>
                <w:szCs w:val="24"/>
                <w:highlight w:val="none"/>
                <w:lang w:val="en-US" w:eastAsia="zh-CN"/>
              </w:rPr>
              <w:t>，达到年产1000万m</w:t>
            </w:r>
            <w:r>
              <w:rPr>
                <w:rFonts w:hint="eastAsia" w:cs="Times New Roman"/>
                <w:color w:val="auto"/>
                <w:sz w:val="24"/>
                <w:szCs w:val="24"/>
                <w:highlight w:val="none"/>
                <w:vertAlign w:val="superscript"/>
                <w:lang w:val="en-US" w:eastAsia="zh-CN"/>
              </w:rPr>
              <w:t>2</w:t>
            </w:r>
            <w:r>
              <w:rPr>
                <w:rFonts w:hint="eastAsia" w:cs="Times New Roman"/>
                <w:color w:val="auto"/>
                <w:sz w:val="24"/>
                <w:szCs w:val="24"/>
                <w:highlight w:val="none"/>
                <w:vertAlign w:val="baseline"/>
                <w:lang w:val="en-US" w:eastAsia="zh-CN"/>
              </w:rPr>
              <w:t>；</w:t>
            </w:r>
            <w:r>
              <w:rPr>
                <w:rFonts w:hint="eastAsia" w:cs="Times New Roman"/>
                <w:color w:val="auto"/>
                <w:sz w:val="24"/>
                <w:szCs w:val="24"/>
                <w:highlight w:val="none"/>
                <w:lang w:val="en-US" w:eastAsia="zh-CN"/>
              </w:rPr>
              <w:t>新增一条防水涂料生产线，产量为800t。本次扩建在原有厂区内，不新增占地面积。</w:t>
            </w:r>
          </w:p>
          <w:p w14:paraId="15BD7182">
            <w:pPr>
              <w:numPr>
                <w:ilvl w:val="0"/>
                <w:numId w:val="0"/>
              </w:numPr>
              <w:adjustRightInd w:val="0"/>
              <w:snapToGrid w:val="0"/>
              <w:spacing w:line="360" w:lineRule="auto"/>
              <w:jc w:val="both"/>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2 项目概况</w:t>
            </w:r>
          </w:p>
          <w:p w14:paraId="3E5D7DB1">
            <w:pPr>
              <w:numPr>
                <w:ilvl w:val="0"/>
                <w:numId w:val="0"/>
              </w:numPr>
              <w:adjustRightInd w:val="0"/>
              <w:snapToGrid w:val="0"/>
              <w:spacing w:line="360" w:lineRule="auto"/>
              <w:ind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sz w:val="24"/>
                <w:szCs w:val="24"/>
                <w:highlight w:val="none"/>
                <w:lang w:val="en-US" w:eastAsia="zh-CN"/>
              </w:rPr>
              <w:t>项目名称：</w:t>
            </w:r>
            <w:r>
              <w:rPr>
                <w:rFonts w:hint="default" w:ascii="Times New Roman" w:hAnsi="Times New Roman" w:cs="Times New Roman"/>
                <w:sz w:val="24"/>
                <w:szCs w:val="24"/>
                <w:highlight w:val="none"/>
              </w:rPr>
              <w:t>SBS弹性体改性沥青防水卷材、防水涂料项目</w:t>
            </w:r>
          </w:p>
          <w:p w14:paraId="5D4A92E2">
            <w:pPr>
              <w:numPr>
                <w:ilvl w:val="0"/>
                <w:numId w:val="0"/>
              </w:numPr>
              <w:adjustRightInd w:val="0"/>
              <w:snapToGrid w:val="0"/>
              <w:spacing w:line="360" w:lineRule="auto"/>
              <w:ind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建设单位：新疆建疆创新防水新材料有限公司</w:t>
            </w:r>
          </w:p>
          <w:p w14:paraId="40410A77">
            <w:pPr>
              <w:numPr>
                <w:ilvl w:val="0"/>
                <w:numId w:val="0"/>
              </w:numPr>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建设性质：</w:t>
            </w:r>
            <w:r>
              <w:rPr>
                <w:rFonts w:hint="eastAsia" w:cs="Times New Roman"/>
                <w:sz w:val="24"/>
                <w:szCs w:val="24"/>
                <w:highlight w:val="none"/>
                <w:lang w:val="en-US" w:eastAsia="zh-CN"/>
              </w:rPr>
              <w:t>扩</w:t>
            </w:r>
            <w:r>
              <w:rPr>
                <w:rFonts w:hint="default" w:ascii="Times New Roman" w:hAnsi="Times New Roman" w:eastAsia="宋体" w:cs="Times New Roman"/>
                <w:sz w:val="24"/>
                <w:szCs w:val="24"/>
                <w:highlight w:val="none"/>
                <w:lang w:val="en-US" w:eastAsia="zh-CN"/>
              </w:rPr>
              <w:t>建</w:t>
            </w:r>
          </w:p>
          <w:p w14:paraId="088DBA8F">
            <w:pPr>
              <w:numPr>
                <w:ilvl w:val="0"/>
                <w:numId w:val="0"/>
              </w:numPr>
              <w:adjustRightInd w:val="0"/>
              <w:snapToGrid w:val="0"/>
              <w:spacing w:line="360" w:lineRule="auto"/>
              <w:ind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建设地点：新疆昌吉州昌吉市高新技术产业开发区</w:t>
            </w:r>
            <w:r>
              <w:rPr>
                <w:rFonts w:hint="eastAsia" w:cs="Times New Roman"/>
                <w:color w:val="auto"/>
                <w:sz w:val="24"/>
                <w:szCs w:val="24"/>
                <w:highlight w:val="none"/>
                <w:lang w:val="en-US" w:eastAsia="zh-CN"/>
              </w:rPr>
              <w:t>东四路与科荟路交叉口东南方向98米</w:t>
            </w:r>
            <w:r>
              <w:rPr>
                <w:rFonts w:hint="default" w:ascii="Times New Roman" w:hAnsi="Times New Roman" w:eastAsia="宋体" w:cs="Times New Roman"/>
                <w:color w:val="auto"/>
                <w:sz w:val="24"/>
                <w:szCs w:val="24"/>
                <w:highlight w:val="none"/>
                <w:lang w:val="en-US" w:eastAsia="zh-CN"/>
              </w:rPr>
              <w:t>，（中心地理坐标：东经87度0</w:t>
            </w:r>
            <w:r>
              <w:rPr>
                <w:rFonts w:hint="eastAsia"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val="en-US" w:eastAsia="zh-CN"/>
              </w:rPr>
              <w:t>分</w:t>
            </w:r>
            <w:r>
              <w:rPr>
                <w:rFonts w:hint="eastAsia" w:cs="Times New Roman"/>
                <w:color w:val="auto"/>
                <w:sz w:val="24"/>
                <w:szCs w:val="24"/>
                <w:highlight w:val="none"/>
                <w:lang w:val="en-US" w:eastAsia="zh-CN"/>
              </w:rPr>
              <w:t>50</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849</w:t>
            </w:r>
            <w:r>
              <w:rPr>
                <w:rFonts w:hint="default" w:ascii="Times New Roman" w:hAnsi="Times New Roman" w:eastAsia="宋体" w:cs="Times New Roman"/>
                <w:color w:val="auto"/>
                <w:sz w:val="24"/>
                <w:szCs w:val="24"/>
                <w:highlight w:val="none"/>
                <w:lang w:val="en-US" w:eastAsia="zh-CN"/>
              </w:rPr>
              <w:t>秒，北纬44度0</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分</w:t>
            </w:r>
            <w:r>
              <w:rPr>
                <w:rFonts w:hint="eastAsia"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474</w:t>
            </w:r>
            <w:r>
              <w:rPr>
                <w:rFonts w:hint="default" w:ascii="Times New Roman" w:hAnsi="Times New Roman" w:eastAsia="宋体" w:cs="Times New Roman"/>
                <w:color w:val="auto"/>
                <w:sz w:val="24"/>
                <w:szCs w:val="24"/>
                <w:highlight w:val="none"/>
                <w:lang w:val="en-US" w:eastAsia="zh-CN"/>
              </w:rPr>
              <w:t>秒）。</w:t>
            </w:r>
          </w:p>
          <w:p w14:paraId="77408326">
            <w:pPr>
              <w:numPr>
                <w:ilvl w:val="0"/>
                <w:numId w:val="0"/>
              </w:numPr>
              <w:adjustRightInd w:val="0"/>
              <w:snapToGrid w:val="0"/>
              <w:spacing w:line="360" w:lineRule="auto"/>
              <w:ind w:firstLine="480" w:firstLineChars="200"/>
              <w:jc w:val="both"/>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rPr>
              <w:t>建设内容及规模：</w:t>
            </w:r>
            <w:r>
              <w:rPr>
                <w:rFonts w:hint="default" w:ascii="Times New Roman" w:hAnsi="Times New Roman" w:eastAsia="宋体" w:cs="Times New Roman"/>
                <w:color w:val="auto"/>
                <w:kern w:val="0"/>
                <w:sz w:val="24"/>
                <w:szCs w:val="24"/>
                <w:highlight w:val="none"/>
                <w:lang w:val="en-US" w:eastAsia="zh-CN" w:bidi="ar"/>
              </w:rPr>
              <w:t>租赁新疆</w:t>
            </w:r>
            <w:r>
              <w:rPr>
                <w:rFonts w:hint="eastAsia" w:cs="Times New Roman"/>
                <w:color w:val="auto"/>
                <w:kern w:val="0"/>
                <w:sz w:val="24"/>
                <w:szCs w:val="24"/>
                <w:highlight w:val="none"/>
                <w:lang w:val="en-US" w:eastAsia="zh-CN" w:bidi="ar"/>
              </w:rPr>
              <w:t>天佳利美防水保温工程</w:t>
            </w:r>
            <w:r>
              <w:rPr>
                <w:rFonts w:hint="default" w:ascii="Times New Roman" w:hAnsi="Times New Roman" w:eastAsia="宋体" w:cs="Times New Roman"/>
                <w:color w:val="auto"/>
                <w:kern w:val="0"/>
                <w:sz w:val="24"/>
                <w:szCs w:val="24"/>
                <w:highlight w:val="none"/>
                <w:lang w:val="en-US" w:eastAsia="zh-CN" w:bidi="ar"/>
              </w:rPr>
              <w:t>有限公司工厂西南侧</w:t>
            </w:r>
            <w:r>
              <w:rPr>
                <w:rFonts w:hint="eastAsia" w:ascii="Times New Roman" w:hAnsi="Times New Roman" w:eastAsia="宋体" w:cs="Times New Roman"/>
                <w:color w:val="auto"/>
                <w:kern w:val="0"/>
                <w:sz w:val="24"/>
                <w:szCs w:val="24"/>
                <w:highlight w:val="none"/>
                <w:lang w:val="en-US" w:eastAsia="zh-CN" w:bidi="ar"/>
              </w:rPr>
              <w:t>单层封闭式</w:t>
            </w:r>
            <w:r>
              <w:rPr>
                <w:rFonts w:hint="default" w:ascii="Times New Roman" w:hAnsi="Times New Roman" w:eastAsia="宋体" w:cs="Times New Roman"/>
                <w:color w:val="auto"/>
                <w:kern w:val="0"/>
                <w:sz w:val="24"/>
                <w:szCs w:val="24"/>
                <w:highlight w:val="none"/>
                <w:lang w:val="en-US" w:eastAsia="zh-CN" w:bidi="ar"/>
              </w:rPr>
              <w:t>车间</w:t>
            </w:r>
            <w:r>
              <w:rPr>
                <w:rFonts w:hint="eastAsia" w:ascii="Times New Roman" w:hAnsi="Times New Roman" w:eastAsia="宋体" w:cs="Times New Roman"/>
                <w:color w:val="auto"/>
                <w:kern w:val="0"/>
                <w:sz w:val="24"/>
                <w:szCs w:val="24"/>
                <w:highlight w:val="none"/>
                <w:lang w:val="en-US" w:eastAsia="zh-CN" w:bidi="ar"/>
              </w:rPr>
              <w:t>一座；新增</w:t>
            </w:r>
            <w:r>
              <w:rPr>
                <w:rFonts w:hint="default" w:ascii="Times New Roman" w:hAnsi="Times New Roman" w:eastAsia="宋体" w:cs="Times New Roman"/>
                <w:color w:val="auto"/>
                <w:kern w:val="0"/>
                <w:sz w:val="24"/>
                <w:szCs w:val="24"/>
                <w:highlight w:val="none"/>
                <w:lang w:val="en-US" w:eastAsia="zh-CN" w:bidi="ar"/>
              </w:rPr>
              <w:t>1条改性沥青卷材生产线、1条</w:t>
            </w:r>
            <w:r>
              <w:rPr>
                <w:rFonts w:hint="eastAsia" w:cs="Times New Roman"/>
                <w:color w:val="auto"/>
                <w:kern w:val="0"/>
                <w:sz w:val="24"/>
                <w:szCs w:val="24"/>
                <w:highlight w:val="none"/>
                <w:lang w:val="en-US" w:eastAsia="zh-CN" w:bidi="ar"/>
              </w:rPr>
              <w:t>防水</w:t>
            </w:r>
            <w:r>
              <w:rPr>
                <w:rFonts w:hint="default" w:ascii="Times New Roman" w:hAnsi="Times New Roman" w:eastAsia="宋体" w:cs="Times New Roman"/>
                <w:color w:val="auto"/>
                <w:kern w:val="0"/>
                <w:sz w:val="24"/>
                <w:szCs w:val="24"/>
                <w:highlight w:val="none"/>
                <w:lang w:val="en-US" w:eastAsia="zh-CN" w:bidi="ar"/>
              </w:rPr>
              <w:t>涂料生产线，项目建成后年产500万平方米改性沥青防水卷材和</w:t>
            </w:r>
            <w:r>
              <w:rPr>
                <w:rFonts w:hint="eastAsia" w:ascii="Times New Roman" w:hAnsi="Times New Roman" w:eastAsia="宋体" w:cs="Times New Roman"/>
                <w:color w:val="auto"/>
                <w:kern w:val="0"/>
                <w:sz w:val="24"/>
                <w:szCs w:val="24"/>
                <w:highlight w:val="none"/>
                <w:lang w:val="en-US" w:eastAsia="zh-CN" w:bidi="ar"/>
              </w:rPr>
              <w:t>8</w:t>
            </w:r>
            <w:r>
              <w:rPr>
                <w:rFonts w:hint="default" w:ascii="Times New Roman" w:hAnsi="Times New Roman" w:eastAsia="宋体" w:cs="Times New Roman"/>
                <w:color w:val="auto"/>
                <w:kern w:val="0"/>
                <w:sz w:val="24"/>
                <w:szCs w:val="24"/>
                <w:highlight w:val="none"/>
                <w:lang w:val="en-US" w:eastAsia="zh-CN" w:bidi="ar"/>
              </w:rPr>
              <w:t>00吨</w:t>
            </w:r>
            <w:r>
              <w:rPr>
                <w:rFonts w:hint="eastAsia" w:cs="Times New Roman"/>
                <w:color w:val="auto"/>
                <w:kern w:val="0"/>
                <w:sz w:val="24"/>
                <w:szCs w:val="24"/>
                <w:highlight w:val="none"/>
                <w:lang w:val="en-US" w:eastAsia="zh-CN" w:bidi="ar"/>
              </w:rPr>
              <w:t>防水</w:t>
            </w:r>
            <w:r>
              <w:rPr>
                <w:rFonts w:hint="default" w:ascii="Times New Roman" w:hAnsi="Times New Roman" w:eastAsia="宋体" w:cs="Times New Roman"/>
                <w:color w:val="auto"/>
                <w:kern w:val="0"/>
                <w:sz w:val="24"/>
                <w:szCs w:val="24"/>
                <w:highlight w:val="none"/>
                <w:lang w:val="en-US" w:eastAsia="zh-CN" w:bidi="ar"/>
              </w:rPr>
              <w:t>涂料。</w:t>
            </w:r>
          </w:p>
          <w:p w14:paraId="0C2903E6">
            <w:pPr>
              <w:numPr>
                <w:ilvl w:val="0"/>
                <w:numId w:val="0"/>
              </w:numPr>
              <w:adjustRightInd w:val="0"/>
              <w:snapToGrid w:val="0"/>
              <w:spacing w:line="360" w:lineRule="auto"/>
              <w:ind w:firstLine="480" w:firstLineChars="200"/>
              <w:jc w:val="both"/>
              <w:rPr>
                <w:rFonts w:hint="default"/>
                <w:color w:val="auto"/>
                <w:highlight w:val="none"/>
                <w:lang w:val="en-US" w:eastAsia="zh-CN"/>
              </w:rPr>
            </w:pPr>
            <w:r>
              <w:rPr>
                <w:rFonts w:hint="default" w:ascii="Times New Roman" w:hAnsi="Times New Roman" w:eastAsia="宋体" w:cs="Times New Roman"/>
                <w:color w:val="auto"/>
                <w:sz w:val="24"/>
                <w:szCs w:val="24"/>
                <w:highlight w:val="none"/>
                <w:lang w:val="en-US" w:eastAsia="zh-CN"/>
              </w:rPr>
              <w:t>项目建设内容见表2-1。</w:t>
            </w:r>
          </w:p>
          <w:p w14:paraId="645CAF23">
            <w:pPr>
              <w:numPr>
                <w:ilvl w:val="0"/>
                <w:numId w:val="0"/>
              </w:numPr>
              <w:adjustRightInd w:val="0"/>
              <w:snapToGrid w:val="0"/>
              <w:spacing w:line="24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表2-1</w:t>
            </w:r>
            <w:r>
              <w:rPr>
                <w:rFonts w:hint="eastAsia" w:ascii="Times New Roman" w:hAnsi="Times New Roman" w:eastAsia="宋体" w:cs="Times New Roman"/>
                <w:b/>
                <w:bCs/>
                <w:color w:val="auto"/>
                <w:sz w:val="21"/>
                <w:szCs w:val="21"/>
                <w:highlight w:val="none"/>
                <w:lang w:val="en-US" w:eastAsia="zh-CN"/>
              </w:rPr>
              <w:t xml:space="preserve">    </w:t>
            </w:r>
            <w:r>
              <w:rPr>
                <w:rFonts w:hint="default" w:ascii="Times New Roman" w:hAnsi="Times New Roman" w:eastAsia="宋体" w:cs="Times New Roman"/>
                <w:b/>
                <w:bCs/>
                <w:color w:val="auto"/>
                <w:sz w:val="21"/>
                <w:szCs w:val="21"/>
                <w:highlight w:val="none"/>
                <w:lang w:val="en-US" w:eastAsia="zh-CN"/>
              </w:rPr>
              <w:t xml:space="preserve"> 建设项目内容</w:t>
            </w:r>
            <w:r>
              <w:rPr>
                <w:rFonts w:hint="eastAsia" w:cs="Times New Roman"/>
                <w:b/>
                <w:bCs/>
                <w:color w:val="auto"/>
                <w:sz w:val="21"/>
                <w:szCs w:val="21"/>
                <w:highlight w:val="none"/>
                <w:lang w:val="en-US" w:eastAsia="zh-CN"/>
              </w:rPr>
              <w:t>一览表</w:t>
            </w:r>
          </w:p>
          <w:tbl>
            <w:tblPr>
              <w:tblStyle w:val="20"/>
              <w:tblW w:w="5000" w:type="pct"/>
              <w:tblInd w:w="5"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52"/>
              <w:gridCol w:w="862"/>
              <w:gridCol w:w="5641"/>
              <w:gridCol w:w="970"/>
            </w:tblGrid>
            <w:tr w14:paraId="3A43376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PrEx>
              <w:trPr>
                <w:trHeight w:val="23" w:hRule="atLeast"/>
              </w:trPr>
              <w:tc>
                <w:tcPr>
                  <w:tcW w:w="457" w:type="pct"/>
                  <w:tcBorders>
                    <w:bottom w:val="single" w:color="auto" w:sz="8" w:space="0"/>
                  </w:tcBorders>
                  <w:noWrap w:val="0"/>
                  <w:vAlign w:val="center"/>
                </w:tcPr>
                <w:p w14:paraId="7A5017E7">
                  <w:pPr>
                    <w:numPr>
                      <w:ilvl w:val="0"/>
                      <w:numId w:val="0"/>
                    </w:numPr>
                    <w:adjustRightInd w:val="0"/>
                    <w:snapToGrid w:val="0"/>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名称</w:t>
                  </w:r>
                </w:p>
              </w:tc>
              <w:tc>
                <w:tcPr>
                  <w:tcW w:w="524" w:type="pct"/>
                  <w:tcBorders>
                    <w:bottom w:val="single" w:color="auto" w:sz="8" w:space="0"/>
                  </w:tcBorders>
                  <w:noWrap w:val="0"/>
                  <w:vAlign w:val="center"/>
                </w:tcPr>
                <w:p w14:paraId="75235444">
                  <w:pPr>
                    <w:numPr>
                      <w:ilvl w:val="0"/>
                      <w:numId w:val="0"/>
                    </w:numPr>
                    <w:adjustRightInd w:val="0"/>
                    <w:snapToGrid w:val="0"/>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项目</w:t>
                  </w:r>
                </w:p>
              </w:tc>
              <w:tc>
                <w:tcPr>
                  <w:tcW w:w="3429" w:type="pct"/>
                  <w:tcBorders>
                    <w:bottom w:val="single" w:color="auto" w:sz="8" w:space="0"/>
                  </w:tcBorders>
                  <w:noWrap w:val="0"/>
                  <w:vAlign w:val="center"/>
                </w:tcPr>
                <w:p w14:paraId="40279F8B">
                  <w:pPr>
                    <w:numPr>
                      <w:ilvl w:val="0"/>
                      <w:numId w:val="0"/>
                    </w:numPr>
                    <w:adjustRightInd w:val="0"/>
                    <w:snapToGrid w:val="0"/>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具体内容及规模</w:t>
                  </w:r>
                </w:p>
              </w:tc>
              <w:tc>
                <w:tcPr>
                  <w:tcW w:w="589" w:type="pct"/>
                  <w:tcBorders>
                    <w:bottom w:val="single" w:color="auto" w:sz="8" w:space="0"/>
                  </w:tcBorders>
                  <w:noWrap w:val="0"/>
                  <w:vAlign w:val="center"/>
                </w:tcPr>
                <w:p w14:paraId="0B438C8A">
                  <w:pPr>
                    <w:numPr>
                      <w:ilvl w:val="0"/>
                      <w:numId w:val="0"/>
                    </w:numPr>
                    <w:adjustRightInd w:val="0"/>
                    <w:snapToGrid w:val="0"/>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备注</w:t>
                  </w:r>
                </w:p>
              </w:tc>
            </w:tr>
            <w:tr w14:paraId="5E56300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tcBorders>
                    <w:top w:val="single" w:color="auto" w:sz="8" w:space="0"/>
                    <w:tl2br w:val="nil"/>
                    <w:tr2bl w:val="nil"/>
                  </w:tcBorders>
                  <w:noWrap w:val="0"/>
                  <w:vAlign w:val="center"/>
                </w:tcPr>
                <w:p w14:paraId="3E0229F5">
                  <w:pPr>
                    <w:numPr>
                      <w:ilvl w:val="0"/>
                      <w:numId w:val="0"/>
                    </w:numPr>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主体工程</w:t>
                  </w:r>
                </w:p>
              </w:tc>
              <w:tc>
                <w:tcPr>
                  <w:tcW w:w="524" w:type="pct"/>
                  <w:tcBorders>
                    <w:top w:val="single" w:color="auto" w:sz="8" w:space="0"/>
                    <w:tl2br w:val="nil"/>
                    <w:tr2bl w:val="nil"/>
                  </w:tcBorders>
                  <w:noWrap w:val="0"/>
                  <w:vAlign w:val="center"/>
                </w:tcPr>
                <w:p w14:paraId="48695314">
                  <w:pPr>
                    <w:numPr>
                      <w:ilvl w:val="0"/>
                      <w:numId w:val="0"/>
                    </w:numPr>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生产车间</w:t>
                  </w:r>
                </w:p>
              </w:tc>
              <w:tc>
                <w:tcPr>
                  <w:tcW w:w="3429" w:type="pct"/>
                  <w:tcBorders>
                    <w:top w:val="single" w:color="auto" w:sz="8" w:space="0"/>
                    <w:tl2br w:val="nil"/>
                    <w:tr2bl w:val="nil"/>
                  </w:tcBorders>
                  <w:noWrap w:val="0"/>
                  <w:vAlign w:val="center"/>
                </w:tcPr>
                <w:p w14:paraId="6F0B9EC8">
                  <w:pPr>
                    <w:numPr>
                      <w:ilvl w:val="0"/>
                      <w:numId w:val="0"/>
                    </w:numPr>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新增</w:t>
                  </w:r>
                  <w:r>
                    <w:rPr>
                      <w:rFonts w:hint="default" w:ascii="Times New Roman" w:hAnsi="Times New Roman" w:eastAsia="宋体" w:cs="Times New Roman"/>
                      <w:color w:val="auto"/>
                      <w:sz w:val="21"/>
                      <w:szCs w:val="21"/>
                      <w:highlight w:val="none"/>
                      <w:vertAlign w:val="baseline"/>
                      <w:lang w:val="en-US" w:eastAsia="zh-CN"/>
                    </w:rPr>
                    <w:t>1条改性沥青卷材生产线、</w:t>
                  </w:r>
                  <w:r>
                    <w:rPr>
                      <w:rFonts w:hint="eastAsia" w:cs="Times New Roman"/>
                      <w:color w:val="auto"/>
                      <w:sz w:val="21"/>
                      <w:szCs w:val="21"/>
                      <w:highlight w:val="none"/>
                      <w:vertAlign w:val="baseline"/>
                      <w:lang w:val="en-US" w:eastAsia="zh-CN"/>
                    </w:rPr>
                    <w:t>新增</w:t>
                  </w:r>
                  <w:r>
                    <w:rPr>
                      <w:rFonts w:hint="default" w:ascii="Times New Roman" w:hAnsi="Times New Roman" w:eastAsia="宋体" w:cs="Times New Roman"/>
                      <w:color w:val="auto"/>
                      <w:sz w:val="21"/>
                      <w:szCs w:val="21"/>
                      <w:highlight w:val="none"/>
                      <w:vertAlign w:val="baseline"/>
                      <w:lang w:val="en-US" w:eastAsia="zh-CN"/>
                    </w:rPr>
                    <w:t>1条</w:t>
                  </w:r>
                  <w:r>
                    <w:rPr>
                      <w:rFonts w:hint="eastAsia" w:cs="Times New Roman"/>
                      <w:color w:val="auto"/>
                      <w:sz w:val="21"/>
                      <w:szCs w:val="21"/>
                      <w:highlight w:val="none"/>
                      <w:vertAlign w:val="baseline"/>
                      <w:lang w:val="en-US" w:eastAsia="zh-CN"/>
                    </w:rPr>
                    <w:t>防水</w:t>
                  </w:r>
                  <w:r>
                    <w:rPr>
                      <w:rFonts w:hint="default" w:ascii="Times New Roman" w:hAnsi="Times New Roman" w:eastAsia="宋体" w:cs="Times New Roman"/>
                      <w:color w:val="auto"/>
                      <w:sz w:val="21"/>
                      <w:szCs w:val="21"/>
                      <w:highlight w:val="none"/>
                      <w:vertAlign w:val="baseline"/>
                      <w:lang w:val="en-US" w:eastAsia="zh-CN"/>
                    </w:rPr>
                    <w:t>涂料生产线</w:t>
                  </w:r>
                </w:p>
              </w:tc>
              <w:tc>
                <w:tcPr>
                  <w:tcW w:w="589" w:type="pct"/>
                  <w:tcBorders>
                    <w:top w:val="single" w:color="auto" w:sz="8" w:space="0"/>
                    <w:tl2br w:val="nil"/>
                    <w:tr2bl w:val="nil"/>
                  </w:tcBorders>
                  <w:noWrap w:val="0"/>
                  <w:vAlign w:val="center"/>
                </w:tcPr>
                <w:p w14:paraId="2E490AEB">
                  <w:pPr>
                    <w:numPr>
                      <w:ilvl w:val="0"/>
                      <w:numId w:val="0"/>
                    </w:numPr>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依托</w:t>
                  </w:r>
                  <w:r>
                    <w:rPr>
                      <w:rFonts w:hint="default" w:ascii="Times New Roman" w:hAnsi="Times New Roman" w:eastAsia="宋体" w:cs="Times New Roman"/>
                      <w:color w:val="auto"/>
                      <w:sz w:val="21"/>
                      <w:szCs w:val="21"/>
                      <w:highlight w:val="none"/>
                      <w:vertAlign w:val="baseline"/>
                      <w:lang w:val="en-US" w:eastAsia="zh-CN"/>
                    </w:rPr>
                    <w:t>现有厂房</w:t>
                  </w:r>
                </w:p>
              </w:tc>
            </w:tr>
            <w:tr w14:paraId="140B805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restart"/>
                  <w:tcBorders>
                    <w:tl2br w:val="nil"/>
                    <w:tr2bl w:val="nil"/>
                  </w:tcBorders>
                  <w:noWrap w:val="0"/>
                  <w:vAlign w:val="center"/>
                </w:tcPr>
                <w:p w14:paraId="40B00C3C">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储运工程</w:t>
                  </w:r>
                </w:p>
              </w:tc>
              <w:tc>
                <w:tcPr>
                  <w:tcW w:w="524" w:type="pct"/>
                  <w:tcBorders>
                    <w:tl2br w:val="nil"/>
                    <w:tr2bl w:val="nil"/>
                  </w:tcBorders>
                  <w:noWrap w:val="0"/>
                  <w:vAlign w:val="center"/>
                </w:tcPr>
                <w:p w14:paraId="4BCA2009">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原辅料仓库</w:t>
                  </w:r>
                </w:p>
              </w:tc>
              <w:tc>
                <w:tcPr>
                  <w:tcW w:w="3429" w:type="pct"/>
                  <w:tcBorders>
                    <w:tl2br w:val="nil"/>
                    <w:tr2bl w:val="nil"/>
                  </w:tcBorders>
                  <w:noWrap w:val="0"/>
                  <w:vAlign w:val="center"/>
                </w:tcPr>
                <w:p w14:paraId="3B84AC25">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在生产车间内分区，位于生产车间西北侧，主要用于</w:t>
                  </w:r>
                  <w:r>
                    <w:rPr>
                      <w:rFonts w:hint="eastAsia" w:cs="Times New Roman"/>
                      <w:sz w:val="21"/>
                      <w:szCs w:val="21"/>
                      <w:highlight w:val="none"/>
                      <w:vertAlign w:val="baseline"/>
                      <w:lang w:val="en-US" w:eastAsia="zh-CN"/>
                    </w:rPr>
                    <w:t>原辅料</w:t>
                  </w:r>
                  <w:r>
                    <w:rPr>
                      <w:rFonts w:hint="default" w:ascii="Times New Roman" w:hAnsi="Times New Roman" w:eastAsia="宋体" w:cs="Times New Roman"/>
                      <w:sz w:val="21"/>
                      <w:szCs w:val="21"/>
                      <w:highlight w:val="none"/>
                      <w:vertAlign w:val="baseline"/>
                      <w:lang w:val="en-US" w:eastAsia="zh-CN"/>
                    </w:rPr>
                    <w:t>的储存</w:t>
                  </w:r>
                </w:p>
              </w:tc>
              <w:tc>
                <w:tcPr>
                  <w:tcW w:w="589" w:type="pct"/>
                  <w:tcBorders>
                    <w:tl2br w:val="nil"/>
                    <w:tr2bl w:val="nil"/>
                  </w:tcBorders>
                  <w:noWrap w:val="0"/>
                  <w:vAlign w:val="center"/>
                </w:tcPr>
                <w:p w14:paraId="10795A6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依托</w:t>
                  </w:r>
                  <w:r>
                    <w:rPr>
                      <w:rFonts w:hint="default" w:ascii="Times New Roman" w:hAnsi="Times New Roman" w:eastAsia="宋体" w:cs="Times New Roman"/>
                      <w:sz w:val="21"/>
                      <w:szCs w:val="21"/>
                      <w:highlight w:val="none"/>
                      <w:vertAlign w:val="baseline"/>
                      <w:lang w:val="en-US" w:eastAsia="zh-CN"/>
                    </w:rPr>
                    <w:t>现有厂房</w:t>
                  </w:r>
                </w:p>
              </w:tc>
            </w:tr>
            <w:tr w14:paraId="478FDBD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4419CBF6">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tcBorders>
                    <w:tl2br w:val="nil"/>
                    <w:tr2bl w:val="nil"/>
                  </w:tcBorders>
                  <w:noWrap w:val="0"/>
                  <w:vAlign w:val="center"/>
                </w:tcPr>
                <w:p w14:paraId="38896FD4">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产品仓库</w:t>
                  </w:r>
                </w:p>
              </w:tc>
              <w:tc>
                <w:tcPr>
                  <w:tcW w:w="3429" w:type="pct"/>
                  <w:tcBorders>
                    <w:tl2br w:val="nil"/>
                    <w:tr2bl w:val="nil"/>
                  </w:tcBorders>
                  <w:noWrap w:val="0"/>
                  <w:vAlign w:val="center"/>
                </w:tcPr>
                <w:p w14:paraId="045D765E">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在生产车间内分区，位于生产车间西南侧，主要用于</w:t>
                  </w:r>
                  <w:r>
                    <w:rPr>
                      <w:rFonts w:hint="eastAsia" w:cs="Times New Roman"/>
                      <w:sz w:val="21"/>
                      <w:szCs w:val="21"/>
                      <w:highlight w:val="none"/>
                      <w:vertAlign w:val="baseline"/>
                      <w:lang w:val="en-US" w:eastAsia="zh-CN"/>
                    </w:rPr>
                    <w:t>产品</w:t>
                  </w:r>
                  <w:r>
                    <w:rPr>
                      <w:rFonts w:hint="default" w:ascii="Times New Roman" w:hAnsi="Times New Roman" w:eastAsia="宋体" w:cs="Times New Roman"/>
                      <w:sz w:val="21"/>
                      <w:szCs w:val="21"/>
                      <w:highlight w:val="none"/>
                      <w:vertAlign w:val="baseline"/>
                      <w:lang w:val="en-US" w:eastAsia="zh-CN"/>
                    </w:rPr>
                    <w:t>的储存</w:t>
                  </w:r>
                </w:p>
              </w:tc>
              <w:tc>
                <w:tcPr>
                  <w:tcW w:w="589" w:type="pct"/>
                  <w:tcBorders>
                    <w:tl2br w:val="nil"/>
                    <w:tr2bl w:val="nil"/>
                  </w:tcBorders>
                  <w:noWrap w:val="0"/>
                  <w:vAlign w:val="center"/>
                </w:tcPr>
                <w:p w14:paraId="1BA24456">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依托</w:t>
                  </w:r>
                  <w:r>
                    <w:rPr>
                      <w:rFonts w:hint="default" w:ascii="Times New Roman" w:hAnsi="Times New Roman" w:eastAsia="宋体" w:cs="Times New Roman"/>
                      <w:sz w:val="21"/>
                      <w:szCs w:val="21"/>
                      <w:highlight w:val="none"/>
                      <w:vertAlign w:val="baseline"/>
                      <w:lang w:val="en-US" w:eastAsia="zh-CN"/>
                    </w:rPr>
                    <w:t>现有厂房</w:t>
                  </w:r>
                </w:p>
              </w:tc>
            </w:tr>
            <w:tr w14:paraId="2114576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5BCC44A5">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tcBorders>
                    <w:tl2br w:val="nil"/>
                    <w:tr2bl w:val="nil"/>
                  </w:tcBorders>
                  <w:noWrap w:val="0"/>
                  <w:vAlign w:val="center"/>
                </w:tcPr>
                <w:p w14:paraId="3705F1AB">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罐区</w:t>
                  </w:r>
                </w:p>
              </w:tc>
              <w:tc>
                <w:tcPr>
                  <w:tcW w:w="3429" w:type="pct"/>
                  <w:tcBorders>
                    <w:tl2br w:val="nil"/>
                    <w:tr2bl w:val="nil"/>
                  </w:tcBorders>
                  <w:noWrap w:val="0"/>
                  <w:vAlign w:val="center"/>
                </w:tcPr>
                <w:p w14:paraId="019729E0">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场区北侧建有沥青储罐区，</w:t>
                  </w:r>
                  <w:r>
                    <w:rPr>
                      <w:rFonts w:hint="eastAsia" w:cs="Times New Roman"/>
                      <w:sz w:val="21"/>
                      <w:szCs w:val="21"/>
                      <w:highlight w:val="none"/>
                      <w:vertAlign w:val="baseline"/>
                      <w:lang w:val="en-US" w:eastAsia="zh-CN"/>
                    </w:rPr>
                    <w:t>一期已建设</w:t>
                  </w:r>
                  <w:r>
                    <w:rPr>
                      <w:rFonts w:hint="default" w:ascii="Times New Roman" w:hAnsi="Times New Roman" w:eastAsia="宋体" w:cs="Times New Roman"/>
                      <w:sz w:val="21"/>
                      <w:szCs w:val="21"/>
                      <w:highlight w:val="none"/>
                      <w:vertAlign w:val="baseline"/>
                      <w:lang w:val="en-US" w:eastAsia="zh-CN"/>
                    </w:rPr>
                    <w:t>沥青储罐3个，容积</w:t>
                  </w:r>
                  <w:r>
                    <w:rPr>
                      <w:rFonts w:hint="eastAsia" w:cs="Times New Roman"/>
                      <w:sz w:val="21"/>
                      <w:szCs w:val="21"/>
                      <w:highlight w:val="none"/>
                      <w:vertAlign w:val="baseline"/>
                      <w:lang w:val="en-US" w:eastAsia="zh-CN"/>
                    </w:rPr>
                    <w:t>2个500</w:t>
                  </w:r>
                  <w:r>
                    <w:rPr>
                      <w:rFonts w:hint="default" w:ascii="Times New Roman" w:hAnsi="Times New Roman" w:eastAsia="宋体" w:cs="Times New Roman"/>
                      <w:sz w:val="21"/>
                      <w:szCs w:val="21"/>
                      <w:highlight w:val="none"/>
                      <w:vertAlign w:val="baseline"/>
                      <w:lang w:val="en-US" w:eastAsia="zh-CN"/>
                    </w:rPr>
                    <w:t>m</w:t>
                  </w:r>
                  <w:r>
                    <w:rPr>
                      <w:rFonts w:hint="default" w:ascii="Times New Roman" w:hAnsi="Times New Roman" w:eastAsia="宋体" w:cs="Times New Roman"/>
                      <w:sz w:val="21"/>
                      <w:szCs w:val="21"/>
                      <w:highlight w:val="none"/>
                      <w:vertAlign w:val="superscript"/>
                      <w:lang w:val="en-US" w:eastAsia="zh-CN"/>
                    </w:rPr>
                    <w:t>3</w:t>
                  </w:r>
                  <w:r>
                    <w:rPr>
                      <w:rFonts w:hint="default" w:ascii="Times New Roman" w:hAnsi="Times New Roman" w:eastAsia="宋体" w:cs="Times New Roman"/>
                      <w:sz w:val="21"/>
                      <w:szCs w:val="21"/>
                      <w:highlight w:val="none"/>
                      <w:vertAlign w:val="baseline"/>
                      <w:lang w:val="en-US" w:eastAsia="zh-CN"/>
                    </w:rPr>
                    <w:t>、</w:t>
                  </w:r>
                  <w:r>
                    <w:rPr>
                      <w:rFonts w:hint="eastAsia" w:cs="Times New Roman"/>
                      <w:sz w:val="21"/>
                      <w:szCs w:val="21"/>
                      <w:highlight w:val="none"/>
                      <w:vertAlign w:val="baseline"/>
                      <w:lang w:val="en-US" w:eastAsia="zh-CN"/>
                    </w:rPr>
                    <w:t>1个150</w:t>
                  </w:r>
                  <w:r>
                    <w:rPr>
                      <w:rFonts w:hint="default" w:ascii="Times New Roman" w:hAnsi="Times New Roman" w:eastAsia="宋体" w:cs="Times New Roman"/>
                      <w:sz w:val="21"/>
                      <w:szCs w:val="21"/>
                      <w:highlight w:val="none"/>
                      <w:vertAlign w:val="baseli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589" w:type="pct"/>
                  <w:tcBorders>
                    <w:tl2br w:val="nil"/>
                    <w:tr2bl w:val="nil"/>
                  </w:tcBorders>
                  <w:noWrap w:val="0"/>
                  <w:vAlign w:val="center"/>
                </w:tcPr>
                <w:p w14:paraId="4B23414F">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依托</w:t>
                  </w:r>
                  <w:r>
                    <w:rPr>
                      <w:rFonts w:hint="eastAsia" w:ascii="Times New Roman" w:hAnsi="Times New Roman" w:eastAsia="宋体" w:cs="Times New Roman"/>
                      <w:sz w:val="21"/>
                      <w:szCs w:val="21"/>
                      <w:highlight w:val="none"/>
                      <w:vertAlign w:val="baseline"/>
                      <w:lang w:val="en-US" w:eastAsia="zh-CN"/>
                    </w:rPr>
                    <w:t>现有储罐</w:t>
                  </w:r>
                </w:p>
              </w:tc>
            </w:tr>
            <w:tr w14:paraId="6037495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57" w:type="pct"/>
                  <w:vMerge w:val="restart"/>
                  <w:tcBorders>
                    <w:tl2br w:val="nil"/>
                    <w:tr2bl w:val="nil"/>
                  </w:tcBorders>
                  <w:noWrap w:val="0"/>
                  <w:vAlign w:val="center"/>
                </w:tcPr>
                <w:p w14:paraId="7FD73549">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辅助工程</w:t>
                  </w:r>
                </w:p>
              </w:tc>
              <w:tc>
                <w:tcPr>
                  <w:tcW w:w="524" w:type="pct"/>
                  <w:tcBorders>
                    <w:tl2br w:val="nil"/>
                    <w:tr2bl w:val="nil"/>
                  </w:tcBorders>
                  <w:noWrap w:val="0"/>
                  <w:vAlign w:val="center"/>
                </w:tcPr>
                <w:p w14:paraId="5050621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办公室</w:t>
                  </w:r>
                </w:p>
              </w:tc>
              <w:tc>
                <w:tcPr>
                  <w:tcW w:w="3429" w:type="pct"/>
                  <w:tcBorders>
                    <w:tl2br w:val="nil"/>
                    <w:tr2bl w:val="nil"/>
                  </w:tcBorders>
                  <w:noWrap w:val="0"/>
                  <w:vAlign w:val="center"/>
                </w:tcPr>
                <w:p w14:paraId="2DD0BD6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依托一项目的</w:t>
                  </w:r>
                  <w:r>
                    <w:rPr>
                      <w:rFonts w:hint="default" w:ascii="Times New Roman" w:hAnsi="Times New Roman" w:eastAsia="宋体" w:cs="Times New Roman"/>
                      <w:sz w:val="21"/>
                      <w:szCs w:val="21"/>
                      <w:highlight w:val="none"/>
                      <w:vertAlign w:val="baseline"/>
                      <w:lang w:val="en-US" w:eastAsia="zh-CN"/>
                    </w:rPr>
                    <w:t>办公楼</w:t>
                  </w:r>
                  <w:r>
                    <w:rPr>
                      <w:rFonts w:hint="eastAsia"/>
                      <w:lang w:eastAsia="zh-CN"/>
                    </w:rPr>
                    <w:t>，</w:t>
                  </w:r>
                  <w:r>
                    <w:rPr>
                      <w:rFonts w:hint="eastAsia"/>
                      <w:lang w:val="en-US" w:eastAsia="zh-CN"/>
                    </w:rPr>
                    <w:t>占地面积为200m</w:t>
                  </w:r>
                  <w:r>
                    <w:rPr>
                      <w:rFonts w:hint="eastAsia"/>
                      <w:vertAlign w:val="superscript"/>
                      <w:lang w:val="en-US" w:eastAsia="zh-CN"/>
                    </w:rPr>
                    <w:t>2</w:t>
                  </w:r>
                </w:p>
              </w:tc>
              <w:tc>
                <w:tcPr>
                  <w:tcW w:w="589" w:type="pct"/>
                  <w:tcBorders>
                    <w:tl2br w:val="nil"/>
                    <w:tr2bl w:val="nil"/>
                  </w:tcBorders>
                  <w:noWrap w:val="0"/>
                  <w:vAlign w:val="center"/>
                </w:tcPr>
                <w:p w14:paraId="4FDBF73A">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依托</w:t>
                  </w:r>
                </w:p>
              </w:tc>
            </w:tr>
            <w:tr w14:paraId="00C4C8F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57" w:type="pct"/>
                  <w:vMerge w:val="continue"/>
                  <w:tcBorders>
                    <w:tl2br w:val="nil"/>
                    <w:tr2bl w:val="nil"/>
                  </w:tcBorders>
                  <w:noWrap w:val="0"/>
                  <w:vAlign w:val="center"/>
                </w:tcPr>
                <w:p w14:paraId="442B1EA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tcBorders>
                    <w:tl2br w:val="nil"/>
                    <w:tr2bl w:val="nil"/>
                  </w:tcBorders>
                  <w:noWrap w:val="0"/>
                  <w:vAlign w:val="center"/>
                </w:tcPr>
                <w:p w14:paraId="11C67C6A">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宿舍</w:t>
                  </w:r>
                </w:p>
              </w:tc>
              <w:tc>
                <w:tcPr>
                  <w:tcW w:w="3429" w:type="pct"/>
                  <w:tcBorders>
                    <w:tl2br w:val="nil"/>
                    <w:tr2bl w:val="nil"/>
                  </w:tcBorders>
                  <w:noWrap w:val="0"/>
                  <w:vAlign w:val="center"/>
                </w:tcPr>
                <w:p w14:paraId="023DC573">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依托一期项目的</w:t>
                  </w:r>
                  <w:r>
                    <w:rPr>
                      <w:rFonts w:hint="eastAsia" w:ascii="Times New Roman" w:hAnsi="Times New Roman" w:eastAsia="宋体" w:cs="Times New Roman"/>
                      <w:sz w:val="21"/>
                      <w:szCs w:val="21"/>
                      <w:highlight w:val="none"/>
                      <w:vertAlign w:val="baseline"/>
                      <w:lang w:val="en-US" w:eastAsia="zh-CN"/>
                    </w:rPr>
                    <w:t>宿舍</w:t>
                  </w:r>
                  <w:r>
                    <w:rPr>
                      <w:rFonts w:hint="eastAsia"/>
                      <w:lang w:eastAsia="zh-CN"/>
                    </w:rPr>
                    <w:t>，</w:t>
                  </w:r>
                  <w:r>
                    <w:rPr>
                      <w:rFonts w:hint="eastAsia"/>
                      <w:lang w:val="en-US" w:eastAsia="zh-CN"/>
                    </w:rPr>
                    <w:t>与办公楼在一栋，位于3楼</w:t>
                  </w:r>
                </w:p>
              </w:tc>
              <w:tc>
                <w:tcPr>
                  <w:tcW w:w="589" w:type="pct"/>
                  <w:tcBorders>
                    <w:tl2br w:val="nil"/>
                    <w:tr2bl w:val="nil"/>
                  </w:tcBorders>
                  <w:noWrap w:val="0"/>
                  <w:vAlign w:val="center"/>
                </w:tcPr>
                <w:p w14:paraId="0C2677B1">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依托</w:t>
                  </w:r>
                </w:p>
              </w:tc>
            </w:tr>
            <w:tr w14:paraId="29A1649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1D9CEE6F">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tcBorders>
                    <w:tl2br w:val="nil"/>
                    <w:tr2bl w:val="nil"/>
                  </w:tcBorders>
                  <w:noWrap w:val="0"/>
                  <w:vAlign w:val="center"/>
                </w:tcPr>
                <w:p w14:paraId="5B5F3ACE">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食堂</w:t>
                  </w:r>
                </w:p>
              </w:tc>
              <w:tc>
                <w:tcPr>
                  <w:tcW w:w="3429" w:type="pct"/>
                  <w:tcBorders>
                    <w:tl2br w:val="nil"/>
                    <w:tr2bl w:val="nil"/>
                  </w:tcBorders>
                  <w:noWrap w:val="0"/>
                  <w:vAlign w:val="center"/>
                </w:tcPr>
                <w:p w14:paraId="2DAD8B51">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依托</w:t>
                  </w:r>
                  <w:r>
                    <w:rPr>
                      <w:rFonts w:hint="default" w:ascii="Times New Roman" w:hAnsi="Times New Roman" w:eastAsia="宋体" w:cs="Times New Roman"/>
                      <w:sz w:val="21"/>
                      <w:szCs w:val="21"/>
                      <w:highlight w:val="none"/>
                      <w:vertAlign w:val="baseline"/>
                      <w:lang w:val="en-US" w:eastAsia="zh-CN"/>
                    </w:rPr>
                    <w:t>一期</w:t>
                  </w:r>
                  <w:r>
                    <w:rPr>
                      <w:rFonts w:hint="eastAsia" w:cs="Times New Roman"/>
                      <w:sz w:val="21"/>
                      <w:szCs w:val="21"/>
                      <w:highlight w:val="none"/>
                      <w:vertAlign w:val="baseline"/>
                      <w:lang w:val="en-US" w:eastAsia="zh-CN"/>
                    </w:rPr>
                    <w:t>项目的</w:t>
                  </w:r>
                  <w:r>
                    <w:rPr>
                      <w:rFonts w:hint="default" w:ascii="Times New Roman" w:hAnsi="Times New Roman" w:eastAsia="宋体" w:cs="Times New Roman"/>
                      <w:sz w:val="21"/>
                      <w:szCs w:val="21"/>
                      <w:highlight w:val="none"/>
                      <w:vertAlign w:val="baseline"/>
                      <w:lang w:val="en-US" w:eastAsia="zh-CN"/>
                    </w:rPr>
                    <w:t>共用</w:t>
                  </w:r>
                  <w:r>
                    <w:rPr>
                      <w:rFonts w:hint="eastAsia" w:ascii="Times New Roman" w:hAnsi="Times New Roman" w:eastAsia="宋体" w:cs="Times New Roman"/>
                      <w:sz w:val="21"/>
                      <w:szCs w:val="21"/>
                      <w:highlight w:val="none"/>
                      <w:vertAlign w:val="baseline"/>
                      <w:lang w:val="en-US" w:eastAsia="zh-CN"/>
                    </w:rPr>
                    <w:t>食堂</w:t>
                  </w:r>
                  <w:r>
                    <w:rPr>
                      <w:rFonts w:hint="eastAsia" w:cs="Times New Roman"/>
                      <w:sz w:val="21"/>
                      <w:szCs w:val="21"/>
                      <w:highlight w:val="none"/>
                      <w:vertAlign w:val="baseline"/>
                      <w:lang w:val="en-US" w:eastAsia="zh-CN"/>
                    </w:rPr>
                    <w:t>，</w:t>
                  </w:r>
                  <w:r>
                    <w:rPr>
                      <w:rFonts w:hint="eastAsia"/>
                      <w:lang w:val="en-US" w:eastAsia="zh-CN"/>
                    </w:rPr>
                    <w:t>与办公楼在一栋，位于1楼</w:t>
                  </w:r>
                </w:p>
              </w:tc>
              <w:tc>
                <w:tcPr>
                  <w:tcW w:w="589" w:type="pct"/>
                  <w:tcBorders>
                    <w:tl2br w:val="nil"/>
                    <w:tr2bl w:val="nil"/>
                  </w:tcBorders>
                  <w:noWrap w:val="0"/>
                  <w:vAlign w:val="center"/>
                </w:tcPr>
                <w:p w14:paraId="40C3F8B5">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依托</w:t>
                  </w:r>
                </w:p>
              </w:tc>
            </w:tr>
            <w:tr w14:paraId="6A3411C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restart"/>
                  <w:tcBorders>
                    <w:tl2br w:val="nil"/>
                    <w:tr2bl w:val="nil"/>
                  </w:tcBorders>
                  <w:noWrap w:val="0"/>
                  <w:vAlign w:val="center"/>
                </w:tcPr>
                <w:p w14:paraId="35EB39F1">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公用工程</w:t>
                  </w:r>
                </w:p>
              </w:tc>
              <w:tc>
                <w:tcPr>
                  <w:tcW w:w="524" w:type="pct"/>
                  <w:tcBorders>
                    <w:tl2br w:val="nil"/>
                    <w:tr2bl w:val="nil"/>
                  </w:tcBorders>
                  <w:noWrap w:val="0"/>
                  <w:vAlign w:val="center"/>
                </w:tcPr>
                <w:p w14:paraId="34807546">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给水</w:t>
                  </w:r>
                </w:p>
              </w:tc>
              <w:tc>
                <w:tcPr>
                  <w:tcW w:w="3429" w:type="pct"/>
                  <w:tcBorders>
                    <w:tl2br w:val="nil"/>
                    <w:tr2bl w:val="nil"/>
                  </w:tcBorders>
                  <w:noWrap w:val="0"/>
                  <w:vAlign w:val="center"/>
                </w:tcPr>
                <w:p w14:paraId="1F140294">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cs="Times New Roman"/>
                      <w:szCs w:val="21"/>
                      <w:highlight w:val="none"/>
                    </w:rPr>
                    <w:t>由园区供水管网接入</w:t>
                  </w:r>
                </w:p>
              </w:tc>
              <w:tc>
                <w:tcPr>
                  <w:tcW w:w="589" w:type="pct"/>
                  <w:tcBorders>
                    <w:tl2br w:val="nil"/>
                    <w:tr2bl w:val="nil"/>
                  </w:tcBorders>
                  <w:noWrap w:val="0"/>
                  <w:vAlign w:val="center"/>
                </w:tcPr>
                <w:p w14:paraId="5C92C5A3">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依托</w:t>
                  </w:r>
                </w:p>
              </w:tc>
            </w:tr>
            <w:tr w14:paraId="517284B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13B0F4E4">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tcBorders>
                    <w:tl2br w:val="nil"/>
                    <w:tr2bl w:val="nil"/>
                  </w:tcBorders>
                  <w:noWrap w:val="0"/>
                  <w:vAlign w:val="center"/>
                </w:tcPr>
                <w:p w14:paraId="4E3F2A14">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排水</w:t>
                  </w:r>
                </w:p>
              </w:tc>
              <w:tc>
                <w:tcPr>
                  <w:tcW w:w="3429" w:type="pct"/>
                  <w:tcBorders>
                    <w:tl2br w:val="nil"/>
                    <w:tr2bl w:val="nil"/>
                  </w:tcBorders>
                  <w:noWrap w:val="0"/>
                  <w:vAlign w:val="center"/>
                </w:tcPr>
                <w:p w14:paraId="34C95D2A">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Cs w:val="21"/>
                      <w:highlight w:val="none"/>
                      <w:lang w:val="en-US" w:eastAsia="zh-CN"/>
                    </w:rPr>
                    <w:t>生活污水排入园区污水管网，最终进入高新区海天污水处理厂处理</w:t>
                  </w:r>
                  <w:r>
                    <w:rPr>
                      <w:rFonts w:hint="eastAsia" w:cs="Times New Roman"/>
                      <w:szCs w:val="21"/>
                      <w:highlight w:val="none"/>
                      <w:lang w:val="en-US" w:eastAsia="zh-CN"/>
                    </w:rPr>
                    <w:t>；废气处理设施排水经隔油沉淀池收集，油水分离处理后循环使用，不外排</w:t>
                  </w:r>
                  <w:r>
                    <w:rPr>
                      <w:rFonts w:hint="eastAsia"/>
                      <w:lang w:eastAsia="zh-CN"/>
                    </w:rPr>
                    <w:t>；</w:t>
                  </w:r>
                  <w:r>
                    <w:rPr>
                      <w:rFonts w:hint="eastAsia"/>
                      <w:lang w:val="en-US" w:eastAsia="zh-CN"/>
                    </w:rPr>
                    <w:t>冷却循环水排入沉淀池后循环使用。</w:t>
                  </w:r>
                </w:p>
              </w:tc>
              <w:tc>
                <w:tcPr>
                  <w:tcW w:w="589" w:type="pct"/>
                  <w:tcBorders>
                    <w:tl2br w:val="nil"/>
                    <w:tr2bl w:val="nil"/>
                  </w:tcBorders>
                  <w:noWrap w:val="0"/>
                  <w:vAlign w:val="center"/>
                </w:tcPr>
                <w:p w14:paraId="52ECC625">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依托</w:t>
                  </w:r>
                </w:p>
              </w:tc>
            </w:tr>
            <w:tr w14:paraId="0A33C13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21B5F025">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tcBorders>
                    <w:tl2br w:val="nil"/>
                    <w:tr2bl w:val="nil"/>
                  </w:tcBorders>
                  <w:noWrap w:val="0"/>
                  <w:vAlign w:val="center"/>
                </w:tcPr>
                <w:p w14:paraId="79BF57B6">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供电</w:t>
                  </w:r>
                </w:p>
              </w:tc>
              <w:tc>
                <w:tcPr>
                  <w:tcW w:w="3429" w:type="pct"/>
                  <w:tcBorders>
                    <w:tl2br w:val="nil"/>
                    <w:tr2bl w:val="nil"/>
                  </w:tcBorders>
                  <w:noWrap w:val="0"/>
                  <w:vAlign w:val="center"/>
                </w:tcPr>
                <w:p w14:paraId="379A8C9E">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cs="Times New Roman"/>
                      <w:szCs w:val="21"/>
                      <w:highlight w:val="none"/>
                    </w:rPr>
                    <w:t>由园区供电管网接入</w:t>
                  </w:r>
                </w:p>
              </w:tc>
              <w:tc>
                <w:tcPr>
                  <w:tcW w:w="589" w:type="pct"/>
                  <w:tcBorders>
                    <w:tl2br w:val="nil"/>
                    <w:tr2bl w:val="nil"/>
                  </w:tcBorders>
                  <w:noWrap w:val="0"/>
                  <w:vAlign w:val="center"/>
                </w:tcPr>
                <w:p w14:paraId="6AC51E88">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依托</w:t>
                  </w:r>
                </w:p>
              </w:tc>
            </w:tr>
            <w:tr w14:paraId="7F23E2A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0F1343EF">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tcBorders>
                    <w:tl2br w:val="nil"/>
                    <w:tr2bl w:val="nil"/>
                  </w:tcBorders>
                  <w:noWrap w:val="0"/>
                  <w:vAlign w:val="center"/>
                </w:tcPr>
                <w:p w14:paraId="03551510">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生产</w:t>
                  </w:r>
                  <w:r>
                    <w:rPr>
                      <w:rFonts w:hint="default" w:ascii="Times New Roman" w:hAnsi="Times New Roman" w:eastAsia="宋体" w:cs="Times New Roman"/>
                      <w:sz w:val="21"/>
                      <w:szCs w:val="21"/>
                      <w:highlight w:val="none"/>
                      <w:vertAlign w:val="baseline"/>
                      <w:lang w:val="en-US" w:eastAsia="zh-CN"/>
                    </w:rPr>
                    <w:t>供热</w:t>
                  </w:r>
                </w:p>
              </w:tc>
              <w:tc>
                <w:tcPr>
                  <w:tcW w:w="3429" w:type="pct"/>
                  <w:tcBorders>
                    <w:tl2br w:val="nil"/>
                    <w:tr2bl w:val="nil"/>
                  </w:tcBorders>
                  <w:noWrap w:val="0"/>
                  <w:vAlign w:val="center"/>
                </w:tcPr>
                <w:p w14:paraId="51CF58A3">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Cs w:val="21"/>
                      <w:highlight w:val="none"/>
                      <w:lang w:val="en-US" w:eastAsia="zh-CN"/>
                    </w:rPr>
                    <w:t>生活供热为电采暖，生产供热依托项目一期2000kw的天然气导热油炉。</w:t>
                  </w:r>
                </w:p>
              </w:tc>
              <w:tc>
                <w:tcPr>
                  <w:tcW w:w="589" w:type="pct"/>
                  <w:tcBorders>
                    <w:tl2br w:val="nil"/>
                    <w:tr2bl w:val="nil"/>
                  </w:tcBorders>
                  <w:noWrap w:val="0"/>
                  <w:vAlign w:val="center"/>
                </w:tcPr>
                <w:p w14:paraId="21C1DDCA">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依托</w:t>
                  </w:r>
                </w:p>
              </w:tc>
            </w:tr>
            <w:tr w14:paraId="38B764C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1" w:hRule="atLeast"/>
              </w:trPr>
              <w:tc>
                <w:tcPr>
                  <w:tcW w:w="457" w:type="pct"/>
                  <w:vMerge w:val="restart"/>
                  <w:tcBorders>
                    <w:tl2br w:val="nil"/>
                    <w:tr2bl w:val="nil"/>
                  </w:tcBorders>
                  <w:noWrap w:val="0"/>
                  <w:vAlign w:val="center"/>
                </w:tcPr>
                <w:p w14:paraId="6D086A77">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环保工程</w:t>
                  </w:r>
                </w:p>
              </w:tc>
              <w:tc>
                <w:tcPr>
                  <w:tcW w:w="524" w:type="pct"/>
                  <w:vMerge w:val="restart"/>
                  <w:tcBorders>
                    <w:tl2br w:val="nil"/>
                    <w:tr2bl w:val="nil"/>
                  </w:tcBorders>
                  <w:noWrap w:val="0"/>
                  <w:vAlign w:val="center"/>
                </w:tcPr>
                <w:p w14:paraId="15AFFB5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废气处理</w:t>
                  </w:r>
                </w:p>
              </w:tc>
              <w:tc>
                <w:tcPr>
                  <w:tcW w:w="3429" w:type="pct"/>
                  <w:tcBorders>
                    <w:tl2br w:val="nil"/>
                    <w:tr2bl w:val="nil"/>
                  </w:tcBorders>
                  <w:noWrap w:val="0"/>
                  <w:vAlign w:val="center"/>
                </w:tcPr>
                <w:p w14:paraId="247D3D5C">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lang w:val="en-US" w:eastAsia="zh-CN"/>
                    </w:rPr>
                    <w:t>由集气罩</w:t>
                  </w:r>
                  <w:r>
                    <w:rPr>
                      <w:rFonts w:hint="eastAsia" w:ascii="Times New Roman" w:hAnsi="Times New Roman" w:cs="Times New Roman"/>
                      <w:sz w:val="21"/>
                      <w:szCs w:val="21"/>
                      <w:highlight w:val="none"/>
                      <w:lang w:val="en-US" w:eastAsia="zh-CN"/>
                    </w:rPr>
                    <w:t>对搅拌、浸涂、覆膜工序</w:t>
                  </w:r>
                  <w:r>
                    <w:rPr>
                      <w:rFonts w:hint="eastAsia" w:cs="Times New Roman"/>
                      <w:sz w:val="21"/>
                      <w:szCs w:val="21"/>
                      <w:highlight w:val="none"/>
                      <w:lang w:val="en-US" w:eastAsia="zh-CN"/>
                    </w:rPr>
                    <w:t>、沥青储罐</w:t>
                  </w:r>
                  <w:r>
                    <w:rPr>
                      <w:rFonts w:hint="eastAsia" w:ascii="Times New Roman" w:hAnsi="Times New Roman" w:cs="Times New Roman"/>
                      <w:sz w:val="21"/>
                      <w:szCs w:val="21"/>
                      <w:highlight w:val="none"/>
                      <w:lang w:val="en-US" w:eastAsia="zh-CN"/>
                    </w:rPr>
                    <w:t>产生的废气</w:t>
                  </w:r>
                  <w:r>
                    <w:rPr>
                      <w:rFonts w:hint="eastAsia" w:cs="Times New Roman"/>
                      <w:sz w:val="21"/>
                      <w:szCs w:val="21"/>
                      <w:highlight w:val="none"/>
                      <w:lang w:val="en-US" w:eastAsia="zh-CN"/>
                    </w:rPr>
                    <w:t>由集气罩收集，收集后依托</w:t>
                  </w:r>
                  <w:r>
                    <w:rPr>
                      <w:rFonts w:hint="eastAsia" w:ascii="Times New Roman" w:hAnsi="Times New Roman" w:eastAsia="宋体" w:cs="Times New Roman"/>
                      <w:sz w:val="21"/>
                      <w:szCs w:val="21"/>
                      <w:highlight w:val="none"/>
                      <w:lang w:val="en-US" w:eastAsia="zh-CN"/>
                    </w:rPr>
                    <w:t>1</w:t>
                  </w:r>
                  <w:r>
                    <w:rPr>
                      <w:rFonts w:hint="eastAsia" w:cs="Times New Roman"/>
                      <w:sz w:val="21"/>
                      <w:szCs w:val="21"/>
                      <w:highlight w:val="none"/>
                      <w:lang w:val="en-US" w:eastAsia="zh-CN"/>
                    </w:rPr>
                    <w:t>期</w:t>
                  </w:r>
                  <w:r>
                    <w:rPr>
                      <w:rFonts w:hint="eastAsia" w:ascii="Times New Roman" w:hAnsi="Times New Roman" w:eastAsia="宋体" w:cs="Times New Roman"/>
                      <w:sz w:val="21"/>
                      <w:szCs w:val="21"/>
                      <w:highlight w:val="none"/>
                      <w:lang w:val="en-US" w:eastAsia="zh-CN"/>
                    </w:rPr>
                    <w:t>水喷淋</w:t>
                  </w:r>
                  <w:r>
                    <w:rPr>
                      <w:rFonts w:hint="default" w:ascii="Times New Roman" w:hAnsi="Times New Roman" w:cs="Times New Roman"/>
                      <w:sz w:val="21"/>
                      <w:szCs w:val="21"/>
                      <w:highlight w:val="none"/>
                      <w:lang w:val="en-US" w:eastAsia="zh-CN"/>
                    </w:rPr>
                    <w:t>+</w:t>
                  </w:r>
                  <w:r>
                    <w:rPr>
                      <w:rFonts w:hint="eastAsia" w:cs="Times New Roman"/>
                      <w:sz w:val="21"/>
                      <w:szCs w:val="21"/>
                      <w:highlight w:val="none"/>
                      <w:lang w:val="en-US" w:eastAsia="zh-CN"/>
                    </w:rPr>
                    <w:t>电捕焦油器</w:t>
                  </w:r>
                  <w:r>
                    <w:rPr>
                      <w:rFonts w:hint="eastAsia" w:ascii="Times New Roman" w:hAnsi="Times New Roman" w:cs="Times New Roman"/>
                      <w:sz w:val="21"/>
                      <w:szCs w:val="21"/>
                      <w:highlight w:val="none"/>
                      <w:lang w:val="en-US" w:eastAsia="zh-CN"/>
                    </w:rPr>
                    <w:t>+活性炭吸附工艺处理，处理后</w:t>
                  </w:r>
                  <w:r>
                    <w:rPr>
                      <w:rFonts w:hint="eastAsia"/>
                      <w:sz w:val="21"/>
                      <w:szCs w:val="21"/>
                      <w:highlight w:val="none"/>
                      <w:lang w:val="en-US" w:eastAsia="zh-CN"/>
                    </w:rPr>
                    <w:t>通过一期已建设20</w:t>
                  </w:r>
                  <w:r>
                    <w:rPr>
                      <w:rFonts w:hint="default" w:eastAsia="宋体"/>
                      <w:sz w:val="21"/>
                      <w:szCs w:val="21"/>
                      <w:highlight w:val="none"/>
                      <w:lang w:val="en-US" w:eastAsia="zh-CN"/>
                    </w:rPr>
                    <w:t>m排气筒</w:t>
                  </w:r>
                  <w:r>
                    <w:rPr>
                      <w:rFonts w:hint="eastAsia" w:ascii="Times New Roman" w:hAnsi="Times New Roman" w:eastAsia="宋体" w:cs="Times New Roman"/>
                      <w:sz w:val="21"/>
                      <w:szCs w:val="21"/>
                      <w:highlight w:val="none"/>
                      <w:vertAlign w:val="baseline"/>
                      <w:lang w:val="en-US" w:eastAsia="zh-CN"/>
                    </w:rPr>
                    <w:t>排放</w:t>
                  </w:r>
                </w:p>
              </w:tc>
              <w:tc>
                <w:tcPr>
                  <w:tcW w:w="589" w:type="pct"/>
                  <w:vMerge w:val="restart"/>
                  <w:tcBorders>
                    <w:tl2br w:val="nil"/>
                    <w:tr2bl w:val="nil"/>
                  </w:tcBorders>
                  <w:noWrap w:val="0"/>
                  <w:vAlign w:val="center"/>
                </w:tcPr>
                <w:p w14:paraId="2B9F7EC6">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依托</w:t>
                  </w:r>
                </w:p>
              </w:tc>
            </w:tr>
            <w:tr w14:paraId="1778B1E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1" w:hRule="atLeast"/>
              </w:trPr>
              <w:tc>
                <w:tcPr>
                  <w:tcW w:w="457" w:type="pct"/>
                  <w:vMerge w:val="continue"/>
                  <w:tcBorders>
                    <w:tl2br w:val="nil"/>
                    <w:tr2bl w:val="nil"/>
                  </w:tcBorders>
                  <w:noWrap w:val="0"/>
                  <w:vAlign w:val="center"/>
                </w:tcPr>
                <w:p w14:paraId="083A4053">
                  <w:pPr>
                    <w:adjustRightInd w:val="0"/>
                    <w:snapToGrid w:val="0"/>
                    <w:spacing w:line="240" w:lineRule="auto"/>
                    <w:jc w:val="center"/>
                  </w:pPr>
                </w:p>
              </w:tc>
              <w:tc>
                <w:tcPr>
                  <w:tcW w:w="524" w:type="pct"/>
                  <w:vMerge w:val="continue"/>
                  <w:tcBorders>
                    <w:tl2br w:val="nil"/>
                    <w:tr2bl w:val="nil"/>
                  </w:tcBorders>
                  <w:noWrap w:val="0"/>
                  <w:vAlign w:val="center"/>
                </w:tcPr>
                <w:p w14:paraId="6476BF39">
                  <w:pPr>
                    <w:adjustRightInd w:val="0"/>
                    <w:snapToGrid w:val="0"/>
                    <w:spacing w:line="240" w:lineRule="auto"/>
                    <w:jc w:val="center"/>
                  </w:pPr>
                </w:p>
              </w:tc>
              <w:tc>
                <w:tcPr>
                  <w:tcW w:w="3429" w:type="pct"/>
                  <w:tcBorders>
                    <w:tl2br w:val="nil"/>
                    <w:tr2bl w:val="nil"/>
                  </w:tcBorders>
                  <w:noWrap w:val="0"/>
                  <w:vAlign w:val="center"/>
                </w:tcPr>
                <w:p w14:paraId="42C84936">
                  <w:pPr>
                    <w:numPr>
                      <w:ilvl w:val="0"/>
                      <w:numId w:val="0"/>
                    </w:numPr>
                    <w:adjustRightInd w:val="0"/>
                    <w:snapToGrid w:val="0"/>
                    <w:spacing w:line="240" w:lineRule="auto"/>
                    <w:jc w:val="center"/>
                    <w:rPr>
                      <w:rFonts w:hint="default" w:cs="Times New Roman"/>
                      <w:sz w:val="21"/>
                      <w:szCs w:val="21"/>
                      <w:highlight w:val="none"/>
                      <w:lang w:val="en-US" w:eastAsia="zh-CN"/>
                    </w:rPr>
                  </w:pPr>
                  <w:r>
                    <w:rPr>
                      <w:rFonts w:hint="eastAsia" w:cs="Times New Roman"/>
                      <w:sz w:val="21"/>
                      <w:szCs w:val="21"/>
                      <w:highlight w:val="none"/>
                      <w:lang w:val="en-US" w:eastAsia="zh-CN"/>
                    </w:rPr>
                    <w:t>导热油炉燃烧废气经过低氮燃烧处理后通过12m高排气筒排放</w:t>
                  </w:r>
                </w:p>
              </w:tc>
              <w:tc>
                <w:tcPr>
                  <w:tcW w:w="589" w:type="pct"/>
                  <w:vMerge w:val="continue"/>
                  <w:tcBorders>
                    <w:tl2br w:val="nil"/>
                    <w:tr2bl w:val="nil"/>
                  </w:tcBorders>
                  <w:noWrap w:val="0"/>
                  <w:vAlign w:val="center"/>
                </w:tcPr>
                <w:p w14:paraId="095B3577">
                  <w:pPr>
                    <w:adjustRightInd w:val="0"/>
                    <w:snapToGrid w:val="0"/>
                    <w:spacing w:line="240" w:lineRule="auto"/>
                    <w:jc w:val="center"/>
                    <w:rPr>
                      <w:rFonts w:hint="eastAsia" w:cs="Times New Roman"/>
                      <w:sz w:val="21"/>
                      <w:szCs w:val="21"/>
                      <w:highlight w:val="none"/>
                      <w:lang w:val="en-US" w:eastAsia="zh-CN"/>
                    </w:rPr>
                  </w:pPr>
                </w:p>
              </w:tc>
            </w:tr>
            <w:tr w14:paraId="3E76954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54D021BF">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tcBorders>
                    <w:tl2br w:val="nil"/>
                    <w:tr2bl w:val="nil"/>
                  </w:tcBorders>
                  <w:noWrap w:val="0"/>
                  <w:vAlign w:val="center"/>
                </w:tcPr>
                <w:p w14:paraId="5977BC3B">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废水处理</w:t>
                  </w:r>
                </w:p>
              </w:tc>
              <w:tc>
                <w:tcPr>
                  <w:tcW w:w="3429" w:type="pct"/>
                  <w:tcBorders>
                    <w:tl2br w:val="nil"/>
                    <w:tr2bl w:val="nil"/>
                  </w:tcBorders>
                  <w:noWrap w:val="0"/>
                  <w:vAlign w:val="center"/>
                </w:tcPr>
                <w:p w14:paraId="761AA599">
                  <w:pPr>
                    <w:numPr>
                      <w:ilvl w:val="0"/>
                      <w:numId w:val="0"/>
                    </w:numPr>
                    <w:adjustRightInd w:val="0"/>
                    <w:snapToGrid w:val="0"/>
                    <w:spacing w:line="240" w:lineRule="auto"/>
                    <w:jc w:val="center"/>
                    <w:rPr>
                      <w:rFonts w:hint="eastAsia"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生活污水排入园区污水管网，最终进入</w:t>
                  </w:r>
                  <w:r>
                    <w:rPr>
                      <w:rFonts w:hint="eastAsia"/>
                      <w:lang w:val="en-US" w:eastAsia="zh-CN"/>
                    </w:rPr>
                    <w:t>高新区海天污水处理厂</w:t>
                  </w:r>
                  <w:r>
                    <w:rPr>
                      <w:rFonts w:hint="default" w:ascii="Times New Roman" w:hAnsi="Times New Roman" w:eastAsia="宋体" w:cs="Times New Roman"/>
                      <w:sz w:val="21"/>
                      <w:szCs w:val="21"/>
                      <w:highlight w:val="none"/>
                      <w:lang w:val="en-US" w:eastAsia="zh-CN"/>
                    </w:rPr>
                    <w:t>处理</w:t>
                  </w:r>
                  <w:r>
                    <w:rPr>
                      <w:rFonts w:hint="eastAsia" w:cs="Times New Roman"/>
                      <w:sz w:val="21"/>
                      <w:szCs w:val="21"/>
                      <w:highlight w:val="none"/>
                      <w:lang w:val="en-US" w:eastAsia="zh-CN"/>
                    </w:rPr>
                    <w:t>；废气处理设施排水经隔油沉淀池收集，油水分离处理后循环使用，不外排</w:t>
                  </w:r>
                  <w:r>
                    <w:rPr>
                      <w:rFonts w:hint="eastAsia"/>
                      <w:lang w:eastAsia="zh-CN"/>
                    </w:rPr>
                    <w:t>；</w:t>
                  </w:r>
                  <w:r>
                    <w:rPr>
                      <w:rFonts w:hint="eastAsia"/>
                      <w:lang w:val="en-US" w:eastAsia="zh-CN"/>
                    </w:rPr>
                    <w:t>冷却循环水排入沉淀池后循环使用。</w:t>
                  </w:r>
                </w:p>
              </w:tc>
              <w:tc>
                <w:tcPr>
                  <w:tcW w:w="589" w:type="pct"/>
                  <w:tcBorders>
                    <w:tl2br w:val="nil"/>
                    <w:tr2bl w:val="nil"/>
                  </w:tcBorders>
                  <w:noWrap w:val="0"/>
                  <w:vAlign w:val="center"/>
                </w:tcPr>
                <w:p w14:paraId="6714AEA5">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依托</w:t>
                  </w:r>
                </w:p>
              </w:tc>
            </w:tr>
            <w:tr w14:paraId="63C5F47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3C546652">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tcBorders>
                    <w:tl2br w:val="nil"/>
                    <w:tr2bl w:val="nil"/>
                  </w:tcBorders>
                  <w:noWrap w:val="0"/>
                  <w:vAlign w:val="center"/>
                </w:tcPr>
                <w:p w14:paraId="1F26B7B3">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噪声治理</w:t>
                  </w:r>
                </w:p>
              </w:tc>
              <w:tc>
                <w:tcPr>
                  <w:tcW w:w="3429" w:type="pct"/>
                  <w:tcBorders>
                    <w:tl2br w:val="nil"/>
                    <w:tr2bl w:val="nil"/>
                  </w:tcBorders>
                  <w:noWrap w:val="0"/>
                  <w:vAlign w:val="center"/>
                </w:tcPr>
                <w:p w14:paraId="47B7DFB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选用低噪声设备，设备基础减振，采取厂房隔音等措施降噪</w:t>
                  </w:r>
                </w:p>
              </w:tc>
              <w:tc>
                <w:tcPr>
                  <w:tcW w:w="589" w:type="pct"/>
                  <w:tcBorders>
                    <w:tl2br w:val="nil"/>
                    <w:tr2bl w:val="nil"/>
                  </w:tcBorders>
                  <w:noWrap w:val="0"/>
                  <w:vAlign w:val="center"/>
                </w:tcPr>
                <w:p w14:paraId="0D78A3C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新建</w:t>
                  </w:r>
                </w:p>
              </w:tc>
            </w:tr>
            <w:tr w14:paraId="61F4BC2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6785DA3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vMerge w:val="restart"/>
                  <w:tcBorders>
                    <w:tl2br w:val="nil"/>
                    <w:tr2bl w:val="nil"/>
                  </w:tcBorders>
                  <w:noWrap w:val="0"/>
                  <w:vAlign w:val="center"/>
                </w:tcPr>
                <w:p w14:paraId="3207A76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固废处置</w:t>
                  </w:r>
                </w:p>
              </w:tc>
              <w:tc>
                <w:tcPr>
                  <w:tcW w:w="3429" w:type="pct"/>
                  <w:tcBorders>
                    <w:tl2br w:val="nil"/>
                    <w:tr2bl w:val="nil"/>
                  </w:tcBorders>
                  <w:noWrap w:val="0"/>
                  <w:vAlign w:val="center"/>
                </w:tcPr>
                <w:p w14:paraId="76648618">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废弃包装</w:t>
                  </w:r>
                  <w:r>
                    <w:rPr>
                      <w:rFonts w:hint="eastAsia" w:ascii="Times New Roman" w:hAnsi="Times New Roman" w:eastAsia="宋体" w:cs="Times New Roman"/>
                      <w:sz w:val="21"/>
                      <w:szCs w:val="21"/>
                      <w:highlight w:val="none"/>
                      <w:vertAlign w:val="baseline"/>
                      <w:lang w:val="en-US" w:eastAsia="zh-CN"/>
                    </w:rPr>
                    <w:t>统一</w:t>
                  </w:r>
                  <w:r>
                    <w:rPr>
                      <w:rFonts w:hint="default" w:ascii="Times New Roman" w:hAnsi="Times New Roman" w:eastAsia="宋体" w:cs="Times New Roman"/>
                      <w:sz w:val="21"/>
                      <w:szCs w:val="21"/>
                      <w:highlight w:val="none"/>
                      <w:vertAlign w:val="baseline"/>
                      <w:lang w:val="en-US" w:eastAsia="zh-CN"/>
                    </w:rPr>
                    <w:t>收集后外售</w:t>
                  </w:r>
                </w:p>
              </w:tc>
              <w:tc>
                <w:tcPr>
                  <w:tcW w:w="589" w:type="pct"/>
                  <w:tcBorders>
                    <w:tl2br w:val="nil"/>
                    <w:tr2bl w:val="nil"/>
                  </w:tcBorders>
                  <w:noWrap w:val="0"/>
                  <w:vAlign w:val="center"/>
                </w:tcPr>
                <w:p w14:paraId="010254E8">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w:t>
                  </w:r>
                </w:p>
              </w:tc>
            </w:tr>
            <w:tr w14:paraId="62D664E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000F1F82">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vMerge w:val="continue"/>
                  <w:tcBorders>
                    <w:tl2br w:val="nil"/>
                    <w:tr2bl w:val="nil"/>
                  </w:tcBorders>
                  <w:noWrap w:val="0"/>
                  <w:vAlign w:val="center"/>
                </w:tcPr>
                <w:p w14:paraId="3D9B6E05">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3429" w:type="pct"/>
                  <w:tcBorders>
                    <w:tl2br w:val="nil"/>
                    <w:tr2bl w:val="nil"/>
                  </w:tcBorders>
                  <w:noWrap w:val="0"/>
                  <w:vAlign w:val="center"/>
                </w:tcPr>
                <w:p w14:paraId="61447D7C">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废</w:t>
                  </w:r>
                  <w:r>
                    <w:rPr>
                      <w:rFonts w:hint="eastAsia" w:cs="Times New Roman"/>
                      <w:sz w:val="21"/>
                      <w:szCs w:val="21"/>
                      <w:highlight w:val="none"/>
                      <w:vertAlign w:val="baseline"/>
                      <w:lang w:val="en-US" w:eastAsia="zh-CN"/>
                    </w:rPr>
                    <w:t>润滑油</w:t>
                  </w:r>
                  <w:r>
                    <w:rPr>
                      <w:rFonts w:hint="eastAsia" w:ascii="Times New Roman" w:hAnsi="Times New Roman" w:eastAsia="宋体" w:cs="Times New Roman"/>
                      <w:sz w:val="21"/>
                      <w:szCs w:val="21"/>
                      <w:highlight w:val="none"/>
                      <w:vertAlign w:val="baseline"/>
                      <w:lang w:val="en-US" w:eastAsia="zh-CN"/>
                    </w:rPr>
                    <w:t>暂存于</w:t>
                  </w:r>
                  <w:r>
                    <w:rPr>
                      <w:rFonts w:hint="eastAsia" w:cs="Times New Roman"/>
                      <w:sz w:val="21"/>
                      <w:szCs w:val="21"/>
                      <w:highlight w:val="none"/>
                      <w:vertAlign w:val="baseline"/>
                      <w:lang w:val="en-US" w:eastAsia="zh-CN"/>
                    </w:rPr>
                    <w:t>一期已建</w:t>
                  </w:r>
                  <w:r>
                    <w:rPr>
                      <w:rFonts w:hint="eastAsia" w:ascii="Times New Roman" w:hAnsi="Times New Roman" w:eastAsia="宋体" w:cs="Times New Roman"/>
                      <w:sz w:val="21"/>
                      <w:szCs w:val="21"/>
                      <w:highlight w:val="none"/>
                      <w:vertAlign w:val="baseline"/>
                      <w:lang w:val="en-US" w:eastAsia="zh-CN"/>
                    </w:rPr>
                    <w:t>危废间，定期由设备厂家现场更换清运；废沥青油集中收集后回用于生产</w:t>
                  </w:r>
                  <w:r>
                    <w:rPr>
                      <w:rFonts w:hint="eastAsia" w:cs="Times New Roman"/>
                      <w:sz w:val="21"/>
                      <w:szCs w:val="21"/>
                      <w:highlight w:val="none"/>
                      <w:vertAlign w:val="baseline"/>
                      <w:lang w:val="en-US" w:eastAsia="zh-CN"/>
                    </w:rPr>
                    <w:t>；</w:t>
                  </w:r>
                  <w:r>
                    <w:rPr>
                      <w:rFonts w:hint="eastAsia" w:ascii="Times New Roman" w:hAnsi="Times New Roman" w:eastAsia="宋体" w:cs="Times New Roman"/>
                      <w:sz w:val="21"/>
                      <w:szCs w:val="21"/>
                      <w:highlight w:val="none"/>
                      <w:vertAlign w:val="baseline"/>
                      <w:lang w:val="en-US" w:eastAsia="zh-CN"/>
                    </w:rPr>
                    <w:t>废活性炭、沉渣、废润滑油</w:t>
                  </w:r>
                  <w:r>
                    <w:rPr>
                      <w:rFonts w:hint="eastAsia" w:cs="Times New Roman"/>
                      <w:sz w:val="21"/>
                      <w:szCs w:val="21"/>
                      <w:highlight w:val="none"/>
                      <w:vertAlign w:val="baseline"/>
                      <w:lang w:val="en-US" w:eastAsia="zh-CN"/>
                    </w:rPr>
                    <w:t>、沥青沾染物</w:t>
                  </w:r>
                  <w:r>
                    <w:rPr>
                      <w:rFonts w:hint="default" w:ascii="Times New Roman" w:hAnsi="Times New Roman" w:eastAsia="宋体" w:cs="Times New Roman"/>
                      <w:sz w:val="21"/>
                      <w:szCs w:val="21"/>
                      <w:highlight w:val="none"/>
                      <w:vertAlign w:val="baseline"/>
                      <w:lang w:val="en-US" w:eastAsia="zh-CN"/>
                    </w:rPr>
                    <w:t>暂存于危废间，定期委托有资质的单位处理</w:t>
                  </w:r>
                </w:p>
              </w:tc>
              <w:tc>
                <w:tcPr>
                  <w:tcW w:w="589" w:type="pct"/>
                  <w:tcBorders>
                    <w:tl2br w:val="nil"/>
                    <w:tr2bl w:val="nil"/>
                  </w:tcBorders>
                  <w:noWrap w:val="0"/>
                  <w:vAlign w:val="center"/>
                </w:tcPr>
                <w:p w14:paraId="2D6D828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依托</w:t>
                  </w:r>
                </w:p>
              </w:tc>
            </w:tr>
            <w:tr w14:paraId="404DD6D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7459D021">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vMerge w:val="continue"/>
                  <w:tcBorders>
                    <w:tl2br w:val="nil"/>
                    <w:tr2bl w:val="nil"/>
                  </w:tcBorders>
                  <w:noWrap w:val="0"/>
                  <w:vAlign w:val="center"/>
                </w:tcPr>
                <w:p w14:paraId="49784A9F">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3429" w:type="pct"/>
                  <w:tcBorders>
                    <w:tl2br w:val="nil"/>
                    <w:tr2bl w:val="nil"/>
                  </w:tcBorders>
                  <w:noWrap w:val="0"/>
                  <w:vAlign w:val="center"/>
                </w:tcPr>
                <w:p w14:paraId="7C92DB93">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生活垃圾集中定点收集至厂区内封闭式垃圾箱，由园区环卫部门统一清运处理</w:t>
                  </w:r>
                </w:p>
              </w:tc>
              <w:tc>
                <w:tcPr>
                  <w:tcW w:w="589" w:type="pct"/>
                  <w:tcBorders>
                    <w:tl2br w:val="nil"/>
                    <w:tr2bl w:val="nil"/>
                  </w:tcBorders>
                  <w:noWrap w:val="0"/>
                  <w:vAlign w:val="center"/>
                </w:tcPr>
                <w:p w14:paraId="111810EE">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w:t>
                  </w:r>
                </w:p>
              </w:tc>
            </w:tr>
          </w:tbl>
          <w:p w14:paraId="26122F25">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jc w:val="both"/>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3 主要生产设备</w:t>
            </w:r>
          </w:p>
          <w:p w14:paraId="50841EFE">
            <w:pPr>
              <w:numPr>
                <w:ilvl w:val="0"/>
                <w:numId w:val="0"/>
              </w:numPr>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本项目主要生产设备见表2-2</w:t>
            </w:r>
            <w:r>
              <w:rPr>
                <w:rFonts w:hint="eastAsia" w:cs="Times New Roman"/>
                <w:sz w:val="24"/>
                <w:szCs w:val="24"/>
                <w:highlight w:val="none"/>
                <w:lang w:val="en-US" w:eastAsia="zh-CN"/>
              </w:rPr>
              <w:t>及2-3</w:t>
            </w:r>
            <w:r>
              <w:rPr>
                <w:rFonts w:hint="default" w:ascii="Times New Roman" w:hAnsi="Times New Roman" w:eastAsia="宋体" w:cs="Times New Roman"/>
                <w:sz w:val="24"/>
                <w:szCs w:val="24"/>
                <w:highlight w:val="none"/>
                <w:lang w:val="en-US" w:eastAsia="zh-CN"/>
              </w:rPr>
              <w:t>。</w:t>
            </w:r>
          </w:p>
          <w:p w14:paraId="0A1E7C15">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 xml:space="preserve">表2-2 </w:t>
            </w:r>
            <w:r>
              <w:rPr>
                <w:rFonts w:hint="eastAsia" w:ascii="Times New Roman" w:hAnsi="Times New Roman" w:eastAsia="宋体" w:cs="Times New Roman"/>
                <w:b/>
                <w:bCs/>
                <w:sz w:val="21"/>
                <w:szCs w:val="21"/>
                <w:highlight w:val="none"/>
                <w:lang w:val="en-US" w:eastAsia="zh-CN"/>
              </w:rPr>
              <w:t xml:space="preserve">    </w:t>
            </w:r>
            <w:r>
              <w:rPr>
                <w:rFonts w:hint="eastAsia" w:cs="Times New Roman"/>
                <w:b/>
                <w:bCs/>
                <w:sz w:val="21"/>
                <w:szCs w:val="21"/>
                <w:highlight w:val="none"/>
                <w:lang w:val="en-US" w:eastAsia="zh-CN"/>
              </w:rPr>
              <w:t>防水卷材</w:t>
            </w:r>
            <w:r>
              <w:rPr>
                <w:rFonts w:hint="default" w:ascii="Times New Roman" w:hAnsi="Times New Roman" w:eastAsia="宋体" w:cs="Times New Roman"/>
                <w:b/>
                <w:bCs/>
                <w:sz w:val="21"/>
                <w:szCs w:val="21"/>
                <w:highlight w:val="none"/>
                <w:lang w:val="en-US" w:eastAsia="zh-CN"/>
              </w:rPr>
              <w:t>主要生产设备一览表</w:t>
            </w:r>
          </w:p>
          <w:tbl>
            <w:tblPr>
              <w:tblStyle w:val="20"/>
              <w:tblW w:w="8057"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436"/>
              <w:gridCol w:w="2752"/>
              <w:gridCol w:w="988"/>
              <w:gridCol w:w="1945"/>
              <w:gridCol w:w="936"/>
            </w:tblGrid>
            <w:tr w14:paraId="4400B7A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8" w:hRule="atLeast"/>
              </w:trPr>
              <w:tc>
                <w:tcPr>
                  <w:tcW w:w="891" w:type="pct"/>
                  <w:tcBorders>
                    <w:bottom w:val="single" w:color="auto" w:sz="8" w:space="0"/>
                  </w:tcBorders>
                  <w:noWrap w:val="0"/>
                  <w:vAlign w:val="center"/>
                </w:tcPr>
                <w:p w14:paraId="1F348E1D">
                  <w:pPr>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序号</w:t>
                  </w:r>
                </w:p>
              </w:tc>
              <w:tc>
                <w:tcPr>
                  <w:tcW w:w="1707" w:type="pct"/>
                  <w:tcBorders>
                    <w:bottom w:val="single" w:color="auto" w:sz="8" w:space="0"/>
                  </w:tcBorders>
                  <w:noWrap w:val="0"/>
                  <w:vAlign w:val="center"/>
                </w:tcPr>
                <w:p w14:paraId="6C379E64">
                  <w:pPr>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设备名称</w:t>
                  </w:r>
                </w:p>
              </w:tc>
              <w:tc>
                <w:tcPr>
                  <w:tcW w:w="613" w:type="pct"/>
                  <w:tcBorders>
                    <w:bottom w:val="single" w:color="auto" w:sz="8" w:space="0"/>
                  </w:tcBorders>
                  <w:noWrap w:val="0"/>
                  <w:vAlign w:val="center"/>
                </w:tcPr>
                <w:p w14:paraId="37DB81CD">
                  <w:pPr>
                    <w:jc w:val="center"/>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数量</w:t>
                  </w:r>
                </w:p>
              </w:tc>
              <w:tc>
                <w:tcPr>
                  <w:tcW w:w="1207" w:type="pct"/>
                  <w:tcBorders>
                    <w:bottom w:val="single" w:color="auto" w:sz="8" w:space="0"/>
                  </w:tcBorders>
                  <w:noWrap w:val="0"/>
                  <w:vAlign w:val="center"/>
                </w:tcPr>
                <w:p w14:paraId="0738A326">
                  <w:pPr>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型号</w:t>
                  </w:r>
                </w:p>
              </w:tc>
              <w:tc>
                <w:tcPr>
                  <w:tcW w:w="580" w:type="pct"/>
                  <w:tcBorders>
                    <w:bottom w:val="single" w:color="auto" w:sz="8" w:space="0"/>
                  </w:tcBorders>
                  <w:noWrap w:val="0"/>
                  <w:vAlign w:val="center"/>
                </w:tcPr>
                <w:p w14:paraId="2CC834A7">
                  <w:pPr>
                    <w:jc w:val="center"/>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备注</w:t>
                  </w:r>
                </w:p>
              </w:tc>
            </w:tr>
            <w:tr w14:paraId="635C04C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8" w:hRule="atLeast"/>
              </w:trPr>
              <w:tc>
                <w:tcPr>
                  <w:tcW w:w="891" w:type="pct"/>
                  <w:tcBorders>
                    <w:top w:val="single" w:color="auto" w:sz="8" w:space="0"/>
                    <w:tl2br w:val="nil"/>
                    <w:tr2bl w:val="nil"/>
                  </w:tcBorders>
                  <w:noWrap w:val="0"/>
                  <w:vAlign w:val="center"/>
                </w:tcPr>
                <w:p w14:paraId="3AEF6538">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707" w:type="pct"/>
                  <w:tcBorders>
                    <w:top w:val="single" w:color="auto" w:sz="8" w:space="0"/>
                    <w:tl2br w:val="nil"/>
                    <w:tr2bl w:val="nil"/>
                  </w:tcBorders>
                  <w:noWrap w:val="0"/>
                  <w:vAlign w:val="center"/>
                </w:tcPr>
                <w:p w14:paraId="42673885">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展卷机</w:t>
                  </w:r>
                </w:p>
              </w:tc>
              <w:tc>
                <w:tcPr>
                  <w:tcW w:w="613" w:type="pct"/>
                  <w:tcBorders>
                    <w:top w:val="single" w:color="auto" w:sz="8" w:space="0"/>
                    <w:tl2br w:val="nil"/>
                    <w:tr2bl w:val="nil"/>
                  </w:tcBorders>
                  <w:noWrap w:val="0"/>
                  <w:vAlign w:val="center"/>
                </w:tcPr>
                <w:p w14:paraId="72C8F186">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207" w:type="pct"/>
                  <w:tcBorders>
                    <w:top w:val="single" w:color="auto" w:sz="8" w:space="0"/>
                    <w:tl2br w:val="nil"/>
                    <w:tr2bl w:val="nil"/>
                  </w:tcBorders>
                  <w:noWrap w:val="0"/>
                  <w:vAlign w:val="center"/>
                </w:tcPr>
                <w:p w14:paraId="455B30B2">
                  <w:pPr>
                    <w:jc w:val="center"/>
                    <w:rPr>
                      <w:rFonts w:hint="eastAsia" w:ascii="Times New Roman" w:hAnsi="Times New Roman" w:eastAsia="宋体" w:cs="Times New Roman"/>
                      <w:sz w:val="21"/>
                      <w:szCs w:val="21"/>
                      <w:highlight w:val="none"/>
                      <w:lang w:eastAsia="zh-CN"/>
                    </w:rPr>
                  </w:pPr>
                  <w:r>
                    <w:rPr>
                      <w:rFonts w:hint="eastAsia" w:cs="Times New Roman"/>
                      <w:sz w:val="21"/>
                      <w:szCs w:val="21"/>
                      <w:highlight w:val="none"/>
                      <w:lang w:eastAsia="zh-CN"/>
                    </w:rPr>
                    <w:t>/</w:t>
                  </w:r>
                </w:p>
              </w:tc>
              <w:tc>
                <w:tcPr>
                  <w:tcW w:w="580" w:type="pct"/>
                  <w:tcBorders>
                    <w:top w:val="single" w:color="auto" w:sz="8" w:space="0"/>
                    <w:tl2br w:val="nil"/>
                    <w:tr2bl w:val="nil"/>
                  </w:tcBorders>
                  <w:noWrap w:val="0"/>
                  <w:vAlign w:val="center"/>
                </w:tcPr>
                <w:p w14:paraId="608CDFE6">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15F4FB6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7E68B937">
                  <w:pPr>
                    <w:keepNext w:val="0"/>
                    <w:keepLines w:val="0"/>
                    <w:widowControl/>
                    <w:suppressLineNumbers w:val="0"/>
                    <w:jc w:val="center"/>
                    <w:textAlignment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707" w:type="pct"/>
                  <w:tcBorders>
                    <w:tl2br w:val="nil"/>
                    <w:tr2bl w:val="nil"/>
                  </w:tcBorders>
                  <w:noWrap w:val="0"/>
                  <w:vAlign w:val="center"/>
                </w:tcPr>
                <w:p w14:paraId="25F8C4E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胎基搭接机</w:t>
                  </w:r>
                </w:p>
              </w:tc>
              <w:tc>
                <w:tcPr>
                  <w:tcW w:w="613" w:type="pct"/>
                  <w:tcBorders>
                    <w:tl2br w:val="nil"/>
                    <w:tr2bl w:val="nil"/>
                  </w:tcBorders>
                  <w:noWrap w:val="0"/>
                  <w:vAlign w:val="center"/>
                </w:tcPr>
                <w:p w14:paraId="1F0B9CF9">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207" w:type="pct"/>
                  <w:tcBorders>
                    <w:tl2br w:val="nil"/>
                    <w:tr2bl w:val="nil"/>
                  </w:tcBorders>
                  <w:noWrap w:val="0"/>
                  <w:vAlign w:val="center"/>
                </w:tcPr>
                <w:p w14:paraId="475068EC">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537FE6A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49AC678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53462240">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707" w:type="pct"/>
                  <w:tcBorders>
                    <w:tl2br w:val="nil"/>
                    <w:tr2bl w:val="nil"/>
                  </w:tcBorders>
                  <w:noWrap w:val="0"/>
                  <w:vAlign w:val="center"/>
                </w:tcPr>
                <w:p w14:paraId="1DED2E8D">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胎基停留机</w:t>
                  </w:r>
                </w:p>
              </w:tc>
              <w:tc>
                <w:tcPr>
                  <w:tcW w:w="613" w:type="pct"/>
                  <w:tcBorders>
                    <w:tl2br w:val="nil"/>
                    <w:tr2bl w:val="nil"/>
                  </w:tcBorders>
                  <w:noWrap w:val="0"/>
                  <w:vAlign w:val="center"/>
                </w:tcPr>
                <w:p w14:paraId="35297F69">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207" w:type="pct"/>
                  <w:tcBorders>
                    <w:tl2br w:val="nil"/>
                    <w:tr2bl w:val="nil"/>
                  </w:tcBorders>
                  <w:noWrap w:val="0"/>
                  <w:vAlign w:val="center"/>
                </w:tcPr>
                <w:p w14:paraId="138183D4">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679021A6">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29F842D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6E065FFF">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707" w:type="pct"/>
                  <w:tcBorders>
                    <w:tl2br w:val="nil"/>
                    <w:tr2bl w:val="nil"/>
                  </w:tcBorders>
                  <w:noWrap w:val="0"/>
                  <w:vAlign w:val="center"/>
                </w:tcPr>
                <w:p w14:paraId="2650C2A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胎基烘干牵引机</w:t>
                  </w:r>
                </w:p>
              </w:tc>
              <w:tc>
                <w:tcPr>
                  <w:tcW w:w="613" w:type="pct"/>
                  <w:tcBorders>
                    <w:tl2br w:val="nil"/>
                    <w:tr2bl w:val="nil"/>
                  </w:tcBorders>
                  <w:noWrap w:val="0"/>
                  <w:vAlign w:val="center"/>
                </w:tcPr>
                <w:p w14:paraId="6C396348">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207" w:type="pct"/>
                  <w:tcBorders>
                    <w:tl2br w:val="nil"/>
                    <w:tr2bl w:val="nil"/>
                  </w:tcBorders>
                  <w:noWrap w:val="0"/>
                  <w:vAlign w:val="center"/>
                </w:tcPr>
                <w:p w14:paraId="6264BBCB">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6A06DBF4">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22E8DD6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4F3DC724">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707" w:type="pct"/>
                  <w:tcBorders>
                    <w:tl2br w:val="nil"/>
                    <w:tr2bl w:val="nil"/>
                  </w:tcBorders>
                  <w:noWrap w:val="0"/>
                  <w:vAlign w:val="center"/>
                </w:tcPr>
                <w:p w14:paraId="71AE6857">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自</w:t>
                  </w:r>
                  <w:r>
                    <w:rPr>
                      <w:rFonts w:hint="default" w:ascii="Times New Roman" w:hAnsi="Times New Roman" w:cs="Times New Roman"/>
                      <w:sz w:val="21"/>
                      <w:szCs w:val="21"/>
                      <w:highlight w:val="none"/>
                    </w:rPr>
                    <w:t>动调偏机</w:t>
                  </w:r>
                </w:p>
              </w:tc>
              <w:tc>
                <w:tcPr>
                  <w:tcW w:w="613" w:type="pct"/>
                  <w:tcBorders>
                    <w:tl2br w:val="nil"/>
                    <w:tr2bl w:val="nil"/>
                  </w:tcBorders>
                  <w:noWrap w:val="0"/>
                  <w:vAlign w:val="center"/>
                </w:tcPr>
                <w:p w14:paraId="313B28EF">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207" w:type="pct"/>
                  <w:tcBorders>
                    <w:tl2br w:val="nil"/>
                    <w:tr2bl w:val="nil"/>
                  </w:tcBorders>
                  <w:noWrap w:val="0"/>
                  <w:vAlign w:val="center"/>
                </w:tcPr>
                <w:p w14:paraId="041438DB">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5E6AF3C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3DA901C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1083D0DF">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707" w:type="pct"/>
                  <w:tcBorders>
                    <w:tl2br w:val="nil"/>
                    <w:tr2bl w:val="nil"/>
                  </w:tcBorders>
                  <w:noWrap w:val="0"/>
                  <w:vAlign w:val="center"/>
                </w:tcPr>
                <w:p w14:paraId="68E5AB46">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覆膜装置</w:t>
                  </w:r>
                </w:p>
              </w:tc>
              <w:tc>
                <w:tcPr>
                  <w:tcW w:w="613" w:type="pct"/>
                  <w:tcBorders>
                    <w:tl2br w:val="nil"/>
                    <w:tr2bl w:val="nil"/>
                  </w:tcBorders>
                  <w:noWrap w:val="0"/>
                  <w:vAlign w:val="center"/>
                </w:tcPr>
                <w:p w14:paraId="417040F9">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207" w:type="pct"/>
                  <w:tcBorders>
                    <w:tl2br w:val="nil"/>
                    <w:tr2bl w:val="nil"/>
                  </w:tcBorders>
                  <w:noWrap w:val="0"/>
                  <w:vAlign w:val="center"/>
                </w:tcPr>
                <w:p w14:paraId="505473D8">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5450E02B">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36CD518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344BCE4A">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707" w:type="pct"/>
                  <w:tcBorders>
                    <w:tl2br w:val="nil"/>
                    <w:tr2bl w:val="nil"/>
                  </w:tcBorders>
                  <w:noWrap w:val="0"/>
                  <w:vAlign w:val="center"/>
                </w:tcPr>
                <w:p w14:paraId="65E28974">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覆边膜装置</w:t>
                  </w:r>
                </w:p>
              </w:tc>
              <w:tc>
                <w:tcPr>
                  <w:tcW w:w="613" w:type="pct"/>
                  <w:tcBorders>
                    <w:tl2br w:val="nil"/>
                    <w:tr2bl w:val="nil"/>
                  </w:tcBorders>
                  <w:noWrap w:val="0"/>
                  <w:vAlign w:val="center"/>
                </w:tcPr>
                <w:p w14:paraId="69E6A2B0">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w:t>
                  </w:r>
                </w:p>
              </w:tc>
              <w:tc>
                <w:tcPr>
                  <w:tcW w:w="1207" w:type="pct"/>
                  <w:tcBorders>
                    <w:tl2br w:val="nil"/>
                    <w:tr2bl w:val="nil"/>
                  </w:tcBorders>
                  <w:noWrap w:val="0"/>
                  <w:vAlign w:val="center"/>
                </w:tcPr>
                <w:p w14:paraId="0CB6949B">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6E9156D7">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7FABECD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891" w:type="pct"/>
                  <w:tcBorders>
                    <w:tl2br w:val="nil"/>
                    <w:tr2bl w:val="nil"/>
                  </w:tcBorders>
                  <w:noWrap w:val="0"/>
                  <w:vAlign w:val="center"/>
                </w:tcPr>
                <w:p w14:paraId="09D3F103">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1707" w:type="pct"/>
                  <w:tcBorders>
                    <w:tl2br w:val="nil"/>
                    <w:tr2bl w:val="nil"/>
                  </w:tcBorders>
                  <w:noWrap w:val="0"/>
                  <w:vAlign w:val="center"/>
                </w:tcPr>
                <w:p w14:paraId="08C2F9D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水槽式和辊筒式冷动机</w:t>
                  </w:r>
                </w:p>
              </w:tc>
              <w:tc>
                <w:tcPr>
                  <w:tcW w:w="613" w:type="pct"/>
                  <w:tcBorders>
                    <w:tl2br w:val="nil"/>
                    <w:tr2bl w:val="nil"/>
                  </w:tcBorders>
                  <w:noWrap w:val="0"/>
                  <w:vAlign w:val="center"/>
                </w:tcPr>
                <w:p w14:paraId="1BD53EDE">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207" w:type="pct"/>
                  <w:tcBorders>
                    <w:tl2br w:val="nil"/>
                    <w:tr2bl w:val="nil"/>
                  </w:tcBorders>
                  <w:noWrap w:val="0"/>
                  <w:vAlign w:val="center"/>
                </w:tcPr>
                <w:p w14:paraId="7C066FB7">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02C0B74A">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7780F20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084F8FA7">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707" w:type="pct"/>
                  <w:tcBorders>
                    <w:tl2br w:val="nil"/>
                    <w:tr2bl w:val="nil"/>
                  </w:tcBorders>
                  <w:noWrap w:val="0"/>
                  <w:vAlign w:val="center"/>
                </w:tcPr>
                <w:p w14:paraId="1E431D89">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压纹装置</w:t>
                  </w:r>
                </w:p>
              </w:tc>
              <w:tc>
                <w:tcPr>
                  <w:tcW w:w="613" w:type="pct"/>
                  <w:tcBorders>
                    <w:tl2br w:val="nil"/>
                    <w:tr2bl w:val="nil"/>
                  </w:tcBorders>
                  <w:noWrap w:val="0"/>
                  <w:vAlign w:val="center"/>
                </w:tcPr>
                <w:p w14:paraId="37AE6B0B">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207" w:type="pct"/>
                  <w:tcBorders>
                    <w:tl2br w:val="nil"/>
                    <w:tr2bl w:val="nil"/>
                  </w:tcBorders>
                  <w:noWrap w:val="0"/>
                  <w:vAlign w:val="center"/>
                </w:tcPr>
                <w:p w14:paraId="6E8FF73E">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3CD2CE33">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40C0183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5D1FF48D">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707" w:type="pct"/>
                  <w:tcBorders>
                    <w:tl2br w:val="nil"/>
                    <w:tr2bl w:val="nil"/>
                  </w:tcBorders>
                  <w:noWrap w:val="0"/>
                  <w:vAlign w:val="center"/>
                </w:tcPr>
                <w:p w14:paraId="7A9ABBF3">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成品停留机</w:t>
                  </w:r>
                </w:p>
              </w:tc>
              <w:tc>
                <w:tcPr>
                  <w:tcW w:w="613" w:type="pct"/>
                  <w:tcBorders>
                    <w:tl2br w:val="nil"/>
                    <w:tr2bl w:val="nil"/>
                  </w:tcBorders>
                  <w:noWrap w:val="0"/>
                  <w:vAlign w:val="center"/>
                </w:tcPr>
                <w:p w14:paraId="602BB1CB">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207" w:type="pct"/>
                  <w:tcBorders>
                    <w:tl2br w:val="nil"/>
                    <w:tr2bl w:val="nil"/>
                  </w:tcBorders>
                  <w:noWrap w:val="0"/>
                  <w:vAlign w:val="center"/>
                </w:tcPr>
                <w:p w14:paraId="4C1FEE39">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643296D8">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0AD869D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62757169">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1707" w:type="pct"/>
                  <w:tcBorders>
                    <w:tl2br w:val="nil"/>
                    <w:tr2bl w:val="nil"/>
                  </w:tcBorders>
                  <w:noWrap w:val="0"/>
                  <w:vAlign w:val="center"/>
                </w:tcPr>
                <w:p w14:paraId="082D5C4B">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缓冲装置</w:t>
                  </w:r>
                </w:p>
              </w:tc>
              <w:tc>
                <w:tcPr>
                  <w:tcW w:w="613" w:type="pct"/>
                  <w:tcBorders>
                    <w:tl2br w:val="nil"/>
                    <w:tr2bl w:val="nil"/>
                  </w:tcBorders>
                  <w:noWrap w:val="0"/>
                  <w:vAlign w:val="center"/>
                </w:tcPr>
                <w:p w14:paraId="3A52B7DB">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207" w:type="pct"/>
                  <w:tcBorders>
                    <w:tl2br w:val="nil"/>
                    <w:tr2bl w:val="nil"/>
                  </w:tcBorders>
                  <w:noWrap w:val="0"/>
                  <w:vAlign w:val="center"/>
                </w:tcPr>
                <w:p w14:paraId="47F7E7F6">
                  <w:pPr>
                    <w:jc w:val="center"/>
                    <w:rPr>
                      <w:rFonts w:hint="default" w:ascii="Times New Roman" w:hAnsi="Times New Roman" w:cs="Times New Roman"/>
                      <w:sz w:val="21"/>
                      <w:szCs w:val="21"/>
                      <w:highlight w:val="none"/>
                      <w:lang w:val="en-US"/>
                    </w:rPr>
                  </w:pPr>
                  <w:r>
                    <w:rPr>
                      <w:rFonts w:hint="eastAsia" w:cs="Times New Roman"/>
                      <w:sz w:val="21"/>
                      <w:szCs w:val="21"/>
                      <w:highlight w:val="none"/>
                      <w:lang w:eastAsia="zh-CN"/>
                    </w:rPr>
                    <w:t>/</w:t>
                  </w:r>
                </w:p>
              </w:tc>
              <w:tc>
                <w:tcPr>
                  <w:tcW w:w="580" w:type="pct"/>
                  <w:tcBorders>
                    <w:tl2br w:val="nil"/>
                    <w:tr2bl w:val="nil"/>
                  </w:tcBorders>
                  <w:noWrap w:val="0"/>
                  <w:vAlign w:val="center"/>
                </w:tcPr>
                <w:p w14:paraId="56A9029E">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331D11B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7F14AB63">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1707" w:type="pct"/>
                  <w:tcBorders>
                    <w:tl2br w:val="nil"/>
                    <w:tr2bl w:val="nil"/>
                  </w:tcBorders>
                  <w:noWrap w:val="0"/>
                  <w:vAlign w:val="center"/>
                </w:tcPr>
                <w:p w14:paraId="6685B697">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膜边卷齐装置</w:t>
                  </w:r>
                </w:p>
              </w:tc>
              <w:tc>
                <w:tcPr>
                  <w:tcW w:w="613" w:type="pct"/>
                  <w:tcBorders>
                    <w:tl2br w:val="nil"/>
                    <w:tr2bl w:val="nil"/>
                  </w:tcBorders>
                  <w:noWrap w:val="0"/>
                  <w:vAlign w:val="center"/>
                </w:tcPr>
                <w:p w14:paraId="67D50704">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207" w:type="pct"/>
                  <w:tcBorders>
                    <w:tl2br w:val="nil"/>
                    <w:tr2bl w:val="nil"/>
                  </w:tcBorders>
                  <w:noWrap w:val="0"/>
                  <w:vAlign w:val="center"/>
                </w:tcPr>
                <w:p w14:paraId="4241B105">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35F7DFB6">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3518043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2E9D876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13</w:t>
                  </w:r>
                </w:p>
              </w:tc>
              <w:tc>
                <w:tcPr>
                  <w:tcW w:w="1707" w:type="pct"/>
                  <w:tcBorders>
                    <w:tl2br w:val="nil"/>
                    <w:tr2bl w:val="nil"/>
                  </w:tcBorders>
                  <w:noWrap w:val="0"/>
                  <w:vAlign w:val="center"/>
                </w:tcPr>
                <w:p w14:paraId="7F2B382E">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全自动卷毡机</w:t>
                  </w:r>
                </w:p>
              </w:tc>
              <w:tc>
                <w:tcPr>
                  <w:tcW w:w="613" w:type="pct"/>
                  <w:tcBorders>
                    <w:tl2br w:val="nil"/>
                    <w:tr2bl w:val="nil"/>
                  </w:tcBorders>
                  <w:noWrap w:val="0"/>
                  <w:vAlign w:val="center"/>
                </w:tcPr>
                <w:p w14:paraId="27606A2B">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2</w:t>
                  </w:r>
                </w:p>
              </w:tc>
              <w:tc>
                <w:tcPr>
                  <w:tcW w:w="1207" w:type="pct"/>
                  <w:tcBorders>
                    <w:tl2br w:val="nil"/>
                    <w:tr2bl w:val="nil"/>
                  </w:tcBorders>
                  <w:noWrap w:val="0"/>
                  <w:vAlign w:val="center"/>
                </w:tcPr>
                <w:p w14:paraId="139E15AE">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59EB889F">
                  <w:pPr>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4722110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4A39CC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14</w:t>
                  </w:r>
                </w:p>
              </w:tc>
              <w:tc>
                <w:tcPr>
                  <w:tcW w:w="1707" w:type="pct"/>
                  <w:tcBorders>
                    <w:tl2br w:val="nil"/>
                    <w:tr2bl w:val="nil"/>
                  </w:tcBorders>
                  <w:noWrap w:val="0"/>
                  <w:vAlign w:val="center"/>
                </w:tcPr>
                <w:p w14:paraId="2ED27D9D">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生产线平台</w:t>
                  </w:r>
                </w:p>
              </w:tc>
              <w:tc>
                <w:tcPr>
                  <w:tcW w:w="613" w:type="pct"/>
                  <w:tcBorders>
                    <w:tl2br w:val="nil"/>
                    <w:tr2bl w:val="nil"/>
                  </w:tcBorders>
                  <w:noWrap w:val="0"/>
                  <w:vAlign w:val="center"/>
                </w:tcPr>
                <w:p w14:paraId="70A1776D">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1</w:t>
                  </w:r>
                </w:p>
              </w:tc>
              <w:tc>
                <w:tcPr>
                  <w:tcW w:w="1207" w:type="pct"/>
                  <w:tcBorders>
                    <w:tl2br w:val="nil"/>
                    <w:tr2bl w:val="nil"/>
                  </w:tcBorders>
                  <w:noWrap w:val="0"/>
                  <w:vAlign w:val="center"/>
                </w:tcPr>
                <w:p w14:paraId="2EE7406D">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0AE4BA12">
                  <w:pPr>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6859AF8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7A9C00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15</w:t>
                  </w:r>
                </w:p>
              </w:tc>
              <w:tc>
                <w:tcPr>
                  <w:tcW w:w="1707" w:type="pct"/>
                  <w:tcBorders>
                    <w:tl2br w:val="nil"/>
                    <w:tr2bl w:val="nil"/>
                  </w:tcBorders>
                  <w:noWrap w:val="0"/>
                  <w:vAlign w:val="center"/>
                </w:tcPr>
                <w:p w14:paraId="2655727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传动部分</w:t>
                  </w:r>
                </w:p>
              </w:tc>
              <w:tc>
                <w:tcPr>
                  <w:tcW w:w="613" w:type="pct"/>
                  <w:tcBorders>
                    <w:tl2br w:val="nil"/>
                    <w:tr2bl w:val="nil"/>
                  </w:tcBorders>
                  <w:noWrap w:val="0"/>
                  <w:vAlign w:val="center"/>
                </w:tcPr>
                <w:p w14:paraId="511C1861">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1</w:t>
                  </w:r>
                </w:p>
              </w:tc>
              <w:tc>
                <w:tcPr>
                  <w:tcW w:w="1207" w:type="pct"/>
                  <w:tcBorders>
                    <w:tl2br w:val="nil"/>
                    <w:tr2bl w:val="nil"/>
                  </w:tcBorders>
                  <w:noWrap w:val="0"/>
                  <w:vAlign w:val="center"/>
                </w:tcPr>
                <w:p w14:paraId="59AF9E81">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27F46F6E">
                  <w:pPr>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04EA8EC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891" w:type="pct"/>
                  <w:tcBorders>
                    <w:tl2br w:val="nil"/>
                    <w:tr2bl w:val="nil"/>
                  </w:tcBorders>
                  <w:noWrap w:val="0"/>
                  <w:vAlign w:val="center"/>
                </w:tcPr>
                <w:p w14:paraId="5A6C936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16</w:t>
                  </w:r>
                </w:p>
              </w:tc>
              <w:tc>
                <w:tcPr>
                  <w:tcW w:w="1707" w:type="pct"/>
                  <w:tcBorders>
                    <w:tl2br w:val="nil"/>
                    <w:tr2bl w:val="nil"/>
                  </w:tcBorders>
                  <w:noWrap w:val="0"/>
                  <w:vAlign w:val="center"/>
                </w:tcPr>
                <w:p w14:paraId="595D1AC9">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电气及控制柜组</w:t>
                  </w:r>
                </w:p>
              </w:tc>
              <w:tc>
                <w:tcPr>
                  <w:tcW w:w="613" w:type="pct"/>
                  <w:tcBorders>
                    <w:tl2br w:val="nil"/>
                    <w:tr2bl w:val="nil"/>
                  </w:tcBorders>
                  <w:noWrap w:val="0"/>
                  <w:vAlign w:val="center"/>
                </w:tcPr>
                <w:p w14:paraId="317C2FE7">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1</w:t>
                  </w:r>
                </w:p>
              </w:tc>
              <w:tc>
                <w:tcPr>
                  <w:tcW w:w="1207" w:type="pct"/>
                  <w:tcBorders>
                    <w:tl2br w:val="nil"/>
                    <w:tr2bl w:val="nil"/>
                  </w:tcBorders>
                  <w:noWrap w:val="0"/>
                  <w:vAlign w:val="center"/>
                </w:tcPr>
                <w:p w14:paraId="60CE6059">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29C25B36">
                  <w:pPr>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2E5E416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891" w:type="pct"/>
                  <w:tcBorders>
                    <w:tl2br w:val="nil"/>
                    <w:tr2bl w:val="nil"/>
                  </w:tcBorders>
                  <w:noWrap w:val="0"/>
                  <w:vAlign w:val="center"/>
                </w:tcPr>
                <w:p w14:paraId="1CEBD065">
                  <w:pPr>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17</w:t>
                  </w:r>
                </w:p>
              </w:tc>
              <w:tc>
                <w:tcPr>
                  <w:tcW w:w="1707" w:type="pct"/>
                  <w:tcBorders>
                    <w:tl2br w:val="nil"/>
                    <w:tr2bl w:val="nil"/>
                  </w:tcBorders>
                  <w:noWrap w:val="0"/>
                  <w:vAlign w:val="center"/>
                </w:tcPr>
                <w:p w14:paraId="36588426">
                  <w:pPr>
                    <w:jc w:val="center"/>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2000</w:t>
                  </w:r>
                  <w:r>
                    <w:rPr>
                      <w:rFonts w:hint="eastAsia" w:cs="Times New Roman"/>
                      <w:sz w:val="21"/>
                      <w:szCs w:val="21"/>
                      <w:highlight w:val="none"/>
                      <w:lang w:val="en-US" w:eastAsia="zh-CN"/>
                    </w:rPr>
                    <w:t>kW</w:t>
                  </w:r>
                  <w:r>
                    <w:rPr>
                      <w:rFonts w:hint="default" w:ascii="Times New Roman" w:hAnsi="Times New Roman" w:cs="Times New Roman"/>
                      <w:sz w:val="21"/>
                      <w:szCs w:val="21"/>
                      <w:highlight w:val="none"/>
                      <w:lang w:val="en-US" w:eastAsia="zh-CN"/>
                    </w:rPr>
                    <w:t>燃气导热油炉</w:t>
                  </w:r>
                </w:p>
              </w:tc>
              <w:tc>
                <w:tcPr>
                  <w:tcW w:w="613" w:type="pct"/>
                  <w:tcBorders>
                    <w:tl2br w:val="nil"/>
                    <w:tr2bl w:val="nil"/>
                  </w:tcBorders>
                  <w:noWrap w:val="0"/>
                  <w:vAlign w:val="center"/>
                </w:tcPr>
                <w:p w14:paraId="45D91054">
                  <w:pPr>
                    <w:jc w:val="center"/>
                    <w:rPr>
                      <w:rFonts w:hint="default" w:cs="Times New Roman"/>
                      <w:sz w:val="21"/>
                      <w:szCs w:val="21"/>
                      <w:highlight w:val="none"/>
                      <w:lang w:val="en-US" w:eastAsia="zh-CN"/>
                    </w:rPr>
                  </w:pPr>
                  <w:r>
                    <w:rPr>
                      <w:rFonts w:hint="eastAsia" w:cs="Times New Roman"/>
                      <w:sz w:val="21"/>
                      <w:szCs w:val="21"/>
                      <w:highlight w:val="none"/>
                      <w:lang w:val="en-US" w:eastAsia="zh-CN"/>
                    </w:rPr>
                    <w:t>1</w:t>
                  </w:r>
                </w:p>
              </w:tc>
              <w:tc>
                <w:tcPr>
                  <w:tcW w:w="1207" w:type="pct"/>
                  <w:tcBorders>
                    <w:tl2br w:val="nil"/>
                    <w:tr2bl w:val="nil"/>
                  </w:tcBorders>
                  <w:noWrap w:val="0"/>
                  <w:vAlign w:val="center"/>
                </w:tcPr>
                <w:p w14:paraId="55F1EAD1">
                  <w:pPr>
                    <w:jc w:val="center"/>
                    <w:rPr>
                      <w:rFonts w:hint="default" w:cs="Times New Roman"/>
                      <w:sz w:val="21"/>
                      <w:szCs w:val="21"/>
                      <w:highlight w:val="none"/>
                      <w:lang w:val="en-US" w:eastAsia="zh-CN"/>
                    </w:rPr>
                  </w:pPr>
                  <w:r>
                    <w:rPr>
                      <w:rFonts w:hint="eastAsia" w:cs="Times New Roman"/>
                      <w:sz w:val="21"/>
                      <w:szCs w:val="21"/>
                      <w:highlight w:val="none"/>
                      <w:lang w:val="en-US" w:eastAsia="zh-CN"/>
                    </w:rPr>
                    <w:t>/</w:t>
                  </w:r>
                </w:p>
              </w:tc>
              <w:tc>
                <w:tcPr>
                  <w:tcW w:w="580" w:type="pct"/>
                  <w:tcBorders>
                    <w:tl2br w:val="nil"/>
                    <w:tr2bl w:val="nil"/>
                  </w:tcBorders>
                  <w:noWrap w:val="0"/>
                  <w:vAlign w:val="center"/>
                </w:tcPr>
                <w:p w14:paraId="516B6BE2">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依托一期</w:t>
                  </w:r>
                </w:p>
              </w:tc>
            </w:tr>
            <w:tr w14:paraId="70A4D14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891" w:type="pct"/>
                  <w:tcBorders>
                    <w:tl2br w:val="nil"/>
                    <w:tr2bl w:val="nil"/>
                  </w:tcBorders>
                  <w:noWrap w:val="0"/>
                  <w:vAlign w:val="center"/>
                </w:tcPr>
                <w:p w14:paraId="4ED744D0">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18</w:t>
                  </w:r>
                </w:p>
              </w:tc>
              <w:tc>
                <w:tcPr>
                  <w:tcW w:w="1707" w:type="pct"/>
                  <w:tcBorders>
                    <w:tl2br w:val="nil"/>
                    <w:tr2bl w:val="nil"/>
                  </w:tcBorders>
                  <w:noWrap w:val="0"/>
                  <w:vAlign w:val="center"/>
                </w:tcPr>
                <w:p w14:paraId="631DE21D">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沥青储罐</w:t>
                  </w:r>
                </w:p>
              </w:tc>
              <w:tc>
                <w:tcPr>
                  <w:tcW w:w="613" w:type="pct"/>
                  <w:tcBorders>
                    <w:tl2br w:val="nil"/>
                    <w:tr2bl w:val="nil"/>
                  </w:tcBorders>
                  <w:noWrap w:val="0"/>
                  <w:vAlign w:val="center"/>
                </w:tcPr>
                <w:p w14:paraId="79B702FF">
                  <w:pPr>
                    <w:jc w:val="center"/>
                    <w:rPr>
                      <w:rFonts w:hint="default" w:cs="Times New Roman"/>
                      <w:sz w:val="21"/>
                      <w:szCs w:val="21"/>
                      <w:highlight w:val="none"/>
                      <w:lang w:val="en-US" w:eastAsia="zh-CN"/>
                    </w:rPr>
                  </w:pPr>
                  <w:r>
                    <w:rPr>
                      <w:rFonts w:hint="eastAsia" w:cs="Times New Roman"/>
                      <w:sz w:val="21"/>
                      <w:szCs w:val="21"/>
                      <w:highlight w:val="none"/>
                      <w:lang w:val="en-US" w:eastAsia="zh-CN"/>
                    </w:rPr>
                    <w:t>2</w:t>
                  </w:r>
                </w:p>
              </w:tc>
              <w:tc>
                <w:tcPr>
                  <w:tcW w:w="1207" w:type="pct"/>
                  <w:tcBorders>
                    <w:tl2br w:val="nil"/>
                    <w:tr2bl w:val="nil"/>
                  </w:tcBorders>
                  <w:noWrap w:val="0"/>
                  <w:vAlign w:val="center"/>
                </w:tcPr>
                <w:p w14:paraId="7223B09F">
                  <w:pPr>
                    <w:jc w:val="center"/>
                    <w:rPr>
                      <w:rFonts w:hint="default" w:cs="Times New Roman"/>
                      <w:sz w:val="21"/>
                      <w:szCs w:val="21"/>
                      <w:highlight w:val="none"/>
                      <w:lang w:val="en-US" w:eastAsia="zh-CN"/>
                    </w:rPr>
                  </w:pPr>
                  <w:r>
                    <w:rPr>
                      <w:rFonts w:hint="eastAsia" w:cs="Times New Roman"/>
                      <w:sz w:val="21"/>
                      <w:szCs w:val="21"/>
                      <w:highlight w:val="none"/>
                      <w:lang w:val="en-US" w:eastAsia="zh-CN"/>
                    </w:rPr>
                    <w:t>500m</w:t>
                  </w:r>
                  <w:r>
                    <w:rPr>
                      <w:rFonts w:hint="eastAsia" w:cs="Times New Roman"/>
                      <w:sz w:val="21"/>
                      <w:szCs w:val="21"/>
                      <w:highlight w:val="none"/>
                      <w:vertAlign w:val="superscript"/>
                      <w:lang w:val="en-US" w:eastAsia="zh-CN"/>
                    </w:rPr>
                    <w:t>3</w:t>
                  </w:r>
                </w:p>
              </w:tc>
              <w:tc>
                <w:tcPr>
                  <w:tcW w:w="580" w:type="pct"/>
                  <w:tcBorders>
                    <w:tl2br w:val="nil"/>
                    <w:tr2bl w:val="nil"/>
                  </w:tcBorders>
                  <w:noWrap w:val="0"/>
                  <w:vAlign w:val="center"/>
                </w:tcPr>
                <w:p w14:paraId="0B29689B">
                  <w:pPr>
                    <w:jc w:val="center"/>
                    <w:rPr>
                      <w:rFonts w:hint="eastAsia" w:cs="Times New Roman"/>
                      <w:sz w:val="21"/>
                      <w:szCs w:val="21"/>
                      <w:highlight w:val="none"/>
                      <w:lang w:val="en-US" w:eastAsia="zh-CN"/>
                    </w:rPr>
                  </w:pPr>
                  <w:r>
                    <w:rPr>
                      <w:rFonts w:hint="eastAsia" w:cs="Times New Roman"/>
                      <w:sz w:val="21"/>
                      <w:szCs w:val="21"/>
                      <w:highlight w:val="none"/>
                      <w:lang w:val="en-US" w:eastAsia="zh-CN"/>
                    </w:rPr>
                    <w:t>依托一期</w:t>
                  </w:r>
                </w:p>
              </w:tc>
            </w:tr>
            <w:tr w14:paraId="7CA6C21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891" w:type="pct"/>
                  <w:tcBorders>
                    <w:tl2br w:val="nil"/>
                    <w:tr2bl w:val="nil"/>
                  </w:tcBorders>
                  <w:noWrap w:val="0"/>
                  <w:vAlign w:val="center"/>
                </w:tcPr>
                <w:p w14:paraId="5C88361C">
                  <w:pPr>
                    <w:jc w:val="center"/>
                    <w:rPr>
                      <w:rFonts w:hint="default" w:cs="Times New Roman"/>
                      <w:sz w:val="21"/>
                      <w:szCs w:val="21"/>
                      <w:highlight w:val="none"/>
                      <w:lang w:val="en-US" w:eastAsia="zh-CN"/>
                    </w:rPr>
                  </w:pPr>
                  <w:r>
                    <w:rPr>
                      <w:rFonts w:hint="eastAsia" w:cs="Times New Roman"/>
                      <w:sz w:val="21"/>
                      <w:szCs w:val="21"/>
                      <w:highlight w:val="none"/>
                      <w:lang w:val="en-US" w:eastAsia="zh-CN"/>
                    </w:rPr>
                    <w:t>19</w:t>
                  </w:r>
                </w:p>
              </w:tc>
              <w:tc>
                <w:tcPr>
                  <w:tcW w:w="1707" w:type="pct"/>
                  <w:tcBorders>
                    <w:tl2br w:val="nil"/>
                    <w:tr2bl w:val="nil"/>
                  </w:tcBorders>
                  <w:noWrap w:val="0"/>
                  <w:vAlign w:val="center"/>
                </w:tcPr>
                <w:p w14:paraId="5EB2F4E2">
                  <w:pPr>
                    <w:jc w:val="center"/>
                    <w:rPr>
                      <w:rFonts w:hint="eastAsia" w:cs="Times New Roman"/>
                      <w:sz w:val="21"/>
                      <w:szCs w:val="21"/>
                      <w:highlight w:val="none"/>
                      <w:lang w:val="en-US" w:eastAsia="zh-CN"/>
                    </w:rPr>
                  </w:pPr>
                  <w:r>
                    <w:rPr>
                      <w:rFonts w:hint="eastAsia" w:cs="Times New Roman"/>
                      <w:sz w:val="21"/>
                      <w:szCs w:val="21"/>
                      <w:highlight w:val="none"/>
                      <w:lang w:val="en-US" w:eastAsia="zh-CN"/>
                    </w:rPr>
                    <w:t>沥青储罐</w:t>
                  </w:r>
                </w:p>
              </w:tc>
              <w:tc>
                <w:tcPr>
                  <w:tcW w:w="613" w:type="pct"/>
                  <w:tcBorders>
                    <w:tl2br w:val="nil"/>
                    <w:tr2bl w:val="nil"/>
                  </w:tcBorders>
                  <w:noWrap w:val="0"/>
                  <w:vAlign w:val="center"/>
                </w:tcPr>
                <w:p w14:paraId="5DE5358D">
                  <w:pPr>
                    <w:jc w:val="center"/>
                    <w:rPr>
                      <w:rFonts w:hint="default" w:cs="Times New Roman"/>
                      <w:sz w:val="21"/>
                      <w:szCs w:val="21"/>
                      <w:highlight w:val="none"/>
                      <w:lang w:val="en-US" w:eastAsia="zh-CN"/>
                    </w:rPr>
                  </w:pPr>
                  <w:r>
                    <w:rPr>
                      <w:rFonts w:hint="eastAsia" w:cs="Times New Roman"/>
                      <w:sz w:val="21"/>
                      <w:szCs w:val="21"/>
                      <w:highlight w:val="none"/>
                      <w:lang w:val="en-US" w:eastAsia="zh-CN"/>
                    </w:rPr>
                    <w:t>1</w:t>
                  </w:r>
                </w:p>
              </w:tc>
              <w:tc>
                <w:tcPr>
                  <w:tcW w:w="1207" w:type="pct"/>
                  <w:tcBorders>
                    <w:tl2br w:val="nil"/>
                    <w:tr2bl w:val="nil"/>
                  </w:tcBorders>
                  <w:noWrap w:val="0"/>
                  <w:vAlign w:val="center"/>
                </w:tcPr>
                <w:p w14:paraId="49AE9F00">
                  <w:pPr>
                    <w:jc w:val="center"/>
                    <w:rPr>
                      <w:rFonts w:hint="default" w:cs="Times New Roman"/>
                      <w:sz w:val="21"/>
                      <w:szCs w:val="21"/>
                      <w:highlight w:val="none"/>
                      <w:lang w:val="en-US" w:eastAsia="zh-CN"/>
                    </w:rPr>
                  </w:pPr>
                  <w:r>
                    <w:rPr>
                      <w:rFonts w:hint="eastAsia" w:cs="Times New Roman"/>
                      <w:sz w:val="21"/>
                      <w:szCs w:val="21"/>
                      <w:highlight w:val="none"/>
                      <w:lang w:val="en-US" w:eastAsia="zh-CN"/>
                    </w:rPr>
                    <w:t>150m</w:t>
                  </w:r>
                  <w:r>
                    <w:rPr>
                      <w:rFonts w:hint="eastAsia" w:cs="Times New Roman"/>
                      <w:sz w:val="21"/>
                      <w:szCs w:val="21"/>
                      <w:highlight w:val="none"/>
                      <w:vertAlign w:val="superscript"/>
                      <w:lang w:val="en-US" w:eastAsia="zh-CN"/>
                    </w:rPr>
                    <w:t>3</w:t>
                  </w:r>
                </w:p>
              </w:tc>
              <w:tc>
                <w:tcPr>
                  <w:tcW w:w="580" w:type="pct"/>
                  <w:tcBorders>
                    <w:tl2br w:val="nil"/>
                    <w:tr2bl w:val="nil"/>
                  </w:tcBorders>
                  <w:noWrap w:val="0"/>
                  <w:vAlign w:val="center"/>
                </w:tcPr>
                <w:p w14:paraId="0BCAE108">
                  <w:pPr>
                    <w:jc w:val="center"/>
                    <w:rPr>
                      <w:rFonts w:hint="eastAsia" w:cs="Times New Roman"/>
                      <w:sz w:val="21"/>
                      <w:szCs w:val="21"/>
                      <w:highlight w:val="none"/>
                      <w:lang w:val="en-US" w:eastAsia="zh-CN"/>
                    </w:rPr>
                  </w:pPr>
                  <w:r>
                    <w:rPr>
                      <w:rFonts w:hint="eastAsia" w:cs="Times New Roman"/>
                      <w:sz w:val="21"/>
                      <w:szCs w:val="21"/>
                      <w:highlight w:val="none"/>
                      <w:lang w:val="en-US" w:eastAsia="zh-CN"/>
                    </w:rPr>
                    <w:t>依托一期</w:t>
                  </w:r>
                </w:p>
              </w:tc>
            </w:tr>
          </w:tbl>
          <w:p w14:paraId="409C4F3F">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表2-</w:t>
            </w:r>
            <w:r>
              <w:rPr>
                <w:rFonts w:hint="eastAsia" w:cs="Times New Roman"/>
                <w:b/>
                <w:bCs/>
                <w:sz w:val="21"/>
                <w:szCs w:val="21"/>
                <w:highlight w:val="none"/>
                <w:lang w:val="en-US" w:eastAsia="zh-CN"/>
              </w:rPr>
              <w:t>3</w:t>
            </w:r>
            <w:r>
              <w:rPr>
                <w:rFonts w:hint="default" w:ascii="Times New Roman" w:hAnsi="Times New Roman" w:eastAsia="宋体" w:cs="Times New Roman"/>
                <w:b/>
                <w:bCs/>
                <w:sz w:val="21"/>
                <w:szCs w:val="21"/>
                <w:highlight w:val="none"/>
                <w:lang w:val="en-US" w:eastAsia="zh-CN"/>
              </w:rPr>
              <w:t xml:space="preserve"> </w:t>
            </w:r>
            <w:r>
              <w:rPr>
                <w:rFonts w:hint="eastAsia" w:ascii="Times New Roman" w:hAnsi="Times New Roman" w:eastAsia="宋体" w:cs="Times New Roman"/>
                <w:b/>
                <w:bCs/>
                <w:sz w:val="21"/>
                <w:szCs w:val="21"/>
                <w:highlight w:val="none"/>
                <w:lang w:val="en-US" w:eastAsia="zh-CN"/>
              </w:rPr>
              <w:t xml:space="preserve">    </w:t>
            </w:r>
            <w:r>
              <w:rPr>
                <w:rFonts w:hint="eastAsia" w:cs="Times New Roman"/>
                <w:b/>
                <w:bCs/>
                <w:sz w:val="21"/>
                <w:szCs w:val="21"/>
                <w:highlight w:val="none"/>
                <w:lang w:val="en-US" w:eastAsia="zh-CN"/>
              </w:rPr>
              <w:t>防水涂料</w:t>
            </w:r>
            <w:r>
              <w:rPr>
                <w:rFonts w:hint="default" w:ascii="Times New Roman" w:hAnsi="Times New Roman" w:eastAsia="宋体" w:cs="Times New Roman"/>
                <w:b/>
                <w:bCs/>
                <w:sz w:val="21"/>
                <w:szCs w:val="21"/>
                <w:highlight w:val="none"/>
                <w:lang w:val="en-US" w:eastAsia="zh-CN"/>
              </w:rPr>
              <w:t>主要生产设备一览表</w:t>
            </w:r>
          </w:p>
          <w:tbl>
            <w:tblPr>
              <w:tblStyle w:val="20"/>
              <w:tblW w:w="8097"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443"/>
              <w:gridCol w:w="2765"/>
              <w:gridCol w:w="993"/>
              <w:gridCol w:w="1955"/>
              <w:gridCol w:w="941"/>
            </w:tblGrid>
            <w:tr w14:paraId="3BBDBD5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8" w:hRule="atLeast"/>
              </w:trPr>
              <w:tc>
                <w:tcPr>
                  <w:tcW w:w="891" w:type="pct"/>
                  <w:tcBorders>
                    <w:bottom w:val="single" w:color="auto" w:sz="8" w:space="0"/>
                  </w:tcBorders>
                  <w:noWrap w:val="0"/>
                  <w:vAlign w:val="center"/>
                </w:tcPr>
                <w:p w14:paraId="4362A63F">
                  <w:pPr>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序号</w:t>
                  </w:r>
                </w:p>
              </w:tc>
              <w:tc>
                <w:tcPr>
                  <w:tcW w:w="1707" w:type="pct"/>
                  <w:tcBorders>
                    <w:bottom w:val="single" w:color="auto" w:sz="8" w:space="0"/>
                  </w:tcBorders>
                  <w:noWrap w:val="0"/>
                  <w:vAlign w:val="center"/>
                </w:tcPr>
                <w:p w14:paraId="7B730CB3">
                  <w:pPr>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设备名称</w:t>
                  </w:r>
                </w:p>
              </w:tc>
              <w:tc>
                <w:tcPr>
                  <w:tcW w:w="613" w:type="pct"/>
                  <w:tcBorders>
                    <w:bottom w:val="single" w:color="auto" w:sz="8" w:space="0"/>
                  </w:tcBorders>
                  <w:noWrap w:val="0"/>
                  <w:vAlign w:val="center"/>
                </w:tcPr>
                <w:p w14:paraId="1DF1D43C">
                  <w:pPr>
                    <w:jc w:val="center"/>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数量</w:t>
                  </w:r>
                </w:p>
              </w:tc>
              <w:tc>
                <w:tcPr>
                  <w:tcW w:w="1207" w:type="pct"/>
                  <w:tcBorders>
                    <w:bottom w:val="single" w:color="auto" w:sz="8" w:space="0"/>
                  </w:tcBorders>
                  <w:noWrap w:val="0"/>
                  <w:vAlign w:val="center"/>
                </w:tcPr>
                <w:p w14:paraId="04A62FF5">
                  <w:pPr>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型号</w:t>
                  </w:r>
                </w:p>
              </w:tc>
              <w:tc>
                <w:tcPr>
                  <w:tcW w:w="581" w:type="pct"/>
                  <w:tcBorders>
                    <w:bottom w:val="single" w:color="auto" w:sz="8" w:space="0"/>
                  </w:tcBorders>
                  <w:noWrap w:val="0"/>
                  <w:vAlign w:val="center"/>
                </w:tcPr>
                <w:p w14:paraId="1A6D468C">
                  <w:pPr>
                    <w:jc w:val="center"/>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备注</w:t>
                  </w:r>
                </w:p>
              </w:tc>
            </w:tr>
            <w:tr w14:paraId="2E425F6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op w:val="single" w:color="auto" w:sz="8" w:space="0"/>
                    <w:tl2br w:val="nil"/>
                    <w:tr2bl w:val="nil"/>
                  </w:tcBorders>
                  <w:noWrap w:val="0"/>
                  <w:vAlign w:val="center"/>
                </w:tcPr>
                <w:p w14:paraId="460E91DE">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2765" w:type="dxa"/>
                  <w:tcBorders>
                    <w:top w:val="single" w:color="auto" w:sz="8" w:space="0"/>
                    <w:tl2br w:val="nil"/>
                    <w:tr2bl w:val="nil"/>
                  </w:tcBorders>
                  <w:noWrap w:val="0"/>
                  <w:vAlign w:val="center"/>
                </w:tcPr>
                <w:p w14:paraId="6E6AF8CF">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沥青中转罐</w:t>
                  </w:r>
                </w:p>
              </w:tc>
              <w:tc>
                <w:tcPr>
                  <w:tcW w:w="993" w:type="dxa"/>
                  <w:tcBorders>
                    <w:top w:val="single" w:color="auto" w:sz="8" w:space="0"/>
                    <w:tl2br w:val="nil"/>
                    <w:tr2bl w:val="nil"/>
                  </w:tcBorders>
                  <w:noWrap w:val="0"/>
                  <w:vAlign w:val="center"/>
                </w:tcPr>
                <w:p w14:paraId="67CB15B9">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955" w:type="dxa"/>
                  <w:tcBorders>
                    <w:top w:val="single" w:color="auto" w:sz="8" w:space="0"/>
                    <w:tl2br w:val="nil"/>
                    <w:tr2bl w:val="nil"/>
                  </w:tcBorders>
                  <w:noWrap w:val="0"/>
                  <w:vAlign w:val="center"/>
                </w:tcPr>
                <w:p w14:paraId="4DA263C1">
                  <w:pPr>
                    <w:jc w:val="center"/>
                    <w:rPr>
                      <w:rFonts w:hint="eastAsia" w:ascii="Times New Roman" w:hAnsi="Times New Roman" w:eastAsia="宋体" w:cs="Times New Roman"/>
                      <w:sz w:val="21"/>
                      <w:szCs w:val="21"/>
                      <w:highlight w:val="none"/>
                      <w:lang w:eastAsia="zh-CN"/>
                    </w:rPr>
                  </w:pPr>
                  <w:r>
                    <w:rPr>
                      <w:rFonts w:hint="eastAsia" w:cs="Times New Roman"/>
                      <w:sz w:val="21"/>
                      <w:szCs w:val="21"/>
                      <w:highlight w:val="none"/>
                      <w:lang w:val="en-US" w:eastAsia="zh-CN"/>
                    </w:rPr>
                    <w:t>2m³</w:t>
                  </w:r>
                </w:p>
              </w:tc>
              <w:tc>
                <w:tcPr>
                  <w:tcW w:w="941" w:type="dxa"/>
                  <w:tcBorders>
                    <w:top w:val="single" w:color="auto" w:sz="8" w:space="0"/>
                    <w:tl2br w:val="nil"/>
                    <w:tr2bl w:val="nil"/>
                  </w:tcBorders>
                  <w:noWrap w:val="0"/>
                  <w:vAlign w:val="center"/>
                </w:tcPr>
                <w:p w14:paraId="0F853BBE">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4341276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6" w:hRule="atLeast"/>
              </w:trPr>
              <w:tc>
                <w:tcPr>
                  <w:tcW w:w="891" w:type="pct"/>
                  <w:tcBorders>
                    <w:tl2br w:val="nil"/>
                    <w:tr2bl w:val="nil"/>
                  </w:tcBorders>
                  <w:noWrap w:val="0"/>
                  <w:vAlign w:val="center"/>
                </w:tcPr>
                <w:p w14:paraId="276714EA">
                  <w:pPr>
                    <w:keepNext w:val="0"/>
                    <w:keepLines w:val="0"/>
                    <w:widowControl/>
                    <w:suppressLineNumbers w:val="0"/>
                    <w:jc w:val="center"/>
                    <w:textAlignment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2765" w:type="dxa"/>
                  <w:tcBorders>
                    <w:tl2br w:val="nil"/>
                    <w:tr2bl w:val="nil"/>
                  </w:tcBorders>
                  <w:noWrap w:val="0"/>
                  <w:vAlign w:val="center"/>
                </w:tcPr>
                <w:p w14:paraId="50EA0A35">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清水罐</w:t>
                  </w:r>
                </w:p>
              </w:tc>
              <w:tc>
                <w:tcPr>
                  <w:tcW w:w="993" w:type="dxa"/>
                  <w:tcBorders>
                    <w:tl2br w:val="nil"/>
                    <w:tr2bl w:val="nil"/>
                  </w:tcBorders>
                  <w:noWrap w:val="0"/>
                  <w:vAlign w:val="center"/>
                </w:tcPr>
                <w:p w14:paraId="1199B781">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w:t>
                  </w:r>
                </w:p>
              </w:tc>
              <w:tc>
                <w:tcPr>
                  <w:tcW w:w="1955" w:type="dxa"/>
                  <w:tcBorders>
                    <w:tl2br w:val="nil"/>
                    <w:tr2bl w:val="nil"/>
                  </w:tcBorders>
                  <w:noWrap w:val="0"/>
                  <w:vAlign w:val="center"/>
                </w:tcPr>
                <w:p w14:paraId="733246BA">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3m³</w:t>
                  </w:r>
                </w:p>
              </w:tc>
              <w:tc>
                <w:tcPr>
                  <w:tcW w:w="941" w:type="dxa"/>
                  <w:tcBorders>
                    <w:tl2br w:val="nil"/>
                    <w:tr2bl w:val="nil"/>
                  </w:tcBorders>
                  <w:noWrap w:val="0"/>
                  <w:vAlign w:val="center"/>
                </w:tcPr>
                <w:p w14:paraId="7AC91095">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36068BA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1" w:hRule="atLeast"/>
              </w:trPr>
              <w:tc>
                <w:tcPr>
                  <w:tcW w:w="891" w:type="pct"/>
                  <w:tcBorders>
                    <w:tl2br w:val="nil"/>
                    <w:tr2bl w:val="nil"/>
                  </w:tcBorders>
                  <w:noWrap w:val="0"/>
                  <w:vAlign w:val="center"/>
                </w:tcPr>
                <w:p w14:paraId="787A9B58">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2765" w:type="dxa"/>
                  <w:tcBorders>
                    <w:tl2br w:val="nil"/>
                    <w:tr2bl w:val="nil"/>
                  </w:tcBorders>
                  <w:noWrap w:val="0"/>
                  <w:vAlign w:val="center"/>
                </w:tcPr>
                <w:p w14:paraId="2C6026EF">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乳化机</w:t>
                  </w:r>
                </w:p>
              </w:tc>
              <w:tc>
                <w:tcPr>
                  <w:tcW w:w="993" w:type="dxa"/>
                  <w:tcBorders>
                    <w:tl2br w:val="nil"/>
                    <w:tr2bl w:val="nil"/>
                  </w:tcBorders>
                  <w:noWrap w:val="0"/>
                  <w:vAlign w:val="center"/>
                </w:tcPr>
                <w:p w14:paraId="011B7172">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w:t>
                  </w:r>
                </w:p>
              </w:tc>
              <w:tc>
                <w:tcPr>
                  <w:tcW w:w="1955" w:type="dxa"/>
                  <w:tcBorders>
                    <w:tl2br w:val="nil"/>
                    <w:tr2bl w:val="nil"/>
                  </w:tcBorders>
                  <w:noWrap w:val="0"/>
                  <w:vAlign w:val="center"/>
                </w:tcPr>
                <w:p w14:paraId="00658D22">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35kW</w:t>
                  </w:r>
                </w:p>
              </w:tc>
              <w:tc>
                <w:tcPr>
                  <w:tcW w:w="941" w:type="dxa"/>
                  <w:tcBorders>
                    <w:tl2br w:val="nil"/>
                    <w:tr2bl w:val="nil"/>
                  </w:tcBorders>
                  <w:noWrap w:val="0"/>
                  <w:vAlign w:val="center"/>
                </w:tcPr>
                <w:p w14:paraId="51D29910">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4DCC339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1" w:hRule="atLeast"/>
              </w:trPr>
              <w:tc>
                <w:tcPr>
                  <w:tcW w:w="891" w:type="pct"/>
                  <w:tcBorders>
                    <w:tl2br w:val="nil"/>
                    <w:tr2bl w:val="nil"/>
                  </w:tcBorders>
                  <w:noWrap w:val="0"/>
                  <w:vAlign w:val="center"/>
                </w:tcPr>
                <w:p w14:paraId="726E37E4">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2765" w:type="dxa"/>
                  <w:tcBorders>
                    <w:tl2br w:val="nil"/>
                    <w:tr2bl w:val="nil"/>
                  </w:tcBorders>
                  <w:noWrap w:val="0"/>
                  <w:vAlign w:val="center"/>
                </w:tcPr>
                <w:p w14:paraId="5DDBCA6D">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乳化剂罐</w:t>
                  </w:r>
                </w:p>
              </w:tc>
              <w:tc>
                <w:tcPr>
                  <w:tcW w:w="993" w:type="dxa"/>
                  <w:tcBorders>
                    <w:tl2br w:val="nil"/>
                    <w:tr2bl w:val="nil"/>
                  </w:tcBorders>
                  <w:noWrap w:val="0"/>
                  <w:vAlign w:val="center"/>
                </w:tcPr>
                <w:p w14:paraId="52460BB0">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955" w:type="dxa"/>
                  <w:tcBorders>
                    <w:tl2br w:val="nil"/>
                    <w:tr2bl w:val="nil"/>
                  </w:tcBorders>
                  <w:noWrap w:val="0"/>
                  <w:vAlign w:val="center"/>
                </w:tcPr>
                <w:p w14:paraId="6563A4C6">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1.5m³</w:t>
                  </w:r>
                </w:p>
              </w:tc>
              <w:tc>
                <w:tcPr>
                  <w:tcW w:w="941" w:type="dxa"/>
                  <w:tcBorders>
                    <w:tl2br w:val="nil"/>
                    <w:tr2bl w:val="nil"/>
                  </w:tcBorders>
                  <w:noWrap w:val="0"/>
                  <w:vAlign w:val="center"/>
                </w:tcPr>
                <w:p w14:paraId="05DA71A7">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587DE0D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1" w:hRule="atLeast"/>
              </w:trPr>
              <w:tc>
                <w:tcPr>
                  <w:tcW w:w="891" w:type="pct"/>
                  <w:tcBorders>
                    <w:tl2br w:val="nil"/>
                    <w:tr2bl w:val="nil"/>
                  </w:tcBorders>
                  <w:noWrap w:val="0"/>
                  <w:vAlign w:val="center"/>
                </w:tcPr>
                <w:p w14:paraId="0D0E0D56">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2765" w:type="dxa"/>
                  <w:tcBorders>
                    <w:tl2br w:val="nil"/>
                    <w:tr2bl w:val="nil"/>
                  </w:tcBorders>
                  <w:noWrap w:val="0"/>
                  <w:vAlign w:val="center"/>
                </w:tcPr>
                <w:p w14:paraId="558B6D15">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防水涂料</w:t>
                  </w:r>
                  <w:r>
                    <w:rPr>
                      <w:rFonts w:hint="eastAsia" w:cs="Times New Roman"/>
                      <w:sz w:val="21"/>
                      <w:szCs w:val="21"/>
                      <w:highlight w:val="none"/>
                      <w:lang w:eastAsia="zh-CN"/>
                    </w:rPr>
                    <w:t>成品储罐</w:t>
                  </w:r>
                </w:p>
              </w:tc>
              <w:tc>
                <w:tcPr>
                  <w:tcW w:w="993" w:type="dxa"/>
                  <w:tcBorders>
                    <w:tl2br w:val="nil"/>
                    <w:tr2bl w:val="nil"/>
                  </w:tcBorders>
                  <w:noWrap w:val="0"/>
                  <w:vAlign w:val="center"/>
                </w:tcPr>
                <w:p w14:paraId="79B62EA4">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w:t>
                  </w:r>
                </w:p>
              </w:tc>
              <w:tc>
                <w:tcPr>
                  <w:tcW w:w="1955" w:type="dxa"/>
                  <w:tcBorders>
                    <w:tl2br w:val="nil"/>
                    <w:tr2bl w:val="nil"/>
                  </w:tcBorders>
                  <w:noWrap w:val="0"/>
                  <w:vAlign w:val="center"/>
                </w:tcPr>
                <w:p w14:paraId="1780874E">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4m³</w:t>
                  </w:r>
                </w:p>
              </w:tc>
              <w:tc>
                <w:tcPr>
                  <w:tcW w:w="941" w:type="dxa"/>
                  <w:tcBorders>
                    <w:tl2br w:val="nil"/>
                    <w:tr2bl w:val="nil"/>
                  </w:tcBorders>
                  <w:noWrap w:val="0"/>
                  <w:vAlign w:val="center"/>
                </w:tcPr>
                <w:p w14:paraId="1D5EDAC0">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3501970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1" w:hRule="atLeast"/>
              </w:trPr>
              <w:tc>
                <w:tcPr>
                  <w:tcW w:w="891" w:type="pct"/>
                  <w:tcBorders>
                    <w:tl2br w:val="nil"/>
                    <w:tr2bl w:val="nil"/>
                  </w:tcBorders>
                  <w:noWrap w:val="0"/>
                  <w:vAlign w:val="center"/>
                </w:tcPr>
                <w:p w14:paraId="576EA70F">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2765" w:type="dxa"/>
                  <w:tcBorders>
                    <w:tl2br w:val="nil"/>
                    <w:tr2bl w:val="nil"/>
                  </w:tcBorders>
                  <w:noWrap w:val="0"/>
                  <w:vAlign w:val="center"/>
                </w:tcPr>
                <w:p w14:paraId="1C4030A9">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防水涂料液料搅拌罐</w:t>
                  </w:r>
                  <w:r>
                    <w:rPr>
                      <w:rFonts w:hint="eastAsia" w:cs="Times New Roman"/>
                      <w:sz w:val="21"/>
                      <w:szCs w:val="21"/>
                      <w:highlight w:val="none"/>
                      <w:lang w:val="en-US" w:eastAsia="zh-CN"/>
                    </w:rPr>
                    <w:t xml:space="preserve"> </w:t>
                  </w:r>
                </w:p>
              </w:tc>
              <w:tc>
                <w:tcPr>
                  <w:tcW w:w="993" w:type="dxa"/>
                  <w:tcBorders>
                    <w:tl2br w:val="nil"/>
                    <w:tr2bl w:val="nil"/>
                  </w:tcBorders>
                  <w:noWrap w:val="0"/>
                  <w:vAlign w:val="center"/>
                </w:tcPr>
                <w:p w14:paraId="2954E352">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955" w:type="dxa"/>
                  <w:tcBorders>
                    <w:tl2br w:val="nil"/>
                    <w:tr2bl w:val="nil"/>
                  </w:tcBorders>
                  <w:noWrap w:val="0"/>
                  <w:vAlign w:val="center"/>
                </w:tcPr>
                <w:p w14:paraId="6F57AD69">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1m³</w:t>
                  </w:r>
                </w:p>
              </w:tc>
              <w:tc>
                <w:tcPr>
                  <w:tcW w:w="941" w:type="dxa"/>
                  <w:tcBorders>
                    <w:tl2br w:val="nil"/>
                    <w:tr2bl w:val="nil"/>
                  </w:tcBorders>
                  <w:noWrap w:val="0"/>
                  <w:vAlign w:val="center"/>
                </w:tcPr>
                <w:p w14:paraId="4522A2A4">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467F647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0" w:hRule="atLeast"/>
              </w:trPr>
              <w:tc>
                <w:tcPr>
                  <w:tcW w:w="891" w:type="pct"/>
                  <w:tcBorders>
                    <w:tl2br w:val="nil"/>
                    <w:tr2bl w:val="nil"/>
                  </w:tcBorders>
                  <w:noWrap w:val="0"/>
                  <w:vAlign w:val="center"/>
                </w:tcPr>
                <w:p w14:paraId="01C38E53">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2765" w:type="dxa"/>
                  <w:tcBorders>
                    <w:tl2br w:val="nil"/>
                    <w:tr2bl w:val="nil"/>
                  </w:tcBorders>
                  <w:noWrap w:val="0"/>
                  <w:vAlign w:val="center"/>
                </w:tcPr>
                <w:p w14:paraId="0E3958BC">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防水涂料液料搅拌罐</w:t>
                  </w:r>
                  <w:r>
                    <w:rPr>
                      <w:rFonts w:hint="eastAsia" w:cs="Times New Roman"/>
                      <w:sz w:val="21"/>
                      <w:szCs w:val="21"/>
                      <w:highlight w:val="none"/>
                      <w:lang w:val="en-US" w:eastAsia="zh-CN"/>
                    </w:rPr>
                    <w:t xml:space="preserve"> </w:t>
                  </w:r>
                </w:p>
              </w:tc>
              <w:tc>
                <w:tcPr>
                  <w:tcW w:w="993" w:type="dxa"/>
                  <w:tcBorders>
                    <w:tl2br w:val="nil"/>
                    <w:tr2bl w:val="nil"/>
                  </w:tcBorders>
                  <w:noWrap w:val="0"/>
                  <w:vAlign w:val="center"/>
                </w:tcPr>
                <w:p w14:paraId="09C8E017">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955" w:type="dxa"/>
                  <w:tcBorders>
                    <w:tl2br w:val="nil"/>
                    <w:tr2bl w:val="nil"/>
                  </w:tcBorders>
                  <w:noWrap w:val="0"/>
                  <w:vAlign w:val="center"/>
                </w:tcPr>
                <w:p w14:paraId="65ED2CD6">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6m³</w:t>
                  </w:r>
                </w:p>
              </w:tc>
              <w:tc>
                <w:tcPr>
                  <w:tcW w:w="941" w:type="dxa"/>
                  <w:tcBorders>
                    <w:tl2br w:val="nil"/>
                    <w:tr2bl w:val="nil"/>
                  </w:tcBorders>
                  <w:noWrap w:val="0"/>
                  <w:vAlign w:val="center"/>
                </w:tcPr>
                <w:p w14:paraId="3433542D">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349F861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0" w:hRule="atLeast"/>
              </w:trPr>
              <w:tc>
                <w:tcPr>
                  <w:tcW w:w="891" w:type="pct"/>
                  <w:tcBorders>
                    <w:tl2br w:val="nil"/>
                    <w:tr2bl w:val="nil"/>
                  </w:tcBorders>
                  <w:noWrap w:val="0"/>
                  <w:vAlign w:val="center"/>
                </w:tcPr>
                <w:p w14:paraId="3F82939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8</w:t>
                  </w:r>
                </w:p>
              </w:tc>
              <w:tc>
                <w:tcPr>
                  <w:tcW w:w="2765" w:type="dxa"/>
                  <w:tcBorders>
                    <w:tl2br w:val="nil"/>
                    <w:tr2bl w:val="nil"/>
                  </w:tcBorders>
                  <w:noWrap w:val="0"/>
                  <w:vAlign w:val="center"/>
                </w:tcPr>
                <w:p w14:paraId="6FA91BA7">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防水涂料粉料搅拌机</w:t>
                  </w:r>
                </w:p>
              </w:tc>
              <w:tc>
                <w:tcPr>
                  <w:tcW w:w="993" w:type="dxa"/>
                  <w:tcBorders>
                    <w:tl2br w:val="nil"/>
                    <w:tr2bl w:val="nil"/>
                  </w:tcBorders>
                  <w:noWrap w:val="0"/>
                  <w:vAlign w:val="center"/>
                </w:tcPr>
                <w:p w14:paraId="0CA92057">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955" w:type="dxa"/>
                  <w:tcBorders>
                    <w:tl2br w:val="nil"/>
                    <w:tr2bl w:val="nil"/>
                  </w:tcBorders>
                  <w:noWrap w:val="0"/>
                  <w:vAlign w:val="center"/>
                </w:tcPr>
                <w:p w14:paraId="13D9D322">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1.5m³</w:t>
                  </w:r>
                </w:p>
              </w:tc>
              <w:tc>
                <w:tcPr>
                  <w:tcW w:w="941" w:type="dxa"/>
                  <w:tcBorders>
                    <w:tl2br w:val="nil"/>
                    <w:tr2bl w:val="nil"/>
                  </w:tcBorders>
                  <w:noWrap w:val="0"/>
                  <w:vAlign w:val="center"/>
                </w:tcPr>
                <w:p w14:paraId="771CDCBD">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新建</w:t>
                  </w:r>
                </w:p>
              </w:tc>
            </w:tr>
            <w:tr w14:paraId="340BFF5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0" w:hRule="atLeast"/>
              </w:trPr>
              <w:tc>
                <w:tcPr>
                  <w:tcW w:w="891" w:type="pct"/>
                  <w:tcBorders>
                    <w:tl2br w:val="nil"/>
                    <w:tr2bl w:val="nil"/>
                  </w:tcBorders>
                  <w:noWrap w:val="0"/>
                  <w:vAlign w:val="center"/>
                </w:tcPr>
                <w:p w14:paraId="2DF438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9</w:t>
                  </w:r>
                </w:p>
              </w:tc>
              <w:tc>
                <w:tcPr>
                  <w:tcW w:w="2765" w:type="dxa"/>
                  <w:tcBorders>
                    <w:tl2br w:val="nil"/>
                    <w:tr2bl w:val="nil"/>
                  </w:tcBorders>
                  <w:noWrap w:val="0"/>
                  <w:vAlign w:val="center"/>
                </w:tcPr>
                <w:p w14:paraId="4F6BD1C4">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防水涂料粉料分装机</w:t>
                  </w:r>
                </w:p>
              </w:tc>
              <w:tc>
                <w:tcPr>
                  <w:tcW w:w="993" w:type="dxa"/>
                  <w:tcBorders>
                    <w:tl2br w:val="nil"/>
                    <w:tr2bl w:val="nil"/>
                  </w:tcBorders>
                  <w:noWrap w:val="0"/>
                  <w:vAlign w:val="center"/>
                </w:tcPr>
                <w:p w14:paraId="79D30060">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w:t>
                  </w:r>
                </w:p>
              </w:tc>
              <w:tc>
                <w:tcPr>
                  <w:tcW w:w="1955" w:type="dxa"/>
                  <w:tcBorders>
                    <w:tl2br w:val="nil"/>
                    <w:tr2bl w:val="nil"/>
                  </w:tcBorders>
                  <w:noWrap w:val="0"/>
                  <w:vAlign w:val="center"/>
                </w:tcPr>
                <w:p w14:paraId="20B9677C">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2m³</w:t>
                  </w:r>
                </w:p>
              </w:tc>
              <w:tc>
                <w:tcPr>
                  <w:tcW w:w="941" w:type="dxa"/>
                  <w:tcBorders>
                    <w:tl2br w:val="nil"/>
                    <w:tr2bl w:val="nil"/>
                  </w:tcBorders>
                  <w:noWrap w:val="0"/>
                  <w:vAlign w:val="center"/>
                </w:tcPr>
                <w:p w14:paraId="70638086">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新建</w:t>
                  </w:r>
                </w:p>
              </w:tc>
            </w:tr>
          </w:tbl>
          <w:p w14:paraId="0BA89BD0">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jc w:val="both"/>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4 项目主要原辅材料及能源消耗情况</w:t>
            </w:r>
          </w:p>
          <w:p w14:paraId="11D6214A">
            <w:pPr>
              <w:numPr>
                <w:ilvl w:val="0"/>
                <w:numId w:val="0"/>
              </w:numPr>
              <w:adjustRightInd w:val="0"/>
              <w:snapToGrid w:val="0"/>
              <w:spacing w:line="360" w:lineRule="auto"/>
              <w:ind w:firstLine="480" w:firstLineChars="200"/>
              <w:jc w:val="both"/>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sz w:val="24"/>
                <w:szCs w:val="24"/>
                <w:highlight w:val="none"/>
                <w:lang w:val="en-US" w:eastAsia="zh-CN"/>
              </w:rPr>
              <w:t>项目生产过程主要原辅材料、能源消耗情况见表2-</w:t>
            </w:r>
            <w:r>
              <w:rPr>
                <w:rFonts w:hint="eastAsia" w:cs="Times New Roman"/>
                <w:sz w:val="24"/>
                <w:szCs w:val="24"/>
                <w:highlight w:val="none"/>
                <w:lang w:val="en-US" w:eastAsia="zh-CN"/>
              </w:rPr>
              <w:t>4及2-5</w:t>
            </w:r>
            <w:r>
              <w:rPr>
                <w:rFonts w:hint="default" w:ascii="Times New Roman" w:hAnsi="Times New Roman" w:eastAsia="宋体" w:cs="Times New Roman"/>
                <w:sz w:val="24"/>
                <w:szCs w:val="24"/>
                <w:highlight w:val="none"/>
                <w:lang w:val="en-US" w:eastAsia="zh-CN"/>
              </w:rPr>
              <w:t>。</w:t>
            </w:r>
          </w:p>
          <w:p w14:paraId="3A12DAA8">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表2-</w:t>
            </w:r>
            <w:r>
              <w:rPr>
                <w:rFonts w:hint="eastAsia" w:cs="Times New Roman"/>
                <w:b/>
                <w:bCs/>
                <w:sz w:val="21"/>
                <w:szCs w:val="21"/>
                <w:highlight w:val="none"/>
                <w:lang w:val="en-US" w:eastAsia="zh-CN"/>
              </w:rPr>
              <w:t>4</w:t>
            </w:r>
            <w:r>
              <w:rPr>
                <w:rFonts w:hint="eastAsia"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lang w:val="en-US" w:eastAsia="zh-CN"/>
              </w:rPr>
              <w:t xml:space="preserve"> </w:t>
            </w:r>
            <w:r>
              <w:rPr>
                <w:rFonts w:hint="eastAsia" w:cs="Times New Roman"/>
                <w:b/>
                <w:bCs/>
                <w:sz w:val="21"/>
                <w:szCs w:val="21"/>
                <w:highlight w:val="none"/>
                <w:lang w:val="en-US" w:eastAsia="zh-CN"/>
              </w:rPr>
              <w:t>防水涂料</w:t>
            </w:r>
            <w:r>
              <w:rPr>
                <w:rFonts w:hint="default" w:ascii="Times New Roman" w:hAnsi="Times New Roman" w:eastAsia="宋体" w:cs="Times New Roman"/>
                <w:b/>
                <w:bCs/>
                <w:sz w:val="21"/>
                <w:szCs w:val="21"/>
                <w:highlight w:val="none"/>
                <w:lang w:val="en-US" w:eastAsia="zh-CN"/>
              </w:rPr>
              <w:t>主要原辅材料及能源消耗情况表</w:t>
            </w:r>
          </w:p>
          <w:tbl>
            <w:tblPr>
              <w:tblStyle w:val="19"/>
              <w:tblW w:w="4999"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830"/>
              <w:gridCol w:w="1464"/>
              <w:gridCol w:w="721"/>
              <w:gridCol w:w="1113"/>
              <w:gridCol w:w="1536"/>
              <w:gridCol w:w="1289"/>
              <w:gridCol w:w="1271"/>
            </w:tblGrid>
            <w:tr w14:paraId="67ABE56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5" w:hRule="atLeast"/>
                <w:jc w:val="center"/>
              </w:trPr>
              <w:tc>
                <w:tcPr>
                  <w:tcW w:w="504" w:type="pct"/>
                  <w:tcBorders>
                    <w:bottom w:val="single" w:color="auto" w:sz="8" w:space="0"/>
                  </w:tcBorders>
                  <w:noWrap w:val="0"/>
                  <w:vAlign w:val="center"/>
                </w:tcPr>
                <w:p w14:paraId="31127BA3">
                  <w:pPr>
                    <w:adjustRightInd w:val="0"/>
                    <w:snapToGrid w:val="0"/>
                    <w:jc w:val="center"/>
                    <w:rPr>
                      <w:rFonts w:ascii="Times New Roman" w:hAnsi="Times New Roman"/>
                      <w:b/>
                      <w:bCs/>
                      <w:szCs w:val="21"/>
                      <w:highlight w:val="none"/>
                    </w:rPr>
                  </w:pPr>
                  <w:r>
                    <w:rPr>
                      <w:rFonts w:ascii="Times New Roman" w:hAnsi="Times New Roman"/>
                      <w:b/>
                      <w:bCs/>
                      <w:szCs w:val="21"/>
                      <w:highlight w:val="none"/>
                    </w:rPr>
                    <w:t>序号</w:t>
                  </w:r>
                </w:p>
              </w:tc>
              <w:tc>
                <w:tcPr>
                  <w:tcW w:w="890" w:type="pct"/>
                  <w:tcBorders>
                    <w:bottom w:val="single" w:color="auto" w:sz="8" w:space="0"/>
                  </w:tcBorders>
                  <w:noWrap w:val="0"/>
                  <w:vAlign w:val="center"/>
                </w:tcPr>
                <w:p w14:paraId="379540D2">
                  <w:pPr>
                    <w:adjustRightInd w:val="0"/>
                    <w:snapToGrid w:val="0"/>
                    <w:jc w:val="center"/>
                    <w:rPr>
                      <w:rFonts w:ascii="Times New Roman" w:hAnsi="Times New Roman"/>
                      <w:b/>
                      <w:bCs/>
                      <w:szCs w:val="21"/>
                      <w:highlight w:val="none"/>
                    </w:rPr>
                  </w:pPr>
                  <w:r>
                    <w:rPr>
                      <w:rFonts w:ascii="Times New Roman" w:hAnsi="Times New Roman"/>
                      <w:b/>
                      <w:bCs/>
                      <w:szCs w:val="21"/>
                      <w:highlight w:val="none"/>
                    </w:rPr>
                    <w:t>名称</w:t>
                  </w:r>
                </w:p>
              </w:tc>
              <w:tc>
                <w:tcPr>
                  <w:tcW w:w="438" w:type="pct"/>
                  <w:tcBorders>
                    <w:bottom w:val="single" w:color="auto" w:sz="8" w:space="0"/>
                  </w:tcBorders>
                  <w:noWrap w:val="0"/>
                  <w:vAlign w:val="center"/>
                </w:tcPr>
                <w:p w14:paraId="460EC62A">
                  <w:pPr>
                    <w:adjustRightInd w:val="0"/>
                    <w:snapToGrid w:val="0"/>
                    <w:jc w:val="center"/>
                    <w:rPr>
                      <w:rFonts w:ascii="Times New Roman" w:hAnsi="Times New Roman"/>
                      <w:b/>
                      <w:bCs/>
                      <w:szCs w:val="21"/>
                      <w:highlight w:val="none"/>
                    </w:rPr>
                  </w:pPr>
                  <w:r>
                    <w:rPr>
                      <w:rFonts w:ascii="Times New Roman" w:hAnsi="Times New Roman"/>
                      <w:b/>
                      <w:bCs/>
                      <w:szCs w:val="21"/>
                      <w:highlight w:val="none"/>
                    </w:rPr>
                    <w:t>单位</w:t>
                  </w:r>
                </w:p>
              </w:tc>
              <w:tc>
                <w:tcPr>
                  <w:tcW w:w="676" w:type="pct"/>
                  <w:tcBorders>
                    <w:bottom w:val="single" w:color="auto" w:sz="8" w:space="0"/>
                  </w:tcBorders>
                  <w:noWrap w:val="0"/>
                  <w:vAlign w:val="center"/>
                </w:tcPr>
                <w:p w14:paraId="78DD7D34">
                  <w:pPr>
                    <w:adjustRightInd w:val="0"/>
                    <w:snapToGrid w:val="0"/>
                    <w:jc w:val="center"/>
                    <w:rPr>
                      <w:rFonts w:ascii="Times New Roman" w:hAnsi="Times New Roman"/>
                      <w:b/>
                      <w:bCs/>
                      <w:szCs w:val="21"/>
                      <w:highlight w:val="none"/>
                    </w:rPr>
                  </w:pPr>
                  <w:r>
                    <w:rPr>
                      <w:rFonts w:ascii="Times New Roman" w:hAnsi="Times New Roman"/>
                      <w:b/>
                      <w:bCs/>
                      <w:szCs w:val="21"/>
                      <w:highlight w:val="none"/>
                    </w:rPr>
                    <w:t>采购量</w:t>
                  </w:r>
                </w:p>
              </w:tc>
              <w:tc>
                <w:tcPr>
                  <w:tcW w:w="933" w:type="pct"/>
                  <w:tcBorders>
                    <w:bottom w:val="single" w:color="auto" w:sz="8" w:space="0"/>
                  </w:tcBorders>
                  <w:noWrap w:val="0"/>
                  <w:vAlign w:val="center"/>
                </w:tcPr>
                <w:p w14:paraId="3B5EBD50">
                  <w:pPr>
                    <w:adjustRightInd w:val="0"/>
                    <w:snapToGrid w:val="0"/>
                    <w:jc w:val="center"/>
                    <w:rPr>
                      <w:rFonts w:ascii="Times New Roman" w:hAnsi="Times New Roman"/>
                      <w:b/>
                      <w:bCs/>
                      <w:szCs w:val="21"/>
                      <w:highlight w:val="none"/>
                    </w:rPr>
                  </w:pPr>
                  <w:r>
                    <w:rPr>
                      <w:rFonts w:ascii="Times New Roman" w:hAnsi="Times New Roman"/>
                      <w:b/>
                      <w:bCs/>
                      <w:szCs w:val="21"/>
                      <w:highlight w:val="none"/>
                    </w:rPr>
                    <w:t>原辅料来源</w:t>
                  </w:r>
                </w:p>
              </w:tc>
              <w:tc>
                <w:tcPr>
                  <w:tcW w:w="783" w:type="pct"/>
                  <w:tcBorders>
                    <w:bottom w:val="single" w:color="auto" w:sz="8" w:space="0"/>
                  </w:tcBorders>
                  <w:noWrap w:val="0"/>
                  <w:vAlign w:val="center"/>
                </w:tcPr>
                <w:p w14:paraId="326A1A46">
                  <w:pPr>
                    <w:adjustRightInd w:val="0"/>
                    <w:snapToGrid w:val="0"/>
                    <w:jc w:val="center"/>
                    <w:rPr>
                      <w:rFonts w:ascii="Times New Roman" w:hAnsi="Times New Roman"/>
                      <w:b/>
                      <w:bCs/>
                      <w:szCs w:val="21"/>
                      <w:highlight w:val="none"/>
                    </w:rPr>
                  </w:pPr>
                  <w:r>
                    <w:rPr>
                      <w:rFonts w:ascii="Times New Roman" w:hAnsi="Times New Roman"/>
                      <w:b/>
                      <w:bCs/>
                      <w:szCs w:val="21"/>
                      <w:highlight w:val="none"/>
                    </w:rPr>
                    <w:t>备注</w:t>
                  </w:r>
                </w:p>
              </w:tc>
              <w:tc>
                <w:tcPr>
                  <w:tcW w:w="773" w:type="pct"/>
                  <w:tcBorders>
                    <w:bottom w:val="single" w:color="auto" w:sz="8" w:space="0"/>
                  </w:tcBorders>
                  <w:noWrap w:val="0"/>
                  <w:vAlign w:val="center"/>
                </w:tcPr>
                <w:p w14:paraId="6CB0C687">
                  <w:pPr>
                    <w:adjustRightInd w:val="0"/>
                    <w:snapToGrid w:val="0"/>
                    <w:jc w:val="center"/>
                    <w:rPr>
                      <w:rFonts w:ascii="Times New Roman" w:hAnsi="Times New Roman"/>
                      <w:b/>
                      <w:bCs/>
                      <w:szCs w:val="21"/>
                      <w:highlight w:val="none"/>
                    </w:rPr>
                  </w:pPr>
                  <w:r>
                    <w:rPr>
                      <w:rFonts w:hint="eastAsia"/>
                      <w:b/>
                      <w:bCs/>
                      <w:szCs w:val="21"/>
                      <w:highlight w:val="none"/>
                      <w:lang w:val="en-US" w:eastAsia="zh-CN"/>
                    </w:rPr>
                    <w:t>储存</w:t>
                  </w:r>
                  <w:r>
                    <w:rPr>
                      <w:rFonts w:hint="eastAsia" w:ascii="Times New Roman" w:hAnsi="Times New Roman"/>
                      <w:b/>
                      <w:bCs/>
                      <w:szCs w:val="21"/>
                      <w:highlight w:val="none"/>
                    </w:rPr>
                    <w:t>方式</w:t>
                  </w:r>
                </w:p>
              </w:tc>
            </w:tr>
            <w:tr w14:paraId="041F12A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04" w:type="pct"/>
                  <w:tcBorders>
                    <w:top w:val="single" w:color="auto" w:sz="8" w:space="0"/>
                    <w:tl2br w:val="nil"/>
                    <w:tr2bl w:val="nil"/>
                  </w:tcBorders>
                  <w:noWrap w:val="0"/>
                  <w:vAlign w:val="center"/>
                </w:tcPr>
                <w:p w14:paraId="6B0F8E4E">
                  <w:pPr>
                    <w:adjustRightInd w:val="0"/>
                    <w:snapToGrid w:val="0"/>
                    <w:jc w:val="center"/>
                    <w:rPr>
                      <w:rFonts w:hint="eastAsia" w:ascii="Times New Roman" w:hAnsi="Times New Roman" w:eastAsia="宋体"/>
                      <w:szCs w:val="21"/>
                      <w:highlight w:val="none"/>
                      <w:lang w:val="en-US" w:eastAsia="zh-CN"/>
                    </w:rPr>
                  </w:pPr>
                  <w:r>
                    <w:rPr>
                      <w:rFonts w:hint="eastAsia" w:ascii="Times New Roman" w:hAnsi="Times New Roman"/>
                      <w:szCs w:val="21"/>
                      <w:highlight w:val="none"/>
                      <w:lang w:val="en-US" w:eastAsia="zh-CN"/>
                    </w:rPr>
                    <w:t>1</w:t>
                  </w:r>
                </w:p>
              </w:tc>
              <w:tc>
                <w:tcPr>
                  <w:tcW w:w="890" w:type="pct"/>
                  <w:tcBorders>
                    <w:top w:val="single" w:color="auto" w:sz="8" w:space="0"/>
                    <w:tl2br w:val="nil"/>
                    <w:tr2bl w:val="nil"/>
                  </w:tcBorders>
                  <w:noWrap w:val="0"/>
                  <w:vAlign w:val="center"/>
                </w:tcPr>
                <w:p w14:paraId="1948EB2F">
                  <w:pPr>
                    <w:widowControl/>
                    <w:jc w:val="center"/>
                    <w:rPr>
                      <w:rFonts w:hint="eastAsia" w:ascii="Times New Roman" w:hAnsi="Times New Roman" w:eastAsia="宋体"/>
                      <w:szCs w:val="21"/>
                      <w:highlight w:val="none"/>
                      <w:lang w:eastAsia="zh-CN"/>
                    </w:rPr>
                  </w:pPr>
                  <w:r>
                    <w:rPr>
                      <w:rFonts w:hint="eastAsia"/>
                      <w:color w:val="000000"/>
                      <w:kern w:val="0"/>
                      <w:szCs w:val="21"/>
                      <w:highlight w:val="none"/>
                      <w:lang w:val="en-US" w:eastAsia="zh-CN" w:bidi="ar"/>
                    </w:rPr>
                    <w:t>沥青</w:t>
                  </w:r>
                </w:p>
              </w:tc>
              <w:tc>
                <w:tcPr>
                  <w:tcW w:w="438" w:type="pct"/>
                  <w:tcBorders>
                    <w:top w:val="single" w:color="auto" w:sz="8" w:space="0"/>
                    <w:tl2br w:val="nil"/>
                    <w:tr2bl w:val="nil"/>
                  </w:tcBorders>
                  <w:noWrap w:val="0"/>
                  <w:vAlign w:val="center"/>
                </w:tcPr>
                <w:p w14:paraId="441975EE">
                  <w:pPr>
                    <w:adjustRightInd w:val="0"/>
                    <w:snapToGrid w:val="0"/>
                    <w:jc w:val="center"/>
                    <w:rPr>
                      <w:rFonts w:ascii="Times New Roman" w:hAnsi="Times New Roman"/>
                      <w:szCs w:val="21"/>
                      <w:highlight w:val="none"/>
                    </w:rPr>
                  </w:pPr>
                  <w:r>
                    <w:rPr>
                      <w:rFonts w:ascii="Times New Roman" w:hAnsi="Times New Roman"/>
                      <w:szCs w:val="21"/>
                      <w:highlight w:val="none"/>
                    </w:rPr>
                    <w:t>t/a</w:t>
                  </w:r>
                </w:p>
              </w:tc>
              <w:tc>
                <w:tcPr>
                  <w:tcW w:w="676" w:type="pct"/>
                  <w:tcBorders>
                    <w:top w:val="single" w:color="auto" w:sz="8" w:space="0"/>
                    <w:tl2br w:val="nil"/>
                    <w:tr2bl w:val="nil"/>
                  </w:tcBorders>
                  <w:noWrap w:val="0"/>
                  <w:vAlign w:val="center"/>
                </w:tcPr>
                <w:p w14:paraId="777C5690">
                  <w:pPr>
                    <w:keepNext w:val="0"/>
                    <w:keepLines w:val="0"/>
                    <w:widowControl/>
                    <w:suppressLineNumbers w:val="0"/>
                    <w:jc w:val="center"/>
                    <w:textAlignment w:val="center"/>
                    <w:rPr>
                      <w:rFonts w:hint="default" w:ascii="Times New Roman" w:hAnsi="Times New Roman"/>
                      <w:szCs w:val="21"/>
                      <w:highlight w:val="none"/>
                      <w:lang w:val="en-US"/>
                    </w:rPr>
                  </w:pPr>
                  <w:r>
                    <w:rPr>
                      <w:rFonts w:hint="eastAsia" w:cs="Times New Roman"/>
                      <w:i w:val="0"/>
                      <w:iCs w:val="0"/>
                      <w:color w:val="000000"/>
                      <w:kern w:val="0"/>
                      <w:sz w:val="21"/>
                      <w:szCs w:val="21"/>
                      <w:u w:val="none"/>
                      <w:lang w:val="en-US" w:eastAsia="zh-CN" w:bidi="ar"/>
                    </w:rPr>
                    <w:t>200</w:t>
                  </w:r>
                </w:p>
              </w:tc>
              <w:tc>
                <w:tcPr>
                  <w:tcW w:w="933" w:type="pct"/>
                  <w:tcBorders>
                    <w:top w:val="single" w:color="auto" w:sz="8" w:space="0"/>
                    <w:tl2br w:val="nil"/>
                    <w:tr2bl w:val="nil"/>
                  </w:tcBorders>
                  <w:noWrap w:val="0"/>
                  <w:vAlign w:val="center"/>
                </w:tcPr>
                <w:p w14:paraId="1077EF64">
                  <w:pPr>
                    <w:widowControl/>
                    <w:jc w:val="center"/>
                    <w:rPr>
                      <w:rFonts w:hint="eastAsia" w:ascii="Times New Roman" w:hAnsi="Times New Roman" w:eastAsia="宋体"/>
                      <w:szCs w:val="21"/>
                      <w:highlight w:val="none"/>
                      <w:lang w:eastAsia="zh-CN"/>
                    </w:rPr>
                  </w:pPr>
                  <w:r>
                    <w:rPr>
                      <w:rFonts w:hint="eastAsia"/>
                      <w:color w:val="000000"/>
                      <w:kern w:val="0"/>
                      <w:szCs w:val="21"/>
                      <w:highlight w:val="none"/>
                      <w:lang w:val="en-US" w:eastAsia="zh-CN" w:bidi="ar"/>
                    </w:rPr>
                    <w:t>外购</w:t>
                  </w:r>
                </w:p>
              </w:tc>
              <w:tc>
                <w:tcPr>
                  <w:tcW w:w="783" w:type="pct"/>
                  <w:tcBorders>
                    <w:top w:val="single" w:color="auto" w:sz="8" w:space="0"/>
                    <w:tl2br w:val="nil"/>
                    <w:tr2bl w:val="nil"/>
                  </w:tcBorders>
                  <w:noWrap w:val="0"/>
                  <w:vAlign w:val="center"/>
                </w:tcPr>
                <w:p w14:paraId="17C4816F">
                  <w:pPr>
                    <w:adjustRightInd w:val="0"/>
                    <w:snapToGrid w:val="0"/>
                    <w:jc w:val="center"/>
                    <w:rPr>
                      <w:rFonts w:hint="eastAsia" w:ascii="Times New Roman" w:hAnsi="Times New Roman" w:eastAsia="宋体"/>
                      <w:b w:val="0"/>
                      <w:bCs w:val="0"/>
                      <w:szCs w:val="21"/>
                      <w:highlight w:val="none"/>
                      <w:lang w:eastAsia="zh-CN"/>
                    </w:rPr>
                  </w:pPr>
                  <w:r>
                    <w:rPr>
                      <w:rFonts w:hint="eastAsia" w:cs="Times New Roman"/>
                      <w:b w:val="0"/>
                      <w:bCs w:val="0"/>
                      <w:sz w:val="21"/>
                      <w:szCs w:val="21"/>
                      <w:highlight w:val="none"/>
                      <w:lang w:val="en-US" w:eastAsia="zh-CN"/>
                    </w:rPr>
                    <w:t>防水涂料</w:t>
                  </w:r>
                </w:p>
              </w:tc>
              <w:tc>
                <w:tcPr>
                  <w:tcW w:w="773" w:type="pct"/>
                  <w:tcBorders>
                    <w:top w:val="single" w:color="auto" w:sz="8" w:space="0"/>
                    <w:tl2br w:val="nil"/>
                    <w:tr2bl w:val="nil"/>
                  </w:tcBorders>
                  <w:noWrap w:val="0"/>
                  <w:vAlign w:val="center"/>
                </w:tcPr>
                <w:p w14:paraId="4D9DBEC3">
                  <w:pPr>
                    <w:adjustRightInd w:val="0"/>
                    <w:snapToGrid w:val="0"/>
                    <w:jc w:val="center"/>
                    <w:rPr>
                      <w:rFonts w:hint="eastAsia" w:ascii="Times New Roman" w:hAnsi="Times New Roman" w:eastAsia="宋体"/>
                      <w:szCs w:val="21"/>
                      <w:highlight w:val="none"/>
                      <w:lang w:eastAsia="zh-CN"/>
                    </w:rPr>
                  </w:pPr>
                  <w:r>
                    <w:rPr>
                      <w:rFonts w:hint="eastAsia"/>
                      <w:szCs w:val="21"/>
                      <w:highlight w:val="none"/>
                      <w:lang w:val="en-US" w:eastAsia="zh-CN"/>
                    </w:rPr>
                    <w:t>罐装</w:t>
                  </w:r>
                </w:p>
              </w:tc>
            </w:tr>
            <w:tr w14:paraId="7A93429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04" w:type="pct"/>
                  <w:tcBorders>
                    <w:tl2br w:val="nil"/>
                    <w:tr2bl w:val="nil"/>
                  </w:tcBorders>
                  <w:noWrap w:val="0"/>
                  <w:vAlign w:val="center"/>
                </w:tcPr>
                <w:p w14:paraId="383EB512">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2</w:t>
                  </w:r>
                </w:p>
              </w:tc>
              <w:tc>
                <w:tcPr>
                  <w:tcW w:w="890" w:type="pct"/>
                  <w:tcBorders>
                    <w:tl2br w:val="nil"/>
                    <w:tr2bl w:val="nil"/>
                  </w:tcBorders>
                  <w:noWrap w:val="0"/>
                  <w:vAlign w:val="center"/>
                </w:tcPr>
                <w:p w14:paraId="47FD3585">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乳化剂</w:t>
                  </w:r>
                </w:p>
              </w:tc>
              <w:tc>
                <w:tcPr>
                  <w:tcW w:w="438" w:type="pct"/>
                  <w:tcBorders>
                    <w:tl2br w:val="nil"/>
                    <w:tr2bl w:val="nil"/>
                  </w:tcBorders>
                  <w:noWrap w:val="0"/>
                  <w:vAlign w:val="center"/>
                </w:tcPr>
                <w:p w14:paraId="08974DE4">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676" w:type="pct"/>
                  <w:tcBorders>
                    <w:tl2br w:val="nil"/>
                    <w:tr2bl w:val="nil"/>
                  </w:tcBorders>
                  <w:noWrap w:val="0"/>
                  <w:vAlign w:val="center"/>
                </w:tcPr>
                <w:p w14:paraId="74AF2BB3">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cs="Times New Roman"/>
                      <w:i w:val="0"/>
                      <w:iCs w:val="0"/>
                      <w:color w:val="000000"/>
                      <w:kern w:val="0"/>
                      <w:sz w:val="21"/>
                      <w:szCs w:val="21"/>
                      <w:u w:val="none"/>
                      <w:lang w:val="en-US" w:eastAsia="zh-CN" w:bidi="ar"/>
                    </w:rPr>
                    <w:t>10</w:t>
                  </w:r>
                </w:p>
              </w:tc>
              <w:tc>
                <w:tcPr>
                  <w:tcW w:w="933" w:type="pct"/>
                  <w:tcBorders>
                    <w:tl2br w:val="nil"/>
                    <w:tr2bl w:val="nil"/>
                  </w:tcBorders>
                  <w:noWrap w:val="0"/>
                  <w:vAlign w:val="center"/>
                </w:tcPr>
                <w:p w14:paraId="565B875D">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783" w:type="pct"/>
                  <w:tcBorders>
                    <w:tl2br w:val="nil"/>
                    <w:tr2bl w:val="nil"/>
                  </w:tcBorders>
                  <w:noWrap w:val="0"/>
                  <w:vAlign w:val="center"/>
                </w:tcPr>
                <w:p w14:paraId="7E518F76">
                  <w:pPr>
                    <w:adjustRightInd w:val="0"/>
                    <w:snapToGrid w:val="0"/>
                    <w:jc w:val="center"/>
                    <w:rPr>
                      <w:rFonts w:ascii="Times New Roman" w:hAnsi="Times New Roman"/>
                      <w:b w:val="0"/>
                      <w:bCs w:val="0"/>
                      <w:kern w:val="2"/>
                      <w:sz w:val="21"/>
                      <w:szCs w:val="21"/>
                      <w:highlight w:val="none"/>
                      <w:lang w:val="en-US" w:eastAsia="zh-CN" w:bidi="ar-SA"/>
                    </w:rPr>
                  </w:pPr>
                  <w:r>
                    <w:rPr>
                      <w:rFonts w:hint="eastAsia" w:cs="Times New Roman"/>
                      <w:b w:val="0"/>
                      <w:bCs w:val="0"/>
                      <w:sz w:val="21"/>
                      <w:szCs w:val="21"/>
                      <w:highlight w:val="none"/>
                      <w:lang w:val="en-US" w:eastAsia="zh-CN"/>
                    </w:rPr>
                    <w:t>防水涂料</w:t>
                  </w:r>
                </w:p>
              </w:tc>
              <w:tc>
                <w:tcPr>
                  <w:tcW w:w="773" w:type="pct"/>
                  <w:tcBorders>
                    <w:tl2br w:val="nil"/>
                    <w:tr2bl w:val="nil"/>
                  </w:tcBorders>
                  <w:noWrap w:val="0"/>
                  <w:vAlign w:val="center"/>
                </w:tcPr>
                <w:p w14:paraId="31FDD300">
                  <w:pPr>
                    <w:adjustRightInd w:val="0"/>
                    <w:snapToGrid w:val="0"/>
                    <w:jc w:val="center"/>
                    <w:rPr>
                      <w:rFonts w:ascii="Times New Roman" w:hAnsi="Times New Roman"/>
                      <w:kern w:val="2"/>
                      <w:sz w:val="21"/>
                      <w:szCs w:val="21"/>
                      <w:highlight w:val="none"/>
                      <w:lang w:val="en-US" w:eastAsia="zh-CN" w:bidi="ar-SA"/>
                    </w:rPr>
                  </w:pPr>
                  <w:r>
                    <w:rPr>
                      <w:rFonts w:hint="eastAsia" w:ascii="Times New Roman" w:hAnsi="Times New Roman"/>
                      <w:szCs w:val="21"/>
                      <w:highlight w:val="none"/>
                    </w:rPr>
                    <w:t>袋装</w:t>
                  </w:r>
                </w:p>
              </w:tc>
            </w:tr>
            <w:tr w14:paraId="3682F81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48" w:hRule="atLeast"/>
                <w:jc w:val="center"/>
              </w:trPr>
              <w:tc>
                <w:tcPr>
                  <w:tcW w:w="504" w:type="pct"/>
                  <w:tcBorders>
                    <w:tl2br w:val="nil"/>
                    <w:tr2bl w:val="nil"/>
                  </w:tcBorders>
                  <w:noWrap w:val="0"/>
                  <w:vAlign w:val="center"/>
                </w:tcPr>
                <w:p w14:paraId="1469CB1D">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3</w:t>
                  </w:r>
                </w:p>
              </w:tc>
              <w:tc>
                <w:tcPr>
                  <w:tcW w:w="890" w:type="pct"/>
                  <w:tcBorders>
                    <w:tl2br w:val="nil"/>
                    <w:tr2bl w:val="nil"/>
                  </w:tcBorders>
                  <w:noWrap w:val="0"/>
                  <w:vAlign w:val="center"/>
                </w:tcPr>
                <w:p w14:paraId="7C688087">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稳定剂</w:t>
                  </w:r>
                </w:p>
              </w:tc>
              <w:tc>
                <w:tcPr>
                  <w:tcW w:w="438" w:type="pct"/>
                  <w:tcBorders>
                    <w:tl2br w:val="nil"/>
                    <w:tr2bl w:val="nil"/>
                  </w:tcBorders>
                  <w:noWrap w:val="0"/>
                  <w:vAlign w:val="center"/>
                </w:tcPr>
                <w:p w14:paraId="59A6B5BC">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676" w:type="pct"/>
                  <w:tcBorders>
                    <w:tl2br w:val="nil"/>
                    <w:tr2bl w:val="nil"/>
                  </w:tcBorders>
                  <w:noWrap w:val="0"/>
                  <w:vAlign w:val="center"/>
                </w:tcPr>
                <w:p w14:paraId="248776D1">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cs="Times New Roman"/>
                      <w:i w:val="0"/>
                      <w:iCs w:val="0"/>
                      <w:color w:val="000000"/>
                      <w:kern w:val="0"/>
                      <w:sz w:val="21"/>
                      <w:szCs w:val="21"/>
                      <w:u w:val="none"/>
                      <w:lang w:val="en-US" w:eastAsia="zh-CN" w:bidi="ar"/>
                    </w:rPr>
                    <w:t>10</w:t>
                  </w:r>
                </w:p>
              </w:tc>
              <w:tc>
                <w:tcPr>
                  <w:tcW w:w="933" w:type="pct"/>
                  <w:tcBorders>
                    <w:tl2br w:val="nil"/>
                    <w:tr2bl w:val="nil"/>
                  </w:tcBorders>
                  <w:noWrap w:val="0"/>
                  <w:vAlign w:val="center"/>
                </w:tcPr>
                <w:p w14:paraId="7A0A3949">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783" w:type="pct"/>
                  <w:tcBorders>
                    <w:tl2br w:val="nil"/>
                    <w:tr2bl w:val="nil"/>
                  </w:tcBorders>
                  <w:noWrap w:val="0"/>
                  <w:vAlign w:val="center"/>
                </w:tcPr>
                <w:p w14:paraId="090980F6">
                  <w:pPr>
                    <w:adjustRightInd w:val="0"/>
                    <w:snapToGrid w:val="0"/>
                    <w:jc w:val="center"/>
                    <w:rPr>
                      <w:rFonts w:ascii="Times New Roman" w:hAnsi="Times New Roman"/>
                      <w:b w:val="0"/>
                      <w:bCs w:val="0"/>
                      <w:kern w:val="2"/>
                      <w:sz w:val="21"/>
                      <w:szCs w:val="21"/>
                      <w:highlight w:val="none"/>
                      <w:lang w:val="en-US" w:eastAsia="zh-CN" w:bidi="ar-SA"/>
                    </w:rPr>
                  </w:pPr>
                  <w:r>
                    <w:rPr>
                      <w:rFonts w:hint="eastAsia" w:cs="Times New Roman"/>
                      <w:b w:val="0"/>
                      <w:bCs w:val="0"/>
                      <w:sz w:val="21"/>
                      <w:szCs w:val="21"/>
                      <w:highlight w:val="none"/>
                      <w:lang w:val="en-US" w:eastAsia="zh-CN"/>
                    </w:rPr>
                    <w:t>防水涂料</w:t>
                  </w:r>
                </w:p>
              </w:tc>
              <w:tc>
                <w:tcPr>
                  <w:tcW w:w="773" w:type="pct"/>
                  <w:tcBorders>
                    <w:tl2br w:val="nil"/>
                    <w:tr2bl w:val="nil"/>
                  </w:tcBorders>
                  <w:noWrap w:val="0"/>
                  <w:vAlign w:val="center"/>
                </w:tcPr>
                <w:p w14:paraId="642F2F96">
                  <w:pPr>
                    <w:adjustRightInd w:val="0"/>
                    <w:snapToGrid w:val="0"/>
                    <w:jc w:val="center"/>
                    <w:rPr>
                      <w:rFonts w:ascii="Times New Roman" w:hAnsi="Times New Roman"/>
                      <w:kern w:val="2"/>
                      <w:sz w:val="21"/>
                      <w:szCs w:val="21"/>
                      <w:highlight w:val="none"/>
                      <w:lang w:val="en-US" w:eastAsia="zh-CN" w:bidi="ar-SA"/>
                    </w:rPr>
                  </w:pPr>
                  <w:r>
                    <w:rPr>
                      <w:rFonts w:hint="eastAsia"/>
                      <w:szCs w:val="21"/>
                      <w:highlight w:val="none"/>
                      <w:lang w:val="en-US" w:eastAsia="zh-CN"/>
                    </w:rPr>
                    <w:t>桶</w:t>
                  </w:r>
                  <w:r>
                    <w:rPr>
                      <w:rFonts w:hint="eastAsia" w:ascii="Times New Roman" w:hAnsi="Times New Roman"/>
                      <w:szCs w:val="21"/>
                      <w:highlight w:val="none"/>
                    </w:rPr>
                    <w:t>装</w:t>
                  </w:r>
                </w:p>
              </w:tc>
            </w:tr>
            <w:tr w14:paraId="76528D4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04" w:type="pct"/>
                  <w:tcBorders>
                    <w:tl2br w:val="nil"/>
                    <w:tr2bl w:val="nil"/>
                  </w:tcBorders>
                  <w:noWrap w:val="0"/>
                  <w:vAlign w:val="center"/>
                </w:tcPr>
                <w:p w14:paraId="48E76166">
                  <w:pPr>
                    <w:adjustRightInd w:val="0"/>
                    <w:snapToGrid w:val="0"/>
                    <w:jc w:val="center"/>
                    <w:rPr>
                      <w:rFonts w:hint="eastAsia"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4</w:t>
                  </w:r>
                </w:p>
              </w:tc>
              <w:tc>
                <w:tcPr>
                  <w:tcW w:w="890" w:type="pct"/>
                  <w:tcBorders>
                    <w:tl2br w:val="nil"/>
                    <w:tr2bl w:val="nil"/>
                  </w:tcBorders>
                  <w:noWrap w:val="0"/>
                  <w:vAlign w:val="center"/>
                </w:tcPr>
                <w:p w14:paraId="6451B2E0">
                  <w:pPr>
                    <w:widowControl/>
                    <w:jc w:val="center"/>
                    <w:rPr>
                      <w:rFonts w:hint="default" w:ascii="Times New Roman" w:hAnsi="Times New Roman" w:eastAsia="宋体"/>
                      <w:color w:val="000000"/>
                      <w:kern w:val="0"/>
                      <w:szCs w:val="21"/>
                      <w:highlight w:val="none"/>
                      <w:lang w:val="en-US" w:eastAsia="zh-CN" w:bidi="ar"/>
                    </w:rPr>
                  </w:pPr>
                  <w:r>
                    <w:rPr>
                      <w:rFonts w:hint="eastAsia"/>
                      <w:color w:val="000000"/>
                      <w:kern w:val="0"/>
                      <w:szCs w:val="21"/>
                      <w:highlight w:val="none"/>
                      <w:lang w:val="en-US" w:eastAsia="zh-CN" w:bidi="ar"/>
                    </w:rPr>
                    <w:t>防水乳液</w:t>
                  </w:r>
                </w:p>
              </w:tc>
              <w:tc>
                <w:tcPr>
                  <w:tcW w:w="438" w:type="pct"/>
                  <w:tcBorders>
                    <w:tl2br w:val="nil"/>
                    <w:tr2bl w:val="nil"/>
                  </w:tcBorders>
                  <w:noWrap w:val="0"/>
                  <w:vAlign w:val="center"/>
                </w:tcPr>
                <w:p w14:paraId="0B59B59D">
                  <w:pPr>
                    <w:adjustRightInd w:val="0"/>
                    <w:snapToGrid w:val="0"/>
                    <w:jc w:val="center"/>
                    <w:rPr>
                      <w:rFonts w:ascii="Times New Roman" w:hAnsi="Times New Roman"/>
                      <w:szCs w:val="21"/>
                      <w:highlight w:val="none"/>
                    </w:rPr>
                  </w:pPr>
                  <w:r>
                    <w:rPr>
                      <w:rFonts w:ascii="Times New Roman" w:hAnsi="Times New Roman"/>
                      <w:szCs w:val="21"/>
                      <w:highlight w:val="none"/>
                    </w:rPr>
                    <w:t>t/a</w:t>
                  </w:r>
                </w:p>
              </w:tc>
              <w:tc>
                <w:tcPr>
                  <w:tcW w:w="676" w:type="pct"/>
                  <w:tcBorders>
                    <w:tl2br w:val="nil"/>
                    <w:tr2bl w:val="nil"/>
                  </w:tcBorders>
                  <w:noWrap w:val="0"/>
                  <w:vAlign w:val="center"/>
                </w:tcPr>
                <w:p w14:paraId="69B0E76D">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cs="Times New Roman"/>
                      <w:i w:val="0"/>
                      <w:iCs w:val="0"/>
                      <w:color w:val="000000"/>
                      <w:kern w:val="0"/>
                      <w:sz w:val="21"/>
                      <w:szCs w:val="21"/>
                      <w:u w:val="none"/>
                      <w:lang w:val="en-US" w:eastAsia="zh-CN" w:bidi="ar"/>
                    </w:rPr>
                    <w:t>210</w:t>
                  </w:r>
                </w:p>
              </w:tc>
              <w:tc>
                <w:tcPr>
                  <w:tcW w:w="933" w:type="pct"/>
                  <w:tcBorders>
                    <w:tl2br w:val="nil"/>
                    <w:tr2bl w:val="nil"/>
                  </w:tcBorders>
                  <w:noWrap w:val="0"/>
                  <w:vAlign w:val="center"/>
                </w:tcPr>
                <w:p w14:paraId="1A78202A">
                  <w:pPr>
                    <w:widowControl/>
                    <w:jc w:val="center"/>
                    <w:rPr>
                      <w:rFonts w:hint="default" w:ascii="Times New Roman" w:hAnsi="Times New Roman" w:eastAsia="宋体"/>
                      <w:color w:val="000000"/>
                      <w:kern w:val="0"/>
                      <w:szCs w:val="21"/>
                      <w:highlight w:val="none"/>
                      <w:lang w:val="en-US" w:eastAsia="zh-CN" w:bidi="ar"/>
                    </w:rPr>
                  </w:pPr>
                  <w:r>
                    <w:rPr>
                      <w:rFonts w:hint="eastAsia"/>
                      <w:color w:val="000000"/>
                      <w:kern w:val="0"/>
                      <w:szCs w:val="21"/>
                      <w:highlight w:val="none"/>
                      <w:lang w:val="en-US" w:eastAsia="zh-CN" w:bidi="ar"/>
                    </w:rPr>
                    <w:t>外购</w:t>
                  </w:r>
                </w:p>
              </w:tc>
              <w:tc>
                <w:tcPr>
                  <w:tcW w:w="783" w:type="pct"/>
                  <w:tcBorders>
                    <w:tl2br w:val="nil"/>
                    <w:tr2bl w:val="nil"/>
                  </w:tcBorders>
                  <w:noWrap w:val="0"/>
                  <w:vAlign w:val="center"/>
                </w:tcPr>
                <w:p w14:paraId="3FAEAA0A">
                  <w:pPr>
                    <w:adjustRightInd w:val="0"/>
                    <w:snapToGrid w:val="0"/>
                    <w:jc w:val="center"/>
                    <w:rPr>
                      <w:rFonts w:ascii="Times New Roman" w:hAnsi="Times New Roman"/>
                      <w:b w:val="0"/>
                      <w:bCs w:val="0"/>
                      <w:szCs w:val="21"/>
                      <w:highlight w:val="none"/>
                    </w:rPr>
                  </w:pPr>
                  <w:r>
                    <w:rPr>
                      <w:rFonts w:hint="eastAsia" w:cs="Times New Roman"/>
                      <w:b w:val="0"/>
                      <w:bCs w:val="0"/>
                      <w:sz w:val="21"/>
                      <w:szCs w:val="21"/>
                      <w:highlight w:val="none"/>
                      <w:lang w:val="en-US" w:eastAsia="zh-CN"/>
                    </w:rPr>
                    <w:t>防水涂料</w:t>
                  </w:r>
                </w:p>
              </w:tc>
              <w:tc>
                <w:tcPr>
                  <w:tcW w:w="773" w:type="pct"/>
                  <w:tcBorders>
                    <w:tl2br w:val="nil"/>
                    <w:tr2bl w:val="nil"/>
                  </w:tcBorders>
                  <w:noWrap w:val="0"/>
                  <w:vAlign w:val="center"/>
                </w:tcPr>
                <w:p w14:paraId="1E79F92F">
                  <w:pPr>
                    <w:adjustRightInd w:val="0"/>
                    <w:snapToGrid w:val="0"/>
                    <w:jc w:val="center"/>
                    <w:rPr>
                      <w:rFonts w:hint="eastAsia" w:ascii="Times New Roman" w:hAnsi="Times New Roman"/>
                      <w:szCs w:val="21"/>
                      <w:highlight w:val="none"/>
                    </w:rPr>
                  </w:pPr>
                  <w:r>
                    <w:rPr>
                      <w:rFonts w:hint="eastAsia"/>
                      <w:szCs w:val="21"/>
                      <w:highlight w:val="none"/>
                      <w:lang w:val="en-US" w:eastAsia="zh-CN"/>
                    </w:rPr>
                    <w:t>桶</w:t>
                  </w:r>
                  <w:r>
                    <w:rPr>
                      <w:rFonts w:hint="eastAsia" w:ascii="Times New Roman" w:hAnsi="Times New Roman"/>
                      <w:szCs w:val="21"/>
                      <w:highlight w:val="none"/>
                    </w:rPr>
                    <w:t>装</w:t>
                  </w:r>
                </w:p>
              </w:tc>
            </w:tr>
            <w:tr w14:paraId="09DBB6B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04" w:type="pct"/>
                  <w:tcBorders>
                    <w:tl2br w:val="nil"/>
                    <w:tr2bl w:val="nil"/>
                  </w:tcBorders>
                  <w:noWrap w:val="0"/>
                  <w:vAlign w:val="center"/>
                </w:tcPr>
                <w:p w14:paraId="328E8D84">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5</w:t>
                  </w:r>
                </w:p>
              </w:tc>
              <w:tc>
                <w:tcPr>
                  <w:tcW w:w="890" w:type="pct"/>
                  <w:tcBorders>
                    <w:tl2br w:val="nil"/>
                    <w:tr2bl w:val="nil"/>
                  </w:tcBorders>
                  <w:noWrap w:val="0"/>
                  <w:vAlign w:val="center"/>
                </w:tcPr>
                <w:p w14:paraId="22E864F9">
                  <w:pPr>
                    <w:widowControl/>
                    <w:jc w:val="center"/>
                    <w:rPr>
                      <w:rFonts w:hint="default"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钙粉/425水泥</w:t>
                  </w:r>
                </w:p>
              </w:tc>
              <w:tc>
                <w:tcPr>
                  <w:tcW w:w="438" w:type="pct"/>
                  <w:tcBorders>
                    <w:tl2br w:val="nil"/>
                    <w:tr2bl w:val="nil"/>
                  </w:tcBorders>
                  <w:noWrap w:val="0"/>
                  <w:vAlign w:val="center"/>
                </w:tcPr>
                <w:p w14:paraId="1A395628">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676" w:type="pct"/>
                  <w:tcBorders>
                    <w:tl2br w:val="nil"/>
                    <w:tr2bl w:val="nil"/>
                  </w:tcBorders>
                  <w:noWrap w:val="0"/>
                  <w:vAlign w:val="center"/>
                </w:tcPr>
                <w:p w14:paraId="22B51915">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cs="Times New Roman"/>
                      <w:i w:val="0"/>
                      <w:iCs w:val="0"/>
                      <w:color w:val="000000"/>
                      <w:kern w:val="0"/>
                      <w:sz w:val="21"/>
                      <w:szCs w:val="21"/>
                      <w:u w:val="none"/>
                      <w:lang w:val="en-US" w:eastAsia="zh-CN" w:bidi="ar"/>
                    </w:rPr>
                    <w:t>160</w:t>
                  </w:r>
                </w:p>
              </w:tc>
              <w:tc>
                <w:tcPr>
                  <w:tcW w:w="933" w:type="pct"/>
                  <w:tcBorders>
                    <w:tl2br w:val="nil"/>
                    <w:tr2bl w:val="nil"/>
                  </w:tcBorders>
                  <w:noWrap w:val="0"/>
                  <w:vAlign w:val="center"/>
                </w:tcPr>
                <w:p w14:paraId="1D0EC03E">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783" w:type="pct"/>
                  <w:tcBorders>
                    <w:tl2br w:val="nil"/>
                    <w:tr2bl w:val="nil"/>
                  </w:tcBorders>
                  <w:noWrap w:val="0"/>
                  <w:vAlign w:val="center"/>
                </w:tcPr>
                <w:p w14:paraId="02B56C01">
                  <w:pPr>
                    <w:adjustRightInd w:val="0"/>
                    <w:snapToGrid w:val="0"/>
                    <w:jc w:val="center"/>
                    <w:rPr>
                      <w:rFonts w:ascii="Times New Roman" w:hAnsi="Times New Roman"/>
                      <w:b w:val="0"/>
                      <w:bCs w:val="0"/>
                      <w:kern w:val="2"/>
                      <w:sz w:val="21"/>
                      <w:szCs w:val="21"/>
                      <w:highlight w:val="none"/>
                      <w:lang w:val="en-US" w:eastAsia="zh-CN" w:bidi="ar-SA"/>
                    </w:rPr>
                  </w:pPr>
                  <w:r>
                    <w:rPr>
                      <w:rFonts w:hint="eastAsia" w:cs="Times New Roman"/>
                      <w:b w:val="0"/>
                      <w:bCs w:val="0"/>
                      <w:sz w:val="21"/>
                      <w:szCs w:val="21"/>
                      <w:highlight w:val="none"/>
                      <w:lang w:val="en-US" w:eastAsia="zh-CN"/>
                    </w:rPr>
                    <w:t>防水涂料</w:t>
                  </w:r>
                </w:p>
              </w:tc>
              <w:tc>
                <w:tcPr>
                  <w:tcW w:w="773" w:type="pct"/>
                  <w:tcBorders>
                    <w:tl2br w:val="nil"/>
                    <w:tr2bl w:val="nil"/>
                  </w:tcBorders>
                  <w:noWrap w:val="0"/>
                  <w:vAlign w:val="center"/>
                </w:tcPr>
                <w:p w14:paraId="72050E1B">
                  <w:pPr>
                    <w:adjustRightInd w:val="0"/>
                    <w:snapToGrid w:val="0"/>
                    <w:jc w:val="center"/>
                    <w:rPr>
                      <w:rFonts w:ascii="Times New Roman" w:hAnsi="Times New Roman"/>
                      <w:kern w:val="2"/>
                      <w:sz w:val="21"/>
                      <w:szCs w:val="21"/>
                      <w:highlight w:val="none"/>
                      <w:lang w:val="en-US" w:eastAsia="zh-CN" w:bidi="ar-SA"/>
                    </w:rPr>
                  </w:pPr>
                  <w:r>
                    <w:rPr>
                      <w:rFonts w:hint="eastAsia" w:ascii="Times New Roman" w:hAnsi="Times New Roman"/>
                      <w:szCs w:val="21"/>
                      <w:highlight w:val="none"/>
                    </w:rPr>
                    <w:t>袋装</w:t>
                  </w:r>
                </w:p>
              </w:tc>
            </w:tr>
            <w:tr w14:paraId="60A87EE3">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04" w:type="pct"/>
                  <w:tcBorders>
                    <w:tl2br w:val="nil"/>
                    <w:tr2bl w:val="nil"/>
                  </w:tcBorders>
                  <w:noWrap w:val="0"/>
                  <w:vAlign w:val="center"/>
                </w:tcPr>
                <w:p w14:paraId="7CC9F811">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6</w:t>
                  </w:r>
                </w:p>
              </w:tc>
              <w:tc>
                <w:tcPr>
                  <w:tcW w:w="890" w:type="pct"/>
                  <w:tcBorders>
                    <w:tl2br w:val="nil"/>
                    <w:tr2bl w:val="nil"/>
                  </w:tcBorders>
                  <w:noWrap w:val="0"/>
                  <w:vAlign w:val="center"/>
                </w:tcPr>
                <w:p w14:paraId="1C0B4454">
                  <w:pPr>
                    <w:widowControl/>
                    <w:jc w:val="center"/>
                    <w:rPr>
                      <w:rFonts w:hint="default"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涂料助剂</w:t>
                  </w:r>
                </w:p>
              </w:tc>
              <w:tc>
                <w:tcPr>
                  <w:tcW w:w="438" w:type="pct"/>
                  <w:tcBorders>
                    <w:tl2br w:val="nil"/>
                    <w:tr2bl w:val="nil"/>
                  </w:tcBorders>
                  <w:noWrap w:val="0"/>
                  <w:vAlign w:val="center"/>
                </w:tcPr>
                <w:p w14:paraId="7C58A536">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676" w:type="pct"/>
                  <w:tcBorders>
                    <w:tl2br w:val="nil"/>
                    <w:tr2bl w:val="nil"/>
                  </w:tcBorders>
                  <w:noWrap w:val="0"/>
                  <w:vAlign w:val="center"/>
                </w:tcPr>
                <w:p w14:paraId="3C2729E5">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cs="Times New Roman"/>
                      <w:i w:val="0"/>
                      <w:iCs w:val="0"/>
                      <w:color w:val="000000"/>
                      <w:kern w:val="0"/>
                      <w:sz w:val="21"/>
                      <w:szCs w:val="21"/>
                      <w:u w:val="none"/>
                      <w:lang w:val="en-US" w:eastAsia="zh-CN" w:bidi="ar"/>
                    </w:rPr>
                    <w:t>10</w:t>
                  </w:r>
                </w:p>
              </w:tc>
              <w:tc>
                <w:tcPr>
                  <w:tcW w:w="933" w:type="pct"/>
                  <w:tcBorders>
                    <w:tl2br w:val="nil"/>
                    <w:tr2bl w:val="nil"/>
                  </w:tcBorders>
                  <w:noWrap w:val="0"/>
                  <w:vAlign w:val="center"/>
                </w:tcPr>
                <w:p w14:paraId="0F1AFA6A">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783" w:type="pct"/>
                  <w:tcBorders>
                    <w:tl2br w:val="nil"/>
                    <w:tr2bl w:val="nil"/>
                  </w:tcBorders>
                  <w:noWrap w:val="0"/>
                  <w:vAlign w:val="center"/>
                </w:tcPr>
                <w:p w14:paraId="45FF55A8">
                  <w:pPr>
                    <w:adjustRightInd w:val="0"/>
                    <w:snapToGrid w:val="0"/>
                    <w:jc w:val="center"/>
                    <w:rPr>
                      <w:rFonts w:ascii="Times New Roman" w:hAnsi="Times New Roman"/>
                      <w:b w:val="0"/>
                      <w:bCs w:val="0"/>
                      <w:kern w:val="2"/>
                      <w:sz w:val="21"/>
                      <w:szCs w:val="21"/>
                      <w:highlight w:val="none"/>
                      <w:lang w:val="en-US" w:eastAsia="zh-CN" w:bidi="ar-SA"/>
                    </w:rPr>
                  </w:pPr>
                  <w:r>
                    <w:rPr>
                      <w:rFonts w:hint="eastAsia" w:cs="Times New Roman"/>
                      <w:b w:val="0"/>
                      <w:bCs w:val="0"/>
                      <w:sz w:val="21"/>
                      <w:szCs w:val="21"/>
                      <w:highlight w:val="none"/>
                      <w:lang w:val="en-US" w:eastAsia="zh-CN"/>
                    </w:rPr>
                    <w:t>防水涂料</w:t>
                  </w:r>
                </w:p>
              </w:tc>
              <w:tc>
                <w:tcPr>
                  <w:tcW w:w="773" w:type="pct"/>
                  <w:tcBorders>
                    <w:tl2br w:val="nil"/>
                    <w:tr2bl w:val="nil"/>
                  </w:tcBorders>
                  <w:noWrap w:val="0"/>
                  <w:vAlign w:val="center"/>
                </w:tcPr>
                <w:p w14:paraId="38AB6A86">
                  <w:pPr>
                    <w:adjustRightInd w:val="0"/>
                    <w:snapToGrid w:val="0"/>
                    <w:jc w:val="center"/>
                    <w:rPr>
                      <w:rFonts w:ascii="Times New Roman" w:hAnsi="Times New Roman"/>
                      <w:kern w:val="2"/>
                      <w:sz w:val="21"/>
                      <w:szCs w:val="21"/>
                      <w:highlight w:val="none"/>
                      <w:lang w:val="en-US" w:eastAsia="zh-CN" w:bidi="ar-SA"/>
                    </w:rPr>
                  </w:pPr>
                  <w:r>
                    <w:rPr>
                      <w:rFonts w:hint="eastAsia"/>
                      <w:szCs w:val="21"/>
                      <w:highlight w:val="none"/>
                      <w:lang w:val="en-US" w:eastAsia="zh-CN"/>
                    </w:rPr>
                    <w:t>桶</w:t>
                  </w:r>
                  <w:r>
                    <w:rPr>
                      <w:rFonts w:hint="eastAsia" w:ascii="Times New Roman" w:hAnsi="Times New Roman"/>
                      <w:szCs w:val="21"/>
                      <w:highlight w:val="none"/>
                    </w:rPr>
                    <w:t>装</w:t>
                  </w:r>
                </w:p>
              </w:tc>
            </w:tr>
            <w:tr w14:paraId="4398A5A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5" w:hRule="atLeast"/>
                <w:jc w:val="center"/>
              </w:trPr>
              <w:tc>
                <w:tcPr>
                  <w:tcW w:w="504" w:type="pct"/>
                  <w:tcBorders>
                    <w:tl2br w:val="nil"/>
                    <w:tr2bl w:val="nil"/>
                  </w:tcBorders>
                  <w:noWrap w:val="0"/>
                  <w:vAlign w:val="center"/>
                </w:tcPr>
                <w:p w14:paraId="7E5EA811">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7</w:t>
                  </w:r>
                </w:p>
              </w:tc>
              <w:tc>
                <w:tcPr>
                  <w:tcW w:w="890" w:type="pct"/>
                  <w:tcBorders>
                    <w:tl2br w:val="nil"/>
                    <w:tr2bl w:val="nil"/>
                  </w:tcBorders>
                  <w:noWrap w:val="0"/>
                  <w:vAlign w:val="center"/>
                </w:tcPr>
                <w:p w14:paraId="6C73917B">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水</w:t>
                  </w:r>
                </w:p>
              </w:tc>
              <w:tc>
                <w:tcPr>
                  <w:tcW w:w="438" w:type="pct"/>
                  <w:tcBorders>
                    <w:tl2br w:val="nil"/>
                    <w:tr2bl w:val="nil"/>
                  </w:tcBorders>
                  <w:noWrap w:val="0"/>
                  <w:vAlign w:val="center"/>
                </w:tcPr>
                <w:p w14:paraId="05BE7423">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676" w:type="pct"/>
                  <w:tcBorders>
                    <w:tl2br w:val="nil"/>
                    <w:tr2bl w:val="nil"/>
                  </w:tcBorders>
                  <w:noWrap w:val="0"/>
                  <w:vAlign w:val="center"/>
                </w:tcPr>
                <w:p w14:paraId="3E1C894D">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cs="Times New Roman"/>
                      <w:i w:val="0"/>
                      <w:iCs w:val="0"/>
                      <w:color w:val="000000"/>
                      <w:kern w:val="0"/>
                      <w:sz w:val="21"/>
                      <w:szCs w:val="21"/>
                      <w:u w:val="none"/>
                      <w:lang w:val="en-US" w:eastAsia="zh-CN" w:bidi="ar"/>
                    </w:rPr>
                    <w:t>200</w:t>
                  </w:r>
                </w:p>
              </w:tc>
              <w:tc>
                <w:tcPr>
                  <w:tcW w:w="933" w:type="pct"/>
                  <w:tcBorders>
                    <w:tl2br w:val="nil"/>
                    <w:tr2bl w:val="nil"/>
                  </w:tcBorders>
                  <w:noWrap w:val="0"/>
                  <w:vAlign w:val="center"/>
                </w:tcPr>
                <w:p w14:paraId="1027C7AB">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783" w:type="pct"/>
                  <w:tcBorders>
                    <w:tl2br w:val="nil"/>
                    <w:tr2bl w:val="nil"/>
                  </w:tcBorders>
                  <w:noWrap w:val="0"/>
                  <w:vAlign w:val="center"/>
                </w:tcPr>
                <w:p w14:paraId="5794E77F">
                  <w:pPr>
                    <w:adjustRightInd w:val="0"/>
                    <w:snapToGrid w:val="0"/>
                    <w:jc w:val="center"/>
                    <w:rPr>
                      <w:rFonts w:ascii="Times New Roman" w:hAnsi="Times New Roman"/>
                      <w:b w:val="0"/>
                      <w:bCs w:val="0"/>
                      <w:kern w:val="2"/>
                      <w:sz w:val="21"/>
                      <w:szCs w:val="21"/>
                      <w:highlight w:val="none"/>
                      <w:lang w:val="en-US" w:eastAsia="zh-CN" w:bidi="ar-SA"/>
                    </w:rPr>
                  </w:pPr>
                  <w:r>
                    <w:rPr>
                      <w:rFonts w:hint="eastAsia" w:cs="Times New Roman"/>
                      <w:b w:val="0"/>
                      <w:bCs w:val="0"/>
                      <w:sz w:val="21"/>
                      <w:szCs w:val="21"/>
                      <w:highlight w:val="none"/>
                      <w:lang w:val="en-US" w:eastAsia="zh-CN"/>
                    </w:rPr>
                    <w:t>防水涂料</w:t>
                  </w:r>
                </w:p>
              </w:tc>
              <w:tc>
                <w:tcPr>
                  <w:tcW w:w="773" w:type="pct"/>
                  <w:tcBorders>
                    <w:tl2br w:val="nil"/>
                    <w:tr2bl w:val="nil"/>
                  </w:tcBorders>
                  <w:noWrap w:val="0"/>
                  <w:vAlign w:val="center"/>
                </w:tcPr>
                <w:p w14:paraId="67F97255">
                  <w:pPr>
                    <w:adjustRightInd w:val="0"/>
                    <w:snapToGrid w:val="0"/>
                    <w:jc w:val="center"/>
                    <w:rPr>
                      <w:rFonts w:ascii="Times New Roman" w:hAnsi="Times New Roman"/>
                      <w:kern w:val="2"/>
                      <w:sz w:val="21"/>
                      <w:szCs w:val="21"/>
                      <w:highlight w:val="none"/>
                      <w:lang w:val="en-US" w:eastAsia="zh-CN" w:bidi="ar-SA"/>
                    </w:rPr>
                  </w:pPr>
                  <w:r>
                    <w:rPr>
                      <w:rFonts w:hint="eastAsia" w:ascii="Times New Roman" w:hAnsi="Times New Roman"/>
                      <w:szCs w:val="21"/>
                      <w:highlight w:val="none"/>
                    </w:rPr>
                    <w:t>袋装</w:t>
                  </w:r>
                </w:p>
              </w:tc>
            </w:tr>
          </w:tbl>
          <w:p w14:paraId="09233B9E">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表2-</w:t>
            </w:r>
            <w:r>
              <w:rPr>
                <w:rFonts w:hint="eastAsia" w:cs="Times New Roman"/>
                <w:b/>
                <w:bCs/>
                <w:sz w:val="21"/>
                <w:szCs w:val="21"/>
                <w:highlight w:val="none"/>
                <w:lang w:val="en-US" w:eastAsia="zh-CN"/>
              </w:rPr>
              <w:t>5</w:t>
            </w:r>
            <w:r>
              <w:rPr>
                <w:rFonts w:hint="eastAsia"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lang w:val="en-US" w:eastAsia="zh-CN"/>
              </w:rPr>
              <w:t xml:space="preserve"> </w:t>
            </w:r>
            <w:r>
              <w:rPr>
                <w:rFonts w:hint="eastAsia" w:cs="Times New Roman"/>
                <w:b/>
                <w:bCs/>
                <w:sz w:val="21"/>
                <w:szCs w:val="21"/>
                <w:highlight w:val="none"/>
                <w:lang w:val="en-US" w:eastAsia="zh-CN"/>
              </w:rPr>
              <w:t>防水卷材</w:t>
            </w:r>
            <w:r>
              <w:rPr>
                <w:rFonts w:hint="default" w:ascii="Times New Roman" w:hAnsi="Times New Roman" w:eastAsia="宋体" w:cs="Times New Roman"/>
                <w:b/>
                <w:bCs/>
                <w:sz w:val="21"/>
                <w:szCs w:val="21"/>
                <w:highlight w:val="none"/>
                <w:lang w:val="en-US" w:eastAsia="zh-CN"/>
              </w:rPr>
              <w:t>主要原辅材料及能源消耗情况表</w:t>
            </w:r>
          </w:p>
          <w:tbl>
            <w:tblPr>
              <w:tblStyle w:val="19"/>
              <w:tblW w:w="4999"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48"/>
              <w:gridCol w:w="1556"/>
              <w:gridCol w:w="701"/>
              <w:gridCol w:w="1165"/>
              <w:gridCol w:w="1494"/>
              <w:gridCol w:w="1371"/>
              <w:gridCol w:w="1189"/>
            </w:tblGrid>
            <w:tr w14:paraId="40770EB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5" w:hRule="atLeast"/>
                <w:jc w:val="center"/>
              </w:trPr>
              <w:tc>
                <w:tcPr>
                  <w:tcW w:w="454" w:type="pct"/>
                  <w:tcBorders>
                    <w:bottom w:val="single" w:color="auto" w:sz="8" w:space="0"/>
                  </w:tcBorders>
                  <w:noWrap w:val="0"/>
                  <w:vAlign w:val="center"/>
                </w:tcPr>
                <w:p w14:paraId="66013EF2">
                  <w:pPr>
                    <w:adjustRightInd w:val="0"/>
                    <w:snapToGrid w:val="0"/>
                    <w:jc w:val="center"/>
                    <w:rPr>
                      <w:rFonts w:ascii="Times New Roman" w:hAnsi="Times New Roman"/>
                      <w:b/>
                      <w:bCs/>
                      <w:szCs w:val="21"/>
                      <w:highlight w:val="none"/>
                    </w:rPr>
                  </w:pPr>
                  <w:r>
                    <w:rPr>
                      <w:rFonts w:ascii="Times New Roman" w:hAnsi="Times New Roman"/>
                      <w:b/>
                      <w:bCs/>
                      <w:szCs w:val="21"/>
                      <w:highlight w:val="none"/>
                    </w:rPr>
                    <w:t>序号</w:t>
                  </w:r>
                </w:p>
              </w:tc>
              <w:tc>
                <w:tcPr>
                  <w:tcW w:w="946" w:type="pct"/>
                  <w:tcBorders>
                    <w:bottom w:val="single" w:color="auto" w:sz="8" w:space="0"/>
                  </w:tcBorders>
                  <w:noWrap w:val="0"/>
                  <w:vAlign w:val="center"/>
                </w:tcPr>
                <w:p w14:paraId="37A902BB">
                  <w:pPr>
                    <w:adjustRightInd w:val="0"/>
                    <w:snapToGrid w:val="0"/>
                    <w:jc w:val="center"/>
                    <w:rPr>
                      <w:rFonts w:ascii="Times New Roman" w:hAnsi="Times New Roman"/>
                      <w:b/>
                      <w:bCs/>
                      <w:szCs w:val="21"/>
                      <w:highlight w:val="none"/>
                    </w:rPr>
                  </w:pPr>
                  <w:r>
                    <w:rPr>
                      <w:rFonts w:ascii="Times New Roman" w:hAnsi="Times New Roman"/>
                      <w:b/>
                      <w:bCs/>
                      <w:szCs w:val="21"/>
                      <w:highlight w:val="none"/>
                    </w:rPr>
                    <w:t>名称</w:t>
                  </w:r>
                </w:p>
              </w:tc>
              <w:tc>
                <w:tcPr>
                  <w:tcW w:w="426" w:type="pct"/>
                  <w:tcBorders>
                    <w:bottom w:val="single" w:color="auto" w:sz="8" w:space="0"/>
                  </w:tcBorders>
                  <w:noWrap w:val="0"/>
                  <w:vAlign w:val="center"/>
                </w:tcPr>
                <w:p w14:paraId="6FAD289C">
                  <w:pPr>
                    <w:adjustRightInd w:val="0"/>
                    <w:snapToGrid w:val="0"/>
                    <w:jc w:val="center"/>
                    <w:rPr>
                      <w:rFonts w:ascii="Times New Roman" w:hAnsi="Times New Roman"/>
                      <w:b/>
                      <w:bCs/>
                      <w:szCs w:val="21"/>
                      <w:highlight w:val="none"/>
                    </w:rPr>
                  </w:pPr>
                  <w:r>
                    <w:rPr>
                      <w:rFonts w:ascii="Times New Roman" w:hAnsi="Times New Roman"/>
                      <w:b/>
                      <w:bCs/>
                      <w:szCs w:val="21"/>
                      <w:highlight w:val="none"/>
                    </w:rPr>
                    <w:t>单位</w:t>
                  </w:r>
                </w:p>
              </w:tc>
              <w:tc>
                <w:tcPr>
                  <w:tcW w:w="708" w:type="pct"/>
                  <w:tcBorders>
                    <w:bottom w:val="single" w:color="auto" w:sz="8" w:space="0"/>
                  </w:tcBorders>
                  <w:noWrap w:val="0"/>
                  <w:vAlign w:val="center"/>
                </w:tcPr>
                <w:p w14:paraId="3B641E8F">
                  <w:pPr>
                    <w:adjustRightInd w:val="0"/>
                    <w:snapToGrid w:val="0"/>
                    <w:jc w:val="center"/>
                    <w:rPr>
                      <w:rFonts w:ascii="Times New Roman" w:hAnsi="Times New Roman"/>
                      <w:b/>
                      <w:bCs/>
                      <w:szCs w:val="21"/>
                      <w:highlight w:val="none"/>
                    </w:rPr>
                  </w:pPr>
                  <w:r>
                    <w:rPr>
                      <w:rFonts w:ascii="Times New Roman" w:hAnsi="Times New Roman"/>
                      <w:b/>
                      <w:bCs/>
                      <w:szCs w:val="21"/>
                      <w:highlight w:val="none"/>
                    </w:rPr>
                    <w:t>采购量</w:t>
                  </w:r>
                </w:p>
              </w:tc>
              <w:tc>
                <w:tcPr>
                  <w:tcW w:w="908" w:type="pct"/>
                  <w:tcBorders>
                    <w:bottom w:val="single" w:color="auto" w:sz="8" w:space="0"/>
                  </w:tcBorders>
                  <w:noWrap w:val="0"/>
                  <w:vAlign w:val="center"/>
                </w:tcPr>
                <w:p w14:paraId="2B43369D">
                  <w:pPr>
                    <w:adjustRightInd w:val="0"/>
                    <w:snapToGrid w:val="0"/>
                    <w:jc w:val="center"/>
                    <w:rPr>
                      <w:rFonts w:ascii="Times New Roman" w:hAnsi="Times New Roman"/>
                      <w:b/>
                      <w:bCs/>
                      <w:szCs w:val="21"/>
                      <w:highlight w:val="none"/>
                    </w:rPr>
                  </w:pPr>
                  <w:r>
                    <w:rPr>
                      <w:rFonts w:ascii="Times New Roman" w:hAnsi="Times New Roman"/>
                      <w:b/>
                      <w:bCs/>
                      <w:szCs w:val="21"/>
                      <w:highlight w:val="none"/>
                    </w:rPr>
                    <w:t>原辅料来源</w:t>
                  </w:r>
                </w:p>
              </w:tc>
              <w:tc>
                <w:tcPr>
                  <w:tcW w:w="833" w:type="pct"/>
                  <w:tcBorders>
                    <w:bottom w:val="single" w:color="auto" w:sz="8" w:space="0"/>
                  </w:tcBorders>
                  <w:noWrap w:val="0"/>
                  <w:vAlign w:val="center"/>
                </w:tcPr>
                <w:p w14:paraId="50DB7331">
                  <w:pPr>
                    <w:adjustRightInd w:val="0"/>
                    <w:snapToGrid w:val="0"/>
                    <w:jc w:val="center"/>
                    <w:rPr>
                      <w:rFonts w:ascii="Times New Roman" w:hAnsi="Times New Roman"/>
                      <w:b/>
                      <w:bCs/>
                      <w:szCs w:val="21"/>
                      <w:highlight w:val="none"/>
                    </w:rPr>
                  </w:pPr>
                  <w:r>
                    <w:rPr>
                      <w:rFonts w:ascii="Times New Roman" w:hAnsi="Times New Roman"/>
                      <w:b/>
                      <w:bCs/>
                      <w:szCs w:val="21"/>
                      <w:highlight w:val="none"/>
                    </w:rPr>
                    <w:t>备注</w:t>
                  </w:r>
                </w:p>
              </w:tc>
              <w:tc>
                <w:tcPr>
                  <w:tcW w:w="722" w:type="pct"/>
                  <w:tcBorders>
                    <w:bottom w:val="single" w:color="auto" w:sz="8" w:space="0"/>
                  </w:tcBorders>
                  <w:noWrap w:val="0"/>
                  <w:vAlign w:val="center"/>
                </w:tcPr>
                <w:p w14:paraId="0B9966B9">
                  <w:pPr>
                    <w:adjustRightInd w:val="0"/>
                    <w:snapToGrid w:val="0"/>
                    <w:jc w:val="center"/>
                    <w:rPr>
                      <w:rFonts w:ascii="Times New Roman" w:hAnsi="Times New Roman"/>
                      <w:b/>
                      <w:bCs/>
                      <w:szCs w:val="21"/>
                      <w:highlight w:val="none"/>
                    </w:rPr>
                  </w:pPr>
                  <w:r>
                    <w:rPr>
                      <w:rFonts w:hint="eastAsia"/>
                      <w:b/>
                      <w:bCs/>
                      <w:szCs w:val="21"/>
                      <w:highlight w:val="none"/>
                      <w:lang w:val="en-US" w:eastAsia="zh-CN"/>
                    </w:rPr>
                    <w:t>储存</w:t>
                  </w:r>
                  <w:r>
                    <w:rPr>
                      <w:rFonts w:hint="eastAsia" w:ascii="Times New Roman" w:hAnsi="Times New Roman"/>
                      <w:b/>
                      <w:bCs/>
                      <w:szCs w:val="21"/>
                      <w:highlight w:val="none"/>
                    </w:rPr>
                    <w:t>方式</w:t>
                  </w:r>
                </w:p>
              </w:tc>
            </w:tr>
            <w:tr w14:paraId="5F05BF2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54" w:type="pct"/>
                  <w:tcBorders>
                    <w:top w:val="single" w:color="auto" w:sz="8" w:space="0"/>
                    <w:tl2br w:val="nil"/>
                    <w:tr2bl w:val="nil"/>
                  </w:tcBorders>
                  <w:noWrap w:val="0"/>
                  <w:vAlign w:val="center"/>
                </w:tcPr>
                <w:p w14:paraId="53DE4F02">
                  <w:pPr>
                    <w:adjustRightInd w:val="0"/>
                    <w:snapToGrid w:val="0"/>
                    <w:jc w:val="center"/>
                    <w:rPr>
                      <w:rFonts w:hint="eastAsia" w:ascii="Times New Roman" w:hAnsi="Times New Roman" w:eastAsia="宋体"/>
                      <w:szCs w:val="21"/>
                      <w:highlight w:val="none"/>
                      <w:lang w:val="en-US" w:eastAsia="zh-CN"/>
                    </w:rPr>
                  </w:pPr>
                  <w:r>
                    <w:rPr>
                      <w:rFonts w:hint="eastAsia" w:ascii="Times New Roman" w:hAnsi="Times New Roman"/>
                      <w:szCs w:val="21"/>
                      <w:highlight w:val="none"/>
                      <w:lang w:val="en-US" w:eastAsia="zh-CN"/>
                    </w:rPr>
                    <w:t>1</w:t>
                  </w:r>
                </w:p>
              </w:tc>
              <w:tc>
                <w:tcPr>
                  <w:tcW w:w="946" w:type="pct"/>
                  <w:tcBorders>
                    <w:top w:val="single" w:color="auto" w:sz="8" w:space="0"/>
                    <w:tl2br w:val="nil"/>
                    <w:tr2bl w:val="nil"/>
                  </w:tcBorders>
                  <w:noWrap w:val="0"/>
                  <w:vAlign w:val="center"/>
                </w:tcPr>
                <w:p w14:paraId="57DBDEFB">
                  <w:pPr>
                    <w:widowControl/>
                    <w:jc w:val="center"/>
                    <w:rPr>
                      <w:rFonts w:hint="default" w:ascii="Times New Roman" w:hAnsi="Times New Roman" w:eastAsia="宋体"/>
                      <w:szCs w:val="21"/>
                      <w:highlight w:val="none"/>
                      <w:lang w:val="en-US" w:eastAsia="zh-CN"/>
                    </w:rPr>
                  </w:pPr>
                  <w:r>
                    <w:rPr>
                      <w:rFonts w:hint="eastAsia"/>
                      <w:szCs w:val="21"/>
                      <w:highlight w:val="none"/>
                      <w:lang w:val="en-US" w:eastAsia="zh-CN"/>
                    </w:rPr>
                    <w:t>沥青</w:t>
                  </w:r>
                </w:p>
              </w:tc>
              <w:tc>
                <w:tcPr>
                  <w:tcW w:w="426" w:type="pct"/>
                  <w:tcBorders>
                    <w:top w:val="single" w:color="auto" w:sz="8" w:space="0"/>
                    <w:tl2br w:val="nil"/>
                    <w:tr2bl w:val="nil"/>
                  </w:tcBorders>
                  <w:noWrap w:val="0"/>
                  <w:vAlign w:val="center"/>
                </w:tcPr>
                <w:p w14:paraId="3353E0CB">
                  <w:pPr>
                    <w:adjustRightInd w:val="0"/>
                    <w:snapToGrid w:val="0"/>
                    <w:jc w:val="center"/>
                    <w:rPr>
                      <w:rFonts w:ascii="Times New Roman" w:hAnsi="Times New Roman"/>
                      <w:szCs w:val="21"/>
                      <w:highlight w:val="none"/>
                    </w:rPr>
                  </w:pPr>
                  <w:r>
                    <w:rPr>
                      <w:rFonts w:ascii="Times New Roman" w:hAnsi="Times New Roman"/>
                      <w:szCs w:val="21"/>
                      <w:highlight w:val="none"/>
                    </w:rPr>
                    <w:t>t/a</w:t>
                  </w:r>
                </w:p>
              </w:tc>
              <w:tc>
                <w:tcPr>
                  <w:tcW w:w="708" w:type="pct"/>
                  <w:tcBorders>
                    <w:top w:val="single" w:color="auto" w:sz="8" w:space="0"/>
                    <w:tl2br w:val="nil"/>
                    <w:tr2bl w:val="nil"/>
                  </w:tcBorders>
                  <w:noWrap w:val="0"/>
                  <w:vAlign w:val="center"/>
                </w:tcPr>
                <w:p w14:paraId="617E4E57">
                  <w:pPr>
                    <w:keepNext w:val="0"/>
                    <w:keepLines w:val="0"/>
                    <w:widowControl/>
                    <w:suppressLineNumbers w:val="0"/>
                    <w:jc w:val="center"/>
                    <w:textAlignment w:val="center"/>
                    <w:rPr>
                      <w:rFonts w:hint="default" w:ascii="Times New Roman" w:hAnsi="Times New Roman" w:eastAsia="宋体"/>
                      <w:szCs w:val="21"/>
                      <w:highlight w:val="none"/>
                      <w:lang w:val="en-US" w:eastAsia="zh-CN"/>
                    </w:rPr>
                  </w:pPr>
                  <w:r>
                    <w:rPr>
                      <w:rFonts w:hint="eastAsia"/>
                      <w:szCs w:val="21"/>
                      <w:highlight w:val="none"/>
                      <w:lang w:val="en-US" w:eastAsia="zh-CN"/>
                    </w:rPr>
                    <w:t>6000</w:t>
                  </w:r>
                </w:p>
              </w:tc>
              <w:tc>
                <w:tcPr>
                  <w:tcW w:w="908" w:type="pct"/>
                  <w:tcBorders>
                    <w:top w:val="single" w:color="auto" w:sz="8" w:space="0"/>
                    <w:tl2br w:val="nil"/>
                    <w:tr2bl w:val="nil"/>
                  </w:tcBorders>
                  <w:noWrap w:val="0"/>
                  <w:vAlign w:val="center"/>
                </w:tcPr>
                <w:p w14:paraId="61A78EF7">
                  <w:pPr>
                    <w:widowControl/>
                    <w:jc w:val="center"/>
                    <w:rPr>
                      <w:rFonts w:hint="eastAsia" w:ascii="Times New Roman" w:hAnsi="Times New Roman" w:eastAsia="宋体"/>
                      <w:szCs w:val="21"/>
                      <w:highlight w:val="none"/>
                      <w:lang w:eastAsia="zh-CN"/>
                    </w:rPr>
                  </w:pPr>
                  <w:r>
                    <w:rPr>
                      <w:rFonts w:hint="eastAsia"/>
                      <w:color w:val="000000"/>
                      <w:kern w:val="0"/>
                      <w:szCs w:val="21"/>
                      <w:highlight w:val="none"/>
                      <w:lang w:val="en-US" w:eastAsia="zh-CN" w:bidi="ar"/>
                    </w:rPr>
                    <w:t>外购</w:t>
                  </w:r>
                </w:p>
              </w:tc>
              <w:tc>
                <w:tcPr>
                  <w:tcW w:w="833" w:type="pct"/>
                  <w:tcBorders>
                    <w:top w:val="single" w:color="auto" w:sz="8" w:space="0"/>
                    <w:tl2br w:val="nil"/>
                    <w:tr2bl w:val="nil"/>
                  </w:tcBorders>
                  <w:noWrap w:val="0"/>
                  <w:vAlign w:val="center"/>
                </w:tcPr>
                <w:p w14:paraId="5034D382">
                  <w:pPr>
                    <w:adjustRightInd w:val="0"/>
                    <w:snapToGrid w:val="0"/>
                    <w:jc w:val="center"/>
                    <w:rPr>
                      <w:rFonts w:hint="eastAsia" w:ascii="Times New Roman" w:hAnsi="Times New Roman"/>
                      <w:szCs w:val="21"/>
                      <w:highlight w:val="none"/>
                      <w:lang w:eastAsia="zh-CN"/>
                    </w:rPr>
                  </w:pPr>
                  <w:r>
                    <w:rPr>
                      <w:rFonts w:hint="eastAsia" w:ascii="Times New Roman" w:hAnsi="Times New Roman"/>
                      <w:szCs w:val="21"/>
                      <w:highlight w:val="none"/>
                      <w:lang w:val="en-US" w:eastAsia="zh-CN"/>
                    </w:rPr>
                    <w:t>防水卷材</w:t>
                  </w:r>
                </w:p>
              </w:tc>
              <w:tc>
                <w:tcPr>
                  <w:tcW w:w="722" w:type="pct"/>
                  <w:tcBorders>
                    <w:top w:val="single" w:color="auto" w:sz="8" w:space="0"/>
                    <w:tl2br w:val="nil"/>
                    <w:tr2bl w:val="nil"/>
                  </w:tcBorders>
                  <w:noWrap w:val="0"/>
                  <w:vAlign w:val="center"/>
                </w:tcPr>
                <w:p w14:paraId="5FA53162">
                  <w:pPr>
                    <w:adjustRightInd w:val="0"/>
                    <w:snapToGrid w:val="0"/>
                    <w:jc w:val="center"/>
                    <w:rPr>
                      <w:rFonts w:ascii="Times New Roman" w:hAnsi="Times New Roman"/>
                      <w:szCs w:val="21"/>
                      <w:highlight w:val="none"/>
                    </w:rPr>
                  </w:pPr>
                  <w:r>
                    <w:rPr>
                      <w:rFonts w:hint="eastAsia"/>
                      <w:szCs w:val="21"/>
                      <w:highlight w:val="none"/>
                      <w:lang w:val="en-US" w:eastAsia="zh-CN"/>
                    </w:rPr>
                    <w:t>罐装</w:t>
                  </w:r>
                </w:p>
              </w:tc>
            </w:tr>
            <w:tr w14:paraId="4DA1065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54" w:type="pct"/>
                  <w:tcBorders>
                    <w:tl2br w:val="nil"/>
                    <w:tr2bl w:val="nil"/>
                  </w:tcBorders>
                  <w:noWrap w:val="0"/>
                  <w:vAlign w:val="center"/>
                </w:tcPr>
                <w:p w14:paraId="61A62058">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2</w:t>
                  </w:r>
                </w:p>
              </w:tc>
              <w:tc>
                <w:tcPr>
                  <w:tcW w:w="946" w:type="pct"/>
                  <w:tcBorders>
                    <w:tl2br w:val="nil"/>
                    <w:tr2bl w:val="nil"/>
                  </w:tcBorders>
                  <w:noWrap w:val="0"/>
                  <w:vAlign w:val="center"/>
                </w:tcPr>
                <w:p w14:paraId="398DF719">
                  <w:pPr>
                    <w:widowControl/>
                    <w:jc w:val="center"/>
                    <w:rPr>
                      <w:rFonts w:hint="default" w:ascii="Times New Roman" w:hAnsi="Times New Roman" w:eastAsia="宋体"/>
                      <w:kern w:val="2"/>
                      <w:sz w:val="21"/>
                      <w:szCs w:val="21"/>
                      <w:highlight w:val="none"/>
                      <w:lang w:val="en-US" w:eastAsia="zh-CN" w:bidi="ar-SA"/>
                    </w:rPr>
                  </w:pPr>
                  <w:r>
                    <w:rPr>
                      <w:rFonts w:hint="eastAsia"/>
                      <w:kern w:val="2"/>
                      <w:sz w:val="21"/>
                      <w:szCs w:val="21"/>
                      <w:highlight w:val="none"/>
                      <w:lang w:val="en-US" w:eastAsia="zh-CN" w:bidi="ar-SA"/>
                    </w:rPr>
                    <w:t>SBS、SBR橡胶</w:t>
                  </w:r>
                </w:p>
              </w:tc>
              <w:tc>
                <w:tcPr>
                  <w:tcW w:w="426" w:type="pct"/>
                  <w:tcBorders>
                    <w:tl2br w:val="nil"/>
                    <w:tr2bl w:val="nil"/>
                  </w:tcBorders>
                  <w:noWrap w:val="0"/>
                  <w:vAlign w:val="center"/>
                </w:tcPr>
                <w:p w14:paraId="71739594">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708" w:type="pct"/>
                  <w:tcBorders>
                    <w:tl2br w:val="nil"/>
                    <w:tr2bl w:val="nil"/>
                  </w:tcBorders>
                  <w:noWrap w:val="0"/>
                  <w:vAlign w:val="center"/>
                </w:tcPr>
                <w:p w14:paraId="06FF3D13">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kern w:val="2"/>
                      <w:sz w:val="21"/>
                      <w:szCs w:val="21"/>
                      <w:highlight w:val="none"/>
                      <w:lang w:val="en-US" w:eastAsia="zh-CN" w:bidi="ar-SA"/>
                    </w:rPr>
                    <w:t>200</w:t>
                  </w:r>
                </w:p>
              </w:tc>
              <w:tc>
                <w:tcPr>
                  <w:tcW w:w="908" w:type="pct"/>
                  <w:tcBorders>
                    <w:tl2br w:val="nil"/>
                    <w:tr2bl w:val="nil"/>
                  </w:tcBorders>
                  <w:noWrap w:val="0"/>
                  <w:vAlign w:val="center"/>
                </w:tcPr>
                <w:p w14:paraId="4341B30D">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833" w:type="pct"/>
                  <w:tcBorders>
                    <w:tl2br w:val="nil"/>
                    <w:tr2bl w:val="nil"/>
                  </w:tcBorders>
                  <w:noWrap w:val="0"/>
                  <w:vAlign w:val="center"/>
                </w:tcPr>
                <w:p w14:paraId="1D228ED2">
                  <w:pPr>
                    <w:adjustRightInd w:val="0"/>
                    <w:snapToGrid w:val="0"/>
                    <w:jc w:val="center"/>
                    <w:rPr>
                      <w:rFonts w:hint="eastAsia" w:ascii="Times New Roman" w:hAnsi="Times New Roman"/>
                      <w:szCs w:val="21"/>
                      <w:highlight w:val="none"/>
                      <w:lang w:val="en-US" w:eastAsia="zh-CN"/>
                    </w:rPr>
                  </w:pPr>
                  <w:r>
                    <w:rPr>
                      <w:rFonts w:hint="eastAsia" w:ascii="Times New Roman" w:hAnsi="Times New Roman"/>
                      <w:szCs w:val="21"/>
                      <w:highlight w:val="none"/>
                      <w:lang w:val="en-US" w:eastAsia="zh-CN"/>
                    </w:rPr>
                    <w:t>防水卷材</w:t>
                  </w:r>
                </w:p>
              </w:tc>
              <w:tc>
                <w:tcPr>
                  <w:tcW w:w="722" w:type="pct"/>
                  <w:tcBorders>
                    <w:tl2br w:val="nil"/>
                    <w:tr2bl w:val="nil"/>
                  </w:tcBorders>
                  <w:noWrap w:val="0"/>
                  <w:vAlign w:val="center"/>
                </w:tcPr>
                <w:p w14:paraId="0A331892">
                  <w:pPr>
                    <w:adjustRightInd w:val="0"/>
                    <w:snapToGrid w:val="0"/>
                    <w:jc w:val="center"/>
                    <w:rPr>
                      <w:rFonts w:ascii="Times New Roman" w:hAnsi="Times New Roman"/>
                      <w:kern w:val="2"/>
                      <w:sz w:val="21"/>
                      <w:szCs w:val="21"/>
                      <w:highlight w:val="none"/>
                      <w:lang w:val="en-US" w:eastAsia="zh-CN" w:bidi="ar-SA"/>
                    </w:rPr>
                  </w:pPr>
                  <w:r>
                    <w:rPr>
                      <w:rFonts w:hint="eastAsia" w:ascii="Times New Roman" w:hAnsi="Times New Roman"/>
                      <w:szCs w:val="21"/>
                      <w:highlight w:val="none"/>
                    </w:rPr>
                    <w:t>袋装</w:t>
                  </w:r>
                </w:p>
              </w:tc>
            </w:tr>
            <w:tr w14:paraId="16D367C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48" w:hRule="atLeast"/>
                <w:jc w:val="center"/>
              </w:trPr>
              <w:tc>
                <w:tcPr>
                  <w:tcW w:w="454" w:type="pct"/>
                  <w:tcBorders>
                    <w:tl2br w:val="nil"/>
                    <w:tr2bl w:val="nil"/>
                  </w:tcBorders>
                  <w:noWrap w:val="0"/>
                  <w:vAlign w:val="center"/>
                </w:tcPr>
                <w:p w14:paraId="583CCE4F">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3</w:t>
                  </w:r>
                </w:p>
              </w:tc>
              <w:tc>
                <w:tcPr>
                  <w:tcW w:w="946" w:type="pct"/>
                  <w:tcBorders>
                    <w:tl2br w:val="nil"/>
                    <w:tr2bl w:val="nil"/>
                  </w:tcBorders>
                  <w:noWrap w:val="0"/>
                  <w:vAlign w:val="center"/>
                </w:tcPr>
                <w:p w14:paraId="3413FFA5">
                  <w:pPr>
                    <w:widowControl/>
                    <w:jc w:val="center"/>
                    <w:rPr>
                      <w:rFonts w:hint="default" w:ascii="Times New Roman" w:hAnsi="Times New Roman" w:eastAsia="宋体"/>
                      <w:kern w:val="2"/>
                      <w:sz w:val="21"/>
                      <w:szCs w:val="21"/>
                      <w:highlight w:val="none"/>
                      <w:lang w:val="en-US" w:eastAsia="zh-CN" w:bidi="ar-SA"/>
                    </w:rPr>
                  </w:pPr>
                  <w:r>
                    <w:rPr>
                      <w:rFonts w:hint="eastAsia"/>
                      <w:kern w:val="2"/>
                      <w:sz w:val="21"/>
                      <w:szCs w:val="21"/>
                      <w:highlight w:val="none"/>
                      <w:lang w:val="en-US" w:eastAsia="zh-CN" w:bidi="ar-SA"/>
                    </w:rPr>
                    <w:t>PE膜</w:t>
                  </w:r>
                </w:p>
              </w:tc>
              <w:tc>
                <w:tcPr>
                  <w:tcW w:w="426" w:type="pct"/>
                  <w:tcBorders>
                    <w:tl2br w:val="nil"/>
                    <w:tr2bl w:val="nil"/>
                  </w:tcBorders>
                  <w:noWrap w:val="0"/>
                  <w:vAlign w:val="center"/>
                </w:tcPr>
                <w:p w14:paraId="54586E5A">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708" w:type="pct"/>
                  <w:tcBorders>
                    <w:tl2br w:val="nil"/>
                    <w:tr2bl w:val="nil"/>
                  </w:tcBorders>
                  <w:noWrap w:val="0"/>
                  <w:vAlign w:val="center"/>
                </w:tcPr>
                <w:p w14:paraId="53204270">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kern w:val="2"/>
                      <w:sz w:val="21"/>
                      <w:szCs w:val="21"/>
                      <w:highlight w:val="none"/>
                      <w:lang w:val="en-US" w:eastAsia="zh-CN" w:bidi="ar-SA"/>
                    </w:rPr>
                    <w:t>180</w:t>
                  </w:r>
                </w:p>
              </w:tc>
              <w:tc>
                <w:tcPr>
                  <w:tcW w:w="908" w:type="pct"/>
                  <w:tcBorders>
                    <w:tl2br w:val="nil"/>
                    <w:tr2bl w:val="nil"/>
                  </w:tcBorders>
                  <w:noWrap w:val="0"/>
                  <w:vAlign w:val="center"/>
                </w:tcPr>
                <w:p w14:paraId="3744EB27">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833" w:type="pct"/>
                  <w:tcBorders>
                    <w:tl2br w:val="nil"/>
                    <w:tr2bl w:val="nil"/>
                  </w:tcBorders>
                  <w:noWrap w:val="0"/>
                  <w:vAlign w:val="center"/>
                </w:tcPr>
                <w:p w14:paraId="37084984">
                  <w:pPr>
                    <w:adjustRightInd w:val="0"/>
                    <w:snapToGrid w:val="0"/>
                    <w:jc w:val="center"/>
                    <w:rPr>
                      <w:rFonts w:hint="eastAsia" w:ascii="Times New Roman" w:hAnsi="Times New Roman"/>
                      <w:szCs w:val="21"/>
                      <w:highlight w:val="none"/>
                      <w:lang w:val="en-US" w:eastAsia="zh-CN"/>
                    </w:rPr>
                  </w:pPr>
                  <w:r>
                    <w:rPr>
                      <w:rFonts w:hint="eastAsia" w:ascii="Times New Roman" w:hAnsi="Times New Roman"/>
                      <w:szCs w:val="21"/>
                      <w:highlight w:val="none"/>
                      <w:lang w:val="en-US" w:eastAsia="zh-CN"/>
                    </w:rPr>
                    <w:t>防水卷材</w:t>
                  </w:r>
                </w:p>
              </w:tc>
              <w:tc>
                <w:tcPr>
                  <w:tcW w:w="722" w:type="pct"/>
                  <w:tcBorders>
                    <w:tl2br w:val="nil"/>
                    <w:tr2bl w:val="nil"/>
                  </w:tcBorders>
                  <w:noWrap w:val="0"/>
                  <w:vAlign w:val="center"/>
                </w:tcPr>
                <w:p w14:paraId="401D9109">
                  <w:pPr>
                    <w:adjustRightInd w:val="0"/>
                    <w:snapToGrid w:val="0"/>
                    <w:jc w:val="center"/>
                    <w:rPr>
                      <w:rFonts w:ascii="Times New Roman" w:hAnsi="Times New Roman"/>
                      <w:kern w:val="2"/>
                      <w:sz w:val="21"/>
                      <w:szCs w:val="21"/>
                      <w:highlight w:val="none"/>
                      <w:lang w:val="en-US" w:eastAsia="zh-CN" w:bidi="ar-SA"/>
                    </w:rPr>
                  </w:pPr>
                  <w:r>
                    <w:rPr>
                      <w:rFonts w:hint="eastAsia" w:ascii="Times New Roman" w:hAnsi="Times New Roman"/>
                      <w:szCs w:val="21"/>
                      <w:highlight w:val="none"/>
                    </w:rPr>
                    <w:t>袋装</w:t>
                  </w:r>
                </w:p>
              </w:tc>
            </w:tr>
            <w:tr w14:paraId="18AA9F0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54" w:type="pct"/>
                  <w:tcBorders>
                    <w:tl2br w:val="nil"/>
                    <w:tr2bl w:val="nil"/>
                  </w:tcBorders>
                  <w:noWrap w:val="0"/>
                  <w:vAlign w:val="center"/>
                </w:tcPr>
                <w:p w14:paraId="390C7859">
                  <w:pPr>
                    <w:adjustRightInd w:val="0"/>
                    <w:snapToGrid w:val="0"/>
                    <w:jc w:val="center"/>
                    <w:rPr>
                      <w:rFonts w:hint="eastAsia"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4</w:t>
                  </w:r>
                </w:p>
              </w:tc>
              <w:tc>
                <w:tcPr>
                  <w:tcW w:w="946" w:type="pct"/>
                  <w:tcBorders>
                    <w:tl2br w:val="nil"/>
                    <w:tr2bl w:val="nil"/>
                  </w:tcBorders>
                  <w:noWrap w:val="0"/>
                  <w:vAlign w:val="center"/>
                </w:tcPr>
                <w:p w14:paraId="17B50A35">
                  <w:pPr>
                    <w:widowControl/>
                    <w:jc w:val="center"/>
                    <w:rPr>
                      <w:rFonts w:hint="default" w:ascii="Times New Roman" w:hAnsi="Times New Roman" w:eastAsia="宋体"/>
                      <w:color w:val="000000"/>
                      <w:kern w:val="0"/>
                      <w:szCs w:val="21"/>
                      <w:highlight w:val="none"/>
                      <w:lang w:val="en-US" w:eastAsia="zh-CN" w:bidi="ar"/>
                    </w:rPr>
                  </w:pPr>
                  <w:r>
                    <w:rPr>
                      <w:rFonts w:hint="eastAsia"/>
                      <w:color w:val="000000"/>
                      <w:kern w:val="0"/>
                      <w:szCs w:val="21"/>
                      <w:highlight w:val="none"/>
                      <w:lang w:val="en-US" w:eastAsia="zh-CN" w:bidi="ar"/>
                    </w:rPr>
                    <w:t>滑石粉</w:t>
                  </w:r>
                </w:p>
              </w:tc>
              <w:tc>
                <w:tcPr>
                  <w:tcW w:w="426" w:type="pct"/>
                  <w:tcBorders>
                    <w:tl2br w:val="nil"/>
                    <w:tr2bl w:val="nil"/>
                  </w:tcBorders>
                  <w:noWrap w:val="0"/>
                  <w:vAlign w:val="center"/>
                </w:tcPr>
                <w:p w14:paraId="23E9812C">
                  <w:pPr>
                    <w:adjustRightInd w:val="0"/>
                    <w:snapToGrid w:val="0"/>
                    <w:jc w:val="center"/>
                    <w:rPr>
                      <w:rFonts w:ascii="Times New Roman" w:hAnsi="Times New Roman"/>
                      <w:szCs w:val="21"/>
                      <w:highlight w:val="none"/>
                    </w:rPr>
                  </w:pPr>
                  <w:r>
                    <w:rPr>
                      <w:rFonts w:ascii="Times New Roman" w:hAnsi="Times New Roman"/>
                      <w:szCs w:val="21"/>
                      <w:highlight w:val="none"/>
                    </w:rPr>
                    <w:t>t/a</w:t>
                  </w:r>
                </w:p>
              </w:tc>
              <w:tc>
                <w:tcPr>
                  <w:tcW w:w="708" w:type="pct"/>
                  <w:tcBorders>
                    <w:tl2br w:val="nil"/>
                    <w:tr2bl w:val="nil"/>
                  </w:tcBorders>
                  <w:noWrap w:val="0"/>
                  <w:vAlign w:val="center"/>
                </w:tcPr>
                <w:p w14:paraId="0ACFD9E2">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kern w:val="2"/>
                      <w:sz w:val="21"/>
                      <w:szCs w:val="21"/>
                      <w:highlight w:val="none"/>
                      <w:lang w:val="en-US" w:eastAsia="zh-CN" w:bidi="ar-SA"/>
                    </w:rPr>
                    <w:t>3170</w:t>
                  </w:r>
                </w:p>
              </w:tc>
              <w:tc>
                <w:tcPr>
                  <w:tcW w:w="908" w:type="pct"/>
                  <w:tcBorders>
                    <w:tl2br w:val="nil"/>
                    <w:tr2bl w:val="nil"/>
                  </w:tcBorders>
                  <w:noWrap w:val="0"/>
                  <w:vAlign w:val="center"/>
                </w:tcPr>
                <w:p w14:paraId="403784DF">
                  <w:pPr>
                    <w:widowControl/>
                    <w:jc w:val="center"/>
                    <w:rPr>
                      <w:rFonts w:hint="default" w:ascii="Times New Roman" w:hAnsi="Times New Roman" w:eastAsia="宋体"/>
                      <w:color w:val="000000"/>
                      <w:kern w:val="0"/>
                      <w:szCs w:val="21"/>
                      <w:highlight w:val="none"/>
                      <w:lang w:val="en-US" w:eastAsia="zh-CN" w:bidi="ar"/>
                    </w:rPr>
                  </w:pPr>
                  <w:r>
                    <w:rPr>
                      <w:rFonts w:hint="eastAsia"/>
                      <w:color w:val="000000"/>
                      <w:kern w:val="0"/>
                      <w:szCs w:val="21"/>
                      <w:highlight w:val="none"/>
                      <w:lang w:val="en-US" w:eastAsia="zh-CN" w:bidi="ar"/>
                    </w:rPr>
                    <w:t>外购</w:t>
                  </w:r>
                </w:p>
              </w:tc>
              <w:tc>
                <w:tcPr>
                  <w:tcW w:w="833" w:type="pct"/>
                  <w:tcBorders>
                    <w:tl2br w:val="nil"/>
                    <w:tr2bl w:val="nil"/>
                  </w:tcBorders>
                  <w:noWrap w:val="0"/>
                  <w:vAlign w:val="center"/>
                </w:tcPr>
                <w:p w14:paraId="0C5F1064">
                  <w:pPr>
                    <w:adjustRightInd w:val="0"/>
                    <w:snapToGrid w:val="0"/>
                    <w:jc w:val="center"/>
                    <w:rPr>
                      <w:rFonts w:hint="eastAsia" w:ascii="Times New Roman" w:hAnsi="Times New Roman"/>
                      <w:szCs w:val="21"/>
                      <w:highlight w:val="none"/>
                    </w:rPr>
                  </w:pPr>
                  <w:r>
                    <w:rPr>
                      <w:rFonts w:hint="eastAsia" w:ascii="Times New Roman" w:hAnsi="Times New Roman"/>
                      <w:szCs w:val="21"/>
                      <w:highlight w:val="none"/>
                      <w:lang w:val="en-US" w:eastAsia="zh-CN"/>
                    </w:rPr>
                    <w:t>防水卷材</w:t>
                  </w:r>
                </w:p>
              </w:tc>
              <w:tc>
                <w:tcPr>
                  <w:tcW w:w="722" w:type="pct"/>
                  <w:tcBorders>
                    <w:tl2br w:val="nil"/>
                    <w:tr2bl w:val="nil"/>
                  </w:tcBorders>
                  <w:noWrap w:val="0"/>
                  <w:vAlign w:val="center"/>
                </w:tcPr>
                <w:p w14:paraId="3227A301">
                  <w:pPr>
                    <w:adjustRightInd w:val="0"/>
                    <w:snapToGrid w:val="0"/>
                    <w:jc w:val="center"/>
                    <w:rPr>
                      <w:rFonts w:hint="eastAsia" w:ascii="Times New Roman" w:hAnsi="Times New Roman"/>
                      <w:szCs w:val="21"/>
                      <w:highlight w:val="none"/>
                    </w:rPr>
                  </w:pPr>
                  <w:r>
                    <w:rPr>
                      <w:rFonts w:hint="eastAsia" w:ascii="Times New Roman" w:hAnsi="Times New Roman"/>
                      <w:szCs w:val="21"/>
                      <w:highlight w:val="none"/>
                    </w:rPr>
                    <w:t>袋装</w:t>
                  </w:r>
                </w:p>
              </w:tc>
            </w:tr>
            <w:tr w14:paraId="1922400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54" w:type="pct"/>
                  <w:tcBorders>
                    <w:tl2br w:val="nil"/>
                    <w:tr2bl w:val="nil"/>
                  </w:tcBorders>
                  <w:noWrap w:val="0"/>
                  <w:vAlign w:val="center"/>
                </w:tcPr>
                <w:p w14:paraId="309DB585">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5</w:t>
                  </w:r>
                </w:p>
              </w:tc>
              <w:tc>
                <w:tcPr>
                  <w:tcW w:w="946" w:type="pct"/>
                  <w:tcBorders>
                    <w:tl2br w:val="nil"/>
                    <w:tr2bl w:val="nil"/>
                  </w:tcBorders>
                  <w:noWrap w:val="0"/>
                  <w:vAlign w:val="center"/>
                </w:tcPr>
                <w:p w14:paraId="308F4A5F">
                  <w:pPr>
                    <w:widowControl/>
                    <w:jc w:val="center"/>
                    <w:rPr>
                      <w:rFonts w:hint="default" w:ascii="Times New Roman" w:hAnsi="Times New Roman" w:eastAsia="宋体"/>
                      <w:kern w:val="2"/>
                      <w:sz w:val="21"/>
                      <w:szCs w:val="21"/>
                      <w:highlight w:val="none"/>
                      <w:lang w:val="en-US" w:eastAsia="zh-CN" w:bidi="ar-SA"/>
                    </w:rPr>
                  </w:pPr>
                  <w:r>
                    <w:rPr>
                      <w:rFonts w:hint="eastAsia"/>
                      <w:kern w:val="2"/>
                      <w:sz w:val="21"/>
                      <w:szCs w:val="21"/>
                      <w:highlight w:val="none"/>
                      <w:lang w:val="en-US" w:eastAsia="zh-CN" w:bidi="ar-SA"/>
                    </w:rPr>
                    <w:t>胶粉</w:t>
                  </w:r>
                </w:p>
              </w:tc>
              <w:tc>
                <w:tcPr>
                  <w:tcW w:w="426" w:type="pct"/>
                  <w:tcBorders>
                    <w:tl2br w:val="nil"/>
                    <w:tr2bl w:val="nil"/>
                  </w:tcBorders>
                  <w:noWrap w:val="0"/>
                  <w:vAlign w:val="center"/>
                </w:tcPr>
                <w:p w14:paraId="52A2A29B">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708" w:type="pct"/>
                  <w:tcBorders>
                    <w:tl2br w:val="nil"/>
                    <w:tr2bl w:val="nil"/>
                  </w:tcBorders>
                  <w:noWrap w:val="0"/>
                  <w:vAlign w:val="center"/>
                </w:tcPr>
                <w:p w14:paraId="351145E0">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kern w:val="2"/>
                      <w:sz w:val="21"/>
                      <w:szCs w:val="21"/>
                      <w:highlight w:val="none"/>
                      <w:lang w:val="en-US" w:eastAsia="zh-CN" w:bidi="ar-SA"/>
                    </w:rPr>
                    <w:t>450</w:t>
                  </w:r>
                </w:p>
              </w:tc>
              <w:tc>
                <w:tcPr>
                  <w:tcW w:w="908" w:type="pct"/>
                  <w:tcBorders>
                    <w:tl2br w:val="nil"/>
                    <w:tr2bl w:val="nil"/>
                  </w:tcBorders>
                  <w:noWrap w:val="0"/>
                  <w:vAlign w:val="center"/>
                </w:tcPr>
                <w:p w14:paraId="59F3A93F">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833" w:type="pct"/>
                  <w:tcBorders>
                    <w:tl2br w:val="nil"/>
                    <w:tr2bl w:val="nil"/>
                  </w:tcBorders>
                  <w:noWrap w:val="0"/>
                  <w:vAlign w:val="center"/>
                </w:tcPr>
                <w:p w14:paraId="04061D86">
                  <w:pPr>
                    <w:adjustRightInd w:val="0"/>
                    <w:snapToGrid w:val="0"/>
                    <w:jc w:val="center"/>
                    <w:rPr>
                      <w:rFonts w:hint="eastAsia" w:ascii="Times New Roman" w:hAnsi="Times New Roman"/>
                      <w:szCs w:val="21"/>
                      <w:highlight w:val="none"/>
                      <w:lang w:val="en-US" w:eastAsia="zh-CN"/>
                    </w:rPr>
                  </w:pPr>
                  <w:r>
                    <w:rPr>
                      <w:rFonts w:hint="eastAsia" w:ascii="Times New Roman" w:hAnsi="Times New Roman"/>
                      <w:szCs w:val="21"/>
                      <w:highlight w:val="none"/>
                      <w:lang w:val="en-US" w:eastAsia="zh-CN"/>
                    </w:rPr>
                    <w:t>防水卷材</w:t>
                  </w:r>
                </w:p>
              </w:tc>
              <w:tc>
                <w:tcPr>
                  <w:tcW w:w="722" w:type="pct"/>
                  <w:tcBorders>
                    <w:tl2br w:val="nil"/>
                    <w:tr2bl w:val="nil"/>
                  </w:tcBorders>
                  <w:noWrap w:val="0"/>
                  <w:vAlign w:val="center"/>
                </w:tcPr>
                <w:p w14:paraId="1A8DE230">
                  <w:pPr>
                    <w:adjustRightInd w:val="0"/>
                    <w:snapToGrid w:val="0"/>
                    <w:jc w:val="center"/>
                    <w:rPr>
                      <w:rFonts w:ascii="Times New Roman" w:hAnsi="Times New Roman"/>
                      <w:kern w:val="2"/>
                      <w:sz w:val="21"/>
                      <w:szCs w:val="21"/>
                      <w:highlight w:val="none"/>
                      <w:lang w:val="en-US" w:eastAsia="zh-CN" w:bidi="ar-SA"/>
                    </w:rPr>
                  </w:pPr>
                  <w:r>
                    <w:rPr>
                      <w:rFonts w:hint="eastAsia" w:ascii="Times New Roman" w:hAnsi="Times New Roman"/>
                      <w:szCs w:val="21"/>
                      <w:highlight w:val="none"/>
                    </w:rPr>
                    <w:t>袋装</w:t>
                  </w:r>
                </w:p>
              </w:tc>
            </w:tr>
          </w:tbl>
          <w:p w14:paraId="6998C23E">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原辅材料理化性质</w:t>
            </w:r>
            <w:r>
              <w:rPr>
                <w:rFonts w:hint="eastAsia" w:ascii="Times New Roman" w:hAnsi="Times New Roman" w:eastAsia="宋体" w:cs="Times New Roman"/>
                <w:b w:val="0"/>
                <w:bCs w:val="0"/>
                <w:color w:val="auto"/>
                <w:sz w:val="24"/>
                <w:szCs w:val="24"/>
                <w:highlight w:val="none"/>
                <w:lang w:val="en-US" w:eastAsia="zh-CN"/>
              </w:rPr>
              <w:t>与毒理性质</w:t>
            </w:r>
          </w:p>
          <w:p w14:paraId="068E5C1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①沥青</w:t>
            </w:r>
          </w:p>
          <w:p w14:paraId="21C2B7E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沥青是由不同分子量的碳氢化合物及其非金属衍生物组成的黑褐色复杂混合物，是高黏度有机液体的一种，多半以液体或半固体的石油形态存在，表面呈黑色，可溶于二硫化碳、四氯化碳。沥青是一种防水防潮和防腐的有机胶凝材料。沥青主要可以分为煤焦沥青、石油沥青和天然沥青三种：其中，煤焦沥青是炼焦的副产品。石油沥青是原油蒸馏后的残渣。天然沥青则是储藏在地下，有的形成矿层或在地壳表面堆积。沥青主要用于涂料、塑料、橡胶等工业以及铺筑路面等</w:t>
            </w:r>
            <w:r>
              <w:rPr>
                <w:rFonts w:hint="default" w:ascii="Times New Roman" w:hAnsi="Times New Roman" w:eastAsia="宋体" w:cs="Times New Roman"/>
                <w:color w:val="auto"/>
                <w:sz w:val="24"/>
                <w:szCs w:val="24"/>
                <w:highlight w:val="none"/>
                <w:lang w:val="en-US" w:eastAsia="zh-CN"/>
              </w:rPr>
              <w:t>，同时具备一定的高温稳定性，易</w:t>
            </w:r>
            <w:r>
              <w:rPr>
                <w:rFonts w:hint="eastAsia" w:cs="Times New Roman"/>
                <w:color w:val="auto"/>
                <w:sz w:val="24"/>
                <w:szCs w:val="24"/>
                <w:highlight w:val="none"/>
                <w:lang w:val="en-US" w:eastAsia="zh-CN"/>
              </w:rPr>
              <w:t>与</w:t>
            </w:r>
            <w:r>
              <w:rPr>
                <w:rFonts w:hint="default" w:ascii="Times New Roman" w:hAnsi="Times New Roman" w:eastAsia="宋体" w:cs="Times New Roman"/>
                <w:color w:val="auto"/>
                <w:sz w:val="24"/>
                <w:szCs w:val="24"/>
                <w:highlight w:val="none"/>
                <w:lang w:val="en-US" w:eastAsia="zh-CN"/>
              </w:rPr>
              <w:t>SBS等改性剂相容，提高防水卷材的性能，适合用于防水材料的基料。</w:t>
            </w:r>
          </w:p>
          <w:p w14:paraId="629A6094">
            <w:pPr>
              <w:pStyle w:val="3"/>
              <w:spacing w:line="360" w:lineRule="auto"/>
              <w:ind w:firstLine="480" w:firstLineChars="200"/>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毒理性质：沥青作为改性沥青防水卷材的主要原料，在高温作业时会释放含多环芳烃（PAHs）等致癌物的烟气，吸入可能导致呼吸道损伤甚至肺癌；皮肤接触熔融沥青会造成烫伤，其黏附性还可能引发皮炎。长期接触可能损害肝肾功能，其中苯并[a]芘等成分被国际癌症研究机构（IARC）列为1类致癌物。</w:t>
            </w:r>
          </w:p>
          <w:p w14:paraId="027581B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②</w:t>
            </w:r>
            <w:r>
              <w:rPr>
                <w:rFonts w:hint="default" w:ascii="Times New Roman" w:hAnsi="Times New Roman" w:eastAsia="宋体" w:cs="Times New Roman"/>
                <w:color w:val="auto"/>
                <w:sz w:val="24"/>
                <w:szCs w:val="24"/>
                <w:highlight w:val="none"/>
                <w:lang w:val="en-US" w:eastAsia="zh-CN"/>
              </w:rPr>
              <w:t>SBS</w:t>
            </w:r>
            <w:r>
              <w:rPr>
                <w:rFonts w:hint="eastAsia" w:cs="Times New Roman"/>
                <w:color w:val="auto"/>
                <w:sz w:val="24"/>
                <w:szCs w:val="24"/>
                <w:highlight w:val="none"/>
                <w:lang w:val="en-US" w:eastAsia="zh-CN"/>
              </w:rPr>
              <w:t>橡胶</w:t>
            </w:r>
          </w:p>
          <w:p w14:paraId="2690C90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理化性质：</w:t>
            </w:r>
            <w:r>
              <w:rPr>
                <w:rFonts w:hint="default" w:ascii="Times New Roman" w:hAnsi="Times New Roman" w:eastAsia="宋体" w:cs="Times New Roman"/>
                <w:color w:val="auto"/>
                <w:sz w:val="24"/>
                <w:szCs w:val="24"/>
                <w:highlight w:val="none"/>
                <w:lang w:val="en-US" w:eastAsia="zh-CN"/>
              </w:rPr>
              <w:t>SBS改性剂组分为苯乙烯-丁二烯-苯乙烯嵌段共聚物，其独特的</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硬段-软段-硬段</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分子结构，赋予沥青基防水材料卓越的综合性能。在改性过程中，SBS（通常添加量4-8%）能显著提升沥青的弹性恢复率至85%以上，并将软化点提高至100-120℃、低温柔韧性延伸至-25℃，使改性后的防水卷材同时具备优异的耐高低温性能（-30℃至110℃）、抗拉强度（800-1200N/50mm）和延伸率（40-60%）。通过溶胀法或高压胶体磨直接剪切工艺，SBS与沥青形成稳定网络结构，配合增粘树脂和稳定剂的使用，可生产出符合GB18242标准的聚酯胎基SBS改性沥青防水卷材。</w:t>
            </w:r>
          </w:p>
          <w:p w14:paraId="71B30BAD">
            <w:pPr>
              <w:pStyle w:val="3"/>
              <w:spacing w:line="360" w:lineRule="auto"/>
              <w:ind w:firstLine="480" w:firstLineChars="200"/>
              <w:rPr>
                <w:rFonts w:hint="default"/>
                <w:color w:val="auto"/>
                <w:lang w:val="en-US" w:eastAsia="zh-CN"/>
              </w:rPr>
            </w:pPr>
            <w:r>
              <w:rPr>
                <w:rFonts w:hint="eastAsia" w:ascii="Times New Roman" w:hAnsi="Times New Roman" w:eastAsia="宋体" w:cs="Times New Roman"/>
                <w:b w:val="0"/>
                <w:bCs w:val="0"/>
                <w:color w:val="auto"/>
                <w:kern w:val="2"/>
                <w:sz w:val="24"/>
                <w:szCs w:val="24"/>
                <w:highlight w:val="none"/>
                <w:lang w:val="en-US" w:eastAsia="zh-CN" w:bidi="ar-SA"/>
              </w:rPr>
              <w:t>毒理性质：SBS改性剂的毒理性较低，属于</w:t>
            </w:r>
            <w:r>
              <w:rPr>
                <w:rFonts w:hint="default" w:ascii="Times New Roman" w:hAnsi="Times New Roman" w:eastAsia="宋体" w:cs="Times New Roman"/>
                <w:b w:val="0"/>
                <w:bCs w:val="0"/>
                <w:color w:val="auto"/>
                <w:kern w:val="2"/>
                <w:sz w:val="24"/>
                <w:szCs w:val="24"/>
                <w:highlight w:val="none"/>
                <w:lang w:val="en-US" w:eastAsia="zh-CN" w:bidi="ar-SA"/>
              </w:rPr>
              <w:t>实际无毒或微毒材料，在常温下化学性质稳定，无明确致癌性（IARC未列为致癌物），但高温加工时（＞160℃）可能释放少量苯乙烯单体（需控制浓度＜50mg/m³，符合OSHA标准），长期接触粉尘可能引发呼吸道刺激，操作时需佩戴防护口罩和手套，确保通风良好。</w:t>
            </w:r>
          </w:p>
          <w:p w14:paraId="42DC735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③SBR橡胶</w:t>
            </w:r>
          </w:p>
          <w:p w14:paraId="13A889D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理化性质：</w:t>
            </w:r>
            <w:r>
              <w:rPr>
                <w:rFonts w:hint="default" w:ascii="Times New Roman" w:hAnsi="Times New Roman" w:eastAsia="宋体" w:cs="Times New Roman"/>
                <w:color w:val="auto"/>
                <w:sz w:val="24"/>
                <w:szCs w:val="24"/>
                <w:highlight w:val="none"/>
                <w:lang w:val="en-US" w:eastAsia="zh-CN"/>
              </w:rPr>
              <w:t>丁苯橡胶（SBR） ，又称聚苯乙烯丁二烯共聚物。其</w:t>
            </w:r>
            <w:r>
              <w:rPr>
                <w:rFonts w:hint="eastAsia" w:cs="Times New Roman"/>
                <w:color w:val="auto"/>
                <w:sz w:val="24"/>
                <w:szCs w:val="24"/>
                <w:highlight w:val="none"/>
                <w:lang w:val="en-US" w:eastAsia="zh-CN"/>
              </w:rPr>
              <w:t>物理机械性能</w:t>
            </w:r>
            <w:r>
              <w:rPr>
                <w:rFonts w:hint="default" w:ascii="Times New Roman" w:hAnsi="Times New Roman" w:eastAsia="宋体" w:cs="Times New Roman"/>
                <w:color w:val="auto"/>
                <w:sz w:val="24"/>
                <w:szCs w:val="24"/>
                <w:highlight w:val="none"/>
                <w:lang w:val="en-US" w:eastAsia="zh-CN"/>
              </w:rPr>
              <w:t>，加工性能及制品的使用性能接近于天然橡胶，有些性能如耐磨、耐热、耐老化及硫化速度较天然橡胶更为优良，可与天然橡胶及多种合成橡胶并用，广泛用于轮胎、胶带、胶管、电线电缆、医疗器具及各种橡胶制品的生产等领域，是最大的通用合成橡胶品种，也是最早实现工业化生产的橡胶品种之一。</w:t>
            </w:r>
          </w:p>
          <w:p w14:paraId="028A5FFD">
            <w:pPr>
              <w:pStyle w:val="8"/>
              <w:spacing w:after="0" w:line="360" w:lineRule="auto"/>
              <w:ind w:left="0" w:leftChars="0"/>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毒理性质：其单体丁二烯被国际癌症研究机构列为明确的人类致癌物，长期职业接触会增加患白血病的风险；另一单体苯乙烯则对眼和呼吸道有刺激性，并被列为可能致癌物。在橡胶制造过程中，高温混炼与硫化会产生含多种化学品和粉尘的烟雾，可能引发呼吸道不适和皮肤过敏。</w:t>
            </w:r>
          </w:p>
          <w:p w14:paraId="328F1FE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④滑石粉</w:t>
            </w:r>
          </w:p>
          <w:p w14:paraId="5C2ADEB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理化性质：滑石粉是以天然滑石矿（含水硅酸镁）经研磨提纯制成的层状硅酸盐粉末，具有柔软滑腻的触感和优异的化学稳定性。在沥青涂料中，滑石粉作为功能性软化剂和补强填料，其片状结构能有效改善沥青的流变性能，增强涂料的柔韧性和施工和易性；同时可降低沥青的黏度，提高涂层的耐热性和抗老化性，其疏水特性还能增强防水效果，使沥青涂料兼具良好的延展性和耐久性。</w:t>
            </w:r>
          </w:p>
          <w:p w14:paraId="0008B758">
            <w:pPr>
              <w:pStyle w:val="8"/>
              <w:spacing w:after="0" w:line="360" w:lineRule="auto"/>
              <w:ind w:left="0" w:leftChars="0"/>
              <w:rPr>
                <w:rFonts w:hint="eastAsia"/>
                <w:lang w:val="en-US" w:eastAsia="zh-CN"/>
              </w:rPr>
            </w:pPr>
            <w:r>
              <w:rPr>
                <w:rFonts w:hint="eastAsia" w:ascii="Times New Roman" w:hAnsi="Times New Roman" w:eastAsia="宋体" w:cs="Times New Roman"/>
                <w:kern w:val="2"/>
                <w:sz w:val="24"/>
                <w:szCs w:val="24"/>
                <w:highlight w:val="none"/>
                <w:lang w:val="en-US" w:eastAsia="zh-CN" w:bidi="ar-SA"/>
              </w:rPr>
              <w:t>毒理特性：滑石粉作为改性沥青防水卷材的填充剂，毒理性极低，常温下化学性质稳定，无刺激性且不释放有害物质。但需注意其天然矿物中可能伴生微量石棉纤维，优质工业级滑石粉需严格符合国家的无石棉认证。长期吸入粉尘可能引发尘肺病（硅酸盐肺），建议生产佩戴防尘口罩。成品卷材中滑石粉被沥青完全包覆，无暴露风险，废弃后可按惰性固废处理。</w:t>
            </w:r>
          </w:p>
          <w:p w14:paraId="4E7D9C8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⑤PE膜</w:t>
            </w:r>
          </w:p>
          <w:p w14:paraId="07C065F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理化性质：</w:t>
            </w:r>
            <w:r>
              <w:rPr>
                <w:rFonts w:hint="default" w:ascii="Times New Roman" w:hAnsi="Times New Roman" w:eastAsia="宋体" w:cs="Times New Roman"/>
                <w:sz w:val="24"/>
                <w:szCs w:val="24"/>
                <w:highlight w:val="none"/>
                <w:lang w:val="en-US" w:eastAsia="zh-CN"/>
              </w:rPr>
              <w:t>聚乙烯通过其独特的分子结构，赋予防水系统卓越的耐候性和机械性能。该材料以0.2-1.0mm的厚度复合于改性沥青层上，可提供≥16MPa的抗拉强度和≥600%的断裂伸长率，同时具备-40℃至80℃的宽温域适应性。在工程应用中，聚乙烯膜增强型防水卷材特别适用于外露屋面、地下工程等严苛环境，其可靠的尺寸稳定性（热收缩率＜1.5%）和耐化学腐蚀特性（耐酸碱pH2-12）确保了20年以上的使用寿命。</w:t>
            </w:r>
          </w:p>
          <w:p w14:paraId="247CFA7C">
            <w:pPr>
              <w:pStyle w:val="8"/>
              <w:spacing w:after="0" w:line="360" w:lineRule="auto"/>
              <w:ind w:left="0" w:leftChars="0"/>
              <w:rPr>
                <w:rFonts w:hint="default"/>
                <w:lang w:val="en-US" w:eastAsia="zh-CN"/>
              </w:rPr>
            </w:pPr>
            <w:r>
              <w:rPr>
                <w:rFonts w:hint="default" w:ascii="Times New Roman" w:hAnsi="Times New Roman" w:eastAsia="宋体" w:cs="Times New Roman"/>
                <w:b w:val="0"/>
                <w:bCs w:val="0"/>
                <w:kern w:val="2"/>
                <w:sz w:val="24"/>
                <w:szCs w:val="24"/>
                <w:highlight w:val="none"/>
                <w:lang w:val="en-US" w:eastAsia="zh-CN" w:bidi="ar-SA"/>
              </w:rPr>
              <w:t>毒理性质：聚乙烯膜（PE膜）作为改性沥青防水卷材的覆面材料，毒理性极低，常温下无挥发、无迁移，化学惰性强，不含塑化剂和重金属，符合食品接触级安全标准。高温施工时（＞120℃）可能释放微量烷烃气体，但浓度远低于职业接触限值，无需特殊防护。废弃后可回收利用，焚烧处理会产生二氧化碳和水，但需避免不完全燃烧生成一氧化碳。整体对人体和环境安全，属绿色环保材料。</w:t>
            </w:r>
          </w:p>
          <w:p w14:paraId="7441DAAD">
            <w:pPr>
              <w:keepNext w:val="0"/>
              <w:keepLines w:val="0"/>
              <w:pageBreakBefore w:val="0"/>
              <w:widowControl/>
              <w:numPr>
                <w:ilvl w:val="0"/>
                <w:numId w:val="0"/>
              </w:numPr>
              <w:kinsoku/>
              <w:wordWrap/>
              <w:overflowPunct/>
              <w:topLinePunct w:val="0"/>
              <w:autoSpaceDE/>
              <w:autoSpaceDN/>
              <w:bidi w:val="0"/>
              <w:adjustRightInd w:val="0"/>
              <w:snapToGrid w:val="0"/>
              <w:spacing w:before="0" w:beforeLines="-2147483648" w:line="360" w:lineRule="auto"/>
              <w:jc w:val="both"/>
              <w:textAlignment w:val="auto"/>
              <w:rPr>
                <w:rFonts w:hint="default"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 xml:space="preserve"> 项目主要</w:t>
            </w:r>
            <w:r>
              <w:rPr>
                <w:rFonts w:hint="eastAsia" w:ascii="Times New Roman" w:hAnsi="Times New Roman" w:eastAsia="宋体" w:cs="Times New Roman"/>
                <w:b/>
                <w:bCs/>
                <w:sz w:val="24"/>
                <w:szCs w:val="24"/>
                <w:highlight w:val="none"/>
                <w:lang w:val="en-US" w:eastAsia="zh-CN"/>
              </w:rPr>
              <w:t>产品方案</w:t>
            </w:r>
          </w:p>
          <w:p w14:paraId="24356DBF">
            <w:pPr>
              <w:numPr>
                <w:ilvl w:val="0"/>
                <w:numId w:val="0"/>
              </w:numPr>
              <w:adjustRightInd w:val="0"/>
              <w:snapToGrid w:val="0"/>
              <w:spacing w:line="360" w:lineRule="auto"/>
              <w:ind w:firstLine="480" w:firstLineChars="200"/>
              <w:jc w:val="both"/>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sz w:val="24"/>
                <w:szCs w:val="24"/>
                <w:highlight w:val="none"/>
                <w:lang w:val="en-US" w:eastAsia="zh-CN"/>
              </w:rPr>
              <w:t>项目生产过程主要产品情况见表2-</w:t>
            </w:r>
            <w:r>
              <w:rPr>
                <w:rFonts w:hint="eastAsia" w:cs="Times New Roman"/>
                <w:sz w:val="24"/>
                <w:szCs w:val="24"/>
                <w:highlight w:val="none"/>
                <w:lang w:val="en-US" w:eastAsia="zh-CN"/>
              </w:rPr>
              <w:t>6</w:t>
            </w:r>
            <w:r>
              <w:rPr>
                <w:rFonts w:hint="default" w:ascii="Times New Roman" w:hAnsi="Times New Roman" w:eastAsia="宋体" w:cs="Times New Roman"/>
                <w:sz w:val="24"/>
                <w:szCs w:val="24"/>
                <w:highlight w:val="none"/>
                <w:lang w:val="en-US" w:eastAsia="zh-CN"/>
              </w:rPr>
              <w:t>。</w:t>
            </w:r>
          </w:p>
          <w:p w14:paraId="09D86DEC">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表2-</w:t>
            </w:r>
            <w:r>
              <w:rPr>
                <w:rFonts w:hint="eastAsia" w:cs="Times New Roman"/>
                <w:b/>
                <w:bCs/>
                <w:sz w:val="21"/>
                <w:szCs w:val="21"/>
                <w:highlight w:val="none"/>
                <w:lang w:val="en-US" w:eastAsia="zh-CN"/>
              </w:rPr>
              <w:t>6</w:t>
            </w:r>
            <w:r>
              <w:rPr>
                <w:rFonts w:hint="default" w:ascii="Times New Roman" w:hAnsi="Times New Roman" w:eastAsia="宋体" w:cs="Times New Roman"/>
                <w:b/>
                <w:bCs/>
                <w:sz w:val="21"/>
                <w:szCs w:val="21"/>
                <w:highlight w:val="none"/>
                <w:lang w:val="en-US" w:eastAsia="zh-CN"/>
              </w:rPr>
              <w:t xml:space="preserve"> </w:t>
            </w:r>
            <w:r>
              <w:rPr>
                <w:rFonts w:hint="eastAsia"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lang w:val="en-US" w:eastAsia="zh-CN"/>
              </w:rPr>
              <w:t>产品方案表</w:t>
            </w:r>
          </w:p>
          <w:tbl>
            <w:tblPr>
              <w:tblStyle w:val="20"/>
              <w:tblW w:w="4998" w:type="pct"/>
              <w:tblInd w:w="5"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666"/>
              <w:gridCol w:w="1101"/>
              <w:gridCol w:w="2264"/>
              <w:gridCol w:w="1601"/>
              <w:gridCol w:w="1912"/>
              <w:gridCol w:w="678"/>
            </w:tblGrid>
            <w:tr w14:paraId="2001F98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05" w:type="pct"/>
                  <w:tcBorders>
                    <w:bottom w:val="single" w:color="auto" w:sz="8" w:space="0"/>
                  </w:tcBorders>
                  <w:noWrap w:val="0"/>
                  <w:vAlign w:val="center"/>
                </w:tcPr>
                <w:p w14:paraId="27BC9683">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序号</w:t>
                  </w:r>
                </w:p>
              </w:tc>
              <w:tc>
                <w:tcPr>
                  <w:tcW w:w="669" w:type="pct"/>
                  <w:tcBorders>
                    <w:bottom w:val="single" w:color="auto" w:sz="8" w:space="0"/>
                  </w:tcBorders>
                  <w:noWrap w:val="0"/>
                  <w:vAlign w:val="center"/>
                </w:tcPr>
                <w:p w14:paraId="21C80CC9">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产品类别</w:t>
                  </w:r>
                </w:p>
              </w:tc>
              <w:tc>
                <w:tcPr>
                  <w:tcW w:w="1376" w:type="pct"/>
                  <w:tcBorders>
                    <w:bottom w:val="single" w:color="auto" w:sz="8" w:space="0"/>
                  </w:tcBorders>
                  <w:noWrap w:val="0"/>
                  <w:vAlign w:val="center"/>
                </w:tcPr>
                <w:p w14:paraId="11CAE4AA">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产品型号</w:t>
                  </w:r>
                </w:p>
              </w:tc>
              <w:tc>
                <w:tcPr>
                  <w:tcW w:w="973" w:type="pct"/>
                  <w:tcBorders>
                    <w:bottom w:val="single" w:color="auto" w:sz="8" w:space="0"/>
                  </w:tcBorders>
                  <w:noWrap w:val="0"/>
                  <w:vAlign w:val="center"/>
                </w:tcPr>
                <w:p w14:paraId="4E3F1604">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产品规格</w:t>
                  </w:r>
                </w:p>
              </w:tc>
              <w:tc>
                <w:tcPr>
                  <w:tcW w:w="1161" w:type="pct"/>
                  <w:tcBorders>
                    <w:bottom w:val="single" w:color="auto" w:sz="8" w:space="0"/>
                  </w:tcBorders>
                  <w:noWrap w:val="0"/>
                  <w:vAlign w:val="center"/>
                </w:tcPr>
                <w:p w14:paraId="2B5FB05F">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产量</w:t>
                  </w:r>
                </w:p>
              </w:tc>
              <w:tc>
                <w:tcPr>
                  <w:tcW w:w="412" w:type="pct"/>
                  <w:tcBorders>
                    <w:bottom w:val="single" w:color="auto" w:sz="8" w:space="0"/>
                  </w:tcBorders>
                  <w:noWrap w:val="0"/>
                  <w:vAlign w:val="center"/>
                </w:tcPr>
                <w:p w14:paraId="4008D72A">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备注</w:t>
                  </w:r>
                </w:p>
              </w:tc>
            </w:tr>
            <w:tr w14:paraId="11AE1A1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05" w:type="pct"/>
                  <w:tcBorders>
                    <w:top w:val="single" w:color="auto" w:sz="8" w:space="0"/>
                    <w:tl2br w:val="nil"/>
                    <w:tr2bl w:val="nil"/>
                  </w:tcBorders>
                  <w:noWrap w:val="0"/>
                  <w:vAlign w:val="center"/>
                </w:tcPr>
                <w:p w14:paraId="4F57B25C">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1</w:t>
                  </w:r>
                </w:p>
              </w:tc>
              <w:tc>
                <w:tcPr>
                  <w:tcW w:w="669" w:type="pct"/>
                  <w:tcBorders>
                    <w:top w:val="single" w:color="auto" w:sz="8" w:space="0"/>
                    <w:tl2br w:val="nil"/>
                    <w:tr2bl w:val="nil"/>
                  </w:tcBorders>
                  <w:noWrap w:val="0"/>
                  <w:vAlign w:val="center"/>
                </w:tcPr>
                <w:p w14:paraId="0E6F2D78">
                  <w:pPr>
                    <w:keepNext w:val="0"/>
                    <w:keepLines w:val="0"/>
                    <w:widowControl/>
                    <w:suppressLineNumbers w:val="0"/>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防水卷材</w:t>
                  </w:r>
                </w:p>
              </w:tc>
              <w:tc>
                <w:tcPr>
                  <w:tcW w:w="1376" w:type="pct"/>
                  <w:tcBorders>
                    <w:top w:val="single" w:color="auto" w:sz="8" w:space="0"/>
                    <w:tl2br w:val="nil"/>
                    <w:tr2bl w:val="nil"/>
                  </w:tcBorders>
                  <w:noWrap w:val="0"/>
                  <w:vAlign w:val="center"/>
                </w:tcPr>
                <w:p w14:paraId="7120D9B2">
                  <w:pPr>
                    <w:keepNext w:val="0"/>
                    <w:keepLines w:val="0"/>
                    <w:widowControl/>
                    <w:suppressLineNumbers w:val="0"/>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改性沥青防水卷材</w:t>
                  </w:r>
                </w:p>
              </w:tc>
              <w:tc>
                <w:tcPr>
                  <w:tcW w:w="973" w:type="pct"/>
                  <w:tcBorders>
                    <w:top w:val="single" w:color="auto" w:sz="8" w:space="0"/>
                    <w:tl2br w:val="nil"/>
                    <w:tr2bl w:val="nil"/>
                  </w:tcBorders>
                  <w:noWrap w:val="0"/>
                  <w:vAlign w:val="center"/>
                </w:tcPr>
                <w:p w14:paraId="656AC5FF">
                  <w:pPr>
                    <w:numPr>
                      <w:ilvl w:val="0"/>
                      <w:numId w:val="0"/>
                    </w:numPr>
                    <w:adjustRightInd w:val="0"/>
                    <w:snapToGrid w:val="0"/>
                    <w:spacing w:line="240" w:lineRule="auto"/>
                    <w:jc w:val="center"/>
                    <w:rPr>
                      <w:rFonts w:hint="default"/>
                      <w:lang w:val="en-US" w:eastAsia="zh-CN"/>
                    </w:rPr>
                  </w:pPr>
                  <w:r>
                    <w:rPr>
                      <w:rFonts w:hint="default" w:ascii="Times New Roman" w:hAnsi="Times New Roman" w:eastAsia="宋体" w:cs="Times New Roman"/>
                      <w:sz w:val="21"/>
                      <w:szCs w:val="21"/>
                      <w:highlight w:val="none"/>
                      <w:vertAlign w:val="baseline"/>
                      <w:lang w:val="en-US" w:eastAsia="zh-CN"/>
                    </w:rPr>
                    <w:t>3</w:t>
                  </w:r>
                  <w:r>
                    <w:rPr>
                      <w:rFonts w:hint="eastAsia" w:ascii="Times New Roman" w:hAnsi="Times New Roman" w:eastAsia="宋体" w:cs="Times New Roman"/>
                      <w:sz w:val="21"/>
                      <w:szCs w:val="21"/>
                      <w:highlight w:val="none"/>
                      <w:vertAlign w:val="baseline"/>
                      <w:lang w:val="en-US" w:eastAsia="zh-CN"/>
                    </w:rPr>
                    <w:t>mm、4mm</w:t>
                  </w:r>
                </w:p>
              </w:tc>
              <w:tc>
                <w:tcPr>
                  <w:tcW w:w="1161" w:type="pct"/>
                  <w:tcBorders>
                    <w:top w:val="single" w:color="auto" w:sz="8" w:space="0"/>
                    <w:tl2br w:val="nil"/>
                    <w:tr2bl w:val="nil"/>
                  </w:tcBorders>
                  <w:noWrap w:val="0"/>
                  <w:vAlign w:val="center"/>
                </w:tcPr>
                <w:p w14:paraId="48B33D24">
                  <w:pPr>
                    <w:keepNext w:val="0"/>
                    <w:keepLines w:val="0"/>
                    <w:widowControl/>
                    <w:suppressLineNumbers w:val="0"/>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500万m</w:t>
                  </w:r>
                  <w:r>
                    <w:rPr>
                      <w:rFonts w:hint="default" w:ascii="Times New Roman" w:hAnsi="Times New Roman" w:eastAsia="宋体" w:cs="Times New Roman"/>
                      <w:sz w:val="21"/>
                      <w:szCs w:val="21"/>
                      <w:highlight w:val="none"/>
                      <w:vertAlign w:val="superscript"/>
                      <w:lang w:val="en-US" w:eastAsia="zh-CN"/>
                    </w:rPr>
                    <w:t>2</w:t>
                  </w:r>
                  <w:r>
                    <w:rPr>
                      <w:rFonts w:hint="eastAsia" w:cs="Times New Roman"/>
                      <w:sz w:val="21"/>
                      <w:szCs w:val="21"/>
                      <w:highlight w:val="none"/>
                      <w:vertAlign w:val="baseline"/>
                      <w:lang w:val="en-US" w:eastAsia="zh-CN"/>
                    </w:rPr>
                    <w:t>/a（约折10000t/a）</w:t>
                  </w:r>
                </w:p>
              </w:tc>
              <w:tc>
                <w:tcPr>
                  <w:tcW w:w="412" w:type="pct"/>
                  <w:tcBorders>
                    <w:top w:val="single" w:color="auto" w:sz="8" w:space="0"/>
                    <w:tl2br w:val="nil"/>
                    <w:tr2bl w:val="nil"/>
                  </w:tcBorders>
                  <w:noWrap w:val="0"/>
                  <w:vAlign w:val="center"/>
                </w:tcPr>
                <w:p w14:paraId="0FF43AC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w:t>
                  </w:r>
                </w:p>
              </w:tc>
            </w:tr>
            <w:tr w14:paraId="2AB4701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05" w:type="pct"/>
                  <w:tcBorders>
                    <w:tl2br w:val="nil"/>
                    <w:tr2bl w:val="nil"/>
                  </w:tcBorders>
                  <w:noWrap w:val="0"/>
                  <w:vAlign w:val="center"/>
                </w:tcPr>
                <w:p w14:paraId="2AA2502A">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2</w:t>
                  </w:r>
                </w:p>
              </w:tc>
              <w:tc>
                <w:tcPr>
                  <w:tcW w:w="669" w:type="pct"/>
                  <w:tcBorders>
                    <w:tl2br w:val="nil"/>
                    <w:tr2bl w:val="nil"/>
                  </w:tcBorders>
                  <w:noWrap w:val="0"/>
                  <w:vAlign w:val="center"/>
                </w:tcPr>
                <w:p w14:paraId="2E5AC550">
                  <w:pPr>
                    <w:keepNext w:val="0"/>
                    <w:keepLines w:val="0"/>
                    <w:widowControl/>
                    <w:suppressLineNumbers w:val="0"/>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防水涂料</w:t>
                  </w:r>
                </w:p>
              </w:tc>
              <w:tc>
                <w:tcPr>
                  <w:tcW w:w="1376" w:type="pct"/>
                  <w:tcBorders>
                    <w:tl2br w:val="nil"/>
                    <w:tr2bl w:val="nil"/>
                  </w:tcBorders>
                  <w:noWrap w:val="0"/>
                  <w:vAlign w:val="center"/>
                </w:tcPr>
                <w:p w14:paraId="19C17022">
                  <w:pPr>
                    <w:keepNext w:val="0"/>
                    <w:keepLines w:val="0"/>
                    <w:widowControl/>
                    <w:suppressLineNumbers w:val="0"/>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非固化沥青涂料</w:t>
                  </w:r>
                </w:p>
              </w:tc>
              <w:tc>
                <w:tcPr>
                  <w:tcW w:w="973" w:type="pct"/>
                  <w:tcBorders>
                    <w:tl2br w:val="nil"/>
                    <w:tr2bl w:val="nil"/>
                  </w:tcBorders>
                  <w:noWrap w:val="0"/>
                  <w:vAlign w:val="center"/>
                </w:tcPr>
                <w:p w14:paraId="07254B3B">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w:t>
                  </w:r>
                </w:p>
              </w:tc>
              <w:tc>
                <w:tcPr>
                  <w:tcW w:w="1161" w:type="pct"/>
                  <w:tcBorders>
                    <w:tl2br w:val="nil"/>
                    <w:tr2bl w:val="nil"/>
                  </w:tcBorders>
                  <w:noWrap w:val="0"/>
                  <w:vAlign w:val="center"/>
                </w:tcPr>
                <w:p w14:paraId="0BA21A31">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800</w:t>
                  </w:r>
                  <w:r>
                    <w:rPr>
                      <w:rFonts w:hint="default" w:ascii="Times New Roman" w:hAnsi="Times New Roman" w:eastAsia="宋体" w:cs="Times New Roman"/>
                      <w:sz w:val="21"/>
                      <w:szCs w:val="21"/>
                      <w:highlight w:val="none"/>
                      <w:vertAlign w:val="baseline"/>
                      <w:lang w:val="en-US" w:eastAsia="zh-CN"/>
                    </w:rPr>
                    <w:t>t</w:t>
                  </w:r>
                  <w:r>
                    <w:rPr>
                      <w:rFonts w:hint="eastAsia" w:cs="Times New Roman"/>
                      <w:sz w:val="21"/>
                      <w:szCs w:val="21"/>
                      <w:highlight w:val="none"/>
                      <w:vertAlign w:val="baseline"/>
                      <w:lang w:val="en-US" w:eastAsia="zh-CN"/>
                    </w:rPr>
                    <w:t>/a</w:t>
                  </w:r>
                </w:p>
              </w:tc>
              <w:tc>
                <w:tcPr>
                  <w:tcW w:w="412" w:type="pct"/>
                  <w:tcBorders>
                    <w:tl2br w:val="nil"/>
                    <w:tr2bl w:val="nil"/>
                  </w:tcBorders>
                  <w:noWrap w:val="0"/>
                  <w:vAlign w:val="center"/>
                </w:tcPr>
                <w:p w14:paraId="5AEF9A2F">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w:t>
                  </w:r>
                </w:p>
              </w:tc>
            </w:tr>
          </w:tbl>
          <w:p w14:paraId="022489E2">
            <w:pPr>
              <w:numPr>
                <w:ilvl w:val="0"/>
                <w:numId w:val="0"/>
              </w:numPr>
              <w:adjustRightInd w:val="0"/>
              <w:snapToGrid w:val="0"/>
              <w:spacing w:line="240" w:lineRule="auto"/>
              <w:jc w:val="both"/>
              <w:rPr>
                <w:rFonts w:hint="eastAsia" w:ascii="Times New Roman" w:hAnsi="Times New Roman" w:eastAsia="宋体" w:cs="Times New Roman"/>
                <w:b/>
                <w:bCs/>
                <w:sz w:val="24"/>
                <w:szCs w:val="24"/>
                <w:highlight w:val="none"/>
                <w:lang w:val="en-US" w:eastAsia="zh-CN"/>
              </w:rPr>
            </w:pPr>
          </w:p>
          <w:p w14:paraId="7A87F4F6">
            <w:pPr>
              <w:numPr>
                <w:ilvl w:val="0"/>
                <w:numId w:val="0"/>
              </w:numPr>
              <w:adjustRightInd w:val="0"/>
              <w:snapToGrid w:val="0"/>
              <w:spacing w:line="360" w:lineRule="auto"/>
              <w:jc w:val="both"/>
              <w:rPr>
                <w:rFonts w:hint="default" w:ascii="Times New Roman" w:hAnsi="Times New Roman" w:eastAsia="宋体" w:cs="Times New Roman"/>
                <w:b/>
                <w:bCs/>
                <w:sz w:val="24"/>
                <w:szCs w:val="24"/>
                <w:highlight w:val="none"/>
                <w:lang w:val="en-US" w:eastAsia="zh-CN"/>
              </w:rPr>
            </w:pPr>
            <w:r>
              <w:rPr>
                <w:rFonts w:hint="eastAsia" w:cs="Times New Roman"/>
                <w:b/>
                <w:bCs/>
                <w:sz w:val="24"/>
                <w:szCs w:val="24"/>
                <w:highlight w:val="none"/>
                <w:lang w:val="en-US" w:eastAsia="zh-CN"/>
              </w:rPr>
              <w:t>6</w:t>
            </w:r>
            <w:r>
              <w:rPr>
                <w:rFonts w:hint="default" w:ascii="Times New Roman" w:hAnsi="Times New Roman" w:eastAsia="宋体" w:cs="Times New Roman"/>
                <w:b/>
                <w:bCs/>
                <w:sz w:val="24"/>
                <w:szCs w:val="24"/>
                <w:highlight w:val="none"/>
                <w:lang w:val="en-US" w:eastAsia="zh-CN"/>
              </w:rPr>
              <w:t xml:space="preserve"> 项目</w:t>
            </w:r>
            <w:r>
              <w:rPr>
                <w:rFonts w:hint="eastAsia" w:ascii="Times New Roman" w:hAnsi="Times New Roman" w:eastAsia="宋体" w:cs="Times New Roman"/>
                <w:b/>
                <w:bCs/>
                <w:sz w:val="24"/>
                <w:szCs w:val="24"/>
                <w:highlight w:val="none"/>
                <w:lang w:val="en-US" w:eastAsia="zh-CN"/>
              </w:rPr>
              <w:t>物料平衡</w:t>
            </w:r>
          </w:p>
          <w:p w14:paraId="50065F0F">
            <w:pPr>
              <w:spacing w:line="360" w:lineRule="auto"/>
              <w:ind w:firstLine="480" w:firstLineChars="200"/>
              <w:rPr>
                <w:rFonts w:hint="default" w:eastAsia="宋体"/>
                <w:bCs/>
                <w:color w:val="auto"/>
                <w:sz w:val="24"/>
                <w:highlight w:val="none"/>
                <w:lang w:val="en-US" w:eastAsia="zh-CN"/>
              </w:rPr>
            </w:pPr>
            <w:r>
              <w:rPr>
                <w:rFonts w:hint="eastAsia"/>
                <w:bCs/>
                <w:color w:val="auto"/>
                <w:sz w:val="24"/>
                <w:highlight w:val="none"/>
                <w:lang w:val="en-US" w:eastAsia="zh-CN"/>
              </w:rPr>
              <w:t>本项目物料平衡分析详见表2-7。</w:t>
            </w:r>
          </w:p>
          <w:p w14:paraId="419DF632">
            <w:pPr>
              <w:pStyle w:val="24"/>
              <w:spacing w:before="0" w:beforeLines="0" w:line="240" w:lineRule="auto"/>
              <w:ind w:firstLine="0" w:firstLineChars="0"/>
              <w:rPr>
                <w:color w:val="auto"/>
                <w:highlight w:val="none"/>
              </w:rPr>
            </w:pPr>
            <w:r>
              <w:rPr>
                <w:rFonts w:hint="eastAsia"/>
                <w:color w:val="auto"/>
                <w:highlight w:val="none"/>
              </w:rPr>
              <w:t>表</w:t>
            </w:r>
            <w:r>
              <w:rPr>
                <w:rFonts w:hint="eastAsia"/>
                <w:color w:val="auto"/>
                <w:highlight w:val="none"/>
                <w:lang w:val="en-US" w:eastAsia="zh-CN"/>
              </w:rPr>
              <w:t>2-7</w:t>
            </w:r>
            <w:r>
              <w:rPr>
                <w:color w:val="auto"/>
                <w:highlight w:val="none"/>
              </w:rPr>
              <w:t xml:space="preserve">     </w:t>
            </w:r>
            <w:r>
              <w:rPr>
                <w:rFonts w:hint="eastAsia"/>
                <w:color w:val="auto"/>
                <w:highlight w:val="none"/>
                <w:lang w:val="en-US" w:eastAsia="zh-CN"/>
              </w:rPr>
              <w:t>项目物料平衡</w:t>
            </w:r>
            <w:r>
              <w:rPr>
                <w:rFonts w:hint="eastAsia"/>
                <w:color w:val="auto"/>
                <w:highlight w:val="none"/>
              </w:rPr>
              <w:t>一览表</w:t>
            </w:r>
          </w:p>
          <w:tbl>
            <w:tblPr>
              <w:tblStyle w:val="20"/>
              <w:tblW w:w="4959"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857"/>
              <w:gridCol w:w="1404"/>
              <w:gridCol w:w="831"/>
              <w:gridCol w:w="1995"/>
              <w:gridCol w:w="1315"/>
            </w:tblGrid>
            <w:tr w14:paraId="0224A78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462" w:type="pct"/>
                  <w:gridSpan w:val="3"/>
                  <w:noWrap w:val="0"/>
                  <w:vAlign w:val="center"/>
                </w:tcPr>
                <w:p w14:paraId="19C4D0CD">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物料投入</w:t>
                  </w:r>
                </w:p>
              </w:tc>
              <w:tc>
                <w:tcPr>
                  <w:tcW w:w="2537" w:type="pct"/>
                  <w:gridSpan w:val="3"/>
                  <w:noWrap w:val="0"/>
                  <w:vAlign w:val="center"/>
                </w:tcPr>
                <w:p w14:paraId="7D0CA2CD">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物料产出</w:t>
                  </w:r>
                </w:p>
              </w:tc>
            </w:tr>
            <w:tr w14:paraId="015035E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463" w:type="pct"/>
                  <w:noWrap w:val="0"/>
                  <w:vAlign w:val="center"/>
                </w:tcPr>
                <w:p w14:paraId="75B0B3A6">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序号</w:t>
                  </w:r>
                </w:p>
              </w:tc>
              <w:tc>
                <w:tcPr>
                  <w:tcW w:w="1138" w:type="pct"/>
                  <w:noWrap w:val="0"/>
                  <w:vAlign w:val="center"/>
                </w:tcPr>
                <w:p w14:paraId="3BD936B7">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名称</w:t>
                  </w:r>
                </w:p>
              </w:tc>
              <w:tc>
                <w:tcPr>
                  <w:tcW w:w="860" w:type="pct"/>
                  <w:noWrap w:val="0"/>
                  <w:vAlign w:val="center"/>
                </w:tcPr>
                <w:p w14:paraId="7688D73D">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数量（t/a）</w:t>
                  </w:r>
                </w:p>
              </w:tc>
              <w:tc>
                <w:tcPr>
                  <w:tcW w:w="509" w:type="pct"/>
                  <w:noWrap w:val="0"/>
                  <w:vAlign w:val="center"/>
                </w:tcPr>
                <w:p w14:paraId="2ABEB438">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序号</w:t>
                  </w:r>
                </w:p>
              </w:tc>
              <w:tc>
                <w:tcPr>
                  <w:tcW w:w="1222" w:type="pct"/>
                  <w:noWrap w:val="0"/>
                  <w:vAlign w:val="center"/>
                </w:tcPr>
                <w:p w14:paraId="298464B0">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名称</w:t>
                  </w:r>
                </w:p>
              </w:tc>
              <w:tc>
                <w:tcPr>
                  <w:tcW w:w="805" w:type="pct"/>
                  <w:noWrap w:val="0"/>
                  <w:vAlign w:val="center"/>
                </w:tcPr>
                <w:p w14:paraId="60227738">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数量（t/a）</w:t>
                  </w:r>
                </w:p>
              </w:tc>
            </w:tr>
            <w:tr w14:paraId="0324320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3" w:type="pct"/>
                  <w:noWrap w:val="0"/>
                  <w:vAlign w:val="center"/>
                </w:tcPr>
                <w:p w14:paraId="1220D30C">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w:t>
                  </w:r>
                </w:p>
              </w:tc>
              <w:tc>
                <w:tcPr>
                  <w:tcW w:w="1138" w:type="pct"/>
                  <w:shd w:val="clear" w:color="auto" w:fill="auto"/>
                  <w:noWrap w:val="0"/>
                  <w:vAlign w:val="center"/>
                </w:tcPr>
                <w:p w14:paraId="40BC7224">
                  <w:pPr>
                    <w:widowControl/>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Cs w:val="21"/>
                      <w:highlight w:val="none"/>
                      <w:lang w:val="en-US" w:eastAsia="zh-CN" w:bidi="ar"/>
                    </w:rPr>
                    <w:t>沥青</w:t>
                  </w:r>
                </w:p>
              </w:tc>
              <w:tc>
                <w:tcPr>
                  <w:tcW w:w="860" w:type="pct"/>
                  <w:shd w:val="clear" w:color="auto" w:fill="auto"/>
                  <w:noWrap w:val="0"/>
                  <w:vAlign w:val="center"/>
                </w:tcPr>
                <w:p w14:paraId="0E2C39FE">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iCs w:val="0"/>
                      <w:color w:val="auto"/>
                      <w:kern w:val="0"/>
                      <w:sz w:val="21"/>
                      <w:szCs w:val="21"/>
                      <w:u w:val="none"/>
                      <w:lang w:val="en-US" w:eastAsia="zh-CN" w:bidi="ar"/>
                    </w:rPr>
                    <w:t>6200</w:t>
                  </w:r>
                </w:p>
              </w:tc>
              <w:tc>
                <w:tcPr>
                  <w:tcW w:w="509" w:type="pct"/>
                  <w:noWrap w:val="0"/>
                  <w:vAlign w:val="center"/>
                </w:tcPr>
                <w:p w14:paraId="6FE6A885">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w:t>
                  </w:r>
                </w:p>
              </w:tc>
              <w:tc>
                <w:tcPr>
                  <w:tcW w:w="1222" w:type="pct"/>
                  <w:noWrap w:val="0"/>
                  <w:vAlign w:val="center"/>
                </w:tcPr>
                <w:p w14:paraId="5746A7DD">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vertAlign w:val="baseline"/>
                      <w:lang w:val="en-US" w:eastAsia="zh-CN"/>
                    </w:rPr>
                    <w:t>沥青防水卷材</w:t>
                  </w:r>
                </w:p>
              </w:tc>
              <w:tc>
                <w:tcPr>
                  <w:tcW w:w="805" w:type="pct"/>
                  <w:noWrap w:val="0"/>
                  <w:vAlign w:val="center"/>
                </w:tcPr>
                <w:p w14:paraId="5F5EB694">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10000</w:t>
                  </w:r>
                </w:p>
              </w:tc>
            </w:tr>
            <w:tr w14:paraId="273A333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3" w:type="pct"/>
                  <w:noWrap w:val="0"/>
                  <w:vAlign w:val="center"/>
                </w:tcPr>
                <w:p w14:paraId="5890638F">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bidi="ar-SA"/>
                    </w:rPr>
                    <w:t>2</w:t>
                  </w:r>
                </w:p>
              </w:tc>
              <w:tc>
                <w:tcPr>
                  <w:tcW w:w="1138" w:type="pct"/>
                  <w:shd w:val="clear" w:color="auto" w:fill="auto"/>
                  <w:noWrap w:val="0"/>
                  <w:vAlign w:val="center"/>
                </w:tcPr>
                <w:p w14:paraId="4C661419">
                  <w:pPr>
                    <w:widowControl/>
                    <w:jc w:val="center"/>
                    <w:rPr>
                      <w:rFonts w:hint="eastAsia"/>
                      <w:color w:val="auto"/>
                      <w:kern w:val="0"/>
                      <w:szCs w:val="21"/>
                      <w:highlight w:val="none"/>
                      <w:lang w:val="en-US" w:eastAsia="zh-CN" w:bidi="ar"/>
                    </w:rPr>
                  </w:pPr>
                  <w:r>
                    <w:rPr>
                      <w:rFonts w:hint="eastAsia" w:ascii="Times New Roman" w:hAnsi="Times New Roman"/>
                      <w:color w:val="auto"/>
                      <w:kern w:val="0"/>
                      <w:szCs w:val="21"/>
                      <w:highlight w:val="none"/>
                      <w:lang w:bidi="ar"/>
                    </w:rPr>
                    <w:t>SBS、SBR橡胶</w:t>
                  </w:r>
                </w:p>
              </w:tc>
              <w:tc>
                <w:tcPr>
                  <w:tcW w:w="860" w:type="pct"/>
                  <w:shd w:val="clear" w:color="auto" w:fill="auto"/>
                  <w:noWrap w:val="0"/>
                  <w:vAlign w:val="center"/>
                </w:tcPr>
                <w:p w14:paraId="18EE8196">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200</w:t>
                  </w:r>
                </w:p>
              </w:tc>
              <w:tc>
                <w:tcPr>
                  <w:tcW w:w="509" w:type="pct"/>
                  <w:noWrap w:val="0"/>
                  <w:vAlign w:val="center"/>
                </w:tcPr>
                <w:p w14:paraId="78707328">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w:t>
                  </w:r>
                </w:p>
              </w:tc>
              <w:tc>
                <w:tcPr>
                  <w:tcW w:w="1222" w:type="pct"/>
                  <w:noWrap w:val="0"/>
                  <w:vAlign w:val="center"/>
                </w:tcPr>
                <w:p w14:paraId="3DA27FB8">
                  <w:pPr>
                    <w:pStyle w:val="26"/>
                    <w:spacing w:before="0" w:beforeLines="0" w:beforeAutospacing="0" w:after="0" w:afterLines="0" w:afterAutospacing="0"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防水涂料</w:t>
                  </w:r>
                </w:p>
              </w:tc>
              <w:tc>
                <w:tcPr>
                  <w:tcW w:w="805" w:type="pct"/>
                  <w:noWrap w:val="0"/>
                  <w:vAlign w:val="center"/>
                </w:tcPr>
                <w:p w14:paraId="06EEA551">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800</w:t>
                  </w:r>
                </w:p>
              </w:tc>
            </w:tr>
            <w:tr w14:paraId="1F88BD0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3" w:type="pct"/>
                  <w:noWrap w:val="0"/>
                  <w:vAlign w:val="center"/>
                </w:tcPr>
                <w:p w14:paraId="2ECC0EA4">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w:t>
                  </w:r>
                </w:p>
              </w:tc>
              <w:tc>
                <w:tcPr>
                  <w:tcW w:w="1138" w:type="pct"/>
                  <w:shd w:val="clear" w:color="auto" w:fill="auto"/>
                  <w:noWrap w:val="0"/>
                  <w:vAlign w:val="center"/>
                </w:tcPr>
                <w:p w14:paraId="74EA10B1">
                  <w:pPr>
                    <w:widowControl/>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Cs w:val="21"/>
                      <w:highlight w:val="none"/>
                      <w:lang w:val="en-US" w:eastAsia="zh-CN" w:bidi="ar"/>
                    </w:rPr>
                    <w:t>PE膜</w:t>
                  </w:r>
                </w:p>
              </w:tc>
              <w:tc>
                <w:tcPr>
                  <w:tcW w:w="860" w:type="pct"/>
                  <w:shd w:val="clear" w:color="auto" w:fill="auto"/>
                  <w:noWrap w:val="0"/>
                  <w:vAlign w:val="center"/>
                </w:tcPr>
                <w:p w14:paraId="2521FCD7">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iCs w:val="0"/>
                      <w:color w:val="auto"/>
                      <w:kern w:val="0"/>
                      <w:sz w:val="21"/>
                      <w:szCs w:val="21"/>
                      <w:u w:val="none"/>
                      <w:lang w:val="en-US" w:eastAsia="zh-CN" w:bidi="ar"/>
                    </w:rPr>
                    <w:t>200</w:t>
                  </w:r>
                </w:p>
              </w:tc>
              <w:tc>
                <w:tcPr>
                  <w:tcW w:w="509" w:type="pct"/>
                  <w:noWrap w:val="0"/>
                  <w:vAlign w:val="center"/>
                </w:tcPr>
                <w:p w14:paraId="46BDC556">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w:t>
                  </w:r>
                </w:p>
              </w:tc>
              <w:tc>
                <w:tcPr>
                  <w:tcW w:w="1222" w:type="pct"/>
                  <w:noWrap w:val="0"/>
                  <w:vAlign w:val="center"/>
                </w:tcPr>
                <w:p w14:paraId="71916C0F">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沉渣</w:t>
                  </w:r>
                </w:p>
              </w:tc>
              <w:tc>
                <w:tcPr>
                  <w:tcW w:w="805" w:type="pct"/>
                  <w:noWrap w:val="0"/>
                  <w:vAlign w:val="center"/>
                </w:tcPr>
                <w:p w14:paraId="5D151597">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6.49</w:t>
                  </w:r>
                </w:p>
              </w:tc>
            </w:tr>
            <w:tr w14:paraId="422397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3" w:type="pct"/>
                  <w:noWrap w:val="0"/>
                  <w:vAlign w:val="center"/>
                </w:tcPr>
                <w:p w14:paraId="21059EDF">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w:t>
                  </w:r>
                </w:p>
              </w:tc>
              <w:tc>
                <w:tcPr>
                  <w:tcW w:w="1138" w:type="pct"/>
                  <w:shd w:val="clear" w:color="auto" w:fill="auto"/>
                  <w:noWrap w:val="0"/>
                  <w:vAlign w:val="center"/>
                </w:tcPr>
                <w:p w14:paraId="265FA715">
                  <w:pPr>
                    <w:widowControl/>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Cs w:val="21"/>
                      <w:highlight w:val="none"/>
                      <w:lang w:val="en-US" w:eastAsia="zh-CN" w:bidi="ar"/>
                    </w:rPr>
                    <w:t>滑石粉</w:t>
                  </w:r>
                </w:p>
              </w:tc>
              <w:tc>
                <w:tcPr>
                  <w:tcW w:w="860" w:type="pct"/>
                  <w:shd w:val="clear" w:color="auto" w:fill="auto"/>
                  <w:noWrap w:val="0"/>
                  <w:vAlign w:val="center"/>
                </w:tcPr>
                <w:p w14:paraId="40FBFFE8">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iCs w:val="0"/>
                      <w:color w:val="auto"/>
                      <w:kern w:val="0"/>
                      <w:sz w:val="21"/>
                      <w:szCs w:val="21"/>
                      <w:u w:val="none"/>
                      <w:lang w:val="en-US" w:eastAsia="zh-CN" w:bidi="ar"/>
                    </w:rPr>
                    <w:t>3170</w:t>
                  </w:r>
                </w:p>
              </w:tc>
              <w:tc>
                <w:tcPr>
                  <w:tcW w:w="509" w:type="pct"/>
                  <w:noWrap w:val="0"/>
                  <w:vAlign w:val="center"/>
                </w:tcPr>
                <w:p w14:paraId="5E5FD397">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w:t>
                  </w:r>
                </w:p>
              </w:tc>
              <w:tc>
                <w:tcPr>
                  <w:tcW w:w="1222" w:type="pct"/>
                  <w:noWrap w:val="0"/>
                  <w:vAlign w:val="center"/>
                </w:tcPr>
                <w:p w14:paraId="4BFE6B51">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含油污泥</w:t>
                  </w:r>
                </w:p>
              </w:tc>
              <w:tc>
                <w:tcPr>
                  <w:tcW w:w="805" w:type="pct"/>
                  <w:noWrap w:val="0"/>
                  <w:vAlign w:val="center"/>
                </w:tcPr>
                <w:p w14:paraId="4E164CA1">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8.243</w:t>
                  </w:r>
                </w:p>
              </w:tc>
            </w:tr>
            <w:tr w14:paraId="74B0D49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3" w:type="pct"/>
                  <w:noWrap w:val="0"/>
                  <w:vAlign w:val="center"/>
                </w:tcPr>
                <w:p w14:paraId="4C5C49DF">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w:t>
                  </w:r>
                </w:p>
              </w:tc>
              <w:tc>
                <w:tcPr>
                  <w:tcW w:w="1138" w:type="pct"/>
                  <w:shd w:val="clear" w:color="auto" w:fill="auto"/>
                  <w:noWrap w:val="0"/>
                  <w:vAlign w:val="center"/>
                </w:tcPr>
                <w:p w14:paraId="3C3F3802">
                  <w:pPr>
                    <w:widowControl/>
                    <w:jc w:val="center"/>
                    <w:rPr>
                      <w:rFonts w:hint="default" w:ascii="Times New Roman" w:hAnsi="Times New Roman" w:eastAsia="宋体" w:cs="Times New Roman"/>
                      <w:color w:val="auto"/>
                      <w:kern w:val="0"/>
                      <w:sz w:val="21"/>
                      <w:szCs w:val="21"/>
                      <w:highlight w:val="none"/>
                      <w:lang w:val="en-US" w:eastAsia="zh-CN" w:bidi="ar"/>
                    </w:rPr>
                  </w:pPr>
                  <w:r>
                    <w:rPr>
                      <w:rFonts w:hint="eastAsia"/>
                      <w:color w:val="auto"/>
                      <w:kern w:val="0"/>
                      <w:szCs w:val="21"/>
                      <w:highlight w:val="none"/>
                      <w:lang w:val="en-US" w:eastAsia="zh-CN" w:bidi="ar"/>
                    </w:rPr>
                    <w:t>胶粉</w:t>
                  </w:r>
                </w:p>
              </w:tc>
              <w:tc>
                <w:tcPr>
                  <w:tcW w:w="860" w:type="pct"/>
                  <w:shd w:val="clear" w:color="auto" w:fill="auto"/>
                  <w:noWrap w:val="0"/>
                  <w:vAlign w:val="center"/>
                </w:tcPr>
                <w:p w14:paraId="536E2D87">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iCs w:val="0"/>
                      <w:color w:val="auto"/>
                      <w:kern w:val="0"/>
                      <w:sz w:val="21"/>
                      <w:szCs w:val="21"/>
                      <w:u w:val="none"/>
                      <w:lang w:val="en-US" w:eastAsia="zh-CN" w:bidi="ar"/>
                    </w:rPr>
                    <w:t>450</w:t>
                  </w:r>
                </w:p>
              </w:tc>
              <w:tc>
                <w:tcPr>
                  <w:tcW w:w="509" w:type="pct"/>
                  <w:noWrap w:val="0"/>
                  <w:vAlign w:val="center"/>
                </w:tcPr>
                <w:p w14:paraId="30656CBE">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w:t>
                  </w:r>
                </w:p>
              </w:tc>
              <w:tc>
                <w:tcPr>
                  <w:tcW w:w="1222" w:type="pct"/>
                  <w:noWrap w:val="0"/>
                  <w:vAlign w:val="center"/>
                </w:tcPr>
                <w:p w14:paraId="4FA1D8F1">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搅拌、浸涂废气</w:t>
                  </w:r>
                </w:p>
              </w:tc>
              <w:tc>
                <w:tcPr>
                  <w:tcW w:w="805" w:type="pct"/>
                  <w:noWrap w:val="0"/>
                  <w:vAlign w:val="center"/>
                </w:tcPr>
                <w:p w14:paraId="3038D5F2">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4.81</w:t>
                  </w:r>
                </w:p>
              </w:tc>
            </w:tr>
            <w:tr w14:paraId="0E1F02D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3" w:type="pct"/>
                  <w:noWrap w:val="0"/>
                  <w:vAlign w:val="center"/>
                </w:tcPr>
                <w:p w14:paraId="77FC7DEE">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w:t>
                  </w:r>
                </w:p>
              </w:tc>
              <w:tc>
                <w:tcPr>
                  <w:tcW w:w="1138" w:type="pct"/>
                  <w:shd w:val="clear" w:color="auto" w:fill="auto"/>
                  <w:noWrap w:val="0"/>
                  <w:vAlign w:val="center"/>
                </w:tcPr>
                <w:p w14:paraId="48E25BBC">
                  <w:pPr>
                    <w:widowControl/>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000000"/>
                      <w:kern w:val="0"/>
                      <w:szCs w:val="21"/>
                      <w:highlight w:val="none"/>
                      <w:lang w:val="en-US" w:eastAsia="zh-CN" w:bidi="ar"/>
                    </w:rPr>
                    <w:t>涂料助剂</w:t>
                  </w:r>
                </w:p>
              </w:tc>
              <w:tc>
                <w:tcPr>
                  <w:tcW w:w="860" w:type="pct"/>
                  <w:shd w:val="clear" w:color="auto" w:fill="auto"/>
                  <w:noWrap w:val="0"/>
                  <w:vAlign w:val="center"/>
                </w:tcPr>
                <w:p w14:paraId="3AD8CD41">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w:t>
                  </w:r>
                </w:p>
              </w:tc>
              <w:tc>
                <w:tcPr>
                  <w:tcW w:w="509" w:type="pct"/>
                  <w:shd w:val="clear" w:color="auto" w:fill="auto"/>
                  <w:noWrap w:val="0"/>
                  <w:vAlign w:val="center"/>
                </w:tcPr>
                <w:p w14:paraId="002548CF">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6</w:t>
                  </w:r>
                </w:p>
              </w:tc>
              <w:tc>
                <w:tcPr>
                  <w:tcW w:w="1222" w:type="pct"/>
                  <w:shd w:val="clear" w:color="auto" w:fill="auto"/>
                  <w:noWrap w:val="0"/>
                  <w:vAlign w:val="center"/>
                </w:tcPr>
                <w:p w14:paraId="222554B8">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覆膜废气</w:t>
                  </w:r>
                </w:p>
              </w:tc>
              <w:tc>
                <w:tcPr>
                  <w:tcW w:w="805" w:type="pct"/>
                  <w:shd w:val="clear" w:color="auto" w:fill="auto"/>
                  <w:noWrap w:val="0"/>
                  <w:vAlign w:val="center"/>
                </w:tcPr>
                <w:p w14:paraId="22B9169C">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0.45</w:t>
                  </w:r>
                </w:p>
              </w:tc>
            </w:tr>
            <w:tr w14:paraId="518CF4C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3" w:type="pct"/>
                  <w:noWrap w:val="0"/>
                  <w:vAlign w:val="center"/>
                </w:tcPr>
                <w:p w14:paraId="52005349">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w:t>
                  </w:r>
                </w:p>
              </w:tc>
              <w:tc>
                <w:tcPr>
                  <w:tcW w:w="1138" w:type="pct"/>
                  <w:shd w:val="clear" w:color="auto" w:fill="auto"/>
                  <w:noWrap w:val="0"/>
                  <w:vAlign w:val="center"/>
                </w:tcPr>
                <w:p w14:paraId="724AE41E">
                  <w:pPr>
                    <w:widowControl/>
                    <w:jc w:val="center"/>
                    <w:rPr>
                      <w:rFonts w:hint="default" w:ascii="Times New Roman" w:hAnsi="Times New Roman" w:eastAsia="宋体" w:cs="Times New Roman"/>
                      <w:color w:val="00B0F0"/>
                      <w:kern w:val="2"/>
                      <w:sz w:val="21"/>
                      <w:szCs w:val="21"/>
                      <w:highlight w:val="none"/>
                      <w:lang w:val="en-US" w:eastAsia="zh-CN" w:bidi="ar-SA"/>
                    </w:rPr>
                  </w:pPr>
                  <w:r>
                    <w:rPr>
                      <w:rFonts w:hint="eastAsia"/>
                      <w:color w:val="000000"/>
                      <w:kern w:val="0"/>
                      <w:szCs w:val="21"/>
                      <w:highlight w:val="none"/>
                      <w:lang w:val="en-US" w:eastAsia="zh-CN" w:bidi="ar"/>
                    </w:rPr>
                    <w:t>乳化剂</w:t>
                  </w:r>
                </w:p>
              </w:tc>
              <w:tc>
                <w:tcPr>
                  <w:tcW w:w="860" w:type="pct"/>
                  <w:shd w:val="clear" w:color="auto" w:fill="auto"/>
                  <w:noWrap w:val="0"/>
                  <w:vAlign w:val="center"/>
                </w:tcPr>
                <w:p w14:paraId="2EDED0B1">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w:t>
                  </w:r>
                </w:p>
              </w:tc>
              <w:tc>
                <w:tcPr>
                  <w:tcW w:w="509" w:type="pct"/>
                  <w:shd w:val="clear" w:color="auto" w:fill="auto"/>
                  <w:noWrap w:val="0"/>
                  <w:vAlign w:val="center"/>
                </w:tcPr>
                <w:p w14:paraId="2BB46FD4">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00B0F0"/>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7</w:t>
                  </w:r>
                </w:p>
              </w:tc>
              <w:tc>
                <w:tcPr>
                  <w:tcW w:w="1222" w:type="pct"/>
                  <w:shd w:val="clear" w:color="auto" w:fill="auto"/>
                  <w:noWrap w:val="0"/>
                  <w:vAlign w:val="center"/>
                </w:tcPr>
                <w:p w14:paraId="5A8AB82F">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沥青储罐呼吸废气</w:t>
                  </w:r>
                </w:p>
              </w:tc>
              <w:tc>
                <w:tcPr>
                  <w:tcW w:w="805" w:type="pct"/>
                  <w:shd w:val="clear" w:color="auto" w:fill="auto"/>
                  <w:noWrap w:val="0"/>
                  <w:vAlign w:val="center"/>
                </w:tcPr>
                <w:p w14:paraId="308A6033">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0.007</w:t>
                  </w:r>
                </w:p>
              </w:tc>
            </w:tr>
            <w:tr w14:paraId="4CA5456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3" w:type="pct"/>
                  <w:noWrap w:val="0"/>
                  <w:vAlign w:val="center"/>
                </w:tcPr>
                <w:p w14:paraId="47427259">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7</w:t>
                  </w:r>
                </w:p>
              </w:tc>
              <w:tc>
                <w:tcPr>
                  <w:tcW w:w="1138" w:type="pct"/>
                  <w:shd w:val="clear" w:color="auto" w:fill="auto"/>
                  <w:noWrap w:val="0"/>
                  <w:vAlign w:val="center"/>
                </w:tcPr>
                <w:p w14:paraId="05390189">
                  <w:pPr>
                    <w:widowControl/>
                    <w:jc w:val="center"/>
                    <w:rPr>
                      <w:rFonts w:hint="default" w:ascii="Times New Roman" w:hAnsi="Times New Roman" w:eastAsia="宋体" w:cs="Times New Roman"/>
                      <w:color w:val="00B0F0"/>
                      <w:kern w:val="2"/>
                      <w:sz w:val="21"/>
                      <w:szCs w:val="21"/>
                      <w:highlight w:val="none"/>
                      <w:lang w:val="en-US" w:eastAsia="zh-CN" w:bidi="ar-SA"/>
                    </w:rPr>
                  </w:pPr>
                  <w:r>
                    <w:rPr>
                      <w:rFonts w:hint="eastAsia"/>
                      <w:color w:val="000000"/>
                      <w:kern w:val="0"/>
                      <w:szCs w:val="21"/>
                      <w:highlight w:val="none"/>
                      <w:lang w:val="en-US" w:eastAsia="zh-CN" w:bidi="ar"/>
                    </w:rPr>
                    <w:t>稳定剂</w:t>
                  </w:r>
                </w:p>
              </w:tc>
              <w:tc>
                <w:tcPr>
                  <w:tcW w:w="860" w:type="pct"/>
                  <w:shd w:val="clear" w:color="auto" w:fill="auto"/>
                  <w:noWrap w:val="0"/>
                  <w:vAlign w:val="center"/>
                </w:tcPr>
                <w:p w14:paraId="3531E645">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w:t>
                  </w:r>
                </w:p>
              </w:tc>
              <w:tc>
                <w:tcPr>
                  <w:tcW w:w="509" w:type="pct"/>
                  <w:shd w:val="clear" w:color="auto" w:fill="auto"/>
                  <w:noWrap w:val="0"/>
                  <w:vAlign w:val="center"/>
                </w:tcPr>
                <w:p w14:paraId="6B5EEC6B">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00B0F0"/>
                      <w:kern w:val="2"/>
                      <w:sz w:val="21"/>
                      <w:szCs w:val="21"/>
                      <w:highlight w:val="none"/>
                      <w:lang w:val="en-US" w:eastAsia="zh-CN" w:bidi="ar-SA"/>
                    </w:rPr>
                  </w:pPr>
                </w:p>
              </w:tc>
              <w:tc>
                <w:tcPr>
                  <w:tcW w:w="1222" w:type="pct"/>
                  <w:shd w:val="clear" w:color="auto" w:fill="auto"/>
                  <w:noWrap w:val="0"/>
                  <w:vAlign w:val="center"/>
                </w:tcPr>
                <w:p w14:paraId="47D658EB">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805" w:type="pct"/>
                  <w:shd w:val="clear" w:color="auto" w:fill="auto"/>
                  <w:noWrap w:val="0"/>
                  <w:vAlign w:val="center"/>
                </w:tcPr>
                <w:p w14:paraId="45D47274">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auto"/>
                      <w:kern w:val="2"/>
                      <w:sz w:val="21"/>
                      <w:szCs w:val="21"/>
                      <w:highlight w:val="none"/>
                      <w:lang w:val="en-US" w:eastAsia="zh-CN" w:bidi="ar-SA"/>
                    </w:rPr>
                  </w:pPr>
                </w:p>
              </w:tc>
            </w:tr>
            <w:tr w14:paraId="74F0679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3" w:type="pct"/>
                  <w:noWrap w:val="0"/>
                  <w:vAlign w:val="center"/>
                </w:tcPr>
                <w:p w14:paraId="1BAE8BFB">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8</w:t>
                  </w:r>
                </w:p>
              </w:tc>
              <w:tc>
                <w:tcPr>
                  <w:tcW w:w="1138" w:type="pct"/>
                  <w:shd w:val="clear" w:color="auto" w:fill="auto"/>
                  <w:noWrap w:val="0"/>
                  <w:vAlign w:val="center"/>
                </w:tcPr>
                <w:p w14:paraId="659A76B7">
                  <w:pPr>
                    <w:widowControl/>
                    <w:jc w:val="center"/>
                    <w:rPr>
                      <w:rFonts w:hint="default" w:ascii="Times New Roman" w:hAnsi="Times New Roman" w:eastAsia="宋体" w:cs="Times New Roman"/>
                      <w:color w:val="00B0F0"/>
                      <w:kern w:val="2"/>
                      <w:sz w:val="21"/>
                      <w:szCs w:val="21"/>
                      <w:highlight w:val="none"/>
                      <w:lang w:val="en-US" w:eastAsia="zh-CN" w:bidi="ar-SA"/>
                    </w:rPr>
                  </w:pPr>
                  <w:r>
                    <w:rPr>
                      <w:rFonts w:hint="eastAsia"/>
                      <w:color w:val="000000"/>
                      <w:kern w:val="0"/>
                      <w:szCs w:val="21"/>
                      <w:highlight w:val="none"/>
                      <w:lang w:val="en-US" w:eastAsia="zh-CN" w:bidi="ar"/>
                    </w:rPr>
                    <w:t>防水乳液</w:t>
                  </w:r>
                </w:p>
              </w:tc>
              <w:tc>
                <w:tcPr>
                  <w:tcW w:w="860" w:type="pct"/>
                  <w:shd w:val="clear" w:color="auto" w:fill="auto"/>
                  <w:noWrap w:val="0"/>
                  <w:vAlign w:val="center"/>
                </w:tcPr>
                <w:p w14:paraId="123F65EB">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210</w:t>
                  </w:r>
                </w:p>
              </w:tc>
              <w:tc>
                <w:tcPr>
                  <w:tcW w:w="509" w:type="pct"/>
                  <w:shd w:val="clear" w:color="auto" w:fill="auto"/>
                  <w:noWrap w:val="0"/>
                  <w:vAlign w:val="center"/>
                </w:tcPr>
                <w:p w14:paraId="3E4B4F15">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00B0F0"/>
                      <w:kern w:val="2"/>
                      <w:sz w:val="21"/>
                      <w:szCs w:val="21"/>
                      <w:highlight w:val="none"/>
                      <w:lang w:val="en-US" w:eastAsia="zh-CN" w:bidi="ar-SA"/>
                    </w:rPr>
                  </w:pPr>
                </w:p>
              </w:tc>
              <w:tc>
                <w:tcPr>
                  <w:tcW w:w="1222" w:type="pct"/>
                  <w:shd w:val="clear" w:color="auto" w:fill="auto"/>
                  <w:noWrap w:val="0"/>
                  <w:vAlign w:val="center"/>
                </w:tcPr>
                <w:p w14:paraId="734FA593">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805" w:type="pct"/>
                  <w:shd w:val="clear" w:color="auto" w:fill="auto"/>
                  <w:noWrap w:val="0"/>
                  <w:vAlign w:val="center"/>
                </w:tcPr>
                <w:p w14:paraId="6EB11BB5">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auto"/>
                      <w:kern w:val="2"/>
                      <w:sz w:val="21"/>
                      <w:szCs w:val="21"/>
                      <w:highlight w:val="none"/>
                      <w:lang w:val="en-US" w:eastAsia="zh-CN" w:bidi="ar-SA"/>
                    </w:rPr>
                  </w:pPr>
                </w:p>
              </w:tc>
            </w:tr>
            <w:tr w14:paraId="0455E3B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3" w:type="pct"/>
                  <w:noWrap w:val="0"/>
                  <w:vAlign w:val="center"/>
                </w:tcPr>
                <w:p w14:paraId="12BE1BC3">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9</w:t>
                  </w:r>
                </w:p>
              </w:tc>
              <w:tc>
                <w:tcPr>
                  <w:tcW w:w="1138" w:type="pct"/>
                  <w:shd w:val="clear" w:color="auto" w:fill="auto"/>
                  <w:noWrap w:val="0"/>
                  <w:vAlign w:val="center"/>
                </w:tcPr>
                <w:p w14:paraId="15488F34">
                  <w:pPr>
                    <w:widowControl/>
                    <w:jc w:val="center"/>
                    <w:rPr>
                      <w:rFonts w:hint="default" w:ascii="Times New Roman" w:hAnsi="Times New Roman" w:eastAsia="宋体" w:cs="Times New Roman"/>
                      <w:color w:val="00B0F0"/>
                      <w:kern w:val="2"/>
                      <w:sz w:val="21"/>
                      <w:szCs w:val="21"/>
                      <w:highlight w:val="none"/>
                      <w:lang w:val="en-US" w:eastAsia="zh-CN" w:bidi="ar-SA"/>
                    </w:rPr>
                  </w:pPr>
                  <w:r>
                    <w:rPr>
                      <w:rFonts w:hint="eastAsia"/>
                      <w:color w:val="000000"/>
                      <w:kern w:val="0"/>
                      <w:szCs w:val="21"/>
                      <w:highlight w:val="none"/>
                      <w:lang w:val="en-US" w:eastAsia="zh-CN" w:bidi="ar"/>
                    </w:rPr>
                    <w:t>钙粉/425水泥</w:t>
                  </w:r>
                </w:p>
              </w:tc>
              <w:tc>
                <w:tcPr>
                  <w:tcW w:w="860" w:type="pct"/>
                  <w:shd w:val="clear" w:color="auto" w:fill="auto"/>
                  <w:noWrap w:val="0"/>
                  <w:vAlign w:val="center"/>
                </w:tcPr>
                <w:p w14:paraId="78575152">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160</w:t>
                  </w:r>
                </w:p>
              </w:tc>
              <w:tc>
                <w:tcPr>
                  <w:tcW w:w="509" w:type="pct"/>
                  <w:shd w:val="clear" w:color="auto" w:fill="auto"/>
                  <w:noWrap w:val="0"/>
                  <w:vAlign w:val="center"/>
                </w:tcPr>
                <w:p w14:paraId="0D5CAA55">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00B0F0"/>
                      <w:kern w:val="2"/>
                      <w:sz w:val="21"/>
                      <w:szCs w:val="21"/>
                      <w:highlight w:val="none"/>
                      <w:lang w:val="en-US" w:eastAsia="zh-CN" w:bidi="ar-SA"/>
                    </w:rPr>
                  </w:pPr>
                </w:p>
              </w:tc>
              <w:tc>
                <w:tcPr>
                  <w:tcW w:w="1222" w:type="pct"/>
                  <w:shd w:val="clear" w:color="auto" w:fill="auto"/>
                  <w:noWrap w:val="0"/>
                  <w:vAlign w:val="center"/>
                </w:tcPr>
                <w:p w14:paraId="48ADF7E1">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805" w:type="pct"/>
                  <w:shd w:val="clear" w:color="auto" w:fill="auto"/>
                  <w:noWrap w:val="0"/>
                  <w:vAlign w:val="center"/>
                </w:tcPr>
                <w:p w14:paraId="53941723">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auto"/>
                      <w:kern w:val="2"/>
                      <w:sz w:val="21"/>
                      <w:szCs w:val="21"/>
                      <w:highlight w:val="none"/>
                      <w:lang w:val="en-US" w:eastAsia="zh-CN" w:bidi="ar-SA"/>
                    </w:rPr>
                  </w:pPr>
                </w:p>
              </w:tc>
            </w:tr>
            <w:tr w14:paraId="13E047D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3" w:type="pct"/>
                  <w:noWrap w:val="0"/>
                  <w:vAlign w:val="center"/>
                </w:tcPr>
                <w:p w14:paraId="0D953FE2">
                  <w:pPr>
                    <w:pStyle w:val="26"/>
                    <w:spacing w:before="0" w:beforeLines="0" w:beforeAutospacing="0" w:after="0" w:afterLines="0" w:afterAutospacing="0" w:line="240" w:lineRule="auto"/>
                    <w:ind w:firstLine="0" w:firstLineChars="0"/>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10</w:t>
                  </w:r>
                </w:p>
              </w:tc>
              <w:tc>
                <w:tcPr>
                  <w:tcW w:w="1138" w:type="pct"/>
                  <w:shd w:val="clear" w:color="auto" w:fill="auto"/>
                  <w:noWrap w:val="0"/>
                  <w:vAlign w:val="center"/>
                </w:tcPr>
                <w:p w14:paraId="3F8FC41B">
                  <w:pPr>
                    <w:widowControl/>
                    <w:jc w:val="center"/>
                    <w:rPr>
                      <w:rFonts w:hint="default"/>
                      <w:color w:val="000000"/>
                      <w:kern w:val="0"/>
                      <w:szCs w:val="21"/>
                      <w:highlight w:val="none"/>
                      <w:lang w:val="en-US" w:eastAsia="zh-CN" w:bidi="ar"/>
                    </w:rPr>
                  </w:pPr>
                  <w:r>
                    <w:rPr>
                      <w:rFonts w:hint="eastAsia"/>
                      <w:color w:val="000000"/>
                      <w:kern w:val="0"/>
                      <w:szCs w:val="21"/>
                      <w:highlight w:val="none"/>
                      <w:lang w:val="en-US" w:eastAsia="zh-CN" w:bidi="ar"/>
                    </w:rPr>
                    <w:t>水</w:t>
                  </w:r>
                </w:p>
              </w:tc>
              <w:tc>
                <w:tcPr>
                  <w:tcW w:w="860" w:type="pct"/>
                  <w:shd w:val="clear" w:color="auto" w:fill="auto"/>
                  <w:noWrap w:val="0"/>
                  <w:vAlign w:val="center"/>
                </w:tcPr>
                <w:p w14:paraId="2BCDEDA3">
                  <w:pPr>
                    <w:keepNext w:val="0"/>
                    <w:keepLines w:val="0"/>
                    <w:widowControl/>
                    <w:suppressLineNumbers w:val="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200</w:t>
                  </w:r>
                </w:p>
              </w:tc>
              <w:tc>
                <w:tcPr>
                  <w:tcW w:w="509" w:type="pct"/>
                  <w:shd w:val="clear" w:color="auto" w:fill="auto"/>
                  <w:noWrap w:val="0"/>
                  <w:vAlign w:val="center"/>
                </w:tcPr>
                <w:p w14:paraId="3EFF1EB0">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00B0F0"/>
                      <w:kern w:val="2"/>
                      <w:sz w:val="21"/>
                      <w:szCs w:val="21"/>
                      <w:highlight w:val="none"/>
                      <w:lang w:val="en-US" w:eastAsia="zh-CN" w:bidi="ar-SA"/>
                    </w:rPr>
                  </w:pPr>
                </w:p>
              </w:tc>
              <w:tc>
                <w:tcPr>
                  <w:tcW w:w="1222" w:type="pct"/>
                  <w:shd w:val="clear" w:color="auto" w:fill="auto"/>
                  <w:noWrap w:val="0"/>
                  <w:vAlign w:val="center"/>
                </w:tcPr>
                <w:p w14:paraId="3450BA1F">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805" w:type="pct"/>
                  <w:shd w:val="clear" w:color="auto" w:fill="auto"/>
                  <w:noWrap w:val="0"/>
                  <w:vAlign w:val="center"/>
                </w:tcPr>
                <w:p w14:paraId="6855A95C">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auto"/>
                      <w:kern w:val="2"/>
                      <w:sz w:val="21"/>
                      <w:szCs w:val="21"/>
                      <w:highlight w:val="none"/>
                      <w:lang w:val="en-US" w:eastAsia="zh-CN" w:bidi="ar-SA"/>
                    </w:rPr>
                  </w:pPr>
                </w:p>
              </w:tc>
            </w:tr>
            <w:tr w14:paraId="0B0DFF4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01" w:type="pct"/>
                  <w:gridSpan w:val="2"/>
                  <w:noWrap w:val="0"/>
                  <w:vAlign w:val="center"/>
                </w:tcPr>
                <w:p w14:paraId="5BE54B1F">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合计</w:t>
                  </w:r>
                </w:p>
              </w:tc>
              <w:tc>
                <w:tcPr>
                  <w:tcW w:w="860" w:type="pct"/>
                  <w:shd w:val="clear" w:color="auto" w:fill="auto"/>
                  <w:noWrap w:val="0"/>
                  <w:vAlign w:val="center"/>
                </w:tcPr>
                <w:p w14:paraId="6684E5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10820</w:t>
                  </w:r>
                </w:p>
              </w:tc>
              <w:tc>
                <w:tcPr>
                  <w:tcW w:w="1731" w:type="pct"/>
                  <w:gridSpan w:val="2"/>
                  <w:noWrap w:val="0"/>
                  <w:vAlign w:val="center"/>
                </w:tcPr>
                <w:p w14:paraId="7B345066">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合计</w:t>
                  </w:r>
                </w:p>
              </w:tc>
              <w:tc>
                <w:tcPr>
                  <w:tcW w:w="805" w:type="pct"/>
                  <w:shd w:val="clear" w:color="auto" w:fill="auto"/>
                  <w:noWrap w:val="0"/>
                  <w:vAlign w:val="center"/>
                </w:tcPr>
                <w:p w14:paraId="37C3752B">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10820</w:t>
                  </w:r>
                </w:p>
              </w:tc>
            </w:tr>
          </w:tbl>
          <w:p w14:paraId="4D57DF81">
            <w:pPr>
              <w:pStyle w:val="24"/>
              <w:spacing w:before="0" w:beforeLines="0" w:line="240" w:lineRule="auto"/>
              <w:ind w:firstLine="0" w:firstLineChars="0"/>
              <w:rPr>
                <w:color w:val="auto"/>
                <w:highlight w:val="none"/>
              </w:rPr>
            </w:pPr>
            <w:r>
              <w:rPr>
                <w:rFonts w:hint="eastAsia"/>
                <w:color w:val="auto"/>
                <w:highlight w:val="none"/>
              </w:rPr>
              <w:t>表</w:t>
            </w:r>
            <w:r>
              <w:rPr>
                <w:rFonts w:hint="eastAsia"/>
                <w:color w:val="auto"/>
                <w:highlight w:val="none"/>
                <w:lang w:val="en-US" w:eastAsia="zh-CN"/>
              </w:rPr>
              <w:t>2-8</w:t>
            </w:r>
            <w:r>
              <w:rPr>
                <w:color w:val="auto"/>
                <w:highlight w:val="none"/>
              </w:rPr>
              <w:t xml:space="preserve">     </w:t>
            </w:r>
            <w:r>
              <w:rPr>
                <w:rFonts w:hint="eastAsia"/>
                <w:color w:val="auto"/>
                <w:highlight w:val="none"/>
                <w:lang w:val="en-US" w:eastAsia="zh-CN"/>
              </w:rPr>
              <w:t>项目VOCS平衡</w:t>
            </w:r>
            <w:r>
              <w:rPr>
                <w:rFonts w:hint="eastAsia"/>
                <w:color w:val="auto"/>
                <w:highlight w:val="none"/>
              </w:rPr>
              <w:t>一览表</w:t>
            </w:r>
          </w:p>
          <w:tbl>
            <w:tblPr>
              <w:tblStyle w:val="20"/>
              <w:tblW w:w="4983"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0"/>
              <w:gridCol w:w="1305"/>
              <w:gridCol w:w="1663"/>
              <w:gridCol w:w="1074"/>
              <w:gridCol w:w="1263"/>
              <w:gridCol w:w="1063"/>
              <w:gridCol w:w="940"/>
            </w:tblGrid>
            <w:tr w14:paraId="0057F6A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8" w:hRule="atLeast"/>
                <w:tblHeader/>
                <w:jc w:val="center"/>
              </w:trPr>
              <w:tc>
                <w:tcPr>
                  <w:tcW w:w="542" w:type="pct"/>
                  <w:vMerge w:val="restart"/>
                  <w:noWrap w:val="0"/>
                  <w:vAlign w:val="center"/>
                </w:tcPr>
                <w:p w14:paraId="69D2C46C">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工序</w:t>
                  </w:r>
                </w:p>
              </w:tc>
              <w:tc>
                <w:tcPr>
                  <w:tcW w:w="795" w:type="pct"/>
                  <w:vMerge w:val="restart"/>
                  <w:noWrap w:val="0"/>
                  <w:vAlign w:val="center"/>
                </w:tcPr>
                <w:p w14:paraId="4ECD2A18">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VOCS</w:t>
                  </w:r>
                  <w:r>
                    <w:rPr>
                      <w:rFonts w:hint="eastAsia" w:ascii="Times New Roman" w:hAnsi="Times New Roman" w:cs="Times New Roman"/>
                      <w:b/>
                      <w:bCs/>
                      <w:color w:val="auto"/>
                      <w:sz w:val="21"/>
                      <w:szCs w:val="21"/>
                      <w:highlight w:val="none"/>
                      <w:lang w:val="en-US" w:eastAsia="zh-CN"/>
                    </w:rPr>
                    <w:t>产生</w:t>
                  </w:r>
                </w:p>
              </w:tc>
              <w:tc>
                <w:tcPr>
                  <w:tcW w:w="2439" w:type="pct"/>
                  <w:gridSpan w:val="3"/>
                  <w:noWrap w:val="0"/>
                  <w:vAlign w:val="center"/>
                </w:tcPr>
                <w:p w14:paraId="677D0273">
                  <w:pPr>
                    <w:pStyle w:val="26"/>
                    <w:spacing w:before="0" w:beforeLines="0" w:beforeAutospacing="0" w:after="0" w:afterLines="0" w:afterAutospacing="0" w:line="240" w:lineRule="auto"/>
                    <w:jc w:val="center"/>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VOCS处理</w:t>
                  </w:r>
                </w:p>
              </w:tc>
              <w:tc>
                <w:tcPr>
                  <w:tcW w:w="1221" w:type="pct"/>
                  <w:gridSpan w:val="2"/>
                  <w:vMerge w:val="restart"/>
                  <w:noWrap w:val="0"/>
                  <w:vAlign w:val="center"/>
                </w:tcPr>
                <w:p w14:paraId="28BD9DC9">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VOCS</w:t>
                  </w:r>
                  <w:r>
                    <w:rPr>
                      <w:rFonts w:hint="eastAsia" w:ascii="Times New Roman" w:hAnsi="Times New Roman" w:cs="Times New Roman"/>
                      <w:b/>
                      <w:bCs/>
                      <w:color w:val="auto"/>
                      <w:sz w:val="21"/>
                      <w:szCs w:val="21"/>
                      <w:highlight w:val="none"/>
                      <w:lang w:val="en-US" w:eastAsia="zh-CN"/>
                    </w:rPr>
                    <w:t>排放</w:t>
                  </w:r>
                </w:p>
              </w:tc>
            </w:tr>
            <w:tr w14:paraId="11B0153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8" w:hRule="atLeast"/>
                <w:tblHeader/>
                <w:jc w:val="center"/>
              </w:trPr>
              <w:tc>
                <w:tcPr>
                  <w:tcW w:w="542" w:type="pct"/>
                  <w:vMerge w:val="continue"/>
                  <w:noWrap w:val="0"/>
                  <w:vAlign w:val="center"/>
                </w:tcPr>
                <w:p w14:paraId="2E899738">
                  <w:pPr>
                    <w:pStyle w:val="26"/>
                    <w:spacing w:before="0" w:beforeLines="0" w:beforeAutospacing="0" w:after="0" w:afterLines="0" w:afterAutospacing="0" w:line="240" w:lineRule="auto"/>
                    <w:jc w:val="center"/>
                  </w:pPr>
                </w:p>
              </w:tc>
              <w:tc>
                <w:tcPr>
                  <w:tcW w:w="795" w:type="pct"/>
                  <w:vMerge w:val="continue"/>
                  <w:noWrap w:val="0"/>
                  <w:vAlign w:val="center"/>
                </w:tcPr>
                <w:p w14:paraId="7A8EBEC9">
                  <w:pPr>
                    <w:pStyle w:val="26"/>
                    <w:spacing w:before="0" w:beforeLines="0" w:beforeAutospacing="0" w:after="0" w:afterLines="0" w:afterAutospacing="0" w:line="240" w:lineRule="auto"/>
                    <w:jc w:val="center"/>
                  </w:pPr>
                </w:p>
              </w:tc>
              <w:tc>
                <w:tcPr>
                  <w:tcW w:w="1014" w:type="pct"/>
                  <w:noWrap w:val="0"/>
                  <w:vAlign w:val="center"/>
                </w:tcPr>
                <w:p w14:paraId="16F1437E">
                  <w:pPr>
                    <w:keepNext w:val="0"/>
                    <w:keepLines w:val="0"/>
                    <w:widowControl/>
                    <w:suppressLineNumbers w:val="0"/>
                    <w:jc w:val="center"/>
                    <w:textAlignment w:val="center"/>
                    <w:rPr>
                      <w:rFonts w:hint="eastAsia" w:eastAsia="宋体"/>
                      <w:lang w:val="en-US" w:eastAsia="zh-CN"/>
                    </w:rPr>
                  </w:pPr>
                  <w:r>
                    <w:rPr>
                      <w:rFonts w:hint="eastAsia" w:cs="Times New Roman"/>
                      <w:i w:val="0"/>
                      <w:iCs w:val="0"/>
                      <w:color w:val="auto"/>
                      <w:kern w:val="0"/>
                      <w:sz w:val="21"/>
                      <w:szCs w:val="21"/>
                      <w:u w:val="none"/>
                      <w:lang w:val="en-US" w:eastAsia="zh-CN" w:bidi="ar"/>
                    </w:rPr>
                    <w:t>处理措施</w:t>
                  </w:r>
                </w:p>
              </w:tc>
              <w:tc>
                <w:tcPr>
                  <w:tcW w:w="655" w:type="pct"/>
                  <w:noWrap w:val="0"/>
                  <w:vAlign w:val="center"/>
                </w:tcPr>
                <w:p w14:paraId="1C55CF8C">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收集量</w:t>
                  </w:r>
                </w:p>
              </w:tc>
              <w:tc>
                <w:tcPr>
                  <w:tcW w:w="770" w:type="pct"/>
                  <w:noWrap w:val="0"/>
                  <w:vAlign w:val="center"/>
                </w:tcPr>
                <w:p w14:paraId="24F44228">
                  <w:pPr>
                    <w:keepNext w:val="0"/>
                    <w:keepLines w:val="0"/>
                    <w:widowControl/>
                    <w:suppressLineNumbers w:val="0"/>
                    <w:jc w:val="center"/>
                    <w:textAlignment w:val="center"/>
                    <w:rPr>
                      <w:rFonts w:hint="eastAsia" w:eastAsia="宋体"/>
                      <w:lang w:val="en-US" w:eastAsia="zh-CN"/>
                    </w:rPr>
                  </w:pPr>
                  <w:r>
                    <w:rPr>
                      <w:rFonts w:hint="eastAsia"/>
                      <w:lang w:val="en-US" w:eastAsia="zh-CN"/>
                    </w:rPr>
                    <w:t>处理量</w:t>
                  </w:r>
                </w:p>
              </w:tc>
              <w:tc>
                <w:tcPr>
                  <w:tcW w:w="1221" w:type="pct"/>
                  <w:gridSpan w:val="2"/>
                  <w:vMerge w:val="continue"/>
                  <w:noWrap w:val="0"/>
                  <w:vAlign w:val="center"/>
                </w:tcPr>
                <w:p w14:paraId="1805838D">
                  <w:pPr>
                    <w:pStyle w:val="26"/>
                    <w:spacing w:before="0" w:beforeLines="0" w:beforeAutospacing="0" w:after="0" w:afterLines="0" w:afterAutospacing="0" w:line="240" w:lineRule="auto"/>
                    <w:jc w:val="center"/>
                  </w:pPr>
                </w:p>
              </w:tc>
            </w:tr>
            <w:tr w14:paraId="206AB53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542" w:type="pct"/>
                  <w:vMerge w:val="restart"/>
                  <w:noWrap w:val="0"/>
                  <w:vAlign w:val="center"/>
                </w:tcPr>
                <w:p w14:paraId="4C308D3B">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搅拌、浸涂、储罐</w:t>
                  </w:r>
                </w:p>
              </w:tc>
              <w:tc>
                <w:tcPr>
                  <w:tcW w:w="795" w:type="pct"/>
                  <w:vMerge w:val="restart"/>
                  <w:shd w:val="clear" w:color="auto" w:fill="auto"/>
                  <w:noWrap w:val="0"/>
                  <w:vAlign w:val="center"/>
                </w:tcPr>
                <w:p w14:paraId="22803679">
                  <w:pPr>
                    <w:widowControl/>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1.89t</w:t>
                  </w:r>
                </w:p>
              </w:tc>
              <w:tc>
                <w:tcPr>
                  <w:tcW w:w="1014" w:type="pct"/>
                  <w:vMerge w:val="restart"/>
                  <w:shd w:val="clear" w:color="auto" w:fill="auto"/>
                  <w:noWrap w:val="0"/>
                  <w:vAlign w:val="center"/>
                </w:tcPr>
                <w:p w14:paraId="5607B532">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集气罩收集，活性炭吸附40%</w:t>
                  </w:r>
                </w:p>
              </w:tc>
              <w:tc>
                <w:tcPr>
                  <w:tcW w:w="655" w:type="pct"/>
                  <w:vMerge w:val="restart"/>
                  <w:shd w:val="clear" w:color="auto" w:fill="auto"/>
                  <w:noWrap w:val="0"/>
                  <w:vAlign w:val="center"/>
                </w:tcPr>
                <w:p w14:paraId="627C6E4B">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1.7t</w:t>
                  </w:r>
                </w:p>
              </w:tc>
              <w:tc>
                <w:tcPr>
                  <w:tcW w:w="770" w:type="pct"/>
                  <w:vMerge w:val="restart"/>
                  <w:shd w:val="clear" w:color="auto" w:fill="auto"/>
                  <w:noWrap w:val="0"/>
                  <w:vAlign w:val="center"/>
                </w:tcPr>
                <w:p w14:paraId="401F2189">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0.68</w:t>
                  </w:r>
                </w:p>
              </w:tc>
              <w:tc>
                <w:tcPr>
                  <w:tcW w:w="648" w:type="pct"/>
                  <w:noWrap w:val="0"/>
                  <w:vAlign w:val="center"/>
                </w:tcPr>
                <w:p w14:paraId="4E597430">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有组织</w:t>
                  </w:r>
                </w:p>
              </w:tc>
              <w:tc>
                <w:tcPr>
                  <w:tcW w:w="573" w:type="pct"/>
                  <w:noWrap w:val="0"/>
                  <w:vAlign w:val="center"/>
                </w:tcPr>
                <w:p w14:paraId="4EAFAFED">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1.02t</w:t>
                  </w:r>
                </w:p>
              </w:tc>
            </w:tr>
            <w:tr w14:paraId="737A345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542" w:type="pct"/>
                  <w:vMerge w:val="continue"/>
                  <w:noWrap w:val="0"/>
                  <w:vAlign w:val="center"/>
                </w:tcPr>
                <w:p w14:paraId="36F874B2">
                  <w:pPr>
                    <w:pStyle w:val="26"/>
                    <w:spacing w:before="0" w:beforeLines="0" w:beforeAutospacing="0" w:after="0" w:afterLines="0" w:afterAutospacing="0" w:line="240" w:lineRule="auto"/>
                    <w:jc w:val="center"/>
                  </w:pPr>
                </w:p>
              </w:tc>
              <w:tc>
                <w:tcPr>
                  <w:tcW w:w="795" w:type="pct"/>
                  <w:vMerge w:val="continue"/>
                  <w:shd w:val="clear" w:color="auto" w:fill="auto"/>
                  <w:noWrap w:val="0"/>
                  <w:vAlign w:val="center"/>
                </w:tcPr>
                <w:p w14:paraId="207E7F7C">
                  <w:pPr>
                    <w:pStyle w:val="26"/>
                    <w:spacing w:before="0" w:beforeLines="0" w:beforeAutospacing="0" w:after="0" w:afterLines="0" w:afterAutospacing="0" w:line="240" w:lineRule="auto"/>
                    <w:jc w:val="center"/>
                  </w:pPr>
                </w:p>
              </w:tc>
              <w:tc>
                <w:tcPr>
                  <w:tcW w:w="1014" w:type="pct"/>
                  <w:vMerge w:val="continue"/>
                  <w:shd w:val="clear" w:color="auto" w:fill="auto"/>
                  <w:noWrap w:val="0"/>
                  <w:vAlign w:val="center"/>
                </w:tcPr>
                <w:p w14:paraId="6FFCB8BE">
                  <w:pPr>
                    <w:pStyle w:val="26"/>
                    <w:spacing w:before="0" w:beforeLines="0" w:beforeAutospacing="0" w:after="0" w:afterLines="0" w:afterAutospacing="0" w:line="240" w:lineRule="auto"/>
                    <w:jc w:val="center"/>
                  </w:pPr>
                </w:p>
              </w:tc>
              <w:tc>
                <w:tcPr>
                  <w:tcW w:w="655" w:type="pct"/>
                  <w:vMerge w:val="continue"/>
                  <w:shd w:val="clear" w:color="auto" w:fill="auto"/>
                  <w:noWrap w:val="0"/>
                  <w:vAlign w:val="center"/>
                </w:tcPr>
                <w:p w14:paraId="5FC81EE2">
                  <w:pPr>
                    <w:pStyle w:val="26"/>
                    <w:spacing w:before="0" w:beforeLines="0" w:beforeAutospacing="0" w:after="0" w:afterLines="0" w:afterAutospacing="0" w:line="240" w:lineRule="auto"/>
                    <w:jc w:val="center"/>
                  </w:pPr>
                </w:p>
              </w:tc>
              <w:tc>
                <w:tcPr>
                  <w:tcW w:w="770" w:type="pct"/>
                  <w:vMerge w:val="continue"/>
                  <w:shd w:val="clear" w:color="auto" w:fill="auto"/>
                  <w:noWrap w:val="0"/>
                  <w:vAlign w:val="center"/>
                </w:tcPr>
                <w:p w14:paraId="11A6CB6D">
                  <w:pPr>
                    <w:pStyle w:val="26"/>
                    <w:spacing w:before="0" w:beforeLines="0" w:beforeAutospacing="0" w:after="0" w:afterLines="0" w:afterAutospacing="0" w:line="240" w:lineRule="auto"/>
                    <w:jc w:val="center"/>
                  </w:pPr>
                </w:p>
              </w:tc>
              <w:tc>
                <w:tcPr>
                  <w:tcW w:w="648" w:type="pct"/>
                  <w:noWrap w:val="0"/>
                  <w:vAlign w:val="center"/>
                </w:tcPr>
                <w:p w14:paraId="57B4A11B">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无组织</w:t>
                  </w:r>
                </w:p>
              </w:tc>
              <w:tc>
                <w:tcPr>
                  <w:tcW w:w="573" w:type="pct"/>
                  <w:noWrap w:val="0"/>
                  <w:vAlign w:val="center"/>
                </w:tcPr>
                <w:p w14:paraId="4B05CC22">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0.19t</w:t>
                  </w:r>
                </w:p>
              </w:tc>
            </w:tr>
            <w:tr w14:paraId="00E4521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2" w:type="pct"/>
                  <w:vMerge w:val="restart"/>
                  <w:noWrap w:val="0"/>
                  <w:vAlign w:val="center"/>
                </w:tcPr>
                <w:p w14:paraId="3965ED8F">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覆膜</w:t>
                  </w:r>
                </w:p>
              </w:tc>
              <w:tc>
                <w:tcPr>
                  <w:tcW w:w="795" w:type="pct"/>
                  <w:vMerge w:val="restart"/>
                  <w:shd w:val="clear" w:color="auto" w:fill="auto"/>
                  <w:noWrap w:val="0"/>
                  <w:vAlign w:val="center"/>
                </w:tcPr>
                <w:p w14:paraId="303E8175">
                  <w:pPr>
                    <w:widowControl/>
                    <w:jc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0.45t</w:t>
                  </w:r>
                </w:p>
              </w:tc>
              <w:tc>
                <w:tcPr>
                  <w:tcW w:w="1014" w:type="pct"/>
                  <w:vMerge w:val="continue"/>
                  <w:shd w:val="clear" w:color="auto" w:fill="auto"/>
                  <w:noWrap w:val="0"/>
                  <w:vAlign w:val="center"/>
                </w:tcPr>
                <w:p w14:paraId="44B35A64">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p>
              </w:tc>
              <w:tc>
                <w:tcPr>
                  <w:tcW w:w="655" w:type="pct"/>
                  <w:vMerge w:val="restart"/>
                  <w:shd w:val="clear" w:color="auto" w:fill="auto"/>
                  <w:noWrap w:val="0"/>
                  <w:vAlign w:val="center"/>
                </w:tcPr>
                <w:p w14:paraId="5E3D6A46">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0.41t</w:t>
                  </w:r>
                </w:p>
              </w:tc>
              <w:tc>
                <w:tcPr>
                  <w:tcW w:w="770" w:type="pct"/>
                  <w:vMerge w:val="restart"/>
                  <w:shd w:val="clear" w:color="auto" w:fill="auto"/>
                  <w:noWrap w:val="0"/>
                  <w:vAlign w:val="center"/>
                </w:tcPr>
                <w:p w14:paraId="2B61E717">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0.16t</w:t>
                  </w:r>
                </w:p>
              </w:tc>
              <w:tc>
                <w:tcPr>
                  <w:tcW w:w="648" w:type="pct"/>
                  <w:noWrap w:val="0"/>
                  <w:vAlign w:val="center"/>
                </w:tcPr>
                <w:p w14:paraId="144E53ED">
                  <w:pPr>
                    <w:pStyle w:val="26"/>
                    <w:spacing w:before="0" w:beforeLines="0" w:beforeAutospacing="0" w:after="0" w:afterLines="0" w:afterAutospacing="0" w:line="240" w:lineRule="auto"/>
                    <w:jc w:val="center"/>
                    <w:rPr>
                      <w:rFonts w:hint="eastAsia"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lang w:val="en-US" w:eastAsia="zh-CN"/>
                    </w:rPr>
                    <w:t>有组织</w:t>
                  </w:r>
                </w:p>
              </w:tc>
              <w:tc>
                <w:tcPr>
                  <w:tcW w:w="573" w:type="pct"/>
                  <w:noWrap w:val="0"/>
                  <w:vAlign w:val="center"/>
                </w:tcPr>
                <w:p w14:paraId="1E226C43">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0.25t</w:t>
                  </w:r>
                </w:p>
              </w:tc>
            </w:tr>
            <w:tr w14:paraId="6A1A57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542" w:type="pct"/>
                  <w:vMerge w:val="continue"/>
                  <w:noWrap w:val="0"/>
                  <w:vAlign w:val="center"/>
                </w:tcPr>
                <w:p w14:paraId="4F901D0B">
                  <w:pPr>
                    <w:pStyle w:val="26"/>
                    <w:spacing w:before="0" w:beforeLines="0" w:beforeAutospacing="0" w:after="0" w:afterLines="0" w:afterAutospacing="0" w:line="240" w:lineRule="auto"/>
                    <w:jc w:val="center"/>
                  </w:pPr>
                </w:p>
              </w:tc>
              <w:tc>
                <w:tcPr>
                  <w:tcW w:w="795" w:type="pct"/>
                  <w:vMerge w:val="continue"/>
                  <w:shd w:val="clear" w:color="auto" w:fill="auto"/>
                  <w:noWrap w:val="0"/>
                  <w:vAlign w:val="center"/>
                </w:tcPr>
                <w:p w14:paraId="07E11EBC">
                  <w:pPr>
                    <w:pStyle w:val="26"/>
                    <w:spacing w:before="0" w:beforeLines="0" w:beforeAutospacing="0" w:after="0" w:afterLines="0" w:afterAutospacing="0" w:line="240" w:lineRule="auto"/>
                    <w:jc w:val="center"/>
                  </w:pPr>
                </w:p>
              </w:tc>
              <w:tc>
                <w:tcPr>
                  <w:tcW w:w="1014" w:type="pct"/>
                  <w:vMerge w:val="continue"/>
                  <w:shd w:val="clear" w:color="auto" w:fill="auto"/>
                  <w:noWrap w:val="0"/>
                  <w:vAlign w:val="center"/>
                </w:tcPr>
                <w:p w14:paraId="79ED8FB8">
                  <w:pPr>
                    <w:pStyle w:val="26"/>
                    <w:spacing w:before="0" w:beforeLines="0" w:beforeAutospacing="0" w:after="0" w:afterLines="0" w:afterAutospacing="0" w:line="240" w:lineRule="auto"/>
                    <w:jc w:val="center"/>
                  </w:pPr>
                </w:p>
              </w:tc>
              <w:tc>
                <w:tcPr>
                  <w:tcW w:w="655" w:type="pct"/>
                  <w:vMerge w:val="continue"/>
                  <w:shd w:val="clear" w:color="auto" w:fill="auto"/>
                  <w:noWrap w:val="0"/>
                  <w:vAlign w:val="center"/>
                </w:tcPr>
                <w:p w14:paraId="6A342069">
                  <w:pPr>
                    <w:pStyle w:val="26"/>
                    <w:spacing w:before="0" w:beforeLines="0" w:beforeAutospacing="0" w:after="0" w:afterLines="0" w:afterAutospacing="0" w:line="240" w:lineRule="auto"/>
                    <w:jc w:val="center"/>
                  </w:pPr>
                </w:p>
              </w:tc>
              <w:tc>
                <w:tcPr>
                  <w:tcW w:w="770" w:type="pct"/>
                  <w:vMerge w:val="continue"/>
                  <w:shd w:val="clear" w:color="auto" w:fill="auto"/>
                  <w:noWrap w:val="0"/>
                  <w:vAlign w:val="center"/>
                </w:tcPr>
                <w:p w14:paraId="0D4317EA">
                  <w:pPr>
                    <w:pStyle w:val="26"/>
                    <w:spacing w:before="0" w:beforeLines="0" w:beforeAutospacing="0" w:after="0" w:afterLines="0" w:afterAutospacing="0" w:line="240" w:lineRule="auto"/>
                    <w:jc w:val="center"/>
                  </w:pPr>
                </w:p>
              </w:tc>
              <w:tc>
                <w:tcPr>
                  <w:tcW w:w="648" w:type="pct"/>
                  <w:noWrap w:val="0"/>
                  <w:vAlign w:val="center"/>
                </w:tcPr>
                <w:p w14:paraId="645F3395">
                  <w:pPr>
                    <w:pStyle w:val="26"/>
                    <w:spacing w:before="0" w:beforeLines="0" w:beforeAutospacing="0" w:after="0" w:afterLines="0" w:afterAutospacing="0" w:line="240" w:lineRule="auto"/>
                    <w:jc w:val="center"/>
                    <w:rPr>
                      <w:rFonts w:hint="eastAsia"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lang w:val="en-US" w:eastAsia="zh-CN"/>
                    </w:rPr>
                    <w:t>无组织</w:t>
                  </w:r>
                </w:p>
              </w:tc>
              <w:tc>
                <w:tcPr>
                  <w:tcW w:w="573" w:type="pct"/>
                  <w:noWrap w:val="0"/>
                  <w:vAlign w:val="center"/>
                </w:tcPr>
                <w:p w14:paraId="277CDCF3">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0.04t</w:t>
                  </w:r>
                </w:p>
              </w:tc>
            </w:tr>
            <w:tr w14:paraId="2CA0C9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542" w:type="pct"/>
                  <w:noWrap w:val="0"/>
                  <w:vAlign w:val="center"/>
                </w:tcPr>
                <w:p w14:paraId="1FAFCB5E">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kern w:val="2"/>
                      <w:sz w:val="21"/>
                      <w:szCs w:val="21"/>
                      <w:highlight w:val="none"/>
                      <w:lang w:val="en-US" w:eastAsia="zh-CN" w:bidi="ar-SA"/>
                    </w:rPr>
                    <w:t>防水涂料</w:t>
                  </w:r>
                </w:p>
              </w:tc>
              <w:tc>
                <w:tcPr>
                  <w:tcW w:w="795" w:type="pct"/>
                  <w:shd w:val="clear" w:color="auto" w:fill="auto"/>
                  <w:noWrap w:val="0"/>
                  <w:vAlign w:val="center"/>
                </w:tcPr>
                <w:p w14:paraId="2EE0639C">
                  <w:pPr>
                    <w:widowControl/>
                    <w:jc w:val="center"/>
                    <w:rPr>
                      <w:rFonts w:hint="default" w:eastAsia="宋体"/>
                      <w:color w:val="auto"/>
                      <w:kern w:val="0"/>
                      <w:szCs w:val="21"/>
                      <w:highlight w:val="none"/>
                      <w:lang w:val="en-US" w:eastAsia="zh-CN" w:bidi="ar"/>
                    </w:rPr>
                  </w:pPr>
                  <w:r>
                    <w:rPr>
                      <w:rFonts w:hint="eastAsia"/>
                      <w:color w:val="auto"/>
                      <w:kern w:val="0"/>
                      <w:szCs w:val="21"/>
                      <w:highlight w:val="none"/>
                      <w:lang w:val="en-US" w:eastAsia="zh-CN" w:bidi="ar"/>
                    </w:rPr>
                    <w:t>0.06t/a</w:t>
                  </w:r>
                </w:p>
              </w:tc>
              <w:tc>
                <w:tcPr>
                  <w:tcW w:w="2439" w:type="pct"/>
                  <w:gridSpan w:val="3"/>
                  <w:shd w:val="clear" w:color="auto" w:fill="auto"/>
                  <w:noWrap w:val="0"/>
                  <w:vAlign w:val="center"/>
                </w:tcPr>
                <w:p w14:paraId="4D730834">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t>
                  </w:r>
                </w:p>
              </w:tc>
              <w:tc>
                <w:tcPr>
                  <w:tcW w:w="648" w:type="pct"/>
                  <w:noWrap w:val="0"/>
                  <w:vAlign w:val="center"/>
                </w:tcPr>
                <w:p w14:paraId="66367B50">
                  <w:pPr>
                    <w:pStyle w:val="26"/>
                    <w:spacing w:before="0" w:beforeLines="0" w:beforeAutospacing="0" w:after="0" w:afterLines="0" w:afterAutospacing="0"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无组织</w:t>
                  </w:r>
                </w:p>
              </w:tc>
              <w:tc>
                <w:tcPr>
                  <w:tcW w:w="573" w:type="pct"/>
                  <w:noWrap w:val="0"/>
                  <w:vAlign w:val="center"/>
                </w:tcPr>
                <w:p w14:paraId="7605C627">
                  <w:pPr>
                    <w:pStyle w:val="26"/>
                    <w:spacing w:before="0" w:beforeLines="0" w:beforeAutospacing="0" w:after="0" w:afterLines="0" w:afterAutospacing="0"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0.06t</w:t>
                  </w:r>
                </w:p>
              </w:tc>
            </w:tr>
          </w:tbl>
          <w:p w14:paraId="517AA159">
            <w:pPr>
              <w:numPr>
                <w:ilvl w:val="0"/>
                <w:numId w:val="0"/>
              </w:numPr>
              <w:adjustRightInd w:val="0"/>
              <w:snapToGrid w:val="0"/>
              <w:spacing w:line="360" w:lineRule="auto"/>
              <w:jc w:val="both"/>
              <w:rPr>
                <w:rFonts w:hint="default" w:ascii="Times New Roman" w:hAnsi="Times New Roman" w:eastAsia="宋体" w:cs="Times New Roman"/>
                <w:b/>
                <w:bCs/>
                <w:sz w:val="24"/>
                <w:szCs w:val="24"/>
                <w:highlight w:val="none"/>
                <w:lang w:val="en-US" w:eastAsia="zh-CN"/>
              </w:rPr>
            </w:pPr>
            <w:r>
              <w:rPr>
                <w:rFonts w:hint="eastAsia" w:cs="Times New Roman"/>
                <w:b/>
                <w:bCs/>
                <w:sz w:val="24"/>
                <w:szCs w:val="24"/>
                <w:highlight w:val="none"/>
                <w:lang w:val="en-US" w:eastAsia="zh-CN"/>
              </w:rPr>
              <w:t>7</w:t>
            </w:r>
            <w:r>
              <w:rPr>
                <w:rFonts w:hint="default" w:ascii="Times New Roman" w:hAnsi="Times New Roman" w:eastAsia="宋体" w:cs="Times New Roman"/>
                <w:b/>
                <w:bCs/>
                <w:sz w:val="24"/>
                <w:szCs w:val="24"/>
                <w:highlight w:val="none"/>
                <w:lang w:val="en-US" w:eastAsia="zh-CN"/>
              </w:rPr>
              <w:t xml:space="preserve"> 项目人员及工作制度</w:t>
            </w:r>
          </w:p>
          <w:p w14:paraId="757F6266">
            <w:pPr>
              <w:keepNext w:val="0"/>
              <w:keepLines w:val="0"/>
              <w:widowControl/>
              <w:suppressLineNumbers w:val="0"/>
              <w:spacing w:line="360" w:lineRule="auto"/>
              <w:ind w:firstLine="480" w:firstLineChars="200"/>
              <w:jc w:val="both"/>
              <w:rPr>
                <w:rFonts w:hint="default" w:ascii="Times New Roman" w:hAnsi="Times New Roman" w:eastAsia="宋体" w:cs="Times New Roman"/>
                <w:sz w:val="24"/>
                <w:szCs w:val="24"/>
                <w:highlight w:val="none"/>
                <w:lang w:val="en-US"/>
              </w:rPr>
            </w:pPr>
            <w:r>
              <w:rPr>
                <w:rFonts w:hint="default" w:ascii="Times New Roman" w:hAnsi="Times New Roman" w:eastAsia="宋体" w:cs="Times New Roman"/>
                <w:color w:val="000000"/>
                <w:kern w:val="0"/>
                <w:sz w:val="24"/>
                <w:szCs w:val="24"/>
                <w:highlight w:val="none"/>
                <w:lang w:val="en-US" w:eastAsia="zh-CN" w:bidi="ar"/>
              </w:rPr>
              <w:t>本项目</w:t>
            </w:r>
            <w:r>
              <w:rPr>
                <w:rFonts w:hint="eastAsia" w:cs="Times New Roman"/>
                <w:color w:val="000000"/>
                <w:kern w:val="0"/>
                <w:sz w:val="24"/>
                <w:szCs w:val="24"/>
                <w:highlight w:val="none"/>
                <w:lang w:val="en-US" w:eastAsia="zh-CN" w:bidi="ar"/>
              </w:rPr>
              <w:t>二期</w:t>
            </w:r>
            <w:r>
              <w:rPr>
                <w:rFonts w:hint="default" w:ascii="Times New Roman" w:hAnsi="Times New Roman" w:eastAsia="宋体" w:cs="Times New Roman"/>
                <w:color w:val="000000"/>
                <w:kern w:val="0"/>
                <w:sz w:val="24"/>
                <w:szCs w:val="24"/>
                <w:highlight w:val="none"/>
                <w:lang w:val="en-US" w:eastAsia="zh-CN" w:bidi="ar"/>
              </w:rPr>
              <w:t>劳动定员</w:t>
            </w:r>
            <w:r>
              <w:rPr>
                <w:rFonts w:hint="eastAsia" w:cs="Times New Roman"/>
                <w:color w:val="000000"/>
                <w:kern w:val="0"/>
                <w:sz w:val="24"/>
                <w:szCs w:val="24"/>
                <w:highlight w:val="none"/>
                <w:lang w:val="en-US" w:eastAsia="zh-CN" w:bidi="ar"/>
              </w:rPr>
              <w:t>6</w:t>
            </w:r>
            <w:r>
              <w:rPr>
                <w:rFonts w:hint="default" w:ascii="Times New Roman" w:hAnsi="Times New Roman" w:eastAsia="宋体" w:cs="Times New Roman"/>
                <w:color w:val="000000"/>
                <w:kern w:val="0"/>
                <w:sz w:val="24"/>
                <w:szCs w:val="24"/>
                <w:highlight w:val="none"/>
                <w:lang w:val="en-US" w:eastAsia="zh-CN" w:bidi="ar"/>
              </w:rPr>
              <w:t>人，每日</w:t>
            </w:r>
            <w:r>
              <w:rPr>
                <w:rFonts w:hint="eastAsia" w:cs="Times New Roman"/>
                <w:color w:val="000000"/>
                <w:kern w:val="0"/>
                <w:sz w:val="24"/>
                <w:szCs w:val="24"/>
                <w:highlight w:val="none"/>
                <w:lang w:val="en-US" w:eastAsia="zh-CN" w:bidi="ar"/>
              </w:rPr>
              <w:t>2</w:t>
            </w:r>
            <w:r>
              <w:rPr>
                <w:rFonts w:hint="default" w:ascii="Times New Roman" w:hAnsi="Times New Roman" w:eastAsia="宋体" w:cs="Times New Roman"/>
                <w:color w:val="000000"/>
                <w:kern w:val="0"/>
                <w:sz w:val="24"/>
                <w:szCs w:val="24"/>
                <w:highlight w:val="none"/>
                <w:lang w:val="en-US" w:eastAsia="zh-CN" w:bidi="ar"/>
              </w:rPr>
              <w:t>班，每班工作</w:t>
            </w:r>
            <w:r>
              <w:rPr>
                <w:rFonts w:hint="eastAsia" w:cs="Times New Roman"/>
                <w:color w:val="000000"/>
                <w:kern w:val="0"/>
                <w:sz w:val="24"/>
                <w:szCs w:val="24"/>
                <w:highlight w:val="none"/>
                <w:lang w:val="en-US" w:eastAsia="zh-CN" w:bidi="ar"/>
              </w:rPr>
              <w:t>8</w:t>
            </w:r>
            <w:r>
              <w:rPr>
                <w:rFonts w:hint="default" w:ascii="Times New Roman" w:hAnsi="Times New Roman" w:eastAsia="宋体" w:cs="Times New Roman"/>
                <w:color w:val="000000"/>
                <w:kern w:val="0"/>
                <w:sz w:val="24"/>
                <w:szCs w:val="24"/>
                <w:highlight w:val="none"/>
                <w:lang w:val="en-US" w:eastAsia="zh-CN" w:bidi="ar"/>
              </w:rPr>
              <w:t>小时，年工作日为2</w:t>
            </w:r>
            <w:r>
              <w:rPr>
                <w:rFonts w:hint="eastAsia" w:cs="Times New Roman"/>
                <w:color w:val="000000"/>
                <w:kern w:val="0"/>
                <w:sz w:val="24"/>
                <w:szCs w:val="24"/>
                <w:highlight w:val="none"/>
                <w:lang w:val="en-US" w:eastAsia="zh-CN" w:bidi="ar"/>
              </w:rPr>
              <w:t>4</w:t>
            </w:r>
            <w:r>
              <w:rPr>
                <w:rFonts w:hint="default" w:ascii="Times New Roman" w:hAnsi="Times New Roman" w:eastAsia="宋体" w:cs="Times New Roman"/>
                <w:color w:val="000000"/>
                <w:kern w:val="0"/>
                <w:sz w:val="24"/>
                <w:szCs w:val="24"/>
                <w:highlight w:val="none"/>
                <w:lang w:val="en-US" w:eastAsia="zh-CN" w:bidi="ar"/>
              </w:rPr>
              <w:t>0天。</w:t>
            </w:r>
            <w:r>
              <w:rPr>
                <w:rFonts w:hint="eastAsia" w:cs="Times New Roman"/>
                <w:color w:val="000000"/>
                <w:kern w:val="0"/>
                <w:sz w:val="24"/>
                <w:szCs w:val="24"/>
                <w:highlight w:val="none"/>
                <w:lang w:val="en-US" w:eastAsia="zh-CN" w:bidi="ar"/>
              </w:rPr>
              <w:t>本项目不设置食宿</w:t>
            </w:r>
          </w:p>
          <w:p w14:paraId="11C214CA">
            <w:pPr>
              <w:numPr>
                <w:ilvl w:val="0"/>
                <w:numId w:val="0"/>
              </w:numPr>
              <w:adjustRightInd w:val="0"/>
              <w:snapToGrid w:val="0"/>
              <w:spacing w:line="360" w:lineRule="auto"/>
              <w:jc w:val="both"/>
              <w:rPr>
                <w:rFonts w:hint="default" w:ascii="Times New Roman" w:hAnsi="Times New Roman" w:eastAsia="宋体" w:cs="Times New Roman"/>
                <w:b/>
                <w:bCs/>
                <w:sz w:val="24"/>
                <w:szCs w:val="24"/>
                <w:highlight w:val="none"/>
                <w:lang w:val="en-US" w:eastAsia="zh-CN"/>
              </w:rPr>
            </w:pPr>
            <w:r>
              <w:rPr>
                <w:rFonts w:hint="eastAsia" w:cs="Times New Roman"/>
                <w:b/>
                <w:bCs/>
                <w:sz w:val="24"/>
                <w:szCs w:val="24"/>
                <w:highlight w:val="none"/>
                <w:lang w:val="en-US" w:eastAsia="zh-CN"/>
              </w:rPr>
              <w:t>8</w:t>
            </w:r>
            <w:r>
              <w:rPr>
                <w:rFonts w:hint="default" w:ascii="Times New Roman" w:hAnsi="Times New Roman" w:eastAsia="宋体" w:cs="Times New Roman"/>
                <w:b/>
                <w:bCs/>
                <w:sz w:val="24"/>
                <w:szCs w:val="24"/>
                <w:highlight w:val="none"/>
                <w:lang w:val="en-US" w:eastAsia="zh-CN"/>
              </w:rPr>
              <w:t xml:space="preserve"> 公用工程</w:t>
            </w:r>
          </w:p>
          <w:p w14:paraId="1DEC8A27">
            <w:pPr>
              <w:numPr>
                <w:ilvl w:val="0"/>
                <w:numId w:val="0"/>
              </w:numPr>
              <w:adjustRightInd w:val="0"/>
              <w:snapToGrid w:val="0"/>
              <w:spacing w:line="360" w:lineRule="auto"/>
              <w:jc w:val="both"/>
              <w:rPr>
                <w:rFonts w:hint="default" w:ascii="Times New Roman" w:hAnsi="Times New Roman" w:eastAsia="宋体" w:cs="Times New Roman"/>
                <w:b/>
                <w:bCs/>
                <w:sz w:val="24"/>
                <w:szCs w:val="24"/>
                <w:highlight w:val="none"/>
                <w:lang w:val="en-US" w:eastAsia="zh-CN"/>
              </w:rPr>
            </w:pPr>
            <w:r>
              <w:rPr>
                <w:rFonts w:hint="eastAsia" w:cs="Times New Roman"/>
                <w:b/>
                <w:bCs/>
                <w:sz w:val="24"/>
                <w:szCs w:val="24"/>
                <w:highlight w:val="none"/>
                <w:lang w:val="en-US" w:eastAsia="zh-CN"/>
              </w:rPr>
              <w:t>8</w:t>
            </w:r>
            <w:r>
              <w:rPr>
                <w:rFonts w:hint="default" w:ascii="Times New Roman" w:hAnsi="Times New Roman" w:eastAsia="宋体" w:cs="Times New Roman"/>
                <w:b/>
                <w:bCs/>
                <w:sz w:val="24"/>
                <w:szCs w:val="24"/>
                <w:highlight w:val="none"/>
                <w:lang w:val="en-US" w:eastAsia="zh-CN"/>
              </w:rPr>
              <w:t>.1 供水</w:t>
            </w:r>
          </w:p>
          <w:p w14:paraId="2AE1ABBD">
            <w:pPr>
              <w:keepNext w:val="0"/>
              <w:keepLines w:val="0"/>
              <w:widowControl/>
              <w:suppressLineNumbers w:val="0"/>
              <w:spacing w:line="360" w:lineRule="auto"/>
              <w:ind w:firstLine="480" w:firstLineChars="200"/>
              <w:jc w:val="both"/>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本项目用水由园区供水管网提供，水量及水压满足项目需要。项目用水包括生产用水及生活用水</w:t>
            </w:r>
            <w:r>
              <w:rPr>
                <w:rFonts w:hint="eastAsia" w:cs="Times New Roman"/>
                <w:color w:val="000000"/>
                <w:kern w:val="0"/>
                <w:sz w:val="24"/>
                <w:szCs w:val="24"/>
                <w:highlight w:val="none"/>
                <w:lang w:val="en-US" w:eastAsia="zh-CN" w:bidi="ar"/>
              </w:rPr>
              <w:t>，生产用水为设备清洗用水、冷却水及废气处理设施排水，废气处理设施排水依托一期废气处理设施，二期不新建废气处理设施，所以此处不需要分析冷却水及废气处理设施排水。</w:t>
            </w:r>
          </w:p>
          <w:p w14:paraId="1564AB18">
            <w:pPr>
              <w:keepNext w:val="0"/>
              <w:keepLines w:val="0"/>
              <w:widowControl/>
              <w:suppressLineNumbers w:val="0"/>
              <w:spacing w:line="360" w:lineRule="auto"/>
              <w:ind w:firstLine="480" w:firstLineChars="200"/>
              <w:jc w:val="both"/>
              <w:rPr>
                <w:rFonts w:hint="default" w:ascii="Times New Roman" w:hAnsi="Times New Roman" w:eastAsia="宋体" w:cs="Times New Roman"/>
                <w:color w:val="000000"/>
                <w:kern w:val="0"/>
                <w:sz w:val="24"/>
                <w:szCs w:val="24"/>
                <w:highlight w:val="none"/>
                <w:lang w:val="en-US" w:eastAsia="zh-CN" w:bidi="ar"/>
              </w:rPr>
            </w:pPr>
            <w:r>
              <w:rPr>
                <w:rFonts w:hint="eastAsia" w:ascii="Times New Roman" w:hAnsi="Times New Roman" w:eastAsia="宋体" w:cs="Times New Roman"/>
                <w:color w:val="000000"/>
                <w:kern w:val="0"/>
                <w:sz w:val="24"/>
                <w:szCs w:val="24"/>
                <w:highlight w:val="none"/>
                <w:lang w:val="en-US" w:eastAsia="zh-CN" w:bidi="ar"/>
              </w:rPr>
              <w:t>（1）</w:t>
            </w:r>
            <w:r>
              <w:rPr>
                <w:rFonts w:hint="default" w:ascii="Times New Roman" w:hAnsi="Times New Roman" w:eastAsia="宋体" w:cs="Times New Roman"/>
                <w:color w:val="000000"/>
                <w:kern w:val="0"/>
                <w:sz w:val="24"/>
                <w:szCs w:val="24"/>
                <w:highlight w:val="none"/>
                <w:lang w:val="en-US" w:eastAsia="zh-CN" w:bidi="ar"/>
              </w:rPr>
              <w:t>生活用水</w:t>
            </w:r>
          </w:p>
          <w:p w14:paraId="1A81BDE4">
            <w:pPr>
              <w:keepNext w:val="0"/>
              <w:keepLines w:val="0"/>
              <w:widowControl/>
              <w:suppressLineNumbers w:val="0"/>
              <w:spacing w:line="360" w:lineRule="auto"/>
              <w:ind w:firstLine="480" w:firstLineChars="200"/>
              <w:jc w:val="both"/>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本项目员工共</w:t>
            </w:r>
            <w:r>
              <w:rPr>
                <w:rFonts w:hint="eastAsia" w:cs="Times New Roman"/>
                <w:color w:val="000000"/>
                <w:kern w:val="0"/>
                <w:sz w:val="24"/>
                <w:szCs w:val="24"/>
                <w:highlight w:val="none"/>
                <w:lang w:val="en-US" w:eastAsia="zh-CN" w:bidi="ar"/>
              </w:rPr>
              <w:t>6</w:t>
            </w:r>
            <w:r>
              <w:rPr>
                <w:rFonts w:hint="default" w:ascii="Times New Roman" w:hAnsi="Times New Roman" w:eastAsia="宋体" w:cs="Times New Roman"/>
                <w:color w:val="000000"/>
                <w:kern w:val="0"/>
                <w:sz w:val="24"/>
                <w:szCs w:val="24"/>
                <w:highlight w:val="none"/>
                <w:lang w:val="en-US" w:eastAsia="zh-CN" w:bidi="ar"/>
              </w:rPr>
              <w:t>人，根据《新疆维吾尔自治区生活用水定额》，运营期本项目职工用水定额计为80L/人·d，则</w:t>
            </w:r>
            <w:r>
              <w:rPr>
                <w:rFonts w:hint="eastAsia" w:cs="Times New Roman"/>
                <w:color w:val="000000"/>
                <w:kern w:val="0"/>
                <w:sz w:val="24"/>
                <w:szCs w:val="24"/>
                <w:highlight w:val="none"/>
                <w:lang w:val="en-US" w:eastAsia="zh-CN" w:bidi="ar"/>
              </w:rPr>
              <w:t>生活</w:t>
            </w:r>
            <w:r>
              <w:rPr>
                <w:rFonts w:hint="default" w:ascii="Times New Roman" w:hAnsi="Times New Roman" w:eastAsia="宋体" w:cs="Times New Roman"/>
                <w:color w:val="000000"/>
                <w:kern w:val="0"/>
                <w:sz w:val="24"/>
                <w:szCs w:val="24"/>
                <w:highlight w:val="none"/>
                <w:lang w:val="en-US" w:eastAsia="zh-CN" w:bidi="ar"/>
              </w:rPr>
              <w:t>用水量为</w:t>
            </w:r>
            <w:r>
              <w:rPr>
                <w:rFonts w:hint="eastAsia" w:cs="Times New Roman"/>
                <w:color w:val="000000"/>
                <w:kern w:val="0"/>
                <w:sz w:val="24"/>
                <w:szCs w:val="24"/>
                <w:highlight w:val="none"/>
                <w:lang w:val="en-US" w:eastAsia="zh-CN" w:bidi="ar"/>
              </w:rPr>
              <w:t>0.48</w:t>
            </w:r>
            <w:r>
              <w:rPr>
                <w:rFonts w:hint="default" w:ascii="Times New Roman" w:hAnsi="Times New Roman" w:eastAsia="宋体" w:cs="Times New Roman"/>
                <w:color w:val="000000"/>
                <w:kern w:val="0"/>
                <w:sz w:val="24"/>
                <w:szCs w:val="24"/>
                <w:highlight w:val="none"/>
                <w:lang w:val="en-US" w:eastAsia="zh-CN" w:bidi="ar"/>
              </w:rPr>
              <w:t>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24"/>
                <w:szCs w:val="24"/>
                <w:highlight w:val="none"/>
                <w:lang w:val="en-US" w:eastAsia="zh-CN" w:bidi="ar"/>
              </w:rPr>
              <w:t>/d（</w:t>
            </w:r>
            <w:r>
              <w:rPr>
                <w:rFonts w:hint="eastAsia" w:cs="Times New Roman"/>
                <w:color w:val="000000"/>
                <w:kern w:val="0"/>
                <w:sz w:val="24"/>
                <w:szCs w:val="24"/>
                <w:highlight w:val="none"/>
                <w:lang w:val="en-US" w:eastAsia="zh-CN" w:bidi="ar"/>
              </w:rPr>
              <w:t>115.2</w:t>
            </w:r>
            <w:r>
              <w:rPr>
                <w:rFonts w:hint="default" w:ascii="Times New Roman" w:hAnsi="Times New Roman" w:eastAsia="宋体" w:cs="Times New Roman"/>
                <w:color w:val="000000"/>
                <w:kern w:val="0"/>
                <w:sz w:val="24"/>
                <w:szCs w:val="24"/>
                <w:highlight w:val="none"/>
                <w:lang w:val="en-US" w:eastAsia="zh-CN" w:bidi="ar"/>
              </w:rPr>
              <w:t>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24"/>
                <w:szCs w:val="24"/>
                <w:highlight w:val="none"/>
                <w:lang w:val="en-US" w:eastAsia="zh-CN" w:bidi="ar"/>
              </w:rPr>
              <w:t>/a）</w:t>
            </w:r>
          </w:p>
          <w:p w14:paraId="6ACEF6D6">
            <w:pPr>
              <w:keepNext w:val="0"/>
              <w:keepLines w:val="0"/>
              <w:widowControl/>
              <w:suppressLineNumbers w:val="0"/>
              <w:spacing w:line="360" w:lineRule="auto"/>
              <w:ind w:firstLine="480" w:firstLineChars="200"/>
              <w:jc w:val="both"/>
              <w:rPr>
                <w:rFonts w:hint="default" w:ascii="Times New Roman" w:hAnsi="Times New Roman" w:eastAsia="宋体" w:cs="Times New Roman"/>
                <w:color w:val="000000"/>
                <w:kern w:val="0"/>
                <w:sz w:val="24"/>
                <w:szCs w:val="24"/>
                <w:highlight w:val="none"/>
                <w:lang w:val="en-US" w:eastAsia="zh-CN" w:bidi="ar"/>
              </w:rPr>
            </w:pPr>
            <w:r>
              <w:rPr>
                <w:rFonts w:hint="eastAsia" w:ascii="Times New Roman" w:hAnsi="Times New Roman" w:eastAsia="宋体" w:cs="Times New Roman"/>
                <w:color w:val="000000"/>
                <w:kern w:val="0"/>
                <w:sz w:val="24"/>
                <w:szCs w:val="24"/>
                <w:highlight w:val="none"/>
                <w:lang w:val="en-US" w:eastAsia="zh-CN" w:bidi="ar"/>
              </w:rPr>
              <w:t>（2）</w:t>
            </w:r>
            <w:r>
              <w:rPr>
                <w:rFonts w:hint="default" w:ascii="Times New Roman" w:hAnsi="Times New Roman" w:eastAsia="宋体" w:cs="Times New Roman"/>
                <w:color w:val="000000"/>
                <w:kern w:val="0"/>
                <w:sz w:val="24"/>
                <w:szCs w:val="24"/>
                <w:highlight w:val="none"/>
                <w:lang w:val="en-US" w:eastAsia="zh-CN" w:bidi="ar"/>
              </w:rPr>
              <w:t>生产用水</w:t>
            </w:r>
          </w:p>
          <w:p w14:paraId="57037711">
            <w:pPr>
              <w:keepNext w:val="0"/>
              <w:keepLines w:val="0"/>
              <w:widowControl/>
              <w:numPr>
                <w:ilvl w:val="0"/>
                <w:numId w:val="0"/>
              </w:numPr>
              <w:suppressLineNumbers w:val="0"/>
              <w:spacing w:line="360" w:lineRule="auto"/>
              <w:ind w:firstLine="480" w:firstLineChars="200"/>
              <w:jc w:val="both"/>
              <w:rPr>
                <w:rFonts w:hint="eastAsia" w:ascii="Times New Roman" w:hAnsi="Times New Roman" w:eastAsia="宋体" w:cs="Times New Roman"/>
                <w:color w:val="000000"/>
                <w:kern w:val="0"/>
                <w:sz w:val="24"/>
                <w:szCs w:val="24"/>
                <w:highlight w:val="none"/>
                <w:lang w:val="en-US" w:eastAsia="zh-CN" w:bidi="ar"/>
              </w:rPr>
            </w:pPr>
            <w:r>
              <w:rPr>
                <w:rFonts w:hint="eastAsia" w:ascii="Times New Roman" w:hAnsi="Times New Roman" w:eastAsia="宋体" w:cs="Times New Roman"/>
                <w:color w:val="000000"/>
                <w:kern w:val="0"/>
                <w:sz w:val="24"/>
                <w:szCs w:val="24"/>
                <w:highlight w:val="none"/>
                <w:lang w:val="en-US" w:eastAsia="zh-CN" w:bidi="ar"/>
              </w:rPr>
              <w:t>①设备清洗水</w:t>
            </w:r>
          </w:p>
          <w:p w14:paraId="503ABE65">
            <w:pPr>
              <w:pStyle w:val="3"/>
              <w:numPr>
                <w:ilvl w:val="0"/>
                <w:numId w:val="0"/>
              </w:numPr>
              <w:spacing w:line="360" w:lineRule="auto"/>
              <w:ind w:firstLine="480" w:firstLineChars="200"/>
              <w:rPr>
                <w:rFonts w:hint="default" w:ascii="Times New Roman" w:hAnsi="Times New Roman" w:eastAsia="宋体" w:cs="Times New Roman"/>
                <w:b w:val="0"/>
                <w:bCs w:val="0"/>
                <w:color w:val="000000"/>
                <w:kern w:val="0"/>
                <w:sz w:val="24"/>
                <w:szCs w:val="24"/>
                <w:highlight w:val="none"/>
                <w:lang w:val="en-US" w:eastAsia="zh-CN" w:bidi="ar"/>
              </w:rPr>
            </w:pPr>
            <w:r>
              <w:rPr>
                <w:rFonts w:hint="eastAsia" w:cs="Times New Roman"/>
                <w:b w:val="0"/>
                <w:bCs w:val="0"/>
                <w:color w:val="000000"/>
                <w:kern w:val="0"/>
                <w:sz w:val="24"/>
                <w:szCs w:val="24"/>
                <w:highlight w:val="none"/>
                <w:lang w:val="en-US" w:eastAsia="zh-CN" w:bidi="ar"/>
              </w:rPr>
              <w:t>根据建设方提供的设计资料并结合一期项目实际运行情况，</w:t>
            </w:r>
            <w:r>
              <w:rPr>
                <w:rFonts w:hint="default" w:ascii="Times New Roman" w:hAnsi="Times New Roman" w:eastAsia="宋体" w:cs="Times New Roman"/>
                <w:b w:val="0"/>
                <w:bCs w:val="0"/>
                <w:color w:val="000000"/>
                <w:kern w:val="0"/>
                <w:sz w:val="24"/>
                <w:szCs w:val="24"/>
                <w:highlight w:val="none"/>
                <w:lang w:val="en-US" w:eastAsia="zh-CN" w:bidi="ar"/>
              </w:rPr>
              <w:t>沥青</w:t>
            </w:r>
            <w:r>
              <w:rPr>
                <w:rFonts w:hint="eastAsia" w:cs="Times New Roman"/>
                <w:b w:val="0"/>
                <w:bCs w:val="0"/>
                <w:color w:val="000000"/>
                <w:kern w:val="0"/>
                <w:sz w:val="24"/>
                <w:szCs w:val="24"/>
                <w:highlight w:val="none"/>
                <w:lang w:val="en-US" w:eastAsia="zh-CN" w:bidi="ar"/>
              </w:rPr>
              <w:t>防水卷材</w:t>
            </w:r>
            <w:r>
              <w:rPr>
                <w:rFonts w:hint="default" w:ascii="Times New Roman" w:hAnsi="Times New Roman" w:eastAsia="宋体" w:cs="Times New Roman"/>
                <w:b w:val="0"/>
                <w:bCs w:val="0"/>
                <w:color w:val="000000"/>
                <w:kern w:val="0"/>
                <w:sz w:val="24"/>
                <w:szCs w:val="24"/>
                <w:highlight w:val="none"/>
                <w:lang w:val="en-US" w:eastAsia="zh-CN" w:bidi="ar"/>
              </w:rPr>
              <w:t>生产线设备每日</w:t>
            </w:r>
            <w:r>
              <w:rPr>
                <w:rFonts w:hint="eastAsia" w:ascii="Times New Roman" w:hAnsi="Times New Roman" w:eastAsia="宋体" w:cs="Times New Roman"/>
                <w:b w:val="0"/>
                <w:bCs w:val="0"/>
                <w:color w:val="000000"/>
                <w:kern w:val="0"/>
                <w:sz w:val="24"/>
                <w:szCs w:val="24"/>
                <w:highlight w:val="none"/>
                <w:lang w:val="en-US" w:eastAsia="zh-CN" w:bidi="ar"/>
              </w:rPr>
              <w:t>清洗</w:t>
            </w:r>
            <w:r>
              <w:rPr>
                <w:rFonts w:hint="default" w:ascii="Times New Roman" w:hAnsi="Times New Roman" w:eastAsia="宋体" w:cs="Times New Roman"/>
                <w:b w:val="0"/>
                <w:bCs w:val="0"/>
                <w:color w:val="000000"/>
                <w:kern w:val="0"/>
                <w:sz w:val="24"/>
                <w:szCs w:val="24"/>
                <w:highlight w:val="none"/>
                <w:lang w:val="en-US" w:eastAsia="zh-CN" w:bidi="ar"/>
              </w:rPr>
              <w:t>1次，</w:t>
            </w:r>
            <w:r>
              <w:rPr>
                <w:rFonts w:hint="eastAsia" w:ascii="Times New Roman" w:hAnsi="Times New Roman" w:eastAsia="宋体" w:cs="Times New Roman"/>
                <w:b w:val="0"/>
                <w:bCs w:val="0"/>
                <w:color w:val="000000"/>
                <w:kern w:val="0"/>
                <w:sz w:val="24"/>
                <w:szCs w:val="24"/>
                <w:highlight w:val="none"/>
                <w:lang w:val="en-US" w:eastAsia="zh-CN" w:bidi="ar"/>
              </w:rPr>
              <w:t>清洗</w:t>
            </w:r>
            <w:r>
              <w:rPr>
                <w:rFonts w:hint="default" w:ascii="Times New Roman" w:hAnsi="Times New Roman" w:eastAsia="宋体" w:cs="Times New Roman"/>
                <w:b w:val="0"/>
                <w:bCs w:val="0"/>
                <w:color w:val="000000"/>
                <w:kern w:val="0"/>
                <w:sz w:val="24"/>
                <w:szCs w:val="24"/>
                <w:highlight w:val="none"/>
                <w:lang w:val="en-US" w:eastAsia="zh-CN" w:bidi="ar"/>
              </w:rPr>
              <w:t>水量按</w:t>
            </w:r>
            <w:r>
              <w:rPr>
                <w:rFonts w:hint="eastAsia" w:cs="Times New Roman"/>
                <w:b w:val="0"/>
                <w:bCs w:val="0"/>
                <w:color w:val="000000"/>
                <w:kern w:val="0"/>
                <w:sz w:val="24"/>
                <w:szCs w:val="24"/>
                <w:highlight w:val="none"/>
                <w:lang w:val="en-US" w:eastAsia="zh-CN" w:bidi="ar"/>
              </w:rPr>
              <w:t>1.67</w:t>
            </w:r>
            <w:r>
              <w:rPr>
                <w:rFonts w:hint="default" w:ascii="Times New Roman" w:hAnsi="Times New Roman" w:eastAsia="宋体" w:cs="Times New Roman"/>
                <w:b w:val="0"/>
                <w:bCs w:val="0"/>
                <w:color w:val="000000"/>
                <w:kern w:val="0"/>
                <w:sz w:val="24"/>
                <w:szCs w:val="24"/>
                <w:highlight w:val="none"/>
                <w:lang w:val="en-US" w:eastAsia="zh-CN" w:bidi="ar"/>
              </w:rPr>
              <w:t>m</w:t>
            </w:r>
            <w:r>
              <w:rPr>
                <w:rFonts w:hint="default" w:ascii="Times New Roman" w:hAnsi="Times New Roman" w:eastAsia="宋体" w:cs="Times New Roman"/>
                <w:b w:val="0"/>
                <w:bCs w:val="0"/>
                <w:color w:val="000000"/>
                <w:kern w:val="0"/>
                <w:sz w:val="24"/>
                <w:szCs w:val="24"/>
                <w:highlight w:val="none"/>
                <w:vertAlign w:val="superscript"/>
                <w:lang w:val="en-US" w:eastAsia="zh-CN" w:bidi="ar"/>
              </w:rPr>
              <w:t>3</w:t>
            </w:r>
            <w:r>
              <w:rPr>
                <w:rFonts w:hint="default" w:ascii="Times New Roman" w:hAnsi="Times New Roman" w:eastAsia="宋体" w:cs="Times New Roman"/>
                <w:b w:val="0"/>
                <w:bCs w:val="0"/>
                <w:color w:val="000000"/>
                <w:kern w:val="0"/>
                <w:sz w:val="24"/>
                <w:szCs w:val="24"/>
                <w:highlight w:val="none"/>
                <w:lang w:val="en-US" w:eastAsia="zh-CN" w:bidi="ar"/>
              </w:rPr>
              <w:t>/d计算，</w:t>
            </w:r>
            <w:r>
              <w:rPr>
                <w:rFonts w:hint="default" w:ascii="Times New Roman" w:hAnsi="Times New Roman" w:eastAsia="宋体" w:cs="Times New Roman"/>
                <w:b w:val="0"/>
                <w:bCs w:val="0"/>
                <w:color w:val="auto"/>
                <w:kern w:val="0"/>
                <w:sz w:val="24"/>
                <w:szCs w:val="24"/>
                <w:highlight w:val="none"/>
                <w:lang w:val="en-US" w:eastAsia="zh-CN" w:bidi="ar"/>
              </w:rPr>
              <w:t>水消耗量约为400</w:t>
            </w:r>
            <w:r>
              <w:rPr>
                <w:rFonts w:hint="eastAsia" w:cs="Times New Roman"/>
                <w:b w:val="0"/>
                <w:bCs w:val="0"/>
                <w:color w:val="auto"/>
                <w:kern w:val="0"/>
                <w:sz w:val="24"/>
                <w:szCs w:val="24"/>
                <w:highlight w:val="none"/>
                <w:lang w:val="en-US" w:eastAsia="zh-CN" w:bidi="ar"/>
              </w:rPr>
              <w:t>.8</w:t>
            </w:r>
            <w:r>
              <w:rPr>
                <w:rFonts w:hint="default" w:ascii="Times New Roman" w:hAnsi="Times New Roman" w:eastAsia="宋体" w:cs="Times New Roman"/>
                <w:b w:val="0"/>
                <w:bCs w:val="0"/>
                <w:color w:val="auto"/>
                <w:kern w:val="0"/>
                <w:sz w:val="24"/>
                <w:szCs w:val="24"/>
                <w:highlight w:val="none"/>
                <w:lang w:val="en-US" w:eastAsia="zh-CN" w:bidi="ar"/>
              </w:rPr>
              <w:t>m</w:t>
            </w:r>
            <w:r>
              <w:rPr>
                <w:rFonts w:hint="default" w:ascii="Times New Roman" w:hAnsi="Times New Roman" w:eastAsia="宋体" w:cs="Times New Roman"/>
                <w:b w:val="0"/>
                <w:bCs w:val="0"/>
                <w:color w:val="auto"/>
                <w:kern w:val="0"/>
                <w:sz w:val="24"/>
                <w:szCs w:val="24"/>
                <w:highlight w:val="none"/>
                <w:vertAlign w:val="superscript"/>
                <w:lang w:val="en-US" w:eastAsia="zh-CN" w:bidi="ar"/>
              </w:rPr>
              <w:t>3</w:t>
            </w:r>
            <w:r>
              <w:rPr>
                <w:rFonts w:hint="default" w:ascii="Times New Roman" w:hAnsi="Times New Roman" w:eastAsia="宋体" w:cs="Times New Roman"/>
                <w:b w:val="0"/>
                <w:bCs w:val="0"/>
                <w:color w:val="auto"/>
                <w:kern w:val="0"/>
                <w:sz w:val="24"/>
                <w:szCs w:val="24"/>
                <w:highlight w:val="none"/>
                <w:lang w:val="en-US" w:eastAsia="zh-CN" w:bidi="ar"/>
              </w:rPr>
              <w:t>/a；</w:t>
            </w:r>
            <w:r>
              <w:rPr>
                <w:rFonts w:hint="eastAsia" w:cs="Times New Roman"/>
                <w:b w:val="0"/>
                <w:bCs w:val="0"/>
                <w:color w:val="auto"/>
                <w:kern w:val="0"/>
                <w:sz w:val="24"/>
                <w:szCs w:val="24"/>
                <w:highlight w:val="none"/>
                <w:lang w:val="en-US" w:eastAsia="zh-CN" w:bidi="ar"/>
              </w:rPr>
              <w:t>防水</w:t>
            </w:r>
            <w:r>
              <w:rPr>
                <w:rFonts w:hint="default" w:ascii="Times New Roman" w:hAnsi="Times New Roman" w:eastAsia="宋体" w:cs="Times New Roman"/>
                <w:b w:val="0"/>
                <w:bCs w:val="0"/>
                <w:color w:val="auto"/>
                <w:kern w:val="0"/>
                <w:sz w:val="24"/>
                <w:szCs w:val="24"/>
                <w:highlight w:val="none"/>
                <w:lang w:val="en-US" w:eastAsia="zh-CN" w:bidi="ar"/>
              </w:rPr>
              <w:t>涂料生产线设备</w:t>
            </w:r>
            <w:r>
              <w:rPr>
                <w:rFonts w:hint="eastAsia" w:ascii="Times New Roman" w:hAnsi="Times New Roman" w:eastAsia="宋体" w:cs="Times New Roman"/>
                <w:b w:val="0"/>
                <w:bCs w:val="0"/>
                <w:color w:val="auto"/>
                <w:kern w:val="0"/>
                <w:sz w:val="24"/>
                <w:szCs w:val="24"/>
                <w:highlight w:val="none"/>
                <w:lang w:val="en-US" w:eastAsia="zh-CN" w:bidi="ar"/>
              </w:rPr>
              <w:t>每日清洗</w:t>
            </w:r>
            <w:r>
              <w:rPr>
                <w:rFonts w:hint="default" w:ascii="Times New Roman" w:hAnsi="Times New Roman" w:eastAsia="宋体" w:cs="Times New Roman"/>
                <w:b w:val="0"/>
                <w:bCs w:val="0"/>
                <w:color w:val="auto"/>
                <w:kern w:val="0"/>
                <w:sz w:val="24"/>
                <w:szCs w:val="24"/>
                <w:highlight w:val="none"/>
                <w:lang w:val="en-US" w:eastAsia="zh-CN" w:bidi="ar"/>
              </w:rPr>
              <w:t>1次，</w:t>
            </w:r>
            <w:r>
              <w:rPr>
                <w:rFonts w:hint="eastAsia" w:ascii="Times New Roman" w:hAnsi="Times New Roman" w:eastAsia="宋体" w:cs="Times New Roman"/>
                <w:b w:val="0"/>
                <w:bCs w:val="0"/>
                <w:color w:val="auto"/>
                <w:kern w:val="0"/>
                <w:sz w:val="24"/>
                <w:szCs w:val="24"/>
                <w:highlight w:val="none"/>
                <w:lang w:val="en-US" w:eastAsia="zh-CN" w:bidi="ar"/>
              </w:rPr>
              <w:t>清洗</w:t>
            </w:r>
            <w:r>
              <w:rPr>
                <w:rFonts w:hint="default" w:ascii="Times New Roman" w:hAnsi="Times New Roman" w:eastAsia="宋体" w:cs="Times New Roman"/>
                <w:b w:val="0"/>
                <w:bCs w:val="0"/>
                <w:color w:val="auto"/>
                <w:kern w:val="0"/>
                <w:sz w:val="24"/>
                <w:szCs w:val="24"/>
                <w:highlight w:val="none"/>
                <w:lang w:val="en-US" w:eastAsia="zh-CN" w:bidi="ar"/>
              </w:rPr>
              <w:t>水量按</w:t>
            </w:r>
            <w:r>
              <w:rPr>
                <w:rFonts w:hint="eastAsia" w:cs="Times New Roman"/>
                <w:b w:val="0"/>
                <w:bCs w:val="0"/>
                <w:color w:val="auto"/>
                <w:kern w:val="0"/>
                <w:sz w:val="24"/>
                <w:szCs w:val="24"/>
                <w:highlight w:val="none"/>
                <w:lang w:val="en-US" w:eastAsia="zh-CN" w:bidi="ar"/>
              </w:rPr>
              <w:t>0.83</w:t>
            </w:r>
            <w:r>
              <w:rPr>
                <w:rFonts w:hint="default" w:ascii="Times New Roman" w:hAnsi="Times New Roman" w:eastAsia="宋体" w:cs="Times New Roman"/>
                <w:b w:val="0"/>
                <w:bCs w:val="0"/>
                <w:color w:val="auto"/>
                <w:kern w:val="0"/>
                <w:sz w:val="24"/>
                <w:szCs w:val="24"/>
                <w:highlight w:val="none"/>
                <w:lang w:val="en-US" w:eastAsia="zh-CN" w:bidi="ar"/>
              </w:rPr>
              <w:t>m</w:t>
            </w:r>
            <w:r>
              <w:rPr>
                <w:rFonts w:hint="default" w:ascii="Times New Roman" w:hAnsi="Times New Roman" w:eastAsia="宋体" w:cs="Times New Roman"/>
                <w:b w:val="0"/>
                <w:bCs w:val="0"/>
                <w:color w:val="auto"/>
                <w:kern w:val="0"/>
                <w:sz w:val="24"/>
                <w:szCs w:val="24"/>
                <w:highlight w:val="none"/>
                <w:vertAlign w:val="superscript"/>
                <w:lang w:val="en-US" w:eastAsia="zh-CN" w:bidi="ar"/>
              </w:rPr>
              <w:t>3</w:t>
            </w:r>
            <w:r>
              <w:rPr>
                <w:rFonts w:hint="default" w:ascii="Times New Roman" w:hAnsi="Times New Roman" w:eastAsia="宋体" w:cs="Times New Roman"/>
                <w:b w:val="0"/>
                <w:bCs w:val="0"/>
                <w:color w:val="auto"/>
                <w:kern w:val="0"/>
                <w:sz w:val="24"/>
                <w:szCs w:val="24"/>
                <w:highlight w:val="none"/>
                <w:lang w:val="en-US" w:eastAsia="zh-CN" w:bidi="ar"/>
              </w:rPr>
              <w:t>/</w:t>
            </w:r>
            <w:r>
              <w:rPr>
                <w:rFonts w:hint="default" w:ascii="Times New Roman" w:hAnsi="Times New Roman" w:eastAsia="宋体" w:cs="Times New Roman"/>
                <w:b w:val="0"/>
                <w:bCs w:val="0"/>
                <w:color w:val="000000"/>
                <w:kern w:val="0"/>
                <w:sz w:val="24"/>
                <w:szCs w:val="24"/>
                <w:highlight w:val="none"/>
                <w:lang w:val="en-US" w:eastAsia="zh-CN" w:bidi="ar"/>
              </w:rPr>
              <w:t>d计算，水消耗量约为200m</w:t>
            </w:r>
            <w:r>
              <w:rPr>
                <w:rFonts w:hint="default" w:ascii="Times New Roman" w:hAnsi="Times New Roman" w:eastAsia="宋体" w:cs="Times New Roman"/>
                <w:b w:val="0"/>
                <w:bCs w:val="0"/>
                <w:color w:val="000000"/>
                <w:kern w:val="0"/>
                <w:sz w:val="24"/>
                <w:szCs w:val="24"/>
                <w:highlight w:val="none"/>
                <w:vertAlign w:val="superscript"/>
                <w:lang w:val="en-US" w:eastAsia="zh-CN" w:bidi="ar"/>
              </w:rPr>
              <w:t>3</w:t>
            </w:r>
            <w:r>
              <w:rPr>
                <w:rFonts w:hint="default" w:ascii="Times New Roman" w:hAnsi="Times New Roman" w:eastAsia="宋体" w:cs="Times New Roman"/>
                <w:b w:val="0"/>
                <w:bCs w:val="0"/>
                <w:color w:val="000000"/>
                <w:kern w:val="0"/>
                <w:sz w:val="24"/>
                <w:szCs w:val="24"/>
                <w:highlight w:val="none"/>
                <w:lang w:val="en-US" w:eastAsia="zh-CN" w:bidi="ar"/>
              </w:rPr>
              <w:t>/a，则总</w:t>
            </w:r>
            <w:r>
              <w:rPr>
                <w:rFonts w:hint="eastAsia" w:ascii="Times New Roman" w:hAnsi="Times New Roman" w:eastAsia="宋体" w:cs="Times New Roman"/>
                <w:b w:val="0"/>
                <w:bCs w:val="0"/>
                <w:color w:val="000000"/>
                <w:kern w:val="0"/>
                <w:sz w:val="24"/>
                <w:szCs w:val="24"/>
                <w:highlight w:val="none"/>
                <w:lang w:val="en-US" w:eastAsia="zh-CN" w:bidi="ar"/>
              </w:rPr>
              <w:t>清洗</w:t>
            </w:r>
            <w:r>
              <w:rPr>
                <w:rFonts w:hint="default" w:ascii="Times New Roman" w:hAnsi="Times New Roman" w:eastAsia="宋体" w:cs="Times New Roman"/>
                <w:b w:val="0"/>
                <w:bCs w:val="0"/>
                <w:color w:val="000000"/>
                <w:kern w:val="0"/>
                <w:sz w:val="24"/>
                <w:szCs w:val="24"/>
                <w:highlight w:val="none"/>
                <w:lang w:val="en-US" w:eastAsia="zh-CN" w:bidi="ar"/>
              </w:rPr>
              <w:t>水量消耗约为600m</w:t>
            </w:r>
            <w:r>
              <w:rPr>
                <w:rFonts w:hint="default" w:ascii="Times New Roman" w:hAnsi="Times New Roman" w:eastAsia="宋体" w:cs="Times New Roman"/>
                <w:b w:val="0"/>
                <w:bCs w:val="0"/>
                <w:color w:val="000000"/>
                <w:kern w:val="0"/>
                <w:sz w:val="24"/>
                <w:szCs w:val="24"/>
                <w:highlight w:val="none"/>
                <w:vertAlign w:val="superscript"/>
                <w:lang w:val="en-US" w:eastAsia="zh-CN" w:bidi="ar"/>
              </w:rPr>
              <w:t>3</w:t>
            </w:r>
            <w:r>
              <w:rPr>
                <w:rFonts w:hint="default" w:ascii="Times New Roman" w:hAnsi="Times New Roman" w:eastAsia="宋体" w:cs="Times New Roman"/>
                <w:b w:val="0"/>
                <w:bCs w:val="0"/>
                <w:color w:val="000000"/>
                <w:kern w:val="0"/>
                <w:sz w:val="24"/>
                <w:szCs w:val="24"/>
                <w:highlight w:val="none"/>
                <w:lang w:val="en-US" w:eastAsia="zh-CN" w:bidi="ar"/>
              </w:rPr>
              <w:t>/a。</w:t>
            </w:r>
          </w:p>
          <w:p w14:paraId="01839037">
            <w:pPr>
              <w:spacing w:line="360" w:lineRule="auto"/>
              <w:ind w:firstLine="480" w:firstLineChars="200"/>
              <w:rPr>
                <w:rFonts w:hint="default"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②冷却水</w:t>
            </w:r>
          </w:p>
          <w:p w14:paraId="43BAF5AB">
            <w:pPr>
              <w:keepNext w:val="0"/>
              <w:keepLines w:val="0"/>
              <w:widowControl/>
              <w:suppressLineNumbers w:val="0"/>
              <w:spacing w:line="360" w:lineRule="auto"/>
              <w:ind w:firstLine="480" w:firstLineChars="200"/>
              <w:jc w:val="both"/>
              <w:rPr>
                <w:rFonts w:hint="eastAsia"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防水卷材生产中需要用水对卷材进行冷却</w:t>
            </w:r>
            <w:r>
              <w:rPr>
                <w:rFonts w:hint="eastAsia" w:ascii="Times New Roman" w:hAnsi="Times New Roman" w:eastAsia="宋体" w:cs="Times New Roman"/>
                <w:color w:val="000000"/>
                <w:kern w:val="0"/>
                <w:sz w:val="24"/>
                <w:szCs w:val="24"/>
                <w:highlight w:val="none"/>
                <w:lang w:val="en-US" w:eastAsia="zh-CN" w:bidi="ar"/>
              </w:rPr>
              <w:t>，因蒸发损失和风吹损失，需要定期添加水量。根据企业资料，冷却循环水量约</w:t>
            </w:r>
            <w:r>
              <w:rPr>
                <w:rFonts w:hint="eastAsia" w:cs="Times New Roman"/>
                <w:color w:val="000000"/>
                <w:kern w:val="0"/>
                <w:sz w:val="24"/>
                <w:szCs w:val="24"/>
                <w:highlight w:val="none"/>
                <w:lang w:val="en-US" w:eastAsia="zh-CN" w:bidi="ar"/>
              </w:rPr>
              <w:t>6.66</w:t>
            </w:r>
            <w:r>
              <w:rPr>
                <w:rFonts w:hint="eastAsia" w:ascii="Times New Roman" w:hAnsi="Times New Roman" w:eastAsia="宋体" w:cs="Times New Roman"/>
                <w:color w:val="000000"/>
                <w:kern w:val="0"/>
                <w:sz w:val="24"/>
                <w:szCs w:val="24"/>
                <w:highlight w:val="none"/>
                <w:lang w:val="en-US" w:eastAsia="zh-CN" w:bidi="ar"/>
              </w:rPr>
              <w:t>t/h，每天循环24h，每年工作2</w:t>
            </w:r>
            <w:r>
              <w:rPr>
                <w:rFonts w:hint="eastAsia" w:cs="Times New Roman"/>
                <w:color w:val="000000"/>
                <w:kern w:val="0"/>
                <w:sz w:val="24"/>
                <w:szCs w:val="24"/>
                <w:highlight w:val="none"/>
                <w:lang w:val="en-US" w:eastAsia="zh-CN" w:bidi="ar"/>
              </w:rPr>
              <w:t>4</w:t>
            </w:r>
            <w:r>
              <w:rPr>
                <w:rFonts w:hint="eastAsia" w:ascii="Times New Roman" w:hAnsi="Times New Roman" w:eastAsia="宋体" w:cs="Times New Roman"/>
                <w:color w:val="000000"/>
                <w:kern w:val="0"/>
                <w:sz w:val="24"/>
                <w:szCs w:val="24"/>
                <w:highlight w:val="none"/>
                <w:lang w:val="en-US" w:eastAsia="zh-CN" w:bidi="ar"/>
              </w:rPr>
              <w:t>0天，则全年冷却水循环量为38</w:t>
            </w:r>
            <w:r>
              <w:rPr>
                <w:rFonts w:hint="eastAsia" w:cs="Times New Roman"/>
                <w:color w:val="000000"/>
                <w:kern w:val="0"/>
                <w:sz w:val="24"/>
                <w:szCs w:val="24"/>
                <w:highlight w:val="none"/>
                <w:lang w:val="en-US" w:eastAsia="zh-CN" w:bidi="ar"/>
              </w:rPr>
              <w:t>361.6</w:t>
            </w:r>
            <w:r>
              <w:rPr>
                <w:rFonts w:hint="eastAsia" w:ascii="Times New Roman" w:hAnsi="Times New Roman" w:eastAsia="宋体" w:cs="Times New Roman"/>
                <w:color w:val="000000"/>
                <w:kern w:val="0"/>
                <w:sz w:val="24"/>
                <w:szCs w:val="24"/>
                <w:highlight w:val="none"/>
                <w:lang w:val="en-US" w:eastAsia="zh-CN" w:bidi="ar"/>
              </w:rPr>
              <w:t>t/a。根据《工业循环水冷却设计规范》（GB/T 50102-20</w:t>
            </w:r>
            <w:r>
              <w:rPr>
                <w:rFonts w:hint="eastAsia" w:cs="Times New Roman"/>
                <w:color w:val="000000"/>
                <w:kern w:val="0"/>
                <w:sz w:val="24"/>
                <w:szCs w:val="24"/>
                <w:highlight w:val="none"/>
                <w:lang w:val="en-US" w:eastAsia="zh-CN" w:bidi="ar"/>
              </w:rPr>
              <w:t>14</w:t>
            </w:r>
            <w:r>
              <w:rPr>
                <w:rFonts w:hint="eastAsia" w:ascii="Times New Roman" w:hAnsi="Times New Roman" w:eastAsia="宋体" w:cs="Times New Roman"/>
                <w:color w:val="000000"/>
                <w:kern w:val="0"/>
                <w:sz w:val="24"/>
                <w:szCs w:val="24"/>
                <w:highlight w:val="none"/>
                <w:lang w:val="en-US" w:eastAsia="zh-CN" w:bidi="ar"/>
              </w:rPr>
              <w:t>），循环冷却水损失量占循环水量的1.5-3%，本项目取2.5%，则循环冷却水补充量为9</w:t>
            </w:r>
            <w:r>
              <w:rPr>
                <w:rFonts w:hint="eastAsia" w:cs="Times New Roman"/>
                <w:color w:val="000000"/>
                <w:kern w:val="0"/>
                <w:sz w:val="24"/>
                <w:szCs w:val="24"/>
                <w:highlight w:val="none"/>
                <w:lang w:val="en-US" w:eastAsia="zh-CN" w:bidi="ar"/>
              </w:rPr>
              <w:t>59</w:t>
            </w:r>
            <w:r>
              <w:rPr>
                <w:rFonts w:hint="eastAsia" w:ascii="Times New Roman" w:hAnsi="Times New Roman" w:eastAsia="宋体" w:cs="Times New Roman"/>
                <w:color w:val="000000"/>
                <w:kern w:val="0"/>
                <w:sz w:val="24"/>
                <w:szCs w:val="24"/>
                <w:highlight w:val="none"/>
                <w:lang w:val="en-US" w:eastAsia="zh-CN" w:bidi="ar"/>
              </w:rPr>
              <w:t>t/a。</w:t>
            </w:r>
          </w:p>
          <w:p w14:paraId="566B8AEF">
            <w:pPr>
              <w:keepNext w:val="0"/>
              <w:keepLines w:val="0"/>
              <w:widowControl/>
              <w:suppressLineNumbers w:val="0"/>
              <w:spacing w:line="360" w:lineRule="auto"/>
              <w:ind w:firstLine="480" w:firstLineChars="200"/>
              <w:jc w:val="both"/>
              <w:rPr>
                <w:rFonts w:hint="eastAsia" w:cs="Times New Roman"/>
                <w:color w:val="000000"/>
                <w:kern w:val="0"/>
                <w:sz w:val="24"/>
                <w:szCs w:val="24"/>
                <w:highlight w:val="none"/>
                <w:lang w:val="en-US" w:eastAsia="zh-CN" w:bidi="ar"/>
              </w:rPr>
            </w:pPr>
            <w:r>
              <w:rPr>
                <w:rFonts w:hint="eastAsia" w:cs="Times New Roman"/>
                <w:color w:val="000000"/>
                <w:kern w:val="0"/>
                <w:sz w:val="24"/>
                <w:szCs w:val="24"/>
                <w:highlight w:val="none"/>
                <w:lang w:val="en-US" w:eastAsia="zh-CN" w:bidi="ar"/>
              </w:rPr>
              <w:t>③防水涂料用水</w:t>
            </w:r>
          </w:p>
          <w:p w14:paraId="006DF990">
            <w:pPr>
              <w:keepNext w:val="0"/>
              <w:keepLines w:val="0"/>
              <w:widowControl/>
              <w:suppressLineNumbers w:val="0"/>
              <w:spacing w:line="360" w:lineRule="auto"/>
              <w:ind w:firstLine="480" w:firstLineChars="200"/>
              <w:jc w:val="both"/>
              <w:rPr>
                <w:rFonts w:hint="eastAsia" w:cs="Times New Roman"/>
                <w:color w:val="000000"/>
                <w:kern w:val="0"/>
                <w:sz w:val="24"/>
                <w:szCs w:val="24"/>
                <w:highlight w:val="none"/>
                <w:lang w:val="en-US" w:eastAsia="zh-CN" w:bidi="ar"/>
              </w:rPr>
            </w:pPr>
            <w:r>
              <w:rPr>
                <w:rFonts w:hint="eastAsia" w:cs="Times New Roman"/>
                <w:color w:val="000000"/>
                <w:kern w:val="0"/>
                <w:sz w:val="24"/>
                <w:szCs w:val="24"/>
                <w:highlight w:val="none"/>
                <w:lang w:val="en-US" w:eastAsia="zh-CN" w:bidi="ar"/>
              </w:rPr>
              <w:t>防水涂料在生产过程中需用水溶解辅料及添加剂，根据业主提供的资料，在防水涂料生产中用水约为200t/a，全部进入产品，不外排。</w:t>
            </w:r>
          </w:p>
          <w:p w14:paraId="72F4D2EC">
            <w:pPr>
              <w:pStyle w:val="8"/>
              <w:ind w:left="0" w:leftChars="0" w:firstLine="480" w:firstLineChars="200"/>
              <w:rPr>
                <w:rFonts w:hint="eastAsia" w:cs="Times New Roman"/>
                <w:color w:val="000000"/>
                <w:kern w:val="0"/>
                <w:sz w:val="24"/>
                <w:szCs w:val="24"/>
                <w:highlight w:val="none"/>
                <w:lang w:val="en-US" w:eastAsia="zh-CN" w:bidi="ar"/>
              </w:rPr>
            </w:pPr>
            <w:r>
              <w:rPr>
                <w:rFonts w:hint="eastAsia" w:cs="Times New Roman"/>
                <w:color w:val="000000"/>
                <w:kern w:val="0"/>
                <w:sz w:val="24"/>
                <w:szCs w:val="24"/>
                <w:highlight w:val="none"/>
                <w:lang w:val="en-US" w:eastAsia="zh-CN" w:bidi="ar"/>
              </w:rPr>
              <w:t>④废气处理设施用水</w:t>
            </w:r>
          </w:p>
          <w:p w14:paraId="1F4B6E6E">
            <w:pPr>
              <w:keepNext w:val="0"/>
              <w:keepLines w:val="0"/>
              <w:widowControl/>
              <w:suppressLineNumbers w:val="0"/>
              <w:spacing w:line="360" w:lineRule="auto"/>
              <w:ind w:firstLine="480" w:firstLineChars="200"/>
              <w:jc w:val="both"/>
              <w:rPr>
                <w:rFonts w:hint="eastAsia" w:ascii="Times New Roman" w:hAnsi="Times New Roman" w:eastAsia="宋体" w:cs="Times New Roman"/>
                <w:color w:val="000000"/>
                <w:kern w:val="0"/>
                <w:sz w:val="24"/>
                <w:szCs w:val="24"/>
                <w:highlight w:val="none"/>
                <w:lang w:val="en-US" w:eastAsia="zh-CN" w:bidi="ar"/>
              </w:rPr>
            </w:pPr>
            <w:r>
              <w:rPr>
                <w:rFonts w:hint="eastAsia" w:ascii="Times New Roman" w:hAnsi="Times New Roman" w:eastAsia="宋体" w:cs="Times New Roman"/>
                <w:color w:val="000000"/>
                <w:kern w:val="0"/>
                <w:sz w:val="24"/>
                <w:szCs w:val="24"/>
                <w:highlight w:val="none"/>
                <w:lang w:val="en-US" w:eastAsia="zh-CN" w:bidi="ar"/>
              </w:rPr>
              <w:t>本项目生产线产生的废气采用水喷淋+</w:t>
            </w:r>
            <w:r>
              <w:rPr>
                <w:rFonts w:hint="eastAsia" w:cs="Times New Roman"/>
                <w:color w:val="000000"/>
                <w:kern w:val="0"/>
                <w:sz w:val="24"/>
                <w:szCs w:val="24"/>
                <w:highlight w:val="none"/>
                <w:lang w:val="en-US" w:eastAsia="zh-CN" w:bidi="ar"/>
              </w:rPr>
              <w:t>电捕焦油器</w:t>
            </w:r>
            <w:r>
              <w:rPr>
                <w:rFonts w:hint="eastAsia" w:ascii="Times New Roman" w:hAnsi="Times New Roman" w:eastAsia="宋体" w:cs="Times New Roman"/>
                <w:color w:val="000000"/>
                <w:kern w:val="0"/>
                <w:sz w:val="24"/>
                <w:szCs w:val="24"/>
                <w:highlight w:val="none"/>
                <w:lang w:val="en-US" w:eastAsia="zh-CN" w:bidi="ar"/>
              </w:rPr>
              <w:t>+活性炭吸附工艺处理，废气处理设施排水经隔油沉淀池收集，油水分离处理后循环使用不外排，废气处理水循环利用过程中会出现损耗，根据企业提供资料废气处理所需用水循环量约7.5t/h，年循环量</w:t>
            </w:r>
            <w:r>
              <w:rPr>
                <w:rFonts w:hint="eastAsia" w:cs="Times New Roman"/>
                <w:color w:val="000000"/>
                <w:kern w:val="0"/>
                <w:sz w:val="24"/>
                <w:szCs w:val="24"/>
                <w:highlight w:val="none"/>
                <w:lang w:val="en-US" w:eastAsia="zh-CN" w:bidi="ar"/>
              </w:rPr>
              <w:t>28800</w:t>
            </w:r>
            <w:r>
              <w:rPr>
                <w:rFonts w:hint="eastAsia" w:ascii="Times New Roman" w:hAnsi="Times New Roman" w:eastAsia="宋体" w:cs="Times New Roman"/>
                <w:color w:val="000000"/>
                <w:kern w:val="0"/>
                <w:sz w:val="24"/>
                <w:szCs w:val="24"/>
                <w:highlight w:val="none"/>
                <w:lang w:val="en-US" w:eastAsia="zh-CN" w:bidi="ar"/>
              </w:rPr>
              <w:t>t/a，年补充量为</w:t>
            </w:r>
            <w:r>
              <w:rPr>
                <w:rFonts w:hint="eastAsia" w:cs="Times New Roman"/>
                <w:color w:val="000000"/>
                <w:kern w:val="0"/>
                <w:sz w:val="24"/>
                <w:szCs w:val="24"/>
                <w:highlight w:val="none"/>
                <w:lang w:val="en-US" w:eastAsia="zh-CN" w:bidi="ar"/>
              </w:rPr>
              <w:t>72</w:t>
            </w:r>
            <w:r>
              <w:rPr>
                <w:rFonts w:hint="eastAsia" w:ascii="Times New Roman" w:hAnsi="Times New Roman" w:eastAsia="宋体" w:cs="Times New Roman"/>
                <w:color w:val="000000"/>
                <w:kern w:val="0"/>
                <w:sz w:val="24"/>
                <w:szCs w:val="24"/>
                <w:highlight w:val="none"/>
                <w:lang w:val="en-US" w:eastAsia="zh-CN" w:bidi="ar"/>
              </w:rPr>
              <w:t>0t/a。</w:t>
            </w:r>
          </w:p>
          <w:p w14:paraId="40096C32">
            <w:pPr>
              <w:numPr>
                <w:ilvl w:val="0"/>
                <w:numId w:val="0"/>
              </w:numPr>
              <w:adjustRightInd w:val="0"/>
              <w:snapToGrid w:val="0"/>
              <w:spacing w:line="360" w:lineRule="auto"/>
              <w:jc w:val="both"/>
              <w:rPr>
                <w:rFonts w:hint="default" w:ascii="Times New Roman" w:hAnsi="Times New Roman" w:eastAsia="宋体" w:cs="Times New Roman"/>
                <w:color w:val="000000"/>
                <w:kern w:val="0"/>
                <w:sz w:val="24"/>
                <w:szCs w:val="24"/>
                <w:highlight w:val="none"/>
                <w:lang w:val="en-US" w:eastAsia="zh-CN" w:bidi="ar"/>
              </w:rPr>
            </w:pPr>
            <w:r>
              <w:rPr>
                <w:rFonts w:hint="eastAsia" w:cs="Times New Roman"/>
                <w:b/>
                <w:bCs/>
                <w:sz w:val="24"/>
                <w:szCs w:val="24"/>
                <w:highlight w:val="none"/>
                <w:lang w:val="en-US" w:eastAsia="zh-CN"/>
              </w:rPr>
              <w:t>8</w:t>
            </w:r>
            <w:r>
              <w:rPr>
                <w:rFonts w:hint="default" w:ascii="Times New Roman" w:hAnsi="Times New Roman" w:eastAsia="宋体" w:cs="Times New Roman"/>
                <w:b/>
                <w:bCs/>
                <w:sz w:val="24"/>
                <w:szCs w:val="24"/>
                <w:highlight w:val="none"/>
                <w:lang w:val="en-US" w:eastAsia="zh-CN"/>
              </w:rPr>
              <w:t>.2 排水</w:t>
            </w:r>
          </w:p>
          <w:p w14:paraId="65E6624E">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本项目废水主要生产废水和生活污水。生产废水主要包括生产过程的冷却水</w:t>
            </w:r>
            <w:r>
              <w:rPr>
                <w:rFonts w:hint="eastAsia" w:cs="Times New Roman"/>
                <w:b w:val="0"/>
                <w:bCs w:val="0"/>
                <w:snapToGrid w:val="0"/>
                <w:color w:val="000000"/>
                <w:kern w:val="0"/>
                <w:sz w:val="24"/>
                <w:szCs w:val="24"/>
                <w:highlight w:val="none"/>
                <w:lang w:val="en-US" w:eastAsia="zh-CN" w:bidi="ar-SA"/>
              </w:rPr>
              <w:t>和</w:t>
            </w:r>
            <w:r>
              <w:rPr>
                <w:rFonts w:hint="default" w:ascii="Times New Roman" w:hAnsi="Times New Roman" w:eastAsia="宋体" w:cs="Times New Roman"/>
                <w:b w:val="0"/>
                <w:bCs w:val="0"/>
                <w:snapToGrid w:val="0"/>
                <w:color w:val="000000"/>
                <w:kern w:val="0"/>
                <w:sz w:val="24"/>
                <w:szCs w:val="24"/>
                <w:highlight w:val="none"/>
                <w:lang w:val="en-US" w:eastAsia="zh-CN" w:bidi="ar-SA"/>
              </w:rPr>
              <w:t>设备</w:t>
            </w:r>
            <w:r>
              <w:rPr>
                <w:rFonts w:hint="eastAsia" w:ascii="Times New Roman" w:hAnsi="Times New Roman" w:eastAsia="宋体" w:cs="Times New Roman"/>
                <w:b w:val="0"/>
                <w:bCs w:val="0"/>
                <w:snapToGrid w:val="0"/>
                <w:color w:val="000000"/>
                <w:kern w:val="0"/>
                <w:sz w:val="24"/>
                <w:szCs w:val="24"/>
                <w:highlight w:val="none"/>
                <w:lang w:val="en-US" w:eastAsia="zh-CN" w:bidi="ar-SA"/>
              </w:rPr>
              <w:t>清洗</w:t>
            </w:r>
            <w:r>
              <w:rPr>
                <w:rFonts w:hint="default" w:ascii="Times New Roman" w:hAnsi="Times New Roman" w:eastAsia="宋体" w:cs="Times New Roman"/>
                <w:b w:val="0"/>
                <w:bCs w:val="0"/>
                <w:snapToGrid w:val="0"/>
                <w:color w:val="000000"/>
                <w:kern w:val="0"/>
                <w:sz w:val="24"/>
                <w:szCs w:val="24"/>
                <w:highlight w:val="none"/>
                <w:lang w:val="en-US" w:eastAsia="zh-CN" w:bidi="ar-SA"/>
              </w:rPr>
              <w:t>废水。</w:t>
            </w:r>
          </w:p>
          <w:p w14:paraId="0A32F828">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1</w:t>
            </w:r>
            <w:r>
              <w:rPr>
                <w:rFonts w:hint="default" w:ascii="Times New Roman" w:hAnsi="Times New Roman" w:eastAsia="宋体"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生产废水</w:t>
            </w:r>
          </w:p>
          <w:p w14:paraId="42537061">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①设备清洗</w:t>
            </w:r>
            <w:r>
              <w:rPr>
                <w:rFonts w:hint="default" w:ascii="Times New Roman" w:hAnsi="Times New Roman" w:eastAsia="宋体" w:cs="Times New Roman"/>
                <w:b w:val="0"/>
                <w:bCs w:val="0"/>
                <w:snapToGrid w:val="0"/>
                <w:color w:val="000000"/>
                <w:kern w:val="0"/>
                <w:sz w:val="24"/>
                <w:szCs w:val="24"/>
                <w:highlight w:val="none"/>
                <w:lang w:val="en-US" w:eastAsia="zh-CN" w:bidi="ar-SA"/>
              </w:rPr>
              <w:t>废水</w:t>
            </w:r>
          </w:p>
          <w:p w14:paraId="54F2A17E">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设备清洗</w:t>
            </w:r>
            <w:r>
              <w:rPr>
                <w:rFonts w:hint="default" w:ascii="Times New Roman" w:hAnsi="Times New Roman" w:eastAsia="宋体" w:cs="Times New Roman"/>
                <w:b w:val="0"/>
                <w:bCs w:val="0"/>
                <w:snapToGrid w:val="0"/>
                <w:color w:val="000000"/>
                <w:kern w:val="0"/>
                <w:sz w:val="24"/>
                <w:szCs w:val="24"/>
                <w:highlight w:val="none"/>
                <w:lang w:val="en-US" w:eastAsia="zh-CN" w:bidi="ar-SA"/>
              </w:rPr>
              <w:t>废水按用水的90%计，则</w:t>
            </w:r>
            <w:r>
              <w:rPr>
                <w:rFonts w:hint="eastAsia" w:ascii="Times New Roman" w:hAnsi="Times New Roman" w:eastAsia="宋体" w:cs="Times New Roman"/>
                <w:b w:val="0"/>
                <w:bCs w:val="0"/>
                <w:snapToGrid w:val="0"/>
                <w:color w:val="000000"/>
                <w:kern w:val="0"/>
                <w:sz w:val="24"/>
                <w:szCs w:val="24"/>
                <w:highlight w:val="none"/>
                <w:lang w:val="en-US" w:eastAsia="zh-CN" w:bidi="ar-SA"/>
              </w:rPr>
              <w:t>设备清洗</w:t>
            </w:r>
            <w:r>
              <w:rPr>
                <w:rFonts w:hint="default" w:ascii="Times New Roman" w:hAnsi="Times New Roman" w:eastAsia="宋体" w:cs="Times New Roman"/>
                <w:b w:val="0"/>
                <w:bCs w:val="0"/>
                <w:snapToGrid w:val="0"/>
                <w:color w:val="000000"/>
                <w:kern w:val="0"/>
                <w:sz w:val="24"/>
                <w:szCs w:val="24"/>
                <w:highlight w:val="none"/>
                <w:lang w:val="en-US" w:eastAsia="zh-CN" w:bidi="ar-SA"/>
              </w:rPr>
              <w:t>废水量为</w:t>
            </w:r>
            <w:r>
              <w:rPr>
                <w:rFonts w:hint="eastAsia" w:ascii="Times New Roman" w:hAnsi="Times New Roman" w:eastAsia="宋体" w:cs="Times New Roman"/>
                <w:b w:val="0"/>
                <w:bCs w:val="0"/>
                <w:snapToGrid w:val="0"/>
                <w:color w:val="000000"/>
                <w:kern w:val="0"/>
                <w:sz w:val="24"/>
                <w:szCs w:val="24"/>
                <w:highlight w:val="none"/>
                <w:lang w:val="en-US" w:eastAsia="zh-CN" w:bidi="ar-SA"/>
              </w:rPr>
              <w:t>540</w:t>
            </w:r>
            <w:r>
              <w:rPr>
                <w:rFonts w:hint="default" w:ascii="Times New Roman" w:hAnsi="Times New Roman" w:eastAsia="宋体" w:cs="Times New Roman"/>
                <w:b w:val="0"/>
                <w:bCs w:val="0"/>
                <w:snapToGrid w:val="0"/>
                <w:color w:val="000000"/>
                <w:kern w:val="0"/>
                <w:sz w:val="24"/>
                <w:szCs w:val="24"/>
                <w:highlight w:val="none"/>
                <w:lang w:val="en-US" w:eastAsia="zh-CN" w:bidi="ar-SA"/>
              </w:rPr>
              <w:t>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/a，经</w:t>
            </w:r>
            <w:r>
              <w:rPr>
                <w:rFonts w:hint="eastAsia" w:ascii="Times New Roman" w:hAnsi="Times New Roman" w:eastAsia="宋体" w:cs="Times New Roman"/>
                <w:b w:val="0"/>
                <w:bCs w:val="0"/>
                <w:snapToGrid w:val="0"/>
                <w:color w:val="000000"/>
                <w:kern w:val="0"/>
                <w:sz w:val="24"/>
                <w:szCs w:val="24"/>
                <w:highlight w:val="none"/>
                <w:lang w:val="en-US" w:eastAsia="zh-CN" w:bidi="ar-SA"/>
              </w:rPr>
              <w:t>隔油沉淀池</w:t>
            </w:r>
            <w:r>
              <w:rPr>
                <w:rFonts w:hint="default" w:ascii="Times New Roman" w:hAnsi="Times New Roman" w:eastAsia="宋体" w:cs="Times New Roman"/>
                <w:b w:val="0"/>
                <w:bCs w:val="0"/>
                <w:snapToGrid w:val="0"/>
                <w:color w:val="000000"/>
                <w:kern w:val="0"/>
                <w:sz w:val="24"/>
                <w:szCs w:val="24"/>
                <w:highlight w:val="none"/>
                <w:lang w:val="en-US" w:eastAsia="zh-CN" w:bidi="ar-SA"/>
              </w:rPr>
              <w:t>收集沉淀后循环使用，不外排。</w:t>
            </w:r>
          </w:p>
          <w:p w14:paraId="60E7A6C6">
            <w:pPr>
              <w:pStyle w:val="3"/>
              <w:numPr>
                <w:ilvl w:val="0"/>
                <w:numId w:val="0"/>
              </w:numPr>
              <w:spacing w:line="360" w:lineRule="auto"/>
              <w:ind w:firstLine="480" w:firstLineChars="20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②冷却水</w:t>
            </w:r>
          </w:p>
          <w:p w14:paraId="1EE929D6">
            <w:pPr>
              <w:pStyle w:val="3"/>
              <w:numPr>
                <w:ilvl w:val="0"/>
                <w:numId w:val="0"/>
              </w:numPr>
              <w:spacing w:line="360" w:lineRule="auto"/>
              <w:ind w:firstLine="480" w:firstLineChars="20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冷却水循环使用不外排，车间建有冷却水床循环收集冷却循环用水。</w:t>
            </w:r>
          </w:p>
          <w:p w14:paraId="50E2AD02">
            <w:pPr>
              <w:pStyle w:val="3"/>
              <w:numPr>
                <w:ilvl w:val="0"/>
                <w:numId w:val="0"/>
              </w:numPr>
              <w:spacing w:line="360" w:lineRule="auto"/>
              <w:ind w:firstLine="480" w:firstLineChars="20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③废气处理设施</w:t>
            </w:r>
          </w:p>
          <w:p w14:paraId="5B53795D">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排水经隔油沉淀池收集，油水分离处理后循环使用不外排。</w:t>
            </w:r>
          </w:p>
          <w:p w14:paraId="6791DF96">
            <w:pPr>
              <w:pStyle w:val="3"/>
              <w:numPr>
                <w:ilvl w:val="0"/>
                <w:numId w:val="0"/>
              </w:numPr>
              <w:spacing w:line="360" w:lineRule="auto"/>
              <w:ind w:left="479" w:leftChars="228" w:firstLine="0" w:firstLineChars="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（2）生活污水</w:t>
            </w:r>
          </w:p>
          <w:p w14:paraId="10C18B47">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项目生活污水产生量按用水量的80%计算，即</w:t>
            </w:r>
            <w:r>
              <w:rPr>
                <w:rFonts w:hint="eastAsia" w:cs="Times New Roman"/>
                <w:b w:val="0"/>
                <w:bCs w:val="0"/>
                <w:snapToGrid w:val="0"/>
                <w:color w:val="000000"/>
                <w:kern w:val="0"/>
                <w:sz w:val="24"/>
                <w:szCs w:val="24"/>
                <w:highlight w:val="none"/>
                <w:lang w:val="en-US" w:eastAsia="zh-CN" w:bidi="ar-SA"/>
              </w:rPr>
              <w:t>0.384</w:t>
            </w:r>
            <w:r>
              <w:rPr>
                <w:rFonts w:hint="default" w:ascii="Times New Roman" w:hAnsi="Times New Roman" w:eastAsia="宋体" w:cs="Times New Roman"/>
                <w:b w:val="0"/>
                <w:bCs w:val="0"/>
                <w:snapToGrid w:val="0"/>
                <w:color w:val="000000"/>
                <w:kern w:val="0"/>
                <w:sz w:val="24"/>
                <w:szCs w:val="24"/>
                <w:highlight w:val="none"/>
                <w:lang w:val="en-US" w:eastAsia="zh-CN" w:bidi="ar-SA"/>
              </w:rPr>
              <w:t>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/d（</w:t>
            </w:r>
            <w:r>
              <w:rPr>
                <w:rFonts w:hint="eastAsia" w:cs="Times New Roman"/>
                <w:b w:val="0"/>
                <w:bCs w:val="0"/>
                <w:snapToGrid w:val="0"/>
                <w:color w:val="000000"/>
                <w:kern w:val="0"/>
                <w:sz w:val="24"/>
                <w:szCs w:val="24"/>
                <w:highlight w:val="none"/>
                <w:lang w:val="en-US" w:eastAsia="zh-CN" w:bidi="ar-SA"/>
              </w:rPr>
              <w:t>92.16</w:t>
            </w:r>
            <w:r>
              <w:rPr>
                <w:rFonts w:hint="default" w:ascii="Times New Roman" w:hAnsi="Times New Roman" w:eastAsia="宋体" w:cs="Times New Roman"/>
                <w:b w:val="0"/>
                <w:bCs w:val="0"/>
                <w:snapToGrid w:val="0"/>
                <w:color w:val="000000"/>
                <w:kern w:val="0"/>
                <w:sz w:val="24"/>
                <w:szCs w:val="24"/>
                <w:highlight w:val="none"/>
                <w:lang w:val="en-US" w:eastAsia="zh-CN" w:bidi="ar-SA"/>
              </w:rPr>
              <w:t>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/a），</w:t>
            </w:r>
            <w:r>
              <w:rPr>
                <w:rFonts w:hint="eastAsia" w:ascii="Times New Roman" w:hAnsi="Times New Roman" w:eastAsia="宋体" w:cs="Times New Roman"/>
                <w:b w:val="0"/>
                <w:bCs w:val="0"/>
                <w:snapToGrid w:val="0"/>
                <w:color w:val="000000"/>
                <w:kern w:val="0"/>
                <w:sz w:val="24"/>
                <w:szCs w:val="24"/>
                <w:highlight w:val="none"/>
                <w:lang w:val="en-US" w:eastAsia="zh-CN" w:bidi="ar-SA"/>
              </w:rPr>
              <w:t>收集汇总</w:t>
            </w:r>
            <w:r>
              <w:rPr>
                <w:rFonts w:hint="default" w:ascii="Times New Roman" w:hAnsi="Times New Roman" w:eastAsia="宋体" w:cs="Times New Roman"/>
                <w:b w:val="0"/>
                <w:bCs w:val="0"/>
                <w:snapToGrid w:val="0"/>
                <w:color w:val="000000"/>
                <w:kern w:val="0"/>
                <w:sz w:val="24"/>
                <w:szCs w:val="24"/>
                <w:highlight w:val="none"/>
                <w:lang w:val="en-US" w:eastAsia="zh-CN" w:bidi="ar-SA"/>
              </w:rPr>
              <w:t>后排入园区污水管网。</w:t>
            </w:r>
          </w:p>
          <w:p w14:paraId="1A648EC7">
            <w:pPr>
              <w:pStyle w:val="3"/>
              <w:numPr>
                <w:ilvl w:val="0"/>
                <w:numId w:val="0"/>
              </w:numPr>
              <w:spacing w:line="360" w:lineRule="auto"/>
              <w:ind w:firstLine="480" w:firstLineChars="200"/>
              <w:rPr>
                <w:ins w:id="0" w:author="欧阳雨艾 [2]" w:date="2025-08-25T19:27:28Z"/>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综上所述本项目无生产废水排放，</w:t>
            </w:r>
            <w:r>
              <w:rPr>
                <w:rFonts w:hint="default" w:ascii="Times New Roman" w:hAnsi="Times New Roman" w:eastAsia="宋体" w:cs="Times New Roman"/>
                <w:b w:val="0"/>
                <w:bCs w:val="0"/>
                <w:snapToGrid w:val="0"/>
                <w:color w:val="000000"/>
                <w:kern w:val="0"/>
                <w:sz w:val="24"/>
                <w:szCs w:val="24"/>
                <w:highlight w:val="none"/>
                <w:lang w:val="en-US" w:eastAsia="zh-CN" w:bidi="ar-SA"/>
              </w:rPr>
              <w:t>项目水平衡图见图2-</w:t>
            </w:r>
            <w:r>
              <w:rPr>
                <w:rFonts w:hint="eastAsia" w:cs="Times New Roman"/>
                <w:b w:val="0"/>
                <w:bCs w:val="0"/>
                <w:snapToGrid w:val="0"/>
                <w:color w:val="000000"/>
                <w:kern w:val="0"/>
                <w:sz w:val="24"/>
                <w:szCs w:val="24"/>
                <w:highlight w:val="none"/>
                <w:lang w:val="en-US" w:eastAsia="zh-CN" w:bidi="ar-SA"/>
              </w:rPr>
              <w:t>1</w:t>
            </w:r>
            <w:r>
              <w:rPr>
                <w:rFonts w:hint="eastAsia" w:ascii="Times New Roman" w:hAnsi="Times New Roman" w:eastAsia="宋体" w:cs="Times New Roman"/>
                <w:b w:val="0"/>
                <w:bCs w:val="0"/>
                <w:snapToGrid w:val="0"/>
                <w:color w:val="000000"/>
                <w:kern w:val="0"/>
                <w:sz w:val="24"/>
                <w:szCs w:val="24"/>
                <w:highlight w:val="none"/>
                <w:lang w:val="en-US" w:eastAsia="zh-CN" w:bidi="ar-SA"/>
              </w:rPr>
              <w:t>。</w:t>
            </w:r>
          </w:p>
          <w:p w14:paraId="7A317502">
            <w:pPr>
              <w:keepNext w:val="0"/>
              <w:keepLines w:val="0"/>
              <w:widowControl/>
              <w:suppressLineNumbers w:val="0"/>
              <w:spacing w:line="360" w:lineRule="auto"/>
              <w:jc w:val="both"/>
              <w:rPr>
                <w:rFonts w:hint="default" w:ascii="Times New Roman" w:hAnsi="Times New Roman" w:cs="Times New Roman"/>
                <w:sz w:val="24"/>
                <w:highlight w:val="none"/>
              </w:rPr>
            </w:pPr>
            <w:r>
              <w:rPr>
                <w:rFonts w:hint="default" w:ascii="Times New Roman" w:hAnsi="Times New Roman" w:cs="Times New Roman"/>
                <w:sz w:val="24"/>
                <w:highlight w:val="none"/>
              </w:rPr>
              <mc:AlternateContent>
                <mc:Choice Requires="wpc">
                  <w:drawing>
                    <wp:inline distT="0" distB="0" distL="114300" distR="114300">
                      <wp:extent cx="4962525" cy="4584700"/>
                      <wp:effectExtent l="0" t="0" r="0" b="0"/>
                      <wp:docPr id="35" name="画布 5"/>
                      <wp:cNvGraphicFramePr/>
                      <a:graphic xmlns:a="http://schemas.openxmlformats.org/drawingml/2006/main">
                        <a:graphicData uri="http://schemas.microsoft.com/office/word/2010/wordprocessingCanvas">
                          <wpc:wpc>
                            <wpc:bg>
                              <a:noFill/>
                            </wpc:bg>
                            <wpc:whole>
                              <a:ln>
                                <a:noFill/>
                              </a:ln>
                            </wpc:whole>
                            <wps:wsp>
                              <wps:cNvPr id="2" name="矩形 6"/>
                              <wps:cNvSpPr/>
                              <wps:spPr>
                                <a:xfrm>
                                  <a:off x="1613535" y="314960"/>
                                  <a:ext cx="836295" cy="247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DDAC63">
                                    <w:pPr>
                                      <w:jc w:val="center"/>
                                      <w:rPr>
                                        <w:rFonts w:hint="eastAsia" w:eastAsia="宋体"/>
                                        <w:sz w:val="18"/>
                                        <w:szCs w:val="18"/>
                                        <w:lang w:val="en-US" w:eastAsia="zh-CN"/>
                                      </w:rPr>
                                    </w:pPr>
                                    <w:r>
                                      <w:rPr>
                                        <w:rFonts w:hint="eastAsia"/>
                                        <w:sz w:val="18"/>
                                        <w:szCs w:val="18"/>
                                        <w:lang w:val="en-US" w:eastAsia="zh-CN"/>
                                      </w:rPr>
                                      <w:t>生活废水</w:t>
                                    </w:r>
                                  </w:p>
                                </w:txbxContent>
                              </wps:txbx>
                              <wps:bodyPr vert="horz" wrap="square" anchor="t" anchorCtr="0" upright="1"/>
                            </wps:wsp>
                            <wps:wsp>
                              <wps:cNvPr id="3" name="矩形 6"/>
                              <wps:cNvSpPr/>
                              <wps:spPr>
                                <a:xfrm>
                                  <a:off x="1613535" y="910590"/>
                                  <a:ext cx="1071245" cy="2844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F644F25">
                                    <w:pPr>
                                      <w:jc w:val="center"/>
                                      <w:rPr>
                                        <w:rFonts w:hint="default" w:eastAsia="宋体"/>
                                        <w:lang w:val="en-US" w:eastAsia="zh-CN"/>
                                      </w:rPr>
                                    </w:pPr>
                                    <w:r>
                                      <w:rPr>
                                        <w:rFonts w:hint="eastAsia" w:eastAsia="宋体"/>
                                        <w:sz w:val="18"/>
                                        <w:szCs w:val="18"/>
                                        <w:lang w:val="en-US" w:eastAsia="zh-CN"/>
                                      </w:rPr>
                                      <w:t>设备清洗用水用</w:t>
                                    </w:r>
                                    <w:r>
                                      <w:rPr>
                                        <w:rFonts w:hint="eastAsia" w:eastAsia="宋体"/>
                                        <w:lang w:val="en-US" w:eastAsia="zh-CN"/>
                                      </w:rPr>
                                      <w:t>水</w:t>
                                    </w:r>
                                  </w:p>
                                </w:txbxContent>
                              </wps:txbx>
                              <wps:bodyPr vert="horz" wrap="square" anchor="t" anchorCtr="0" upright="1"/>
                            </wps:wsp>
                            <wps:wsp>
                              <wps:cNvPr id="5" name="矩形 6"/>
                              <wps:cNvSpPr/>
                              <wps:spPr>
                                <a:xfrm>
                                  <a:off x="3360420" y="314960"/>
                                  <a:ext cx="1346835" cy="2717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9E1D454">
                                    <w:pPr>
                                      <w:jc w:val="center"/>
                                      <w:rPr>
                                        <w:rFonts w:hint="default" w:eastAsia="宋体"/>
                                        <w:sz w:val="11"/>
                                        <w:szCs w:val="11"/>
                                        <w:lang w:val="en-US" w:eastAsia="zh-CN"/>
                                      </w:rPr>
                                    </w:pPr>
                                    <w:r>
                                      <w:rPr>
                                        <w:rFonts w:hint="eastAsia"/>
                                        <w:sz w:val="18"/>
                                        <w:szCs w:val="18"/>
                                        <w:lang w:val="en-US" w:eastAsia="zh-CN"/>
                                      </w:rPr>
                                      <w:t>高新区海天污水处理厂</w:t>
                                    </w:r>
                                  </w:p>
                                </w:txbxContent>
                              </wps:txbx>
                              <wps:bodyPr vert="horz" wrap="square" anchor="t" anchorCtr="0" upright="1"/>
                            </wps:wsp>
                            <wps:wsp>
                              <wps:cNvPr id="6" name="自选图形 231"/>
                              <wps:cNvCnPr/>
                              <wps:spPr>
                                <a:xfrm>
                                  <a:off x="2447925" y="432435"/>
                                  <a:ext cx="912495" cy="635"/>
                                </a:xfrm>
                                <a:prstGeom prst="straightConnector1">
                                  <a:avLst/>
                                </a:prstGeom>
                                <a:ln w="9525" cap="flat" cmpd="sng">
                                  <a:solidFill>
                                    <a:srgbClr val="000000"/>
                                  </a:solidFill>
                                  <a:prstDash val="solid"/>
                                  <a:headEnd type="none" w="med" len="med"/>
                                  <a:tailEnd type="arrow" w="med" len="med"/>
                                </a:ln>
                              </wps:spPr>
                              <wps:bodyPr/>
                            </wps:wsp>
                            <wps:wsp>
                              <wps:cNvPr id="7" name="自选图形 233"/>
                              <wps:cNvCnPr/>
                              <wps:spPr>
                                <a:xfrm flipV="1">
                                  <a:off x="1048385" y="425450"/>
                                  <a:ext cx="574675" cy="635"/>
                                </a:xfrm>
                                <a:prstGeom prst="straightConnector1">
                                  <a:avLst/>
                                </a:prstGeom>
                                <a:ln w="9525" cap="flat" cmpd="sng">
                                  <a:solidFill>
                                    <a:srgbClr val="000000"/>
                                  </a:solidFill>
                                  <a:prstDash val="solid"/>
                                  <a:headEnd type="none" w="med" len="med"/>
                                  <a:tailEnd type="arrow" w="med" len="med"/>
                                </a:ln>
                              </wps:spPr>
                              <wps:bodyPr/>
                            </wps:wsp>
                            <wps:wsp>
                              <wps:cNvPr id="8" name="自选图形 234"/>
                              <wps:cNvCnPr/>
                              <wps:spPr>
                                <a:xfrm flipV="1">
                                  <a:off x="1052830" y="1068705"/>
                                  <a:ext cx="571500" cy="0"/>
                                </a:xfrm>
                                <a:prstGeom prst="straightConnector1">
                                  <a:avLst/>
                                </a:prstGeom>
                                <a:ln w="9525" cap="flat" cmpd="sng">
                                  <a:solidFill>
                                    <a:srgbClr val="000000"/>
                                  </a:solidFill>
                                  <a:prstDash val="solid"/>
                                  <a:headEnd type="none" w="med" len="med"/>
                                  <a:tailEnd type="arrow" w="med" len="med"/>
                                </a:ln>
                              </wps:spPr>
                              <wps:bodyPr/>
                            </wps:wsp>
                            <wps:wsp>
                              <wps:cNvPr id="10" name="直线 236"/>
                              <wps:cNvCnPr/>
                              <wps:spPr>
                                <a:xfrm flipH="1">
                                  <a:off x="1035685" y="422910"/>
                                  <a:ext cx="16510" cy="1623060"/>
                                </a:xfrm>
                                <a:prstGeom prst="line">
                                  <a:avLst/>
                                </a:prstGeom>
                                <a:ln w="9525" cap="flat" cmpd="sng">
                                  <a:solidFill>
                                    <a:srgbClr val="000000"/>
                                  </a:solidFill>
                                  <a:prstDash val="solid"/>
                                  <a:headEnd type="none" w="med" len="med"/>
                                  <a:tailEnd type="none" w="med" len="med"/>
                                </a:ln>
                              </wps:spPr>
                              <wps:bodyPr upright="1"/>
                            </wps:wsp>
                            <wps:wsp>
                              <wps:cNvPr id="11" name="自选图形 237"/>
                              <wps:cNvCnPr/>
                              <wps:spPr>
                                <a:xfrm flipV="1">
                                  <a:off x="434975" y="2011045"/>
                                  <a:ext cx="571500" cy="0"/>
                                </a:xfrm>
                                <a:prstGeom prst="straightConnector1">
                                  <a:avLst/>
                                </a:prstGeom>
                                <a:ln w="9525" cap="flat" cmpd="sng">
                                  <a:solidFill>
                                    <a:srgbClr val="000000"/>
                                  </a:solidFill>
                                  <a:prstDash val="solid"/>
                                  <a:headEnd type="none" w="med" len="med"/>
                                  <a:tailEnd type="arrow" w="med" len="med"/>
                                </a:ln>
                              </wps:spPr>
                              <wps:bodyPr/>
                            </wps:wsp>
                            <wps:wsp>
                              <wps:cNvPr id="12" name="自选图形 238"/>
                              <wps:cNvCnPr/>
                              <wps:spPr>
                                <a:xfrm rot="-5400000">
                                  <a:off x="2019300" y="81280"/>
                                  <a:ext cx="249555" cy="222885"/>
                                </a:xfrm>
                                <a:prstGeom prst="curvedConnector3">
                                  <a:avLst>
                                    <a:gd name="adj1" fmla="val 50000"/>
                                  </a:avLst>
                                </a:prstGeom>
                                <a:ln w="9525" cap="flat" cmpd="sng">
                                  <a:solidFill>
                                    <a:srgbClr val="000000"/>
                                  </a:solidFill>
                                  <a:prstDash val="dash"/>
                                  <a:headEnd type="none" w="med" len="med"/>
                                  <a:tailEnd type="triangle" w="med" len="med"/>
                                </a:ln>
                              </wps:spPr>
                              <wps:bodyPr/>
                            </wps:wsp>
                            <wps:wsp>
                              <wps:cNvPr id="13" name="文本框 239"/>
                              <wps:cNvSpPr txBox="1"/>
                              <wps:spPr>
                                <a:xfrm>
                                  <a:off x="2232025" y="0"/>
                                  <a:ext cx="624840" cy="236855"/>
                                </a:xfrm>
                                <a:prstGeom prst="rect">
                                  <a:avLst/>
                                </a:prstGeom>
                                <a:noFill/>
                                <a:ln>
                                  <a:noFill/>
                                </a:ln>
                              </wps:spPr>
                              <wps:txbx>
                                <w:txbxContent>
                                  <w:p w14:paraId="6B128BA6">
                                    <w:pPr>
                                      <w:rPr>
                                        <w:rFonts w:hint="default" w:eastAsia="宋体"/>
                                        <w:sz w:val="18"/>
                                        <w:szCs w:val="18"/>
                                        <w:lang w:val="en-US" w:eastAsia="zh-CN"/>
                                      </w:rPr>
                                    </w:pPr>
                                    <w:r>
                                      <w:rPr>
                                        <w:rFonts w:hint="eastAsia"/>
                                        <w:sz w:val="18"/>
                                        <w:szCs w:val="18"/>
                                        <w:lang w:val="en-US" w:eastAsia="zh-CN"/>
                                      </w:rPr>
                                      <w:t>23.04t/a</w:t>
                                    </w:r>
                                  </w:p>
                                </w:txbxContent>
                              </wps:txbx>
                              <wps:bodyPr vert="horz" wrap="square" anchor="t" anchorCtr="0" upright="1"/>
                            </wps:wsp>
                            <wps:wsp>
                              <wps:cNvPr id="14" name="文本框 240"/>
                              <wps:cNvSpPr txBox="1"/>
                              <wps:spPr>
                                <a:xfrm>
                                  <a:off x="2674620" y="174625"/>
                                  <a:ext cx="601980" cy="236220"/>
                                </a:xfrm>
                                <a:prstGeom prst="rect">
                                  <a:avLst/>
                                </a:prstGeom>
                                <a:noFill/>
                                <a:ln>
                                  <a:noFill/>
                                </a:ln>
                              </wps:spPr>
                              <wps:txbx>
                                <w:txbxContent>
                                  <w:p w14:paraId="3A5478B8">
                                    <w:pPr>
                                      <w:jc w:val="center"/>
                                      <w:rPr>
                                        <w:rFonts w:hint="default" w:eastAsia="宋体"/>
                                        <w:sz w:val="18"/>
                                        <w:szCs w:val="18"/>
                                        <w:lang w:val="en-US" w:eastAsia="zh-CN"/>
                                      </w:rPr>
                                    </w:pPr>
                                    <w:r>
                                      <w:rPr>
                                        <w:rFonts w:hint="eastAsia"/>
                                        <w:sz w:val="18"/>
                                        <w:szCs w:val="18"/>
                                        <w:lang w:val="en-US" w:eastAsia="zh-CN"/>
                                      </w:rPr>
                                      <w:t>92.16t/a</w:t>
                                    </w:r>
                                  </w:p>
                                </w:txbxContent>
                              </wps:txbx>
                              <wps:bodyPr vert="horz" wrap="square" anchor="t" anchorCtr="0" upright="1"/>
                            </wps:wsp>
                            <wps:wsp>
                              <wps:cNvPr id="15" name="文本框 241"/>
                              <wps:cNvSpPr txBox="1"/>
                              <wps:spPr>
                                <a:xfrm>
                                  <a:off x="1016000" y="144145"/>
                                  <a:ext cx="568960" cy="254635"/>
                                </a:xfrm>
                                <a:prstGeom prst="rect">
                                  <a:avLst/>
                                </a:prstGeom>
                                <a:noFill/>
                                <a:ln>
                                  <a:noFill/>
                                </a:ln>
                              </wps:spPr>
                              <wps:txbx>
                                <w:txbxContent>
                                  <w:p w14:paraId="4A648AE6">
                                    <w:pPr>
                                      <w:jc w:val="center"/>
                                      <w:rPr>
                                        <w:rFonts w:hint="default" w:eastAsia="宋体"/>
                                        <w:sz w:val="18"/>
                                        <w:szCs w:val="18"/>
                                        <w:lang w:val="en-US" w:eastAsia="zh-CN"/>
                                      </w:rPr>
                                    </w:pPr>
                                    <w:r>
                                      <w:rPr>
                                        <w:rFonts w:hint="eastAsia"/>
                                        <w:sz w:val="18"/>
                                        <w:szCs w:val="18"/>
                                        <w:lang w:val="en-US" w:eastAsia="zh-CN"/>
                                      </w:rPr>
                                      <w:t>115.2t/a</w:t>
                                    </w:r>
                                  </w:p>
                                </w:txbxContent>
                              </wps:txbx>
                              <wps:bodyPr vert="horz" wrap="square" anchor="t" anchorCtr="0" upright="1"/>
                            </wps:wsp>
                            <wps:wsp>
                              <wps:cNvPr id="16" name="文本框 242"/>
                              <wps:cNvSpPr txBox="1"/>
                              <wps:spPr>
                                <a:xfrm>
                                  <a:off x="1075055" y="782320"/>
                                  <a:ext cx="520700" cy="267335"/>
                                </a:xfrm>
                                <a:prstGeom prst="rect">
                                  <a:avLst/>
                                </a:prstGeom>
                                <a:noFill/>
                                <a:ln>
                                  <a:noFill/>
                                </a:ln>
                              </wps:spPr>
                              <wps:txbx>
                                <w:txbxContent>
                                  <w:p w14:paraId="11D4D509">
                                    <w:pPr>
                                      <w:jc w:val="center"/>
                                      <w:rPr>
                                        <w:rFonts w:hint="default" w:eastAsia="宋体"/>
                                        <w:sz w:val="18"/>
                                        <w:szCs w:val="18"/>
                                        <w:lang w:val="en-US" w:eastAsia="zh-CN"/>
                                      </w:rPr>
                                    </w:pPr>
                                    <w:r>
                                      <w:rPr>
                                        <w:rFonts w:hint="eastAsia"/>
                                        <w:sz w:val="18"/>
                                        <w:szCs w:val="18"/>
                                        <w:lang w:val="en-US" w:eastAsia="zh-CN"/>
                                      </w:rPr>
                                      <w:t>600t/a</w:t>
                                    </w:r>
                                  </w:p>
                                </w:txbxContent>
                              </wps:txbx>
                              <wps:bodyPr vert="horz" wrap="square" anchor="t" anchorCtr="0" upright="1"/>
                            </wps:wsp>
                            <wps:wsp>
                              <wps:cNvPr id="17" name="自选图形 243"/>
                              <wps:cNvCnPr/>
                              <wps:spPr>
                                <a:xfrm rot="-5400000">
                                  <a:off x="2107565" y="739140"/>
                                  <a:ext cx="241300" cy="211455"/>
                                </a:xfrm>
                                <a:prstGeom prst="curvedConnector3">
                                  <a:avLst>
                                    <a:gd name="adj1" fmla="val 50000"/>
                                  </a:avLst>
                                </a:prstGeom>
                                <a:ln w="9525" cap="flat" cmpd="sng">
                                  <a:solidFill>
                                    <a:srgbClr val="000000"/>
                                  </a:solidFill>
                                  <a:prstDash val="dash"/>
                                  <a:headEnd type="none" w="med" len="med"/>
                                  <a:tailEnd type="triangle" w="med" len="med"/>
                                </a:ln>
                              </wps:spPr>
                              <wps:bodyPr/>
                            </wps:wsp>
                            <wps:wsp>
                              <wps:cNvPr id="18" name="文本框 244"/>
                              <wps:cNvSpPr txBox="1"/>
                              <wps:spPr>
                                <a:xfrm>
                                  <a:off x="2338705" y="650875"/>
                                  <a:ext cx="491490" cy="236855"/>
                                </a:xfrm>
                                <a:prstGeom prst="rect">
                                  <a:avLst/>
                                </a:prstGeom>
                                <a:noFill/>
                                <a:ln>
                                  <a:noFill/>
                                </a:ln>
                              </wps:spPr>
                              <wps:txbx>
                                <w:txbxContent>
                                  <w:p w14:paraId="25906BE9">
                                    <w:pPr>
                                      <w:rPr>
                                        <w:rFonts w:hint="default" w:eastAsia="宋体"/>
                                        <w:sz w:val="18"/>
                                        <w:szCs w:val="18"/>
                                        <w:lang w:val="en-US" w:eastAsia="zh-CN"/>
                                      </w:rPr>
                                    </w:pPr>
                                    <w:r>
                                      <w:rPr>
                                        <w:rFonts w:hint="eastAsia"/>
                                        <w:sz w:val="18"/>
                                        <w:szCs w:val="18"/>
                                        <w:lang w:val="en-US" w:eastAsia="zh-CN"/>
                                      </w:rPr>
                                      <w:t>600t/a</w:t>
                                    </w:r>
                                  </w:p>
                                </w:txbxContent>
                              </wps:txbx>
                              <wps:bodyPr vert="horz" wrap="square" anchor="t" anchorCtr="0" upright="1"/>
                            </wps:wsp>
                            <wps:wsp>
                              <wps:cNvPr id="19" name="文本框 245"/>
                              <wps:cNvSpPr txBox="1"/>
                              <wps:spPr>
                                <a:xfrm>
                                  <a:off x="306705" y="1767840"/>
                                  <a:ext cx="712470" cy="290830"/>
                                </a:xfrm>
                                <a:prstGeom prst="rect">
                                  <a:avLst/>
                                </a:prstGeom>
                                <a:noFill/>
                                <a:ln>
                                  <a:noFill/>
                                </a:ln>
                              </wps:spPr>
                              <wps:txbx>
                                <w:txbxContent>
                                  <w:p w14:paraId="5BAC5E9D">
                                    <w:pPr>
                                      <w:jc w:val="center"/>
                                      <w:rPr>
                                        <w:rFonts w:hint="default" w:eastAsia="宋体"/>
                                        <w:sz w:val="18"/>
                                        <w:szCs w:val="18"/>
                                        <w:lang w:val="en-US" w:eastAsia="zh-CN"/>
                                      </w:rPr>
                                    </w:pPr>
                                    <w:r>
                                      <w:rPr>
                                        <w:rFonts w:hint="eastAsia"/>
                                        <w:sz w:val="18"/>
                                        <w:szCs w:val="18"/>
                                        <w:lang w:val="en-US" w:eastAsia="zh-CN"/>
                                      </w:rPr>
                                      <w:t>2594.2t/a</w:t>
                                    </w:r>
                                  </w:p>
                                </w:txbxContent>
                              </wps:txbx>
                              <wps:bodyPr vert="horz" wrap="square" anchor="t" anchorCtr="0" upright="1"/>
                            </wps:wsp>
                            <wps:wsp>
                              <wps:cNvPr id="21" name="文本框 248"/>
                              <wps:cNvSpPr txBox="1"/>
                              <wps:spPr>
                                <a:xfrm>
                                  <a:off x="2779395" y="796925"/>
                                  <a:ext cx="520700" cy="273050"/>
                                </a:xfrm>
                                <a:prstGeom prst="rect">
                                  <a:avLst/>
                                </a:prstGeom>
                                <a:noFill/>
                                <a:ln>
                                  <a:noFill/>
                                </a:ln>
                              </wps:spPr>
                              <wps:txbx>
                                <w:txbxContent>
                                  <w:p w14:paraId="61BE35BB">
                                    <w:pPr>
                                      <w:jc w:val="center"/>
                                      <w:rPr>
                                        <w:rFonts w:hint="default" w:eastAsia="宋体"/>
                                        <w:sz w:val="18"/>
                                        <w:szCs w:val="18"/>
                                        <w:lang w:val="en-US" w:eastAsia="zh-CN"/>
                                      </w:rPr>
                                    </w:pPr>
                                    <w:r>
                                      <w:rPr>
                                        <w:rFonts w:hint="eastAsia"/>
                                        <w:sz w:val="18"/>
                                        <w:szCs w:val="18"/>
                                        <w:lang w:val="en-US" w:eastAsia="zh-CN"/>
                                      </w:rPr>
                                      <w:t>540t/a</w:t>
                                    </w:r>
                                  </w:p>
                                </w:txbxContent>
                              </wps:txbx>
                              <wps:bodyPr vert="horz" wrap="square" anchor="t" anchorCtr="0" upright="1"/>
                            </wps:wsp>
                            <wps:wsp>
                              <wps:cNvPr id="31" name="矩形 6"/>
                              <wps:cNvSpPr/>
                              <wps:spPr>
                                <a:xfrm>
                                  <a:off x="3360420" y="929005"/>
                                  <a:ext cx="825500" cy="2660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B1302C4">
                                    <w:pPr>
                                      <w:jc w:val="center"/>
                                      <w:rPr>
                                        <w:rFonts w:hint="default" w:eastAsia="宋体"/>
                                        <w:sz w:val="18"/>
                                        <w:szCs w:val="18"/>
                                        <w:lang w:val="en-US" w:eastAsia="zh-CN"/>
                                      </w:rPr>
                                    </w:pPr>
                                    <w:r>
                                      <w:rPr>
                                        <w:rFonts w:hint="eastAsia"/>
                                        <w:sz w:val="18"/>
                                        <w:szCs w:val="18"/>
                                        <w:lang w:val="en-US" w:eastAsia="zh-CN"/>
                                      </w:rPr>
                                      <w:t>沉淀池</w:t>
                                    </w:r>
                                  </w:p>
                                </w:txbxContent>
                              </wps:txbx>
                              <wps:bodyPr vert="horz" wrap="square" anchor="t" anchorCtr="0" upright="1"/>
                            </wps:wsp>
                            <wps:wsp>
                              <wps:cNvPr id="34" name="直线 414"/>
                              <wps:cNvCnPr/>
                              <wps:spPr>
                                <a:xfrm flipV="1">
                                  <a:off x="2687955" y="1086485"/>
                                  <a:ext cx="677545" cy="635"/>
                                </a:xfrm>
                                <a:prstGeom prst="line">
                                  <a:avLst/>
                                </a:prstGeom>
                                <a:ln w="9525" cap="flat" cmpd="sng">
                                  <a:solidFill>
                                    <a:srgbClr val="000001"/>
                                  </a:solidFill>
                                  <a:prstDash val="solid"/>
                                  <a:headEnd type="none" w="med" len="med"/>
                                  <a:tailEnd type="arrow" w="med" len="med"/>
                                </a:ln>
                              </wps:spPr>
                              <wps:bodyPr upright="1"/>
                            </wps:wsp>
                            <wps:wsp>
                              <wps:cNvPr id="180" name="肘形连接符 180"/>
                              <wps:cNvCnPr>
                                <a:stCxn id="31" idx="2"/>
                                <a:endCxn id="3" idx="2"/>
                              </wps:cNvCnPr>
                              <wps:spPr>
                                <a:xfrm rot="5400000">
                                  <a:off x="2961323" y="383223"/>
                                  <a:ext cx="3175" cy="1623695"/>
                                </a:xfrm>
                                <a:prstGeom prst="bentConnector3">
                                  <a:avLst>
                                    <a:gd name="adj1" fmla="val 7540000"/>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81" name="文本框 248"/>
                              <wps:cNvSpPr txBox="1"/>
                              <wps:spPr>
                                <a:xfrm>
                                  <a:off x="2741295" y="1116330"/>
                                  <a:ext cx="520700" cy="260350"/>
                                </a:xfrm>
                                <a:prstGeom prst="rect">
                                  <a:avLst/>
                                </a:prstGeom>
                                <a:noFill/>
                                <a:ln>
                                  <a:noFill/>
                                </a:ln>
                              </wps:spPr>
                              <wps:txbx>
                                <w:txbxContent>
                                  <w:p w14:paraId="6803C285">
                                    <w:pPr>
                                      <w:jc w:val="center"/>
                                      <w:rPr>
                                        <w:rFonts w:hint="default" w:eastAsia="宋体"/>
                                        <w:sz w:val="18"/>
                                        <w:szCs w:val="18"/>
                                        <w:lang w:val="en-US" w:eastAsia="zh-CN"/>
                                      </w:rPr>
                                    </w:pPr>
                                    <w:r>
                                      <w:rPr>
                                        <w:rFonts w:hint="eastAsia"/>
                                        <w:sz w:val="18"/>
                                        <w:szCs w:val="18"/>
                                        <w:lang w:val="en-US" w:eastAsia="zh-CN"/>
                                      </w:rPr>
                                      <w:t>540t/a</w:t>
                                    </w:r>
                                  </w:p>
                                </w:txbxContent>
                              </wps:txbx>
                              <wps:bodyPr vert="horz" wrap="square" anchor="t" anchorCtr="0" upright="1"/>
                            </wps:wsp>
                            <wps:wsp>
                              <wps:cNvPr id="25" name="矩形 6"/>
                              <wps:cNvSpPr/>
                              <wps:spPr>
                                <a:xfrm>
                                  <a:off x="1600835" y="1878330"/>
                                  <a:ext cx="1071245" cy="273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EAD394C">
                                    <w:pPr>
                                      <w:jc w:val="center"/>
                                      <w:rPr>
                                        <w:rFonts w:hint="default" w:eastAsia="宋体"/>
                                        <w:sz w:val="18"/>
                                        <w:szCs w:val="18"/>
                                        <w:lang w:val="en-US" w:eastAsia="zh-CN"/>
                                      </w:rPr>
                                    </w:pPr>
                                    <w:r>
                                      <w:rPr>
                                        <w:rFonts w:hint="eastAsia"/>
                                        <w:sz w:val="18"/>
                                        <w:szCs w:val="18"/>
                                        <w:lang w:val="en-US" w:eastAsia="zh-CN"/>
                                      </w:rPr>
                                      <w:t>冷却水</w:t>
                                    </w:r>
                                  </w:p>
                                </w:txbxContent>
                              </wps:txbx>
                              <wps:bodyPr vert="horz" wrap="square" anchor="t" anchorCtr="0" upright="1"/>
                            </wps:wsp>
                            <wps:wsp>
                              <wps:cNvPr id="26" name="自选图形 234"/>
                              <wps:cNvCnPr/>
                              <wps:spPr>
                                <a:xfrm flipV="1">
                                  <a:off x="1040130" y="2025015"/>
                                  <a:ext cx="571500" cy="0"/>
                                </a:xfrm>
                                <a:prstGeom prst="straightConnector1">
                                  <a:avLst/>
                                </a:prstGeom>
                                <a:ln w="9525" cap="flat" cmpd="sng">
                                  <a:solidFill>
                                    <a:srgbClr val="000000"/>
                                  </a:solidFill>
                                  <a:prstDash val="solid"/>
                                  <a:headEnd type="none" w="med" len="med"/>
                                  <a:tailEnd type="arrow" w="med" len="med"/>
                                </a:ln>
                              </wps:spPr>
                              <wps:bodyPr/>
                            </wps:wsp>
                            <wps:wsp>
                              <wps:cNvPr id="27" name="文本框 242"/>
                              <wps:cNvSpPr txBox="1"/>
                              <wps:spPr>
                                <a:xfrm>
                                  <a:off x="1062355" y="1715135"/>
                                  <a:ext cx="520700" cy="290830"/>
                                </a:xfrm>
                                <a:prstGeom prst="rect">
                                  <a:avLst/>
                                </a:prstGeom>
                                <a:noFill/>
                                <a:ln>
                                  <a:noFill/>
                                </a:ln>
                              </wps:spPr>
                              <wps:txbx>
                                <w:txbxContent>
                                  <w:p w14:paraId="61035100">
                                    <w:pPr>
                                      <w:jc w:val="center"/>
                                      <w:rPr>
                                        <w:rFonts w:hint="default" w:eastAsia="宋体"/>
                                        <w:sz w:val="18"/>
                                        <w:szCs w:val="18"/>
                                        <w:lang w:val="en-US" w:eastAsia="zh-CN"/>
                                      </w:rPr>
                                    </w:pPr>
                                    <w:r>
                                      <w:rPr>
                                        <w:rFonts w:hint="eastAsia"/>
                                        <w:sz w:val="18"/>
                                        <w:szCs w:val="18"/>
                                        <w:lang w:val="en-US" w:eastAsia="zh-CN"/>
                                      </w:rPr>
                                      <w:t>959t/a</w:t>
                                    </w:r>
                                  </w:p>
                                </w:txbxContent>
                              </wps:txbx>
                              <wps:bodyPr vert="horz" wrap="square" anchor="t" anchorCtr="0" upright="1"/>
                            </wps:wsp>
                            <wps:wsp>
                              <wps:cNvPr id="28" name="自选图形 243"/>
                              <wps:cNvCnPr/>
                              <wps:spPr>
                                <a:xfrm rot="-5400000">
                                  <a:off x="2094865" y="1695450"/>
                                  <a:ext cx="241300" cy="211455"/>
                                </a:xfrm>
                                <a:prstGeom prst="curvedConnector3">
                                  <a:avLst>
                                    <a:gd name="adj1" fmla="val 50000"/>
                                  </a:avLst>
                                </a:prstGeom>
                                <a:ln w="9525" cap="flat" cmpd="sng">
                                  <a:solidFill>
                                    <a:srgbClr val="000000"/>
                                  </a:solidFill>
                                  <a:prstDash val="dash"/>
                                  <a:headEnd type="none" w="med" len="med"/>
                                  <a:tailEnd type="triangle" w="med" len="med"/>
                                </a:ln>
                              </wps:spPr>
                              <wps:bodyPr/>
                            </wps:wsp>
                            <wps:wsp>
                              <wps:cNvPr id="29" name="文本框 244"/>
                              <wps:cNvSpPr txBox="1"/>
                              <wps:spPr>
                                <a:xfrm>
                                  <a:off x="2326005" y="1607185"/>
                                  <a:ext cx="603885" cy="236855"/>
                                </a:xfrm>
                                <a:prstGeom prst="rect">
                                  <a:avLst/>
                                </a:prstGeom>
                                <a:noFill/>
                                <a:ln>
                                  <a:noFill/>
                                </a:ln>
                              </wps:spPr>
                              <wps:txbx>
                                <w:txbxContent>
                                  <w:p w14:paraId="6EEFB67D">
                                    <w:pPr>
                                      <w:rPr>
                                        <w:rFonts w:hint="default" w:eastAsia="宋体"/>
                                        <w:sz w:val="18"/>
                                        <w:szCs w:val="18"/>
                                        <w:lang w:val="en-US" w:eastAsia="zh-CN"/>
                                      </w:rPr>
                                    </w:pPr>
                                    <w:r>
                                      <w:rPr>
                                        <w:rFonts w:hint="eastAsia"/>
                                        <w:sz w:val="18"/>
                                        <w:szCs w:val="18"/>
                                        <w:lang w:val="en-US" w:eastAsia="zh-CN"/>
                                      </w:rPr>
                                      <w:t>959t/a</w:t>
                                    </w:r>
                                  </w:p>
                                </w:txbxContent>
                              </wps:txbx>
                              <wps:bodyPr vert="horz" wrap="square" anchor="t" anchorCtr="0" upright="1"/>
                            </wps:wsp>
                            <wps:wsp>
                              <wps:cNvPr id="30" name="文本框 248"/>
                              <wps:cNvSpPr txBox="1"/>
                              <wps:spPr>
                                <a:xfrm>
                                  <a:off x="2712085" y="1793875"/>
                                  <a:ext cx="781685" cy="231775"/>
                                </a:xfrm>
                                <a:prstGeom prst="rect">
                                  <a:avLst/>
                                </a:prstGeom>
                                <a:noFill/>
                                <a:ln>
                                  <a:noFill/>
                                </a:ln>
                              </wps:spPr>
                              <wps:txbx>
                                <w:txbxContent>
                                  <w:p w14:paraId="6DC28AC5">
                                    <w:pPr>
                                      <w:jc w:val="center"/>
                                      <w:rPr>
                                        <w:rFonts w:hint="default" w:eastAsia="宋体"/>
                                        <w:sz w:val="18"/>
                                        <w:szCs w:val="18"/>
                                        <w:lang w:val="en-US" w:eastAsia="zh-CN"/>
                                      </w:rPr>
                                    </w:pPr>
                                    <w:r>
                                      <w:rPr>
                                        <w:rFonts w:hint="eastAsia"/>
                                        <w:sz w:val="18"/>
                                        <w:szCs w:val="18"/>
                                        <w:lang w:val="en-US" w:eastAsia="zh-CN"/>
                                      </w:rPr>
                                      <w:t>37402.6t/a</w:t>
                                    </w:r>
                                  </w:p>
                                </w:txbxContent>
                              </wps:txbx>
                              <wps:bodyPr vert="horz" wrap="square" anchor="t" anchorCtr="0" upright="1"/>
                            </wps:wsp>
                            <wps:wsp>
                              <wps:cNvPr id="167" name="文本框 248"/>
                              <wps:cNvSpPr txBox="1"/>
                              <wps:spPr>
                                <a:xfrm>
                                  <a:off x="2728595" y="2078355"/>
                                  <a:ext cx="766445" cy="276860"/>
                                </a:xfrm>
                                <a:prstGeom prst="rect">
                                  <a:avLst/>
                                </a:prstGeom>
                                <a:noFill/>
                                <a:ln>
                                  <a:noFill/>
                                </a:ln>
                              </wps:spPr>
                              <wps:txbx>
                                <w:txbxContent>
                                  <w:p w14:paraId="440216BC">
                                    <w:pPr>
                                      <w:jc w:val="center"/>
                                      <w:rPr>
                                        <w:rFonts w:hint="default" w:eastAsia="宋体"/>
                                        <w:sz w:val="18"/>
                                        <w:szCs w:val="18"/>
                                        <w:lang w:val="en-US" w:eastAsia="zh-CN"/>
                                      </w:rPr>
                                    </w:pPr>
                                    <w:r>
                                      <w:rPr>
                                        <w:rFonts w:hint="eastAsia"/>
                                        <w:sz w:val="18"/>
                                        <w:szCs w:val="18"/>
                                        <w:lang w:val="en-US" w:eastAsia="zh-CN"/>
                                      </w:rPr>
                                      <w:t>37402.6t/a</w:t>
                                    </w:r>
                                  </w:p>
                                </w:txbxContent>
                              </wps:txbx>
                              <wps:bodyPr vert="horz" wrap="square" anchor="t" anchorCtr="0" upright="1"/>
                            </wps:wsp>
                            <wps:wsp>
                              <wps:cNvPr id="1" name="肘形连接符 1"/>
                              <wps:cNvCnPr>
                                <a:stCxn id="25" idx="3"/>
                                <a:endCxn id="25" idx="2"/>
                              </wps:cNvCnPr>
                              <wps:spPr>
                                <a:xfrm flipH="1">
                                  <a:off x="2136775" y="2014855"/>
                                  <a:ext cx="535305" cy="136525"/>
                                </a:xfrm>
                                <a:prstGeom prst="bentConnector4">
                                  <a:avLst>
                                    <a:gd name="adj1" fmla="val -192526"/>
                                    <a:gd name="adj2" fmla="val 274419"/>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7" name="直接箭头连接符 37"/>
                              <wps:cNvCnPr/>
                              <wps:spPr>
                                <a:xfrm flipV="1">
                                  <a:off x="1034415" y="2825115"/>
                                  <a:ext cx="548005" cy="635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9" name="矩形 6"/>
                              <wps:cNvSpPr/>
                              <wps:spPr>
                                <a:xfrm>
                                  <a:off x="1588770" y="2677795"/>
                                  <a:ext cx="1071245" cy="273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A34A880">
                                    <w:pPr>
                                      <w:jc w:val="center"/>
                                      <w:rPr>
                                        <w:rFonts w:hint="default" w:eastAsia="宋体"/>
                                        <w:sz w:val="18"/>
                                        <w:szCs w:val="18"/>
                                        <w:lang w:val="en-US" w:eastAsia="zh-CN"/>
                                      </w:rPr>
                                    </w:pPr>
                                    <w:r>
                                      <w:rPr>
                                        <w:rFonts w:hint="eastAsia"/>
                                        <w:sz w:val="18"/>
                                        <w:szCs w:val="18"/>
                                        <w:lang w:val="en-US" w:eastAsia="zh-CN"/>
                                      </w:rPr>
                                      <w:t>防水涂料用水</w:t>
                                    </w:r>
                                  </w:p>
                                </w:txbxContent>
                              </wps:txbx>
                              <wps:bodyPr vert="horz" wrap="square" anchor="t" anchorCtr="0" upright="1"/>
                            </wps:wsp>
                            <wps:wsp>
                              <wps:cNvPr id="40" name="文本框 242"/>
                              <wps:cNvSpPr txBox="1"/>
                              <wps:spPr>
                                <a:xfrm>
                                  <a:off x="1035050" y="2498725"/>
                                  <a:ext cx="520700" cy="250825"/>
                                </a:xfrm>
                                <a:prstGeom prst="rect">
                                  <a:avLst/>
                                </a:prstGeom>
                                <a:noFill/>
                                <a:ln>
                                  <a:noFill/>
                                </a:ln>
                              </wps:spPr>
                              <wps:txbx>
                                <w:txbxContent>
                                  <w:p w14:paraId="4E2510BD">
                                    <w:pPr>
                                      <w:jc w:val="center"/>
                                      <w:rPr>
                                        <w:rFonts w:hint="default" w:eastAsia="宋体"/>
                                        <w:sz w:val="18"/>
                                        <w:szCs w:val="18"/>
                                        <w:lang w:val="en-US" w:eastAsia="zh-CN"/>
                                      </w:rPr>
                                    </w:pPr>
                                    <w:r>
                                      <w:rPr>
                                        <w:rFonts w:hint="eastAsia"/>
                                        <w:sz w:val="18"/>
                                        <w:szCs w:val="18"/>
                                        <w:lang w:val="en-US" w:eastAsia="zh-CN"/>
                                      </w:rPr>
                                      <w:t>200t/a</w:t>
                                    </w:r>
                                  </w:p>
                                </w:txbxContent>
                              </wps:txbx>
                              <wps:bodyPr vert="horz" wrap="square" anchor="t" anchorCtr="0" upright="1"/>
                            </wps:wsp>
                            <wps:wsp>
                              <wps:cNvPr id="41" name="直接连接符 41"/>
                              <wps:cNvCnPr/>
                              <wps:spPr>
                                <a:xfrm>
                                  <a:off x="1034415" y="2037715"/>
                                  <a:ext cx="0" cy="79565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36" name="直接连接符 36"/>
                              <wps:cNvCnPr/>
                              <wps:spPr>
                                <a:xfrm>
                                  <a:off x="1035685" y="2816860"/>
                                  <a:ext cx="0" cy="79565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38" name="直接箭头连接符 38"/>
                              <wps:cNvCnPr/>
                              <wps:spPr>
                                <a:xfrm flipV="1">
                                  <a:off x="1048385" y="3608705"/>
                                  <a:ext cx="548005" cy="635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42" name="矩形 6"/>
                              <wps:cNvSpPr/>
                              <wps:spPr>
                                <a:xfrm>
                                  <a:off x="1583690" y="3455035"/>
                                  <a:ext cx="1211580" cy="273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FF67BC">
                                    <w:pPr>
                                      <w:jc w:val="center"/>
                                      <w:rPr>
                                        <w:rFonts w:hint="default" w:eastAsia="宋体"/>
                                        <w:sz w:val="18"/>
                                        <w:szCs w:val="18"/>
                                        <w:lang w:val="en-US" w:eastAsia="zh-CN"/>
                                      </w:rPr>
                                    </w:pPr>
                                    <w:r>
                                      <w:rPr>
                                        <w:rFonts w:hint="eastAsia"/>
                                        <w:sz w:val="18"/>
                                        <w:szCs w:val="18"/>
                                        <w:lang w:val="en-US" w:eastAsia="zh-CN"/>
                                      </w:rPr>
                                      <w:t>废气处理设施用水</w:t>
                                    </w:r>
                                  </w:p>
                                </w:txbxContent>
                              </wps:txbx>
                              <wps:bodyPr vert="horz" wrap="square" anchor="t" anchorCtr="0" upright="1"/>
                            </wps:wsp>
                            <wps:wsp>
                              <wps:cNvPr id="43" name="直接箭头连接符 43"/>
                              <wps:cNvCnPr/>
                              <wps:spPr>
                                <a:xfrm flipV="1">
                                  <a:off x="2799715" y="3602355"/>
                                  <a:ext cx="548005" cy="635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44" name="矩形 6"/>
                              <wps:cNvSpPr/>
                              <wps:spPr>
                                <a:xfrm>
                                  <a:off x="3347720" y="3461385"/>
                                  <a:ext cx="1071245" cy="273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20B1F5">
                                    <w:pPr>
                                      <w:jc w:val="center"/>
                                      <w:rPr>
                                        <w:rFonts w:hint="default" w:eastAsia="宋体"/>
                                        <w:sz w:val="18"/>
                                        <w:szCs w:val="18"/>
                                        <w:lang w:val="en-US" w:eastAsia="zh-CN"/>
                                      </w:rPr>
                                    </w:pPr>
                                    <w:r>
                                      <w:rPr>
                                        <w:rFonts w:hint="eastAsia"/>
                                        <w:sz w:val="18"/>
                                        <w:szCs w:val="18"/>
                                        <w:lang w:val="en-US" w:eastAsia="zh-CN"/>
                                      </w:rPr>
                                      <w:t>隔油沉淀池</w:t>
                                    </w:r>
                                  </w:p>
                                </w:txbxContent>
                              </wps:txbx>
                              <wps:bodyPr vert="horz" wrap="square" anchor="t" anchorCtr="0" upright="1"/>
                            </wps:wsp>
                            <wps:wsp>
                              <wps:cNvPr id="45" name="肘形连接符 45"/>
                              <wps:cNvCnPr/>
                              <wps:spPr>
                                <a:xfrm rot="5400000">
                                  <a:off x="3180715" y="2933065"/>
                                  <a:ext cx="3175" cy="1623695"/>
                                </a:xfrm>
                                <a:prstGeom prst="bentConnector3">
                                  <a:avLst>
                                    <a:gd name="adj1" fmla="val 7540000"/>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46" name="文本框 242"/>
                              <wps:cNvSpPr txBox="1"/>
                              <wps:spPr>
                                <a:xfrm>
                                  <a:off x="1042035" y="3314700"/>
                                  <a:ext cx="520700" cy="250825"/>
                                </a:xfrm>
                                <a:prstGeom prst="rect">
                                  <a:avLst/>
                                </a:prstGeom>
                                <a:noFill/>
                                <a:ln>
                                  <a:noFill/>
                                </a:ln>
                              </wps:spPr>
                              <wps:txbx>
                                <w:txbxContent>
                                  <w:p w14:paraId="304006E8">
                                    <w:pPr>
                                      <w:jc w:val="center"/>
                                      <w:rPr>
                                        <w:rFonts w:hint="default" w:eastAsia="宋体"/>
                                        <w:sz w:val="18"/>
                                        <w:szCs w:val="18"/>
                                        <w:lang w:val="en-US" w:eastAsia="zh-CN"/>
                                      </w:rPr>
                                    </w:pPr>
                                    <w:r>
                                      <w:rPr>
                                        <w:rFonts w:hint="eastAsia"/>
                                        <w:sz w:val="18"/>
                                        <w:szCs w:val="18"/>
                                        <w:lang w:val="en-US" w:eastAsia="zh-CN"/>
                                      </w:rPr>
                                      <w:t>720t/a</w:t>
                                    </w:r>
                                  </w:p>
                                </w:txbxContent>
                              </wps:txbx>
                              <wps:bodyPr vert="horz" wrap="square" anchor="t" anchorCtr="0" upright="1"/>
                            </wps:wsp>
                            <wps:wsp>
                              <wps:cNvPr id="47" name="文本框 242"/>
                              <wps:cNvSpPr txBox="1"/>
                              <wps:spPr>
                                <a:xfrm>
                                  <a:off x="2787650" y="3321685"/>
                                  <a:ext cx="627380" cy="250825"/>
                                </a:xfrm>
                                <a:prstGeom prst="rect">
                                  <a:avLst/>
                                </a:prstGeom>
                                <a:noFill/>
                                <a:ln>
                                  <a:noFill/>
                                </a:ln>
                              </wps:spPr>
                              <wps:txbx>
                                <w:txbxContent>
                                  <w:p w14:paraId="6ADBE47F">
                                    <w:pPr>
                                      <w:jc w:val="center"/>
                                      <w:rPr>
                                        <w:rFonts w:hint="default" w:eastAsia="宋体"/>
                                        <w:sz w:val="18"/>
                                        <w:szCs w:val="18"/>
                                        <w:lang w:val="en-US" w:eastAsia="zh-CN"/>
                                      </w:rPr>
                                    </w:pPr>
                                    <w:r>
                                      <w:rPr>
                                        <w:rFonts w:hint="eastAsia"/>
                                        <w:sz w:val="18"/>
                                        <w:szCs w:val="18"/>
                                        <w:lang w:val="en-US" w:eastAsia="zh-CN"/>
                                      </w:rPr>
                                      <w:t>28800t/a</w:t>
                                    </w:r>
                                  </w:p>
                                </w:txbxContent>
                              </wps:txbx>
                              <wps:bodyPr vert="horz" wrap="square" anchor="t" anchorCtr="0" upright="1"/>
                            </wps:wsp>
                            <wps:wsp>
                              <wps:cNvPr id="48" name="文本框 242"/>
                              <wps:cNvSpPr txBox="1"/>
                              <wps:spPr>
                                <a:xfrm>
                                  <a:off x="2853690" y="3716020"/>
                                  <a:ext cx="687070" cy="250825"/>
                                </a:xfrm>
                                <a:prstGeom prst="rect">
                                  <a:avLst/>
                                </a:prstGeom>
                                <a:noFill/>
                                <a:ln>
                                  <a:noFill/>
                                </a:ln>
                              </wps:spPr>
                              <wps:txbx>
                                <w:txbxContent>
                                  <w:p w14:paraId="471B41D1">
                                    <w:pPr>
                                      <w:jc w:val="center"/>
                                      <w:rPr>
                                        <w:rFonts w:hint="default" w:eastAsia="宋体"/>
                                        <w:sz w:val="18"/>
                                        <w:szCs w:val="18"/>
                                        <w:lang w:val="en-US" w:eastAsia="zh-CN"/>
                                      </w:rPr>
                                    </w:pPr>
                                    <w:r>
                                      <w:rPr>
                                        <w:rFonts w:hint="eastAsia"/>
                                        <w:sz w:val="18"/>
                                        <w:szCs w:val="18"/>
                                        <w:lang w:val="en-US" w:eastAsia="zh-CN"/>
                                      </w:rPr>
                                      <w:t>28800t/a</w:t>
                                    </w:r>
                                  </w:p>
                                </w:txbxContent>
                              </wps:txbx>
                              <wps:bodyPr vert="horz" wrap="square" anchor="t" anchorCtr="0" upright="1"/>
                            </wps:wsp>
                          </wpc:wpc>
                        </a:graphicData>
                      </a:graphic>
                    </wp:inline>
                  </w:drawing>
                </mc:Choice>
                <mc:Fallback>
                  <w:pict>
                    <v:group id="画布 5" o:spid="_x0000_s1026" o:spt="203" style="height:361pt;width:390.75pt;" coordsize="4962525,4584700" editas="canvas" o:gfxdata="UEsDBAoAAAAAAIdO4kAAAAAAAAAAAAAAAAAEAAAAZHJzL1BLAwQUAAAACACHTuJAV8ekJtYAAAAF&#10;AQAADwAAAGRycy9kb3ducmV2LnhtbE2PQUvDQBCF74L/YRnBi7S7CaglzaaHglhEKKba8zY7JsHs&#10;bJrdJvXfO3qpl+ENb3jvm3x1dp0YcQitJw3JXIFAqrxtqdbwvnuaLUCEaMiazhNq+MYAq+L6KjeZ&#10;9RO94VjGWnAIhcxoaGLsMylD1aAzYe57JPY+/eBM5HWopR3MxOGuk6lSD9KZlrihMT2uG6y+ypPT&#10;MFXbcb97fZbbu/3G03FzXJcfL1rf3iRqCSLiOV6O4Ref0aFgpoM/kQ2i08CPxL/J3uMiuQdxYJGm&#10;CmSRy//0xQ9QSwMEFAAAAAgAh07iQOKev7h2CgAAoFkAAA4AAABkcnMvZTJvRG9jLnhtbO1cTY/k&#10;SBG9I/EfrLrPtDPTTtul6VmJnp3hgGClXbi7q1wfqMoubPfHcEKLxIoLJ7RCWgQCARJo4bQHBIL9&#10;NTM9/AteZNpZtsvuqnIPPdPIc+ipD1fazgjHe/EiMp98cL1eWZdRmi2T+HTEHtsjK4onyXQZz09H&#10;3//k+SN/ZGV5GE/DVRJHp6OXUTb64Ok3v/HkajOOeLJIVtMotTBInI2vNqejRZ5vxicn2WQRrcPs&#10;cbKJYnw5S9J1mONtOj+ZpuEVRl+vTrhty5OrJJ1u0mQSZRk+faa/HBUjpocMmMxmy0n0LJlcrKM4&#10;16Om0SrMcUvZYrnJRk/V1c5m0ST/3myWRbm1Oh3hTnP1FyfB63P6e/L0STiep+FmsZwUlxAecgmN&#10;e1qHyxgnNUM9C/PQukiXO0Otl5M0yZJZ/niSrE/0jagZwV0wuzE3L9LkYqPuZT6+mm/MpMNQjVnv&#10;Pezku5cfpdZyejoS7siKwzUsfvPLf776+08tlybnajMf45gX6ebjzUdp8cFcv6P7vZ6la/ofd2Jd&#10;q2l9aaY1us6tCT50AsldjuEn+M5xfcezi4mfLGCdnd9NFh/u+eVJeeITuj5zOVcbuGS2nafsbvP0&#10;8SLcRGr6M5qDYp64mabf/vnVv35vST1N6hAzR9k4w3S1TBCTTLg01ZgKwTAzxUyUc+ULyYNiqjgm&#10;iikrmPsNx5s0y19EydqiF6ejFB6uHC+8/E6Wwz44tDyETp8lq+X0+XK1Um/S+fnZKrUuQzwNz9U/&#10;unj8pHbYKrauTkeBNlmIR3yGRwvWW2/gJlk8V+er/SKrDmyrf20D04U9C7OFvgA1Ah0WjtfLPErV&#10;q0UUTj+Mp1b+cgNPjBGBRnQx62g6slYRAha9Ukfm4XJ1yJG4u1WMmyTn0EahV/n1+TWGoZfnyfQl&#10;bIuQiPlcJOmPcUYEBNzqjy7CFOcP4wk+Ph1hDvTLs1xHkItNupwv8Cum7pYGg/vpUf/nfijemh8G&#10;zHaDhh8y22PcKR3RdxxfHTA44uCI2r+3ARFOUuBGn4AohLQdDjjuCIhMONKngEngwT3mDY44RMR2&#10;ZJalI7757C//+cnPX33xb8JnLlR0puAMnz2LCxZTgkHJJAyF4Y7jBcRWiKwI7sD3FN6UCB0gLpYI&#10;LfWX3VExy9OQIOIsiWMgdZKy28D6/oG3L9yGaZpctfthO95qkMVEKhy+P5T0OnxCkFFv9wlrtlpu&#10;fkDgThSlILjMdnzhF97BXcdt4KbrOdIrotXgHbu87f3yDqS6GroaEcPp7R0u94UGM2ZL37MbwcP1&#10;mIvkR4HZHkI1hI60ys/vP3Qw2KkgNl98dfOPr4Ek1VyvA0lU1Pj2TtQQrjRRg4Nw1zGFSZfORhSH&#10;SS5snRV2w8pqibyIolJH1vdwgKQ7w7stUljvNPNirHSMRtjweoYNRzgBgQYxXJsBYoaoEY7r+f2D&#10;IRzM6EMN5/APcI40gZjwyHW0glKhHXCLQBBwwEV8xnUOFI5LTkqM1C1YB+fcR6iheLnltqUkVKhG&#10;k4v0MpoaUiq2sYTOOZ8WcS+c/hCuPluvIIlCM7IAXVq5w8gq8qhzlGPTT+8p8EwhIukI2pfA5uky&#10;jOer6CFwWGaknteff/b611++/t3PgEVBxZ9Id7Ty628lUFtNttOhQHIuuF3kNw0YktzxnQKHAHY+&#10;XOpWN9onPsYJKY8YQktw4dh80B7cH74ox5wSGiqmwpRiDopk4yhTSWQThTbC6GUDFySiAkKBlkYg&#10;HOPQwV6oLrXVUtolA8jrRayr2ss8QhAMjrEXs5mkCElRmjkO28Fx6ZPgr+3lOnvzw+H5Mo9NUXxh&#10;RuOp2ov3fL4gcrs24Sbs5fkUF2mgLay63KZSlbaX9MQ+tWew1469OvQX5xD9pZsNkeFkYTcRMB1g&#10;t3bjDlNkSUnGDI/hHhwb6NCDokNGtanGgKpkc0zM5kIomYZigHRtH3lYLQY4cC8Ux0qMHTjRJOrs&#10;V+jA2KANY9U09+BEEEdIVVMQ60mP+GrNXlS29Ep7BTapcQMnOooTcSNvVJ+vavp61PPleYGgeglh&#10;bCCpslKzVw1jPWFrQb07dR0wtomxqG+VOuVdC7ABD+ymZO1z10jWXEobuHunB6q7cWToSMHEUkh8&#10;qB0pJvm90YI5MiDylR5lNo7aCSQtHeZtXzpa0dpSPOl5KL5pWN6bR92HXK5bgBqdVJ0NT31lq54y&#10;6DvWy0mjKOpsn/4KNfk3X//m9S/+ePPlnyymlcyKh1D+leVn17FuSkRsW06haqkUD+aPp+ar6jeq&#10;qlyU97XDZZX+O0tlEm2yaiCZ4JDXAE7CF5DG6uAkWFnLpbKMBIzdGvrO0Y16tKgKP94rqxrd7ACF&#10;1QpXc/TJTfJUqbrd4ZbOauTc2mGdbqv69KzVcg0V2vy6XarXE9XSefeuOgGYb3Dy7fAah6lOTbgO&#10;Y0wKTTS3EapGbKQtBmJzbOJAIvUdOstIi1OdY2Qh3/N3LFTvcXwL3LP2ENV6Ygdq87CpDTe6Y6Oq&#10;15fgoMhrQ6RSyEPlmKLRuxI+hk6RnmSHkIcIxf01mXGjclaRpb8qDa5Rcl94ARYM1FlJDVkGiYPW&#10;Ah0pSXEjIdYf5zvK0nbg+IUszUAWd5oDB1362GUdD0mX5q06ZxUgjtLNBAd/KTJgidUYOxmwLajP&#10;YxCmD1hI1y5ME/xqflkN2/2FTsZtMgjRTWieO5UEz2eqB1BVpZBZ6krDoHQeUa2XrUDb32Lcdwtp&#10;GpVe5AoNoPWkdEqRiXvS39eWOWjTRuwr6/XlE/amKfw0hMG67EOZn5J9Sj1mK/uYrxS92qP7UAd/&#10;sxeXM0HiYcG8GZTFhtWxPBNlCB1YcSwtgzxc9XEObKV7xFAJQVaBkesNd2gf3DbccQ9dJKrRq7Pj&#10;bkcaYlz3LLQt3By0oQ4kMHEFyjVJk3/766s/fLWVKUXfzl5mC1iwcDZUUphez1tJ87CwsnQ26Nh7&#10;ipXHrQkYXOOoZfEdrmFY3U2f6hpzfd+jejRYAUfcQVWjnswNItSw4ntn44d2V6TW3F2+2l9mQLhB&#10;wFGe6QS+p3GuEpqq3W/ojNmHgwP7abIfx1QcNKxsAQXfFILoQWtSazBiCw+qUD2KwIyUViC6SE1n&#10;utOKfcXQ9xs1cF/vUU0JC8LKCoXiDVsDH7JUjKifWVa6XSDGKU9s7gsyGBh7dNy/siuMUNhBDKu5&#10;520rAm9bR4wdEFpWig7EsNgERpcBdAr2Hj37jlno1ZcYoqFAw69AhzIKxPWQzjiSBbO6Y6hODlsB&#10;Ybe0DmJoFoi1R6mDyhptux1wLwiIa6j+GGmrspRSLMqFh+4Qpd7zKLXtyeuTvgrheF65O4+DZqlm&#10;FWJIX4f09dD0FXGkvQtQr5OrNAEWudFBPXwCPYRljOIBmnx0g/I2jx2a+LDbn2pN0gTjITfxOSbh&#10;qpbs+ksg2HkMvEvBG3ZjNPtSGngbJJCDNyvtoCZGWX8bBuOe72GRVmEwruqpNT4iuScMZx40qx6t&#10;MY7JeN+KwXx3m+V46MhsLrGlPZLMcq3/N4OhOqk27lXbZBSbDNPOwNX3qlltu7Hy0/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5QwAAFtDb250&#10;ZW50X1R5cGVzXS54bWxQSwECFAAKAAAAAACHTuJAAAAAAAAAAAAAAAAABgAAAAAAAAAAABAAAADH&#10;CwAAX3JlbHMvUEsBAhQAFAAAAAgAh07iQIoUZjzRAAAAlAEAAAsAAAAAAAAAAQAgAAAA6wsAAF9y&#10;ZWxzLy5yZWxzUEsBAhQACgAAAAAAh07iQAAAAAAAAAAAAAAAAAQAAAAAAAAAAAAQAAAAAAAAAGRy&#10;cy9QSwECFAAUAAAACACHTuJAV8ekJtYAAAAFAQAADwAAAAAAAAABACAAAAAiAAAAZHJzL2Rvd25y&#10;ZXYueG1sUEsBAhQAFAAAAAgAh07iQOKev7h2CgAAoFkAAA4AAAAAAAAAAQAgAAAAJQEAAGRycy9l&#10;Mm9Eb2MueG1sUEsFBgAAAAAGAAYAWQEAAA0OAAAAAA==&#10;">
                      <o:lock v:ext="edit" aspectratio="f"/>
                      <v:shape id="画布 5" o:spid="_x0000_s1026" style="position:absolute;left:0;top:0;height:4584700;width:4962525;" filled="f" stroked="f" coordsize="21600,21600" o:gfxdata="UEsDBAoAAAAAAIdO4kAAAAAAAAAAAAAAAAAEAAAAZHJzL1BLAwQUAAAACACHTuJAV8ekJtYAAAAF&#10;AQAADwAAAGRycy9kb3ducmV2LnhtbE2PQUvDQBCF74L/YRnBi7S7CaglzaaHglhEKKba8zY7JsHs&#10;bJrdJvXfO3qpl+ENb3jvm3x1dp0YcQitJw3JXIFAqrxtqdbwvnuaLUCEaMiazhNq+MYAq+L6KjeZ&#10;9RO94VjGWnAIhcxoaGLsMylD1aAzYe57JPY+/eBM5HWopR3MxOGuk6lSD9KZlrihMT2uG6y+ypPT&#10;MFXbcb97fZbbu/3G03FzXJcfL1rf3iRqCSLiOV6O4Ref0aFgpoM/kQ2i08CPxL/J3uMiuQdxYJGm&#10;CmSRy//0xQ9QSwMEFAAAAAgAh07iQPEn+rQyCgAAHFkAAA4AAABkcnMvZTJvRG9jLnhtbO1cTY/j&#10;WBXdI/EfLO+7y+89+9mOOj0S1TQsEIw0A3tX4iRGjh1s10ezQiwYsWGJRhoEAgESaGA1KySYX9Mf&#10;/AvOfc92bCeuJK6iumvkWlQ5sev5416fc++5971nH92sY+MqzPIoTaYme2qZRpjM0nmULKfmjz99&#10;+cQzjbwIknkQp0k4NV+FufnR829/69n1ZhLydJXG8zAzMEiST643U3NVFJvJ2Vk+W4XrIH+absIE&#10;Oxdptg4KfMyWZ/MsuMbo6/iMW5Y8u06z+SZLZ2Ge49sXeqdZjpgdM2C6WESz8EU6u1yHSaFHzcI4&#10;KHBL+Sra5OZzdbWLRTgrfrRY5GFhxFMTd1qo3zgJti/o99nzZ8FkmQWbVTQrLyE45hI697QOogQn&#10;rYd6ERSBcZlFO0Oto1mW5umieDpL12f6RtQTwV0wq/NszoPkKtA3M8Ozri4QW/c47sWSrjtJX0Zx&#10;jKdxhtEn9B39vYa1Q9odJ+2D9Dfq2PKY6w3cId/UjpHf7RI/WQWbUJkxn8x+ePVxZkTzqclNIwnW&#10;cMq3f/jb63//yZBkPzozDvlk83FWfsqxSdd7s8jW9BeP2biBr0smHOGYxqupKZjty9L84U1hzLDf&#10;E5L72D3Dfm67FnNo+LPtOJssL74XpmuDNqZmBu9SRg+ufpAX+tDqEDptnsbRnB6r+pAtL87jzLgK&#10;4Ikv1U85euuwODGup6bvcLqOAK/XAm6NzfUGt58nS3W+1n/kzYEt9bNvYLqwF0G+0hegRqDDgsk6&#10;KsJMba3CYP7dZG4UrzZ4xAnefpMuZh3OTSMOARa0pY4sgig+5kg8O/Ic+Ek+0UahreLm4gbD0OZF&#10;On8F2wKO8DxXafZznBEvI271Z5dBhvMHyQxfT008A715Xui393KTRcsV/oupu6XB4H561P+7H4p7&#10;80OfWY7f8UNmuYzblSN6tu2pA0ZHHB2xRrsSEOEkdwBEIaRlc1BhDyAyYUuPAFMhosvc0RFHRNzP&#10;zLJyxHef/f2/v/j16y/+Q/zMhUJnAmcw9HlyiKG5bbs+UR8c0hbchu8pvqkY2gcuVgwt9c5+VMyL&#10;LCCKOE+TBEydZuw2sn544h1Kt0GWpdf7/XA/32qSxYNUPPxwLOn2+IQgo97uE8YijjY/IXJvxm+W&#10;7Qmv9A7u2E6HNx3Xlm6JVqN37MZtH5Z3IM3U1NVBDHuwdzjcE5rMmCU91+qAh+Myx8J+IrMDAdUI&#10;HVkzPn946GCwUxnYfPHV2399DSZp5no9TKJQ4/s7qCEcWaMGR8Dd5hQmHTobeQWTXFg6K+ynlThC&#10;XkSo1JP1PR4i6c/wbkMK471mXoxVjtGBDXcgbNjC9ok0YH4oMMxC3tUKOUbUMB9NwMFqfajjHN4R&#10;zpGlEBOeOLZWUBphB9zCF0QccBGPcZ0DBZMqJqWI1CmjDs65B6ghvOxVjWaX2VU4r4NSscUSOudy&#10;XuJeMP8pXH2xjiFHQjMyQF24Bj2yQh51jqbc9EDAM4eIpF+RoQFskUVBsozDxxDDslrqefPbz978&#10;7ss3f/wVuMhv+BPpjkZx852UFMbq+x4FknPBrTK/6dCQ5LZnlzwEsvPgUre60SHxsRZ0bxFvv1mi&#10;HLMramiYCo8Uj7FMNk4ylUQ2UWojjDY7vCCBCoACLY1AOMaho71Q2dlXx9gvGUBeL7Guaa/6FSol&#10;/WNfLWYxSQhJKM1sm+3wuPRI8Nf2cuyD+eH4ftWvTak1slrjadqLD3y/IHI7FvEm7OV6hIs00JZW&#10;HW65VbbGpSsOqT2jvXbs1aO/2MfoL/3REBlOlnYTPtMAu7Ubt5kKlpRkzPAaHuCxMRx6VOFQrdo0&#10;MaAp2ZzEsUIomYYwQDqWhzyshQE23AvFsYpjx5hoFvb2CvRwrL+PY9VjHhATQRwhVU1RrCtdildb&#10;9qKypVvZy7dIjRtjopNiIl7LG833q5m+nvR+ua4vqF5CHOtLqqy07NXiWFdYWlDvT11Hju1yLOpb&#10;lU45pCOlWYD1uW91JWuPO7VkzaW0wLt3eqH6G0fGjhQ8WILEx9qRUie/b7VgjgyIfGVAmY2jdgJJ&#10;S8O85UlbK1rbEE+6LopvmpYP5lEPIZfrFqBOw1Vvw9NQ2WqgDPqe9XLSKMo62y8/R03+3de/f/Ob&#10;v7z98q8G00pmw0Mo/8qL85tENdsRtkVzqFoqxYP5k3m9q7lHVZXL8r52uKb6ZahMYp+s6ksmOOQ1&#10;kJPwBKSxNjkJVtVyqSwjQWO3Qt8FOkFPFlXhxwdl1ZaQdqA5zwjiJfrkZkWmVN1+uKWz1nJu67Be&#10;t1V9ekYcraFC1/8dTNqteNpH9YPa03n3vjoBmFfz5P3ENTZTnZpwHcaYFDrQ3CJUK7CRlhgDm1MT&#10;BxKp79BZRlqc6hwjC3mut2Ohdo/jPcSerZeo1RM7hjaPO7Thte7YqeoNDXBQ5LUgUinmoXJM2ejd&#10;gI+xU2RgsEPMQwHFwzWZ8VrlbDLLcFUasUYV+8ILMGGgHZW0mGWUOGgezomSFK8lxPbrfEdZ2vJt&#10;r5SlGYLFnebAUZc+dVrHY9Kl+V6ds0kQJ+lmgiN+KTNgidkYOxmwJajPYxSmj5jEtl+YJvrV8WUT&#10;tocLnYxbZBAKN6F57lQSXI+pHkBVlUJmqSsNo9J5QrVe7iXa4RbjnlNK06j0IlfoEK0rpV2JTNyV&#10;3qG2zFGbrsW+ql5fvWHvusJPRxhsyz6U+SnZp9JjtrJPvUuFVwd0H+rg7/biciZIPCwjbwZlsWN1&#10;TM9EGUIDK46laZDHqz72ka10TxgqIcgqMHK74Q7tg9uGO+6ii0Q1egEm9nfc7UhDjOuehX0TN0dt&#10;qIcJalyBck3S5D//8frPX21lSjG0s5dZAhYsnQ2VFKbn8zbSPEysrJwNOvaBYuVpcwJG1zhppnuP&#10;a9RR3bD53o7nuVSPRlSAFiIUQztoM4pQ44zvnUUX9rsitebuxqvDZQbADQBHeabte67muQY0Nbvf&#10;0BlziAfH6Kcb/dh1xUHTypZQsKcURI+ak9qiEUu4UIV05FBNAIAZKa0AukgdzvSnFYeKoR82a+C+&#10;PqCaEiaEVRUKFTdsDXzMVDEK/aplQVAfqiaIccoTu+uCjAbGGh0Pr+yKWijsCQybuedtMwJvm0eM&#10;FRD2zBQdA8NyEZgPtJ5s1xO9hgaGaCjQ9CvQoQwAaEM640gW6tkdY3VyXAoIK5X1BIb1BLH9KHVU&#10;WWPfagfc9X2KNVR/jLRUWUopFlXc4Ywo9YGj1LYnb1hzqO265Qw0LMTDaOmLlgOM6euYvh6bvgJH&#10;9ncB6nlyjSbAMjc6qodPoIewwijuo8lHNyhv89ixiQ+r/anWJP3qPuYmPrtOuJolu+ESCFYeQ9yl&#10;6A2rMZJw3kK3VqfFKIEM6LSwa2X9PgzGXc/FJK3SYFzVU1sGk9wVdcw8GmyIweqM914M5jnbLMdF&#10;R2Z3ii2tkVRP1/qmGQzVSaxfu5mpZTLKBX5pVd7mZ9Wstl3U+Pn/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KEMAABbQ29udGVudF9UeXBlc10u&#10;eG1sUEsBAhQACgAAAAAAh07iQAAAAAAAAAAAAAAAAAYAAAAAAAAAAAAQAAAAgwsAAF9yZWxzL1BL&#10;AQIUABQAAAAIAIdO4kCKFGY80QAAAJQBAAALAAAAAAAAAAEAIAAAAKcLAABfcmVscy8ucmVsc1BL&#10;AQIUAAoAAAAAAIdO4kAAAAAAAAAAAAAAAAAEAAAAAAAAAAAAEAAAAAAAAABkcnMvUEsBAhQAFAAA&#10;AAgAh07iQFfHpCbWAAAABQEAAA8AAAAAAAAAAQAgAAAAIgAAAGRycy9kb3ducmV2LnhtbFBLAQIU&#10;ABQAAAAIAIdO4kDxJ/q0MgoAABxZAAAOAAAAAAAAAAEAIAAAACUBAABkcnMvZTJvRG9jLnhtbFBL&#10;BQYAAAAABgAGAFkBAADJDQAAAAA=&#10;">
                        <v:fill on="f" focussize="0,0"/>
                        <v:stroke on="f"/>
                        <v:imagedata o:title=""/>
                        <o:lock v:ext="edit" aspectratio="f"/>
                      </v:shape>
                      <v:rect id="矩形 6" o:spid="_x0000_s1026" o:spt="1" style="position:absolute;left:1613535;top:314960;height:247015;width:836295;" fillcolor="#FFFFFF" filled="t" stroked="t" coordsize="21600,21600" o:gfxdata="UEsDBAoAAAAAAIdO4kAAAAAAAAAAAAAAAAAEAAAAZHJzL1BLAwQUAAAACACHTuJAkqe+89QAAAAF&#10;AQAADwAAAGRycy9kb3ducmV2LnhtbE2PMU/DQAyFdyT+w8lIbPQuQUAJuXQAFYmxTRc2JzFJIOeL&#10;cpc28OsxLLBYz3rWe5/zzeIGdaQp9J4tJCsDirj2Tc+thUO5vVqDChG5wcEzWfikAJvi/CzHrPEn&#10;3tFxH1slIRwytNDFOGZah7ojh2HlR2Lx3vzkMMo6tbqZ8CThbtCpMbfaYc/S0OFIjx3VH/vZWaj6&#10;9IBfu/LZuPvtdXxZyvf59cnay4vEPICKtMS/Y/jBF3QohKnyMzdBDRbkkfg7xbtbJzegKhFpakAX&#10;uf5PX3wDUEsDBBQAAAAIAIdO4kDuopUHKgIAAGYEAAAOAAAAZHJzL2Uyb0RvYy54bWytVEuO00AQ&#10;3SNxh1bviT+ZhEkUZxYTwgbBSAMHqLTbdkv9o7sTO1wGiR2H4DiIa1DdNvODxSzwwq52lV/Ve1Xl&#10;zdWgJDlx54XRFS1mOSVcM1ML3Vb008f9q0tKfABdgzSaV/TMPb3avnyx6e2al6YzsuaOIIj2695W&#10;tAvBrrPMs44r8DNjuUZnY5yCgEfXZrWDHtGVzMo8X2a9cbV1hnHv8e1udNIJ0T0H0DSNYHxn2FFx&#10;HUZUxyUEpOQ7YT3dpmqbhrPwoWk8D0RWFJmGdMckaB/iPdtuYN06sJ1gUwnwnBKecFIgNCa9g9pB&#10;AHJ04i8oJZgz3jRhxozKRiJJEWRR5E+0ue3A8sQFpfb2TnT//2DZ+9ONI6KuaEmJBoUN//X1+88f&#10;38gyatNbv8aQW3vjppNHMxIdGqfiEymQAedoWcwX8wUl54rOi4vVcpKWD4Ew9F/Ol+UK3Qz95cXr&#10;vFhE+Owexzof3nKjSDQq6rBzSVA4vfNhDP0TEtN6I0W9F1Kmg2sP19KRE2CX9+ma0B+FSU36iq4W&#10;ZawDcHQbHBk0lUX6Xrcp36Mv/EPgPF3/Ao6F7cB3YwEJIYbBWonAXbI6DvUbXZNwtiixxs2isRjF&#10;a0okx0WMVooMIORzIlE7qVHC2KKxKdEKw2FAmGgeTH3G3uKqo56dcV8wIw46Uv18BIf5QTN8XVHU&#10;YDSvw7gZR+tE2+FXRWIbwXD8UrumVYnz/fCc6rj/PW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JKnvvPUAAAABQEAAA8AAAAAAAAAAQAgAAAAIgAAAGRycy9kb3ducmV2LnhtbFBLAQIUABQAAAAI&#10;AIdO4kDuopUHKgIAAGYEAAAOAAAAAAAAAAEAIAAAACMBAABkcnMvZTJvRG9jLnhtbFBLBQYAAAAA&#10;BgAGAFkBAAC/BQAAAAA=&#10;">
                        <v:fill on="t" focussize="0,0"/>
                        <v:stroke color="#000000" joinstyle="miter"/>
                        <v:imagedata o:title=""/>
                        <o:lock v:ext="edit" aspectratio="f"/>
                        <v:textbox>
                          <w:txbxContent>
                            <w:p w14:paraId="2BDDAC63">
                              <w:pPr>
                                <w:jc w:val="center"/>
                                <w:rPr>
                                  <w:rFonts w:hint="eastAsia" w:eastAsia="宋体"/>
                                  <w:sz w:val="18"/>
                                  <w:szCs w:val="18"/>
                                  <w:lang w:val="en-US" w:eastAsia="zh-CN"/>
                                </w:rPr>
                              </w:pPr>
                              <w:r>
                                <w:rPr>
                                  <w:rFonts w:hint="eastAsia"/>
                                  <w:sz w:val="18"/>
                                  <w:szCs w:val="18"/>
                                  <w:lang w:val="en-US" w:eastAsia="zh-CN"/>
                                </w:rPr>
                                <w:t>生活废水</w:t>
                              </w:r>
                            </w:p>
                          </w:txbxContent>
                        </v:textbox>
                      </v:rect>
                      <v:rect id="矩形 6" o:spid="_x0000_s1026" o:spt="1" style="position:absolute;left:1613535;top:910590;height:284480;width:1071245;" fillcolor="#FFFFFF" filled="t" stroked="t" coordsize="21600,21600" o:gfxdata="UEsDBAoAAAAAAIdO4kAAAAAAAAAAAAAAAAAEAAAAZHJzL1BLAwQUAAAACACHTuJAkqe+89QAAAAF&#10;AQAADwAAAGRycy9kb3ducmV2LnhtbE2PMU/DQAyFdyT+w8lIbPQuQUAJuXQAFYmxTRc2JzFJIOeL&#10;cpc28OsxLLBYz3rWe5/zzeIGdaQp9J4tJCsDirj2Tc+thUO5vVqDChG5wcEzWfikAJvi/CzHrPEn&#10;3tFxH1slIRwytNDFOGZah7ojh2HlR2Lx3vzkMMo6tbqZ8CThbtCpMbfaYc/S0OFIjx3VH/vZWaj6&#10;9IBfu/LZuPvtdXxZyvf59cnay4vEPICKtMS/Y/jBF3QohKnyMzdBDRbkkfg7xbtbJzegKhFpakAX&#10;uf5PX3wDUEsDBBQAAAAIAIdO4kBdThdAKwIAAGcEAAAOAAAAZHJzL2Uyb0RvYy54bWytVEuS0zAQ&#10;3VPFHVTaE9v5kXHFmcWEsKFgqgYO0JFlW1X6ISmxw2WoYschOA7FNWjJYX6wyAIvnJbVev3e61bW&#10;14OS5MidF0ZXtJjklHDNTC10W9FPH3evVpT4ALoGaTSv6Il7er15+WLd25JPTWdkzR1BEO3L3la0&#10;C8GWWeZZxxX4ibFc42ZjnIKAS9dmtYMe0ZXMpnm+zHrjausM497j1+24Sc+I7hJA0zSC8a1hB8V1&#10;GFEdlxBQku+E9XST2DYNZ+FD03geiKwoKg3pjUUw3sd3tllD2TqwnWBnCnAJhWeaFAiNRe+hthCA&#10;HJz4C0oJ5ow3TZgwo7JRSHIEVRT5M2/uOrA8aUGrvb033f8/WPb+eOuIqCs6o0SDwob/+vr9549v&#10;ZBm96a0vMeXO3rrzymMYhQ6NU/EXJZAB52hZzBazBSWnil4V+eLqbC0fAmFxP39dTOe4zzBhuprP&#10;VykhewCyzoe33CgSg4o6bF1yFI7vfMDimPonJdb1Rop6J6RMC9fub6QjR8A279IT2eORJ2lSkx7p&#10;LaaRB+DsNjgzGCqL+r1uU70nJ/xj4Dw9/wKOxLbgu5FAQohpUCoReHQOyo5D/UbXJJwseqzxatFI&#10;RvGaEsnxJsYoZQYQ8pJMVCc1iow9GrsSozDsB4SJ4d7UJ2wu3nX0szPuC1bESUepnw/gsD5ohp8r&#10;ih6M4U0Yr8bBOtF2eKpIaiMYzl8y9HxX4oA/XiceD/8Pm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Sp77z1AAAAAUBAAAPAAAAAAAAAAEAIAAAACIAAABkcnMvZG93bnJldi54bWxQSwECFAAUAAAA&#10;CACHTuJAXU4XQCsCAABnBAAADgAAAAAAAAABACAAAAAjAQAAZHJzL2Uyb0RvYy54bWxQSwUGAAAA&#10;AAYABgBZAQAAwAUAAAAA&#10;">
                        <v:fill on="t" focussize="0,0"/>
                        <v:stroke color="#000000" joinstyle="miter"/>
                        <v:imagedata o:title=""/>
                        <o:lock v:ext="edit" aspectratio="f"/>
                        <v:textbox>
                          <w:txbxContent>
                            <w:p w14:paraId="4F644F25">
                              <w:pPr>
                                <w:jc w:val="center"/>
                                <w:rPr>
                                  <w:rFonts w:hint="default" w:eastAsia="宋体"/>
                                  <w:lang w:val="en-US" w:eastAsia="zh-CN"/>
                                </w:rPr>
                              </w:pPr>
                              <w:r>
                                <w:rPr>
                                  <w:rFonts w:hint="eastAsia" w:eastAsia="宋体"/>
                                  <w:sz w:val="18"/>
                                  <w:szCs w:val="18"/>
                                  <w:lang w:val="en-US" w:eastAsia="zh-CN"/>
                                </w:rPr>
                                <w:t>设备清洗用水用</w:t>
                              </w:r>
                              <w:r>
                                <w:rPr>
                                  <w:rFonts w:hint="eastAsia" w:eastAsia="宋体"/>
                                  <w:lang w:val="en-US" w:eastAsia="zh-CN"/>
                                </w:rPr>
                                <w:t>水</w:t>
                              </w:r>
                            </w:p>
                          </w:txbxContent>
                        </v:textbox>
                      </v:rect>
                      <v:rect id="矩形 6" o:spid="_x0000_s1026" o:spt="1" style="position:absolute;left:3360420;top:314960;height:271780;width:1346835;" fillcolor="#FFFFFF" filled="t" stroked="t" coordsize="21600,21600" o:gfxdata="UEsDBAoAAAAAAIdO4kAAAAAAAAAAAAAAAAAEAAAAZHJzL1BLAwQUAAAACACHTuJAkqe+89QAAAAF&#10;AQAADwAAAGRycy9kb3ducmV2LnhtbE2PMU/DQAyFdyT+w8lIbPQuQUAJuXQAFYmxTRc2JzFJIOeL&#10;cpc28OsxLLBYz3rWe5/zzeIGdaQp9J4tJCsDirj2Tc+thUO5vVqDChG5wcEzWfikAJvi/CzHrPEn&#10;3tFxH1slIRwytNDFOGZah7ojh2HlR2Lx3vzkMMo6tbqZ8CThbtCpMbfaYc/S0OFIjx3VH/vZWaj6&#10;9IBfu/LZuPvtdXxZyvf59cnay4vEPICKtMS/Y/jBF3QohKnyMzdBDRbkkfg7xbtbJzegKhFpakAX&#10;uf5PX3wDUEsDBBQAAAAIAIdO4kAKAdnuLQIAAGcEAAAOAAAAZHJzL2Uyb0RvYy54bWytVM2O0zAQ&#10;viPxDpbvNEnb7XajpnvYUi4IVlp4gKnjJJb8h+02KS+DxI2H4HHQvgZjp+wfHHogB2ccj7+Z75uZ&#10;rK4HJcmBOy+MrmgxySnhmpla6Lainz9t3ywp8QF0DdJoXtEj9/R6/frVqrcln5rOyJo7giDal72t&#10;aBeCLbPMs44r8BNjucbDxjgFAbeuzWoHPaIrmU3zfJH1xtXWGca9x6+b8ZCeEN05gKZpBOMbw/aK&#10;6zCiOi4hICXfCevpOmXbNJyFj03jeSCyosg0pBWDoL2La7ZeQdk6sJ1gpxTgnBRecFIgNAZ9gNpA&#10;ALJ34i8oJZgz3jRhwozKRiJJEWRR5C+0uevA8sQFpfb2QXT//2DZh8OtI6Ku6AUlGhQW/P7bj18/&#10;v5NF1Ka3vkSXO3vrTjuPZiQ6NE7FN1IgQ0Vns0U+n6KqR7SL+dXiJC0fAmF4Xszmi+UMYzB0mF4W&#10;l8vkkD0CWefDO24UiUZFHZYuKQqH9z5gcHT94xLjeiNFvRVSpo1rdzfSkQNgmbfpidnjlWduUpO+&#10;olcX05gHYO822DNoKov8vW5TvGc3/FPgPD3/Ao6JbcB3YwIJIbpBqUTgUTkoOw71W12TcLSoscbR&#10;ojEZxWtKJMdJjFbyDCDkOZ7ITmokGWs0ViVaYdgNCBPNnamPWFycddSzM+4rRsROR6pf9uAwPmiG&#10;nyuKGozmTRhHY2+daDu8VSS2EQz7Lwl6mpXY4E/3KY/H/8P6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KnvvPUAAAABQEAAA8AAAAAAAAAAQAgAAAAIgAAAGRycy9kb3ducmV2LnhtbFBLAQIUABQA&#10;AAAIAIdO4kAKAdnuLQIAAGcEAAAOAAAAAAAAAAEAIAAAACMBAABkcnMvZTJvRG9jLnhtbFBLBQYA&#10;AAAABgAGAFkBAADCBQAAAAA=&#10;">
                        <v:fill on="t" focussize="0,0"/>
                        <v:stroke color="#000000" joinstyle="miter"/>
                        <v:imagedata o:title=""/>
                        <o:lock v:ext="edit" aspectratio="f"/>
                        <v:textbox>
                          <w:txbxContent>
                            <w:p w14:paraId="69E1D454">
                              <w:pPr>
                                <w:jc w:val="center"/>
                                <w:rPr>
                                  <w:rFonts w:hint="default" w:eastAsia="宋体"/>
                                  <w:sz w:val="11"/>
                                  <w:szCs w:val="11"/>
                                  <w:lang w:val="en-US" w:eastAsia="zh-CN"/>
                                </w:rPr>
                              </w:pPr>
                              <w:r>
                                <w:rPr>
                                  <w:rFonts w:hint="eastAsia"/>
                                  <w:sz w:val="18"/>
                                  <w:szCs w:val="18"/>
                                  <w:lang w:val="en-US" w:eastAsia="zh-CN"/>
                                </w:rPr>
                                <w:t>高新区海天污水处理厂</w:t>
                              </w:r>
                            </w:p>
                          </w:txbxContent>
                        </v:textbox>
                      </v:rect>
                      <v:shape id="自选图形 231" o:spid="_x0000_s1026" o:spt="32" type="#_x0000_t32" style="position:absolute;left:2447925;top:432435;height:635;width:912495;" filled="f" stroked="t" coordsize="21600,21600" o:gfxdata="UEsDBAoAAAAAAIdO4kAAAAAAAAAAAAAAAAAEAAAAZHJzL1BLAwQUAAAACACHTuJAwTGHbdQAAAAF&#10;AQAADwAAAGRycy9kb3ducmV2LnhtbE2PQU/DMAyF70j8h8hI3FjSisFUmu6AtEOlIcTgB2SNaSsa&#10;p2u8bvv3GC5wsZ71rPc+l+tzGNSMU+ojWcgWBhRSE31PrYWP983dClRiR94NkdDCBROsq+ur0hU+&#10;nugN5x23SkIoFc5CxzwWWqemw+DSIo5I4n3GKTiWdWq1n9xJwsOgc2MedHA9SUPnRnzusPnaHYOF&#10;vD7wZbOteX7l5csh5Nv7emysvb3JzBMoxjP/HcMPvqBDJUz7eCSf1GBBHuHfKd7jKluC2ovIcwO6&#10;KvV/+uobUEsDBBQAAAAIAIdO4kBwVzeMCQIAAPIDAAAOAAAAZHJzL2Uyb0RvYy54bWytU0uOEzEQ&#10;3SNxB8t70knnA2mlM4uEYYMgEnAAx3Z3W/JPLk862bFDnIEdS+4AtxkJbkHZHSYwsJgFWXTKXVWv&#10;3ntdXl0djSYHGUA5W9PJaEyJtNwJZduavnt7/eQZJRCZFUw7K2t6kkCv1o8frXpfydJ1TgsZCIJY&#10;qHpf0y5GXxUF8E4aBiPnpcVk44JhEY+hLURgPaIbXZTj8aLoXRA+OC4B8O12SNIzYngIoGsaxeXW&#10;8RsjbRxQg9QsoiTolAe6zmybRvL4umlARqJrikpjfuIQjPfpWaxXrGoD853iZwrsIRTuaTJMWRx6&#10;B7VlkZGboP6CMooHB66JI+5MMQjJjqCKyfieN2865mXWglaDvzMd/h8sf3XYBaJETReUWGbwg3//&#10;8OXH+4+3n77dfv1MyukkedR7qLB0Y3fhfAK/C0nwsQkm/aMUcqxpOZs9XZZzSk41nU3L2XQ+WCyP&#10;kXDMLyflbIlpjvnFkCwuID5AfCGdISmoKcTAVNvFjbMWv6QLk+wxO7yEiDSw8VdDYqAt6XHAPE3n&#10;DDezwY3A0HhUB7bNveC0EtdK69QBod1vdCAHlrYj/xJbxP2jLA3ZMuiGupwaRHWSiedWkHjy6JvF&#10;60ITBSMFJVri7UoRArIqMqUvlSwE1/+7FGdrixSS4YPFKdo7ccrO5/e4CpnkeW3Trv1+zt2Xq7r+&#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Exh23UAAAABQEAAA8AAAAAAAAAAQAgAAAAIgAAAGRy&#10;cy9kb3ducmV2LnhtbFBLAQIUABQAAAAIAIdO4kBwVzeMCQIAAPIDAAAOAAAAAAAAAAEAIAAAACMB&#10;AABkcnMvZTJvRG9jLnhtbFBLBQYAAAAABgAGAFkBAACeBQAAAAA=&#10;">
                        <v:fill on="f" focussize="0,0"/>
                        <v:stroke color="#000000" joinstyle="round" endarrow="open"/>
                        <v:imagedata o:title=""/>
                        <o:lock v:ext="edit" aspectratio="f"/>
                      </v:shape>
                      <v:shape id="自选图形 233" o:spid="_x0000_s1026" o:spt="32" type="#_x0000_t32" style="position:absolute;left:1048385;top:425450;flip:y;height:635;width:574675;" filled="f" stroked="t" coordsize="21600,21600" o:gfxdata="UEsDBAoAAAAAAIdO4kAAAAAAAAAAAAAAAAAEAAAAZHJzL1BLAwQUAAAACACHTuJAlWzMptQAAAAF&#10;AQAADwAAAGRycy9kb3ducmV2LnhtbE2PMU/DMBCFdyT+g3VIbNRORKEKcTqAmGChIFXd3PiIU+Jz&#10;sN0m/HsOFlhO7/RO731Xr2c/iBPG1AfSUCwUCKQ22J46DW+vj1crECkbsmYIhBq+MMG6OT+rTWXD&#10;RC942uROcAilymhwOY+VlKl16E1ahBGJvfcQvcm8xk7aaCYO94MslbqR3vTEDc6MeO+w/dgcvYbt&#10;s9ot5xDdYfd57Z76h2578JPWlxeFugORcc5/x/CDz+jQMNM+HMkmMWjgR/LvZO92VSxB7FmUpQLZ&#10;1PI/ffMNUEsDBBQAAAAIAIdO4kDkpadaDwIAAPwDAAAOAAAAZHJzL2Uyb0RvYy54bWytU82O0zAQ&#10;viPxDpbvNNm2aUvUdA8tywVBJX7uruMklvynsbdpb9wQz8CNI+8Ab7MSvAVjJ+zCwmEP5BDNeGa+&#10;me/zeH150oocBXhpTUUvJjklwnBbS9NW9O2bqycrSnxgpmbKGlHRs/D0cvP40bp3pZjazqpaAEEQ&#10;48veVbQLwZVZ5nknNPMT64TBYGNBs4AutFkNrEd0rbJpni+y3kLtwHLhPZ7uhiAdEeEhgLZpJBc7&#10;y6+1MGFABaFYQEq+k87TTZq2aQQPr5rGi0BURZFpSH9sgvYh/rPNmpUtMNdJPo7AHjLCPU6aSYNN&#10;b6F2LDByDfIvKC05WG+bMOFWZwORpAiyuMjvafO6Y04kLii1d7ei+/8Hy18e90BkXdElJYZpvPDv&#10;H778eP/x5tO3m6+fyXQ2ixr1zpeYujV7GD3v9hAJnxrQpFHSvcNlShIgKXJCJ5+vZquCknNF59Ni&#10;Xoxii1MgHOPFcr5YYphjfDErYpdsgIuwDnx4Lqwm0aioD8Bk24WtNQbv1MLQih1f+DAU/iqIxcqQ&#10;vqJPi2mEZ7ijDe4GmtohT2/aNKa3StZXUqlY4aE9bBWQI4t7kr5xoD/SYpMd892Ql0IxjZWdYPUz&#10;U5NwdqigwYdD4wha1JQoge8sWikzMKnuMhmA7f+dimIog5pE6Qexo3Ww9TndQTrHpUiqjQsct+53&#10;P1XfPdrN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VszKbUAAAABQEAAA8AAAAAAAAAAQAgAAAA&#10;IgAAAGRycy9kb3ducmV2LnhtbFBLAQIUABQAAAAIAIdO4kDkpadaDwIAAPwDAAAOAAAAAAAAAAEA&#10;IAAAACMBAABkcnMvZTJvRG9jLnhtbFBLBQYAAAAABgAGAFkBAACkBQAAAAA=&#10;">
                        <v:fill on="f" focussize="0,0"/>
                        <v:stroke color="#000000" joinstyle="round" endarrow="open"/>
                        <v:imagedata o:title=""/>
                        <o:lock v:ext="edit" aspectratio="f"/>
                      </v:shape>
                      <v:shape id="自选图形 234" o:spid="_x0000_s1026" o:spt="32" type="#_x0000_t32" style="position:absolute;left:1052830;top:1068705;flip:y;height:0;width:571500;" filled="f" stroked="t" coordsize="21600,21600" o:gfxdata="UEsDBAoAAAAAAIdO4kAAAAAAAAAAAAAAAAAEAAAAZHJzL1BLAwQUAAAACACHTuJAlWzMptQAAAAF&#10;AQAADwAAAGRycy9kb3ducmV2LnhtbE2PMU/DMBCFdyT+g3VIbNRORKEKcTqAmGChIFXd3PiIU+Jz&#10;sN0m/HsOFlhO7/RO731Xr2c/iBPG1AfSUCwUCKQ22J46DW+vj1crECkbsmYIhBq+MMG6OT+rTWXD&#10;RC942uROcAilymhwOY+VlKl16E1ahBGJvfcQvcm8xk7aaCYO94MslbqR3vTEDc6MeO+w/dgcvYbt&#10;s9ot5xDdYfd57Z76h2578JPWlxeFugORcc5/x/CDz+jQMNM+HMkmMWjgR/LvZO92VSxB7FmUpQLZ&#10;1PI/ffMNUEsDBBQAAAAIAIdO4kAP3/U2EAIAAPsDAAAOAAAAZHJzL2Uyb0RvYy54bWytU81uEzEQ&#10;viPxDpbvZDcp24Yomx4SygVBJX7uE69315L/NHazyY0b4hm4ceQdyttUgrdg7A0tFA49sIfVjD3z&#10;zXzfjJfne6PZTmJQztZ8Oik5k1a4Rtmu5u/eXjyZcxYi2Aa0s7LmBxn4+erxo+XgF3LmeqcbiYxA&#10;bFgMvuZ9jH5RFEH00kCYOC8tXbYODURysSsahIHQjS5mZXlaDA4bj07IEOh0M17yIyI+BNC1rRJy&#10;48SVkTaOqCg1RKIUeuUDX+Vu21aK+Lptg4xM15yYxvynImRv079YLWHRIfheiWML8JAW7nEyoCwV&#10;vYXaQAR2heovKKMEuuDaOBHOFCORrAixmJb3tHnTg5eZC0kd/K3o4f/Bile7S2SqqTmN3YKhgX//&#10;+PXHh083n7/dXH9hs5OnSaPBhwWFru0lHr3gLzER3rdoWKuVf0/LlCUgUmxPTlnN5iek8yHZp/Oz&#10;shrVlvvIBAVUZ9OqpHtBAXkQxYiWUD2G+EI6w5JR8xARVNfHtbOWRupwrAS7lyFSP5T4KyEla8uG&#10;mj+rZhWBA61oS6tBpvFEM9gudxmcVs2F0jplBOy2a41sB2lN8pd6Jdw/wlKRDYR+jMtXI6VeQvPc&#10;NiwePAlo6d3w1IKRDWda0jNLFgHCIoLSd5GA6IZ/h1JtbamFpPyodbK2rjnkEeRz2onc5HF/09L9&#10;7ufsuze7+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VbMym1AAAAAUBAAAPAAAAAAAAAAEAIAAA&#10;ACIAAABkcnMvZG93bnJldi54bWxQSwECFAAUAAAACACHTuJAD9/1NhACAAD7AwAADgAAAAAAAAAB&#10;ACAAAAAjAQAAZHJzL2Uyb0RvYy54bWxQSwUGAAAAAAYABgBZAQAApQUAAAAA&#10;">
                        <v:fill on="f" focussize="0,0"/>
                        <v:stroke color="#000000" joinstyle="round" endarrow="open"/>
                        <v:imagedata o:title=""/>
                        <o:lock v:ext="edit" aspectratio="f"/>
                      </v:shape>
                      <v:line id="直线 236" o:spid="_x0000_s1026" o:spt="20" style="position:absolute;left:1035685;top:422910;flip:x;height:1623060;width:16510;" filled="f" stroked="t" coordsize="21600,21600" o:gfxdata="UEsDBAoAAAAAAIdO4kAAAAAAAAAAAAAAAAAEAAAAZHJzL1BLAwQUAAAACACHTuJA5fWV99QAAAAF&#10;AQAADwAAAGRycy9kb3ducmV2LnhtbE2PQU/DMAyF70j7D5EncWNJi4BRmk7TBFyQkBiFc9qYtiJx&#10;qibrxr/HcIGL9axnvfe53Jy8EzNOcQikIVspEEhtsAN1GurXh4s1iJgMWeMCoYYvjLCpFmelKWw4&#10;0gvO+9QJDqFYGA19SmMhZWx79CauwojE3keYvEm8Tp20kzlyuHcyV+paejMQN/RmxF2P7ef+4DVs&#10;35/uL5/nxgdnb7v6zfpaPeZany8zdQci4Sn9HcMPPqNDxUxNOJCNwmngR9LvZO9mnV2BaFjkuQJZ&#10;lfI/ffUNUEsDBBQAAAAIAIdO4kDCsOdi/gEAAPcDAAAOAAAAZHJzL2Uyb0RvYy54bWytU0uOEzEQ&#10;3SNxB8t70kmHtGZa6cxiwsACQSTgAI4/3Zb8k8tJJ2fhGqzYcJy5BmV3GGDYZEEvrLKr/Oq91+X1&#10;3ckacpQRtHcdXczmlEjHvdCu7+iXzw+vbiiBxJxgxjvZ0bMEerd5+WI9hlbWfvBGyEgQxEE7ho4O&#10;KYW2qoAP0jKY+SAdJpWPliXcxr4SkY2Ibk1Vz+dNNfooQvRcAuDpdkrSC2K8BtArpbncen6w0qUJ&#10;NUrDEkqCQQegm8JWKcnTR6VAJmI6ikpTWbEJxvu8Vps1a/vIwqD5hQK7hsIzTZZph02foLYsMXKI&#10;+h8oq3n04FWacW+rSUhxBFUs5s+8+TSwIIsWtBrCk+nw/2D5h+MuEi1wEtASxyz+8cev3x6//yD1&#10;ssn2jAFarLp3u3jZQdjFrPWkoiXK6PAObxf1qIecMtRy1dysKDl39HVd3yJ08VmeEuE536xyN47p&#10;RVMv503JVxNiRg4R0lvpLclBR4122QbWsuN7SAiFpb9K8rFxZOzo7arGlpzhTCqcBQxtQF3g+nIX&#10;vNHiQRuTb0Ds9/cmkiPLc1G+TBFx/yrLTbYMhqmupCYlg2TijRMknQMa5vCh0EzBSkGJkfiuclQ0&#10;J6bNNZXY2jhkkO2eDM7R3osz/p9DiLof0IlFYZkzOA+F72V288D9uS9Iv9/r5i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l9ZX31AAAAAUBAAAPAAAAAAAAAAEAIAAAACIAAABkcnMvZG93bnJldi54&#10;bWxQSwECFAAUAAAACACHTuJAwrDnYv4BAAD3AwAADgAAAAAAAAABACAAAAAjAQAAZHJzL2Uyb0Rv&#10;Yy54bWxQSwUGAAAAAAYABgBZAQAAkwUAAAAA&#10;">
                        <v:fill on="f" focussize="0,0"/>
                        <v:stroke color="#000000" joinstyle="round"/>
                        <v:imagedata o:title=""/>
                        <o:lock v:ext="edit" aspectratio="f"/>
                      </v:line>
                      <v:shape id="自选图形 237" o:spid="_x0000_s1026" o:spt="32" type="#_x0000_t32" style="position:absolute;left:434975;top:2011045;flip:y;height:0;width:571500;" filled="f" stroked="t" coordsize="21600,21600" o:gfxdata="UEsDBAoAAAAAAIdO4kAAAAAAAAAAAAAAAAAEAAAAZHJzL1BLAwQUAAAACACHTuJAlWzMptQAAAAF&#10;AQAADwAAAGRycy9kb3ducmV2LnhtbE2PMU/DMBCFdyT+g3VIbNRORKEKcTqAmGChIFXd3PiIU+Jz&#10;sN0m/HsOFlhO7/RO731Xr2c/iBPG1AfSUCwUCKQ22J46DW+vj1crECkbsmYIhBq+MMG6OT+rTWXD&#10;RC942uROcAilymhwOY+VlKl16E1ahBGJvfcQvcm8xk7aaCYO94MslbqR3vTEDc6MeO+w/dgcvYbt&#10;s9ot5xDdYfd57Z76h2578JPWlxeFugORcc5/x/CDz+jQMNM+HMkmMWjgR/LvZO92VSxB7FmUpQLZ&#10;1PI/ffMNUEsDBBQAAAAIAIdO4kDSTaBREgIAAPsDAAAOAAAAZHJzL2Uyb0RvYy54bWytU72OEzEQ&#10;7pF4B8s92U0uIdwqmysSjgZBJH76idebteQ/jX3ZpKNDPAMdJe9wvM1J8BaMveEODoor2GI19sx8&#10;M98348XFwWi2lxiUszUfj0rOpBWuUXZX83dvL5884yxEsA1oZ2XNjzLwi+XjR4veV3LiOqcbiYxA&#10;bKh6X/MuRl8VRRCdNBBGzktLztahgUhH3BUNQk/oRheTsnxa9A4bj07IEOh2PTj5CREfAujaVgm5&#10;duLKSBsHVJQaIlEKnfKBL3O3bStFfN22QUama05MY/5TEbK36V8sF1DtEHynxKkFeEgL9zgZUJaK&#10;3kKtIQK7QvUXlFECXXBtHAlnioFIVoRYjMt72rzpwMvMhaQO/lb08P9gxav9BplqaBPGnFkwNPHv&#10;H7/++PDp5vO3m+svbHI2TyL1PlQUu7IbPJ2C32BifGjRsFYr/54wsgbEih1qPj2bns9nnB1rTtzG&#10;5XQ2qC0PkQnyz+bjWUlzEBSQB1EMYAnUY4gvpDMsGTUPEUHturhy1tJIHQ6FYP8yRGqHEn8lpGRt&#10;WV/z89mEigugFW1pNcg0nmgGu8tNBqdVc6m0ThkBd9uVRraHtCb5S70S7h9hqcgaQjfEZddAqZPQ&#10;PLcNi0dP+ll6Nzy1YGTDmZb0zJJFgFBFUPouEhBd/+9Qqq0ttZCEH6RO1tY1xzyBfE87kZs87W9a&#10;ut/POfvuzS5/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VszKbUAAAABQEAAA8AAAAAAAAAAQAg&#10;AAAAIgAAAGRycy9kb3ducmV2LnhtbFBLAQIUABQAAAAIAIdO4kDSTaBREgIAAPsDAAAOAAAAAAAA&#10;AAEAIAAAACMBAABkcnMvZTJvRG9jLnhtbFBLBQYAAAAABgAGAFkBAACnBQAAAAA=&#10;">
                        <v:fill on="f" focussize="0,0"/>
                        <v:stroke color="#000000" joinstyle="round" endarrow="open"/>
                        <v:imagedata o:title=""/>
                        <o:lock v:ext="edit" aspectratio="f"/>
                      </v:shape>
                      <v:shape id="自选图形 238" o:spid="_x0000_s1026" o:spt="38" type="#_x0000_t38" style="position:absolute;left:2019300;top:81280;height:222885;width:249555;rotation:-5898240f;" filled="f" stroked="t" coordsize="21600,21600" o:gfxdata="UEsDBAoAAAAAAIdO4kAAAAAAAAAAAAAAAAAEAAAAZHJzL1BLAwQUAAAACACHTuJAUaIjNdUAAAAF&#10;AQAADwAAAGRycy9kb3ducmV2LnhtbE2PMU/DQAyFdyT+w8lIbPSSIKAKuXRAFCGhDi0MHZ2cm6TN&#10;+aLctSn/HsNCF+tZz3rvc7E4u16daAydZwPpLAFFXHvbcWPg63N5NwcVIrLF3jMZ+KYAi/L6qsDc&#10;+onXdNrERkkIhxwNtDEOudahbslhmPmBWLydHx1GWcdG2xEnCXe9zpLkUTvsWBpaHOilpfqwOToD&#10;w/t+uzp83G+xel1NHN6mar1sjLm9SZNnUJHO8f8YfvEFHUphqvyRbVC9AXkk/k3xnubpA6hKRJYl&#10;oMtCX9KXP1BLAwQUAAAACACHTuJAj4TnPCoCAAAxBAAADgAAAGRycy9lMm9Eb2MueG1srVPNjtMw&#10;EL4j8Q6W79uk6QalUdM9tCwXBJWAB3BtJzHyn2y3aW/cEM/AjSPvwL7NSvAWjJ2wC4uQ9oAP1tgz&#10;/ma+b8arq5OS6MidF0Y3eD7LMeKaGiZ01+B3b68vKox8IJoRaTRv8Jl7fLV++mQ12JoXpjeScYcA&#10;RPt6sA3uQ7B1lnnac0X8zFiuwdkap0iAo+sy5sgA6EpmRZ4/ywbjmHWGcu/hdjs68YToHgNo2lZQ&#10;vjX0oLgOI6rjkgSg5HthPV6natuW0/C6bT0PSDYYmIa0QxKw93HP1itSd47YXtCpBPKYEh5wUkRo&#10;SHoHtSWBoIMTf0EpQZ3xpg0zalQ2EkmKAIt5/kCbNz2xPHEBqb29E93/P1j66rhzSDCYhAIjTRR0&#10;/PvHrz8+fLr9fHP77QsqFlUUabC+htiN3rnp5O3ORcan1inkDCh7UV7mcSUhgBo6NRhYLRdwhc4N&#10;ruZFNSnOTwHR6L5clmWJEQV3URRVVcZk2Yga0a3z4QU3CkWjwfTgjpxtjNbQWeMWKRU5vvQhic8m&#10;BoS9n2PUKgm9PBKJylTWiDxFQ45f2PGp1Gho8LIsYjEExrqFcQJTWZDG6y4l8kYKdi2kjC+86/Yb&#10;6RDgwyClNdX+R1hMsiW+H+MYWDGK1D0n7LlmKJwtSK7hq+FYgeIMI8nhZ0YrRQYi5H1kcILoTv4j&#10;GlhJDQLGdo0NitbesHPqW7qHSUoST1MfR/X3c3p9/9PXP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RoiM11QAAAAUBAAAPAAAAAAAAAAEAIAAAACIAAABkcnMvZG93bnJldi54bWxQSwECFAAUAAAA&#10;CACHTuJAj4TnPCoCAAAxBAAADgAAAAAAAAABACAAAAAkAQAAZHJzL2Uyb0RvYy54bWxQSwUGAAAA&#10;AAYABgBZAQAAwAUAAAAA&#10;" adj="10800">
                        <v:fill on="f" focussize="0,0"/>
                        <v:stroke color="#000000" joinstyle="round" dashstyle="dash" endarrow="block"/>
                        <v:imagedata o:title=""/>
                        <o:lock v:ext="edit" aspectratio="f"/>
                      </v:shape>
                      <v:shape id="文本框 239" o:spid="_x0000_s1026" o:spt="202" type="#_x0000_t202" style="position:absolute;left:2232025;top:0;height:236855;width:62484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FG/SZLSAQAAiQMAAA4AAABkcnMvZTJvRG9jLnhtbK1TwY7TMBC9&#10;I/EPlu802XRblajpSlAtFwRICx/gOk5jKfaYsdukfAD8AScu3Pmufgdjp+3C7mUPe3HGM5M3896M&#10;lzeD6dheoddgK341yTlTVkKt7bbiXz7fvlpw5oOwtejAqooflOc3q5cvlr0rVQEtdLVCRiDWl72r&#10;eBuCK7PMy1YZ4SfglKVgA2hEoCtusxpFT+imy4o8n2c9YO0QpPKevOsxyE+I+BRAaBot1Rrkzigb&#10;RlRUnQhEybfaeb5K3TaNkuFj03gVWFdxYhrSSUXI3sQzWy1FuUXhWi1PLYintPCAkxHaUtEL1FoE&#10;wXaoH0EZLRE8NGEiwWQjkaQIsbjKH2hz1wqnEheS2ruL6P75YOWH/SdkuqZNmHJmhaGJH3/+OP76&#10;c/z9nRXT11Gh3vmSEu8cpYbhDQyUffZ7ckbiQ4MmfokSo3hRTIu8mHF2uKishsAkhebF9eKa9JcU&#10;KqbzxWwWsbJ7CIc+vFNgWDQqjjTEpK3Yv/dhTD2nxIoWbnXXpUF29j8HYUZPFvsf+4xWGDbDidQG&#10;6gNxotdAdVrAb5z1tAsV9193AhVnwkpyVzyczbdhXJ6dQ71t6a8kRKpAE0o0TtsUV+Dfe+rj/gWt&#10;/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7GN3k0wAAAAUBAAAPAAAAAAAAAAEAIAAAACIAAABk&#10;cnMvZG93bnJldi54bWxQSwECFAAUAAAACACHTuJAUb9JktIBAACJAwAADgAAAAAAAAABACAAAAAi&#10;AQAAZHJzL2Uyb0RvYy54bWxQSwUGAAAAAAYABgBZAQAAZgUAAAAA&#10;">
                        <v:fill on="f" focussize="0,0"/>
                        <v:stroke on="f"/>
                        <v:imagedata o:title=""/>
                        <o:lock v:ext="edit" aspectratio="f"/>
                        <v:textbox>
                          <w:txbxContent>
                            <w:p w14:paraId="6B128BA6">
                              <w:pPr>
                                <w:rPr>
                                  <w:rFonts w:hint="default" w:eastAsia="宋体"/>
                                  <w:sz w:val="18"/>
                                  <w:szCs w:val="18"/>
                                  <w:lang w:val="en-US" w:eastAsia="zh-CN"/>
                                </w:rPr>
                              </w:pPr>
                              <w:r>
                                <w:rPr>
                                  <w:rFonts w:hint="eastAsia"/>
                                  <w:sz w:val="18"/>
                                  <w:szCs w:val="18"/>
                                  <w:lang w:val="en-US" w:eastAsia="zh-CN"/>
                                </w:rPr>
                                <w:t>23.04t/a</w:t>
                              </w:r>
                            </w:p>
                          </w:txbxContent>
                        </v:textbox>
                      </v:shape>
                      <v:shape id="文本框 240" o:spid="_x0000_s1026" o:spt="202" type="#_x0000_t202" style="position:absolute;left:2674620;top:174625;height:236220;width:60198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GvA8sTTAQAAjgMAAA4AAABkcnMvZTJvRG9jLnhtbK1TwY7TMBC9&#10;I/EPlu80aShhN2q6ElTLBQHSsh/gOk5jKfYYj9ukfAD8AScu3Pe7+h2Mne4WlsseuDjjmcmbeW/G&#10;y6vR9GyvPGqwNZ/Pcs6UldBou6357efrFxecYRC2ET1YVfODQn61ev5sObhKFdBB3yjPCMRiNbia&#10;dyG4KstQdsoInIFTloIteCMCXf02a7wYCN30WZHnZTaAb5wHqRDJu56C/ITonwIIbaulWoPcGWXD&#10;hOpVLwJRwk475KvUbdsqGT62LarA+poT05BOKkL2Jp7ZaimqrReu0/LUgnhKC484GaEtFX2AWosg&#10;2M7rf6CMlh4Q2jCTYLKJSFKEWMzzR9rcdMKpxIWkRvcgOv4/WPlh/8kz3dAmLDizwtDEjz++H3/e&#10;HX99Y8UiKTQ4rCjxxlFqGN/ASNlRuehHckbiY+tN/BIlRvGifL0oC1L5QLnRfDVJrcbAJMXLfH55&#10;QWFJ8eJlWVAqAWZnHOcxvFNgWDRq7mmSSWCxf49hSr1PiWUtXOu+T9Ps7V8Owoye7NxstMK4GU8M&#10;NtAciBg9CarTgf/K2UALUXP8shNecSasJHfNw735NkwbtHNebzv6K6mRKtCYEo3TSsU9+POe+jg/&#10;o9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uxjd5NMAAAAFAQAADwAAAAAAAAABACAAAAAiAAAA&#10;ZHJzL2Rvd25yZXYueG1sUEsBAhQAFAAAAAgAh07iQGvA8sTTAQAAjgMAAA4AAAAAAAAAAQAgAAAA&#10;IgEAAGRycy9lMm9Eb2MueG1sUEsFBgAAAAAGAAYAWQEAAGcFAAAAAA==&#10;">
                        <v:fill on="f" focussize="0,0"/>
                        <v:stroke on="f"/>
                        <v:imagedata o:title=""/>
                        <o:lock v:ext="edit" aspectratio="f"/>
                        <v:textbox>
                          <w:txbxContent>
                            <w:p w14:paraId="3A5478B8">
                              <w:pPr>
                                <w:jc w:val="center"/>
                                <w:rPr>
                                  <w:rFonts w:hint="default" w:eastAsia="宋体"/>
                                  <w:sz w:val="18"/>
                                  <w:szCs w:val="18"/>
                                  <w:lang w:val="en-US" w:eastAsia="zh-CN"/>
                                </w:rPr>
                              </w:pPr>
                              <w:r>
                                <w:rPr>
                                  <w:rFonts w:hint="eastAsia"/>
                                  <w:sz w:val="18"/>
                                  <w:szCs w:val="18"/>
                                  <w:lang w:val="en-US" w:eastAsia="zh-CN"/>
                                </w:rPr>
                                <w:t>92.16t/a</w:t>
                              </w:r>
                            </w:p>
                          </w:txbxContent>
                        </v:textbox>
                      </v:shape>
                      <v:shape id="文本框 241" o:spid="_x0000_s1026" o:spt="202" type="#_x0000_t202" style="position:absolute;left:1016000;top:144145;height:254635;width:56896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Pd6/JTWAQAAjgMAAA4AAABkcnMvZTJvRG9jLnhtbK1TzY7TMBC+&#10;I/EOlu80SUmrJWq6ElTLBQHSwgO4jtNYin+YcZuUB4A34MSFO8/V59ix0+7CctkDF2c8M/lmvm/G&#10;q+vR9OygALWzNS9mOWfKStdou6v55083L644wyBsI3pnVc2PCvn1+vmz1eArNXed6xsFjEAsVoOv&#10;eReCr7IMZaeMwJnzylKwdWBEoCvssgbEQOimz+Z5vswGB40HJxUieTdTkJ8R4SmArm21VBsn90bZ&#10;MKGC6kUgSthpj3ydum1bJcOHtkUVWF9zYhrSSUXI3sYzW69EtQPhOy3PLYintPCIkxHaUtF7qI0I&#10;gu1B/wNltASHrg0z6Uw2EUmKEIsif6TNbSe8SlxIavT3ouP/g5XvDx+B6YY2YcGZFYYmfvrx/fTz&#10;9+nXNzYvi6jQ4LGixFtPqWF87UbKvviRnJH42IKJX6LEYjwvlnlOKh/JLsuiXExSqzEwSfHF8urV&#10;ksKS4vNFuXyZ4tkDjgcMb5UzLBo1B5pkElgc3mGgnij1khLLWnej+z5Ns7d/OSgxerJIYmo2WmHc&#10;jmdmW9cciRg9CarTOfjK2UALUXP8shegOBNWkrvm4WK+CdMG7T3oXUd/JTVSBRpT6u28UnEP/ryn&#10;Ph6e0f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uxjd5NMAAAAFAQAADwAAAAAAAAABACAAAAAi&#10;AAAAZHJzL2Rvd25yZXYueG1sUEsBAhQAFAAAAAgAh07iQPd6/JTWAQAAjgMAAA4AAAAAAAAAAQAg&#10;AAAAIgEAAGRycy9lMm9Eb2MueG1sUEsFBgAAAAAGAAYAWQEAAGoFAAAAAA==&#10;">
                        <v:fill on="f" focussize="0,0"/>
                        <v:stroke on="f"/>
                        <v:imagedata o:title=""/>
                        <o:lock v:ext="edit" aspectratio="f"/>
                        <v:textbox>
                          <w:txbxContent>
                            <w:p w14:paraId="4A648AE6">
                              <w:pPr>
                                <w:jc w:val="center"/>
                                <w:rPr>
                                  <w:rFonts w:hint="default" w:eastAsia="宋体"/>
                                  <w:sz w:val="18"/>
                                  <w:szCs w:val="18"/>
                                  <w:lang w:val="en-US" w:eastAsia="zh-CN"/>
                                </w:rPr>
                              </w:pPr>
                              <w:r>
                                <w:rPr>
                                  <w:rFonts w:hint="eastAsia"/>
                                  <w:sz w:val="18"/>
                                  <w:szCs w:val="18"/>
                                  <w:lang w:val="en-US" w:eastAsia="zh-CN"/>
                                </w:rPr>
                                <w:t>115.2t/a</w:t>
                              </w:r>
                            </w:p>
                          </w:txbxContent>
                        </v:textbox>
                      </v:shape>
                      <v:shape id="文本框 242" o:spid="_x0000_s1026" o:spt="202" type="#_x0000_t202" style="position:absolute;left:1075055;top:782320;height:267335;width:52070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Du0ikXWAQAAjgMAAA4AAABkcnMvZTJvRG9jLnhtbK1TzY7TMBC+&#10;I/EOlu802ZS2q6jpSlAtFwRICw/gOk5jKf5hxm1SHgDegBMX7jxXn4Oxk+7CctkDF2c8M/lmvm/G&#10;65vBdOyoALWzFb+a5ZwpK12t7b7inz7evrjmDIOwteicVRU/KeQ3m+fP1r0vVeFa19UKGIFYLHtf&#10;8TYEX2YZylYZgTPnlaVg48CIQFfYZzWIntBNlxV5vsx6B7UHJxUiebdjkE+I8BRA1zRaqq2TB6Ns&#10;GFFBdSIQJWy1R75J3TaNkuF906AKrKs4MQ3ppCJk7+KZbdai3IPwrZZTC+IpLTziZIS2VPQeaiuC&#10;YAfQ/0AZLcGha8JMOpONRJIixOIqf6TNXSu8SlxIavT3ouP/g5Xvjh+A6Zo2YcmZFYYmfv7+7fzj&#10;1/nnV1a8LKJCvceSEu88pYbhlRso++JHckbiQwMmfokSi/F8tcgXC85OFV9dF/NikloNgUmKL4p8&#10;ldMQJMWL5Wo+X0TA7AHHA4Y3yhkWjYoDTTIJLI5vMYypl5RY1rpb3XVpmp39y0GY0ZNFEmOz0QrD&#10;bpiY7Vx9ImL0JKhO6+ALZz0tRMXx80GA4kxYSe6Kh4v5OowbdPCg9y39ldRIFWhMica0UnEP/ryn&#10;Ph6e0eY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uxjd5NMAAAAFAQAADwAAAAAAAAABACAAAAAi&#10;AAAAZHJzL2Rvd25yZXYueG1sUEsBAhQAFAAAAAgAh07iQDu0ikXWAQAAjgMAAA4AAAAAAAAAAQAg&#10;AAAAIgEAAGRycy9lMm9Eb2MueG1sUEsFBgAAAAAGAAYAWQEAAGoFAAAAAA==&#10;">
                        <v:fill on="f" focussize="0,0"/>
                        <v:stroke on="f"/>
                        <v:imagedata o:title=""/>
                        <o:lock v:ext="edit" aspectratio="f"/>
                        <v:textbox>
                          <w:txbxContent>
                            <w:p w14:paraId="11D4D509">
                              <w:pPr>
                                <w:jc w:val="center"/>
                                <w:rPr>
                                  <w:rFonts w:hint="default" w:eastAsia="宋体"/>
                                  <w:sz w:val="18"/>
                                  <w:szCs w:val="18"/>
                                  <w:lang w:val="en-US" w:eastAsia="zh-CN"/>
                                </w:rPr>
                              </w:pPr>
                              <w:r>
                                <w:rPr>
                                  <w:rFonts w:hint="eastAsia"/>
                                  <w:sz w:val="18"/>
                                  <w:szCs w:val="18"/>
                                  <w:lang w:val="en-US" w:eastAsia="zh-CN"/>
                                </w:rPr>
                                <w:t>600t/a</w:t>
                              </w:r>
                            </w:p>
                          </w:txbxContent>
                        </v:textbox>
                      </v:shape>
                      <v:shape id="自选图形 243" o:spid="_x0000_s1026" o:spt="38" type="#_x0000_t38" style="position:absolute;left:2107565;top:739140;height:211455;width:241300;rotation:-5898240f;" filled="f" stroked="t" coordsize="21600,21600" o:gfxdata="UEsDBAoAAAAAAIdO4kAAAAAAAAAAAAAAAAAEAAAAZHJzL1BLAwQUAAAACACHTuJAUaIjNdUAAAAF&#10;AQAADwAAAGRycy9kb3ducmV2LnhtbE2PMU/DQAyFdyT+w8lIbPSSIKAKuXRAFCGhDi0MHZ2cm6TN&#10;+aLctSn/HsNCF+tZz3rvc7E4u16daAydZwPpLAFFXHvbcWPg63N5NwcVIrLF3jMZ+KYAi/L6qsDc&#10;+onXdNrERkkIhxwNtDEOudahbslhmPmBWLydHx1GWcdG2xEnCXe9zpLkUTvsWBpaHOilpfqwOToD&#10;w/t+uzp83G+xel1NHN6mar1sjLm9SZNnUJHO8f8YfvEFHUphqvyRbVC9AXkk/k3xnubpA6hKRJYl&#10;oMtCX9KXP1BLAwQUAAAACACHTuJAO3qWhC0CAAAyBAAADgAAAGRycy9lMm9Eb2MueG1srVPNbhMx&#10;EL4j8Q6W783+JNvQVTY9JJQLgkrAAzi2d9fIf7KdbHLjhngGbhx5h/I2leAtGHuXFoqQesAHa2zP&#10;fDPfN+PV5VFJdODOC6MbXMxyjLimhgndNfjd26uzZxj5QDQj0mje4BP3+HL99MlqsDUvTW8k4w4B&#10;iPb1YBvch2DrLPO054r4mbFcw2NrnCIBjq7LmCMDoCuZlXl+ng3GMesM5d7D7XZ8xBOiewygaVtB&#10;+dbQveI6jKiOSxKAku+F9Xidqm1bTsPrtvU8INlgYBrSDknA3sU9W69I3Tlie0GnEshjSnjASRGh&#10;Iekd1JYEgvZO/AWlBHXGmzbMqFHZSCQpAiyK/IE2b3pieeICUnt7J7r/f7D01eHaIcFgEpYYaaKg&#10;498/fv3x4dPt52+3N19QuZhHkQbra/Dd6Gs3nby9dpHxsXUKOQPKnlWLPK4kBFBDxwaXRb6sziuM&#10;Tg1ezi+KxSQ5PwZE4/uimEMEovBeFsWiqmK2bISN8Nb58IIbhaLRYLp3B842RmtorXHzlIscXvqQ&#10;1GcTBcLeFxi1SkIzD0SiKtU1Ik/ekOMXdgyVGg0NvqhKqJUSmOsW5glMZUEbr7uUyBsp2JWQMkZ4&#10;1+020iHAh0lKa6r9D7eYZEt8P/oxsKIXqXtO2HPNUDhZ0FzDX8OxAsUZRpLD14xW8gxEyHvP4ATR&#10;nfyHN7CSGgSM/Ro7FK2dYafUuHQPo5QknsY+zurv5xR9/9XXP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RoiM11QAAAAUBAAAPAAAAAAAAAAEAIAAAACIAAABkcnMvZG93bnJldi54bWxQSwECFAAU&#10;AAAACACHTuJAO3qWhC0CAAAyBAAADgAAAAAAAAABACAAAAAkAQAAZHJzL2Uyb0RvYy54bWxQSwUG&#10;AAAAAAYABgBZAQAAwwUAAAAA&#10;" adj="10800">
                        <v:fill on="f" focussize="0,0"/>
                        <v:stroke color="#000000" joinstyle="round" dashstyle="dash" endarrow="block"/>
                        <v:imagedata o:title=""/>
                        <o:lock v:ext="edit" aspectratio="f"/>
                      </v:shape>
                      <v:shape id="文本框 244" o:spid="_x0000_s1026" o:spt="202" type="#_x0000_t202" style="position:absolute;left:2338705;top:650875;height:236855;width:49149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LE4x4zaAQAAjgMAAA4AAABkcnMvZTJvRG9jLnhtbK1TzY7TMBC+&#10;I/EOlu80afqz3arpSlAtFwRICw/gOk5jKfaYsdukPAC8AScu3Pe5+hyMnXYXlsseuDjjmck3830z&#10;Xt30pmUHhV6DLfl4lHOmrIRK213JP3+6fbXgzAdhK9GCVSU/Ks9v1i9frDq3VAU00FYKGYFYv+xc&#10;yZsQ3DLLvGyUEX4ETlkK1oBGBLriLqtQdIRu2qzI83nWAVYOQSrvybsZgvyMiM8BhLrWUm1A7o2y&#10;YUBF1YpAlHyjnefr1G1dKxk+1LVXgbUlJ6YhnVSE7G08s/VKLHcoXKPluQXxnBaecDJCWyr6ALUR&#10;QbA96n+gjJYIHuowkmCygUhShFiM8yfa3DXCqcSFpPbuQXT//2Dl+8NHZLqiTaC5W2Fo4qcf308/&#10;70+/vrFiOo0Kdc4vKfHOUWroX0NP2Re/J2ck3tdo4pcoMYoXk8niKp9xdiz5fJYvrmaD1KoPTFJ8&#10;ej2eXtMQJMWLyXwxS/HsEcehD28VGBaNkiNNMgksDu98oJ4o9ZISy1q41W2bptnavxyUGD1ZJDE0&#10;G63Qb/szsy1URyJGT4LqNIBfOetoIUruv+wFKs6EleQuebiYb8KwQXuHetfQX0mNVIHGlHo7r1Tc&#10;gz/vqY/HZ7T+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sY3eTTAAAABQEAAA8AAAAAAAAAAQAg&#10;AAAAIgAAAGRycy9kb3ducmV2LnhtbFBLAQIUABQAAAAIAIdO4kCxOMeM2gEAAI4DAAAOAAAAAAAA&#10;AAEAIAAAACIBAABkcnMvZTJvRG9jLnhtbFBLBQYAAAAABgAGAFkBAABuBQAAAAA=&#10;">
                        <v:fill on="f" focussize="0,0"/>
                        <v:stroke on="f"/>
                        <v:imagedata o:title=""/>
                        <o:lock v:ext="edit" aspectratio="f"/>
                        <v:textbox>
                          <w:txbxContent>
                            <w:p w14:paraId="25906BE9">
                              <w:pPr>
                                <w:rPr>
                                  <w:rFonts w:hint="default" w:eastAsia="宋体"/>
                                  <w:sz w:val="18"/>
                                  <w:szCs w:val="18"/>
                                  <w:lang w:val="en-US" w:eastAsia="zh-CN"/>
                                </w:rPr>
                              </w:pPr>
                              <w:r>
                                <w:rPr>
                                  <w:rFonts w:hint="eastAsia"/>
                                  <w:sz w:val="18"/>
                                  <w:szCs w:val="18"/>
                                  <w:lang w:val="en-US" w:eastAsia="zh-CN"/>
                                </w:rPr>
                                <w:t>600t/a</w:t>
                              </w:r>
                            </w:p>
                          </w:txbxContent>
                        </v:textbox>
                      </v:shape>
                      <v:shape id="文本框 245" o:spid="_x0000_s1026" o:spt="202" type="#_x0000_t202" style="position:absolute;left:306705;top:1767840;height:290830;width:71247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IzLNGLZAQAAjgMAAA4AAABkcnMvZTJvRG9jLnhtbK1TwW7bMAy9&#10;D+g/CLo3dtw0To04BdaguwzbgG4foMhyLMASVUmJnX3A9gc77bJ7vyvfMUp22rW99LCLTJHPj3wk&#10;tbzuVUv2wjoJuqTTSUqJ0Bwqqbcl/fb19nxBifNMV6wFLUp6EI5er87eLTtTiAwaaCthCZJoV3Sm&#10;pI33pkgSxxuhmJuAERqDNVjFPF7tNqks65BdtUmWpvOkA1sZC1w4h971EKQjo30LIdS15GINfKeE&#10;9gOrFS3zKMk10ji6itXWteD+c1074UlbUlTq44lJ0N6EM1ktWbG1zDSSjyWwt5TwQpNiUmPSR6o1&#10;84zsrHxFpSS34KD2Ew4qGYTEjqCKafqiN3cNMyJqwVY789h09/9o+af9F0tkhZtwRYlmCid+/PXz&#10;+Pvh+OcHyWaXoUOdcQUC7wxCff8eekSf/A6dQXhfWxW+KIlg/CKd5+klJQeE5vN8MRtbLXpPOMbz&#10;aTbLcQgcAdlVuriI8eSJx1jnPwhQJBgltTjJ2GC2/+g81oTQEySk1XAr2zZOs9XPHAgMniSIGIoN&#10;lu83/ahsA9UBheGTwDwN2O+UdLgQJXX3O2YFJUxzdJfUn8wbP2zQzli5bfCv2I2YAccUaxtXKuzB&#10;v/dYx9MzWv0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xjd5NMAAAAFAQAADwAAAAAAAAABACAA&#10;AAAiAAAAZHJzL2Rvd25yZXYueG1sUEsBAhQAFAAAAAgAh07iQIzLNGLZAQAAjgMAAA4AAAAAAAAA&#10;AQAgAAAAIgEAAGRycy9lMm9Eb2MueG1sUEsFBgAAAAAGAAYAWQEAAG0FAAAAAA==&#10;">
                        <v:fill on="f" focussize="0,0"/>
                        <v:stroke on="f"/>
                        <v:imagedata o:title=""/>
                        <o:lock v:ext="edit" aspectratio="f"/>
                        <v:textbox>
                          <w:txbxContent>
                            <w:p w14:paraId="5BAC5E9D">
                              <w:pPr>
                                <w:jc w:val="center"/>
                                <w:rPr>
                                  <w:rFonts w:hint="default" w:eastAsia="宋体"/>
                                  <w:sz w:val="18"/>
                                  <w:szCs w:val="18"/>
                                  <w:lang w:val="en-US" w:eastAsia="zh-CN"/>
                                </w:rPr>
                              </w:pPr>
                              <w:r>
                                <w:rPr>
                                  <w:rFonts w:hint="eastAsia"/>
                                  <w:sz w:val="18"/>
                                  <w:szCs w:val="18"/>
                                  <w:lang w:val="en-US" w:eastAsia="zh-CN"/>
                                </w:rPr>
                                <w:t>2594.2t/a</w:t>
                              </w:r>
                            </w:p>
                          </w:txbxContent>
                        </v:textbox>
                      </v:shape>
                      <v:shape id="文本框 248" o:spid="_x0000_s1026" o:spt="202" type="#_x0000_t202" style="position:absolute;left:2779395;top:796925;height:273050;width:52070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CUi/hDbAQAAjgMAAA4AAABkcnMvZTJvRG9jLnhtbK1TS27bMBDd&#10;F8gdCO5ryUodxYLpAK2Rboq2QJID0BRlERA5DElbcg/Q3qCrbrrvuXyODik7v26y6IYazozezHsz&#10;XFwNuiM76bwCw+h0klMijYBamQ2jd7fXby8p8YGbmndgJKN76enV8uzNoreVLKCFrpaOIIjxVW8Z&#10;bUOwVZZ50UrN/QSsNBhswGke8Oo2We14j+i6y4o8v8h6cLV1IKT36F2NQXpEdK8BhKZRQq5AbLU0&#10;YUR1suMBKflWWU+XqdumkSJ8aRovA+kYRaYhnVgE7XU8s+WCVxvHbavEsQX+mhZecNJcGSz6ALXi&#10;gZOtU/9AaSUceGjCRIDORiJJEWQxzV9oc9NyKxMXlNrbB9H9/4MVn3dfHVE1o8WUEsM1Tvzw88fh&#10;15/D7++keHcZFeqtrzDxxmJqGN7DgHtz8nt0RuJD43T8IiWC8aIs5+fzGSV7Rsv5xbyYjVLLIRCB&#10;8VmRlzkOQWC8KM/zWRpF9ohjnQ8fJWgSDUYdTjIJzHeffMCeMPWUEssauFZdl6bZmWcOTIyeLJIY&#10;m41WGNbDkdka6j0SwyeBdVpw3yjpcSEY9fdb7iQl3Ah0MxpO5ocwbtDWOrVp8a+kRqqAY0q9HVcq&#10;7sHTe+rj8Rkt/w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7GN3k0wAAAAUBAAAPAAAAAAAAAAEA&#10;IAAAACIAAABkcnMvZG93bnJldi54bWxQSwECFAAUAAAACACHTuJAJSL+ENsBAACOAwAADgAAAAAA&#10;AAABACAAAAAiAQAAZHJzL2Uyb0RvYy54bWxQSwUGAAAAAAYABgBZAQAAbwUAAAAA&#10;">
                        <v:fill on="f" focussize="0,0"/>
                        <v:stroke on="f"/>
                        <v:imagedata o:title=""/>
                        <o:lock v:ext="edit" aspectratio="f"/>
                        <v:textbox>
                          <w:txbxContent>
                            <w:p w14:paraId="61BE35BB">
                              <w:pPr>
                                <w:jc w:val="center"/>
                                <w:rPr>
                                  <w:rFonts w:hint="default" w:eastAsia="宋体"/>
                                  <w:sz w:val="18"/>
                                  <w:szCs w:val="18"/>
                                  <w:lang w:val="en-US" w:eastAsia="zh-CN"/>
                                </w:rPr>
                              </w:pPr>
                              <w:r>
                                <w:rPr>
                                  <w:rFonts w:hint="eastAsia"/>
                                  <w:sz w:val="18"/>
                                  <w:szCs w:val="18"/>
                                  <w:lang w:val="en-US" w:eastAsia="zh-CN"/>
                                </w:rPr>
                                <w:t>540t/a</w:t>
                              </w:r>
                            </w:p>
                          </w:txbxContent>
                        </v:textbox>
                      </v:shape>
                      <v:rect id="矩形 6" o:spid="_x0000_s1026" o:spt="1" style="position:absolute;left:3360420;top:929005;height:266065;width:825500;" fillcolor="#FFFFFF" filled="t" stroked="t" coordsize="21600,21600" o:gfxdata="UEsDBAoAAAAAAIdO4kAAAAAAAAAAAAAAAAAEAAAAZHJzL1BLAwQUAAAACACHTuJAkqe+89QAAAAF&#10;AQAADwAAAGRycy9kb3ducmV2LnhtbE2PMU/DQAyFdyT+w8lIbPQuQUAJuXQAFYmxTRc2JzFJIOeL&#10;cpc28OsxLLBYz3rWe5/zzeIGdaQp9J4tJCsDirj2Tc+thUO5vVqDChG5wcEzWfikAJvi/CzHrPEn&#10;3tFxH1slIRwytNDFOGZah7ojh2HlR2Lx3vzkMMo6tbqZ8CThbtCpMbfaYc/S0OFIjx3VH/vZWaj6&#10;9IBfu/LZuPvtdXxZyvf59cnay4vEPICKtMS/Y/jBF3QohKnyMzdBDRbkkfg7xbtbJzegKhFpakAX&#10;uf5PX3wDUEsDBBQAAAAIAIdO4kDocm3yKwIAAGcEAAAOAAAAZHJzL2Uyb0RvYy54bWytVM2O0zAQ&#10;viPxDpbvNGmWVrtV0z1sKRcEKy08gOs4jSX/YbtNyssgceMheBzEa/DZKfsHhx7IIR1nxt/M981M&#10;l9eDVuQgfJDW1HQ6KSkRhttGml1NP33cvLqkJERmGqasETU9ikCvVy9fLHu3EJXtrGqEJwAxYdG7&#10;mnYxukVRBN4JzcLEOmHgbK3XLOLod0XjWQ90rYqqLOdFb33jvOUiBHxdj056QvTnANq2lVysLd9r&#10;YeKI6oViEZRCJ12gq1xt2woeP7RtEJGomoJpzG8kgb1N72K1ZIudZ66T/FQCO6eEZ5w0kwZJ76HW&#10;LDKy9/IvKC25t8G2ccKtLkYiWRGwmJbPtLnrmBOZC6QO7l708P9g+fvDrSeyqenFlBLDNDr+6+v3&#10;nz++kXkSp3dhgZg7d+tPpwAzMR1ar9MvOJAB1y/m5esKsh5relVdleVs1FYMkXD4L6vZrISbw1/N&#10;5+U8+4sHHOdDfCusJsmoqUfrsqLs8C5E5Ebon5CUNlglm41UKh/8bnujPDkwtHmTn5QdV56EKUN6&#10;VDerZqiDYXZbzAxM7cA/mF3O9+RGeAxc5udfwKmwNQvdWEBGGNlrGYVHJWzRCda8MQ2JRweJDVaL&#10;pmK0aChRApuYrBwZmVTnRIKdMiCZWjQ2JVlx2A6ASebWNkc0F7sOPTvrvyAjJh1UP++ZR35mOD7X&#10;FBqM5k0cV2PvvNx1uDXNbBMY5i8LetqVNOCPz7mOh/+H1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Sp77z1AAAAAUBAAAPAAAAAAAAAAEAIAAAACIAAABkcnMvZG93bnJldi54bWxQSwECFAAUAAAA&#10;CACHTuJA6HJt8isCAABnBAAADgAAAAAAAAABACAAAAAjAQAAZHJzL2Uyb0RvYy54bWxQSwUGAAAA&#10;AAYABgBZAQAAwAUAAAAA&#10;">
                        <v:fill on="t" focussize="0,0"/>
                        <v:stroke color="#000000" joinstyle="miter"/>
                        <v:imagedata o:title=""/>
                        <o:lock v:ext="edit" aspectratio="f"/>
                        <v:textbox>
                          <w:txbxContent>
                            <w:p w14:paraId="1B1302C4">
                              <w:pPr>
                                <w:jc w:val="center"/>
                                <w:rPr>
                                  <w:rFonts w:hint="default" w:eastAsia="宋体"/>
                                  <w:sz w:val="18"/>
                                  <w:szCs w:val="18"/>
                                  <w:lang w:val="en-US" w:eastAsia="zh-CN"/>
                                </w:rPr>
                              </w:pPr>
                              <w:r>
                                <w:rPr>
                                  <w:rFonts w:hint="eastAsia"/>
                                  <w:sz w:val="18"/>
                                  <w:szCs w:val="18"/>
                                  <w:lang w:val="en-US" w:eastAsia="zh-CN"/>
                                </w:rPr>
                                <w:t>沉淀池</w:t>
                              </w:r>
                            </w:p>
                          </w:txbxContent>
                        </v:textbox>
                      </v:rect>
                      <v:line id="直线 414" o:spid="_x0000_s1026" o:spt="20" style="position:absolute;left:2687955;top:1086485;flip:y;height:635;width:677545;" filled="f" stroked="t" coordsize="21600,21600" o:gfxdata="UEsDBAoAAAAAAIdO4kAAAAAAAAAAAAAAAAAEAAAAZHJzL1BLAwQUAAAACACHTuJAfPBsxdUAAAAF&#10;AQAADwAAAGRycy9kb3ducmV2LnhtbE2PMU/DMBCFd6T+B+sqsVE7kaBtiNOhVSdYKFVZ3fhIosbn&#10;KHabkF/PwQLL6Z3e6b3v8s3oWnHDPjSeNCQLBQKp9LahSsPxff+wAhGiIWtaT6jhCwNsitldbjLr&#10;B3rD2yFWgkMoZEZDHWOXSRnKGp0JC98hsffpe2cir30lbW8GDnetTJV6ks40xA216XBbY3k5XJ2G&#10;aT3YbbM7nZav+2H3sZ4u0/hy1Pp+nqhnEBHH+HcMP/iMDgUznf2VbBCtBn4k/k72lqvkEcSZRZoq&#10;kEUu/9MX31BLAwQUAAAACACHTuJANSlFvAcCAAD2AwAADgAAAGRycy9lMm9Eb2MueG1srVPLbtsw&#10;ELwX6D8QvNeyHb8iWM4hbnopWgNpe1+TlESALyxpy/6W/kZPvfRz8htdSm7Spj3kUB2EpXY4nBkt&#10;1zcna9hRYdTeVXwyGnOmnPBSu6binz/dvVlxFhM4CcY7VfGzivxm8/rVugulmvrWG6mQEYmLZRcq&#10;3qYUyqKIolUW4sgH5ahZe7SQaIlNIRE6YremmI7Hi6LzKAN6oWKkr9uhyS+M+BJCX9daqK0XB6tc&#10;GlhRGUhkKbY6RL7p1da1EuljXUeVmKk4OU39mw6hep/fxWYNZYMQWi0uEuAlEp55sqAdHfpItYUE&#10;7ID6LyqrBfro6zQS3haDkT4RcjEZP8vmvoWgei8UdQyPocf/Rys+HHfItKz41YwzB5b++MPXbw/f&#10;f7DZZJbj6UIsCXXrdnhZxbDD7PVUo2W10eELzVHvnvywU8Wni9Xyej7n7EyN8WoxW82HoNUpMUGA&#10;xXI5n1FfEGBx1TeLgS/zBozpnfKW5aLiRrscApRwfB8TaSDoL0j+bBzrKn49n2ZCoImsaRKotIFc&#10;Rdf0e6M3Wt5pY/KOiM3+1iA7Qp6K/EyyPuL9A5YP2UJsB1zfGmy0CuRbJ1k6B4rL0TXhWYJVkjOj&#10;6FbligihTKDNExIQffdvKJ1tHEnIaQ/55mrv5Zl+zyGgblqKYpCZOzQOveDL6OZ5+33dMz1d181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fPBsxdUAAAAFAQAADwAAAAAAAAABACAAAAAiAAAAZHJz&#10;L2Rvd25yZXYueG1sUEsBAhQAFAAAAAgAh07iQDUpRbwHAgAA9gMAAA4AAAAAAAAAAQAgAAAAJAEA&#10;AGRycy9lMm9Eb2MueG1sUEsFBgAAAAAGAAYAWQEAAJ0FAAAAAA==&#10;">
                        <v:fill on="f" focussize="0,0"/>
                        <v:stroke color="#000001" joinstyle="round" endarrow="open"/>
                        <v:imagedata o:title=""/>
                        <o:lock v:ext="edit" aspectratio="f"/>
                      </v:line>
                      <v:shape id="_x0000_s1026" o:spid="_x0000_s1026" o:spt="34" type="#_x0000_t34" style="position:absolute;left:2961323;top:383223;height:1623695;width:3175;rotation:5898240f;" filled="f" stroked="t" coordsize="21600,21600" o:gfxdata="UEsDBAoAAAAAAIdO4kAAAAAAAAAAAAAAAAAEAAAAZHJzL1BLAwQUAAAACACHTuJACUUTJtYAAAAF&#10;AQAADwAAAGRycy9kb3ducmV2LnhtbE2PMU/DMBCFd6T+B+sqsVE7kUqrEKdDEQyw0JaFzY2vSUR8&#10;Tm03Lf31HCywnN7pnd77rlxdXC9GDLHzpCGbKRBItbcdNRred093SxAxGbKm94QavjDCqprclKaw&#10;/kwbHLepERxCsTAa2pSGQspYt+hMnPkBib2DD84kXkMjbTBnDne9zJW6l850xA2tGXDdYv25PTkN&#10;h8fx6l824bpYzz/k8Rjf3Otzo/XtNFMPIBJe0t8x/OAzOlTMtPcnslH0GviR9DvZWyyzOYg9izxX&#10;IKtS/qevvgFQSwMEFAAAAAgAh07iQHW55PZGAgAAZAQAAA4AAABkcnMvZTJvRG9jLnhtbK1UzY7T&#10;MBC+I/EOlu80TUK7bdR0Dy3LBcFKwAO4tpMY+U+2t2mvPABnThyQ4MQrIJ4G2Mdg7ITuD5c9kIMz&#10;zoy/me+bcVbnByXRnjsvjK5xPplixDU1TOi2xm/fXDxZYOQD0YxIo3mNj9zj8/XjR6veVrwwnZGM&#10;OwQg2le9rXEXgq2yzNOOK+InxnINzsY4RQJsXZsxR3pAVzIrptN51hvHrDOUew9ft4MTj4juIYCm&#10;aQTlW0OvFNdhQHVckgCUfCesx+tUbdNwGl41jecByRoD05BWSAL2Lq7ZekWq1hHbCTqWQB5Swj1O&#10;iggNSU9QWxIIunLiHyglqDPeNGFCjcoGIkkRYJFP72nzuiOWJy4gtbcn0f3/g6Uv95cOCQaTsABN&#10;NFHQ8uv3H39+/3z949OvD19+f/uKoguE6q2vIH6jL12k6sPmoNPRMsfwPtS4GPTkmp1ctz3ZHYS4&#10;8XbAOjROIWegPbOn0/gkMUEeFFGX87wsSoyONS4XZQFmahs/BETBX+ZnM4woePN5Uc6Xs+jOSBVB&#10;Y6HW+fCcG4WiUeMdzMzGaA2zYVyZEpH9Cx9S+9goAWHvgFSjJEzDnkh0NtQ1Io/xkOMvdjyszYWQ&#10;MpUmNeprvJwVsTACt6SB6QRTWVDa6xYjIlu4fjS4VIA3UrB4Ognr2t1GOgR5YUQHOQZGd8Ji6i3x&#10;3RCXXIMuSgS4oVKoGi9Op0kViJDPNEPhaKHHxDnTj3SkBr1u2hGtnWHHSxezxh0MX1J0vChxum/v&#10;U9TNz2H9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lFEybWAAAABQEAAA8AAAAAAAAAAQAgAAAA&#10;IgAAAGRycy9kb3ducmV2LnhtbFBLAQIUABQAAAAIAIdO4kB1ueT2RgIAAGQEAAAOAAAAAAAAAAEA&#10;IAAAACUBAABkcnMvZTJvRG9jLnhtbFBLBQYAAAAABgAGAFkBAADdBQAAAAA=&#10;" adj="1628640">
                        <v:fill on="f" focussize="0,0"/>
                        <v:stroke color="#000000 [3213]" miterlimit="8" joinstyle="miter" endarrow="open"/>
                        <v:imagedata o:title=""/>
                        <o:lock v:ext="edit" aspectratio="f"/>
                      </v:shape>
                      <v:shape id="文本框 248" o:spid="_x0000_s1026" o:spt="202" type="#_x0000_t202" style="position:absolute;left:2741295;top:1116330;height:260350;width:52070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Ix8k0XZAQAAkAMAAA4AAABkcnMvZTJvRG9jLnhtbK1TwY7TMBC9&#10;I/EPlu/USbrtlqjpSlAtFwRICx/gOk5jKfYY221SPgD+gBMX7nxXv4Oxk+7CctkDF2c88/Jm3sx4&#10;fTPojhyl8wpMRfNZRok0Ampl9hX99PH2xYoSH7ipeQdGVvQkPb3ZPH+27m0pC2ihq6UjSGJ82duK&#10;tiHYkjEvWqm5n4GVBoMNOM0DXt2e1Y73yK47VmTZkvXgautASO/Rux2DdGJ0TyGEplFCbkEctDRh&#10;ZHWy4wEl+VZZTzep2qaRIrxvGi8D6SqKSkM6MQnau3iyzZqXe8dtq8RUAn9KCY80aa4MJr2n2vLA&#10;ycGpf6i0Eg48NGEmQLNRSOoIqsizR725a7mVSQu22tv7pvv/RyveHT84omrchFVOieEaR37+/u38&#10;49f551dSXK1ii3rrS0TeWcSG4RUMCL/4PTqj8qFxOn5RE8F4cX2VFy8XlJwQm+fL+XxqthwCEQhY&#10;FNl1hmMQCCiW2XyR4uyByDof3kjQJBoVdTjL1GJ+fOsDFoXQCyTmNXCrui7NszN/ORAYPSyqGKuN&#10;Vhh2wyRtB/UJleGjwDwtuC+U9LgSFfWfD9xJSrgR6K5ouJivw7hDB+vUvsW/UjtSBhxUqm1aqrgJ&#10;f95THQ8PafM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xjd5NMAAAAFAQAADwAAAAAAAAABACAA&#10;AAAiAAAAZHJzL2Rvd25yZXYueG1sUEsBAhQAFAAAAAgAh07iQIx8k0XZAQAAkAMAAA4AAAAAAAAA&#10;AQAgAAAAIgEAAGRycy9lMm9Eb2MueG1sUEsFBgAAAAAGAAYAWQEAAG0FAAAAAA==&#10;">
                        <v:fill on="f" focussize="0,0"/>
                        <v:stroke on="f"/>
                        <v:imagedata o:title=""/>
                        <o:lock v:ext="edit" aspectratio="f"/>
                        <v:textbox>
                          <w:txbxContent>
                            <w:p w14:paraId="6803C285">
                              <w:pPr>
                                <w:jc w:val="center"/>
                                <w:rPr>
                                  <w:rFonts w:hint="default" w:eastAsia="宋体"/>
                                  <w:sz w:val="18"/>
                                  <w:szCs w:val="18"/>
                                  <w:lang w:val="en-US" w:eastAsia="zh-CN"/>
                                </w:rPr>
                              </w:pPr>
                              <w:r>
                                <w:rPr>
                                  <w:rFonts w:hint="eastAsia"/>
                                  <w:sz w:val="18"/>
                                  <w:szCs w:val="18"/>
                                  <w:lang w:val="en-US" w:eastAsia="zh-CN"/>
                                </w:rPr>
                                <w:t>540t/a</w:t>
                              </w:r>
                            </w:p>
                          </w:txbxContent>
                        </v:textbox>
                      </v:shape>
                      <v:rect id="矩形 6" o:spid="_x0000_s1026" o:spt="1" style="position:absolute;left:1600835;top:1878330;height:273050;width:1071245;" fillcolor="#FFFFFF" filled="t" stroked="t" coordsize="21600,21600" o:gfxdata="UEsDBAoAAAAAAIdO4kAAAAAAAAAAAAAAAAAEAAAAZHJzL1BLAwQUAAAACACHTuJAkqe+89QAAAAF&#10;AQAADwAAAGRycy9kb3ducmV2LnhtbE2PMU/DQAyFdyT+w8lIbPQuQUAJuXQAFYmxTRc2JzFJIOeL&#10;cpc28OsxLLBYz3rWe5/zzeIGdaQp9J4tJCsDirj2Tc+thUO5vVqDChG5wcEzWfikAJvi/CzHrPEn&#10;3tFxH1slIRwytNDFOGZah7ojh2HlR2Lx3vzkMMo6tbqZ8CThbtCpMbfaYc/S0OFIjx3VH/vZWaj6&#10;9IBfu/LZuPvtdXxZyvf59cnay4vEPICKtMS/Y/jBF3QohKnyMzdBDRbkkfg7xbtbJzegKhFpakAX&#10;uf5PX3wDUEsDBBQAAAAIAIdO4kDzkjJyLAIAAGkEAAAOAAAAZHJzL2Uyb0RvYy54bWytVEuS0zAQ&#10;3VPFHVTaEzsJ+eCKM4sJYUPBVA0coCPLtqr0Q1Jih8tQxY5DcBxqrkFLNvODRRZ4Ybfsp9f9Xre8&#10;ueqVJCfuvDC6pNNJTgnXzFRCNyX9/Gn/ak2JD6ArkEbzkp65p1fbly82nS34zLRGVtwRJNG+6GxJ&#10;2xBskWWetVyBnxjLNX6sjVMQcOmarHLQIbuS2SzPl1lnXGWdYdx7fLsbPtKR0V1CaOpaML4z7Ki4&#10;DgOr4xICSvKtsJ5uU7V1zVn4WNeeByJLikpDumMSjA/xnm03UDQObCvYWAJcUsIzTQqExqT3VDsI&#10;QI5O/EWlBHPGmzpMmFHZICQ5giqm+TNvbluwPGlBq729N93/P1r24XTjiKhKOltQokFhx+++/fj1&#10;8ztZRnM66wvE3NobN648hlFpXzsVn6iB9DhIyzxfz5HjjPF6tZ7PR3N5HwiLgHw1nb1GAEPEbDXP&#10;FwmQPTBZ58M7bhSJQUkdNi95Cqf3PmB2hP6BxMTeSFHthZRp4ZrDtXTkBNjofbpi+bjlCUxq0pX0&#10;zSKKZYDTW+PUYKgsOuB1k/I92eEfE+fp+hdxLGwHvh0KSAwRBoUSgUfroGg5VG91RcLZoskaDxeN&#10;xSheUSI5nsUYJWQAIS9BojqpUWRs0tCWGIX+0CNNDA+mOmN78bSjn61xXzEjzjpK/XIEh/lBM3xd&#10;UvRgCK/DcDiO1ommxV3TpDaS4QQmQ8fTEkf88TrV8fCH2P4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kqe+89QAAAAFAQAADwAAAAAAAAABACAAAAAiAAAAZHJzL2Rvd25yZXYueG1sUEsBAhQAFAAA&#10;AAgAh07iQPOSMnIsAgAAaQQAAA4AAAAAAAAAAQAgAAAAIwEAAGRycy9lMm9Eb2MueG1sUEsFBgAA&#10;AAAGAAYAWQEAAMEFAAAAAA==&#10;">
                        <v:fill on="t" focussize="0,0"/>
                        <v:stroke color="#000000" joinstyle="miter"/>
                        <v:imagedata o:title=""/>
                        <o:lock v:ext="edit" aspectratio="f"/>
                        <v:textbox>
                          <w:txbxContent>
                            <w:p w14:paraId="0EAD394C">
                              <w:pPr>
                                <w:jc w:val="center"/>
                                <w:rPr>
                                  <w:rFonts w:hint="default" w:eastAsia="宋体"/>
                                  <w:sz w:val="18"/>
                                  <w:szCs w:val="18"/>
                                  <w:lang w:val="en-US" w:eastAsia="zh-CN"/>
                                </w:rPr>
                              </w:pPr>
                              <w:r>
                                <w:rPr>
                                  <w:rFonts w:hint="eastAsia"/>
                                  <w:sz w:val="18"/>
                                  <w:szCs w:val="18"/>
                                  <w:lang w:val="en-US" w:eastAsia="zh-CN"/>
                                </w:rPr>
                                <w:t>冷却水</w:t>
                              </w:r>
                            </w:p>
                          </w:txbxContent>
                        </v:textbox>
                      </v:rect>
                      <v:shape id="自选图形 234" o:spid="_x0000_s1026" o:spt="32" type="#_x0000_t32" style="position:absolute;left:1040130;top:2025015;flip:y;height:0;width:571500;" filled="f" stroked="t" coordsize="21600,21600" o:gfxdata="UEsDBAoAAAAAAIdO4kAAAAAAAAAAAAAAAAAEAAAAZHJzL1BLAwQUAAAACACHTuJAlWzMptQAAAAF&#10;AQAADwAAAGRycy9kb3ducmV2LnhtbE2PMU/DMBCFdyT+g3VIbNRORKEKcTqAmGChIFXd3PiIU+Jz&#10;sN0m/HsOFlhO7/RO731Xr2c/iBPG1AfSUCwUCKQ22J46DW+vj1crECkbsmYIhBq+MMG6OT+rTWXD&#10;RC942uROcAilymhwOY+VlKl16E1ahBGJvfcQvcm8xk7aaCYO94MslbqR3vTEDc6MeO+w/dgcvYbt&#10;s9ot5xDdYfd57Z76h2578JPWlxeFugORcc5/x/CDz+jQMNM+HMkmMWjgR/LvZO92VSxB7FmUpQLZ&#10;1PI/ffMNUEsDBBQAAAAIAIdO4kAM0VSYEQIAAPwDAAAOAAAAZHJzL2Uyb0RvYy54bWytU72O1DAQ&#10;7pF4B8s9m2zuckC02St2ORoEJ/HTex1nY8l/mvFtdjs6xDPQUfIO8DYnwVswdpY7OCiuIEU0tme+&#10;+b7P48X53hq2U4Dau5bPZyVnyknfabdt+ds3F4+ecIZRuE4Y71TLDwr5+fLhg8UYGlX5wZtOASMQ&#10;h80YWj7EGJqiQDkoK3Dmg3J02HuwItIStkUHYiR0a4qqLM+K0UMXwEuFSLvr6ZAfEeE+gL7vtVRr&#10;L6+scnFCBWVEJEk46IB8mdn2vZLxVd+jisy0nJTG/KcmFG/Sv1guRLMFEQYtjxTEfSjc0WSFdtT0&#10;BmotomBXoP+CslqCR9/HmfS2mIRkR0jFvLzjzetBBJW1kNUYbkzH/wcrX+4ugemu5dUZZ05YuvHv&#10;H778eP/x+tO366+fWXVymkwaAzaUu3KXcFxhuISkeN+DZb3R4R1NU/aAVLE9LcrTcn5CRh8IvKzq&#10;cl5Pdqt9ZJIS6sfzuqRzSQn5JooJLaEGwPhcectS0HKMIPR2iCvvHN2ph6mT2L3ASHyo8FdBKjaO&#10;jS1/Wlc1gQua0Z5mg0IbSCe6bWaJ3ujuQhuTKhC2m5UBthNpTvKXuBLuH2mpyVrgMOXlo0nSoET3&#10;zHUsHgIZ6Ojh8ETBqo4zo+idpYgARROFNreZAsCP/06l3sYRheT85HWKNr475CvI+zQUmeRxgNPU&#10;/b7O1bePdvk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WzMptQAAAAFAQAADwAAAAAAAAABACAA&#10;AAAiAAAAZHJzL2Rvd25yZXYueG1sUEsBAhQAFAAAAAgAh07iQAzRVJgRAgAA/AMAAA4AAAAAAAAA&#10;AQAgAAAAIwEAAGRycy9lMm9Eb2MueG1sUEsFBgAAAAAGAAYAWQEAAKYFAAAAAA==&#10;">
                        <v:fill on="f" focussize="0,0"/>
                        <v:stroke color="#000000" joinstyle="round" endarrow="open"/>
                        <v:imagedata o:title=""/>
                        <o:lock v:ext="edit" aspectratio="f"/>
                      </v:shape>
                      <v:shape id="文本框 242" o:spid="_x0000_s1026" o:spt="202" type="#_x0000_t202" style="position:absolute;left:1062355;top:1715135;height:290830;width:52070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CbhEZbZAQAAjwMAAA4AAABkcnMvZTJvRG9jLnhtbK1TzY7TMBC+&#10;I/EOlu80aUq2S9V0JaiWCwKkhQdwHaexFP8w4zYpDwBvwIkL932uPgdjp90/Lnvg4oxnJt/M9814&#10;eTWYju0VoHa24tNJzpmy0tXabiv+9cv1q0vOMAhbi85ZVfGDQn61evli2fuFKlzruloBIxCLi95X&#10;vA3BL7IMZauMwInzylKwcWBEoCtssxpET+imy4o8v8h6B7UHJxUieddjkJ8Q4TmArmm0VGsnd0bZ&#10;MKKC6kQgSthqj3yVum0aJcOnpkEVWFdxYhrSSUXI3sQzWy3FYgvCt1qeWhDPaeEJJyO0paJ3UGsR&#10;BNuB/gfKaAkOXRMm0plsJJIUIRbT/Ik2N63wKnEhqdHfiY7/D1Z+3H8GpuuKF3POrDA08eOvn8ff&#10;t8c/P1jxuogK9R4XlHjjKTUMb91Ae3P2Izkj8aEBE79EicV4flHMypKzA9nzaTmdlaPWaghMUkJZ&#10;5POcpiApoXiTX87SLLJ7IA8Y3itnWDQqDjTKpLDYf8BATVHqOSXWte5ad10aZ2cfOSgxerLIYuw2&#10;WmHYDCdqG1cfiBm9CarTOvjOWU8bUXH8thOgOBNWkrvi4Wy+C+MK7TzobUt/JTlSBZpT6u20U3ER&#10;Ht5TH/fvaPU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xjd5NMAAAAFAQAADwAAAAAAAAABACAA&#10;AAAiAAAAZHJzL2Rvd25yZXYueG1sUEsBAhQAFAAAAAgAh07iQCbhEZbZAQAAjwMAAA4AAAAAAAAA&#10;AQAgAAAAIgEAAGRycy9lMm9Eb2MueG1sUEsFBgAAAAAGAAYAWQEAAG0FAAAAAA==&#10;">
                        <v:fill on="f" focussize="0,0"/>
                        <v:stroke on="f"/>
                        <v:imagedata o:title=""/>
                        <o:lock v:ext="edit" aspectratio="f"/>
                        <v:textbox>
                          <w:txbxContent>
                            <w:p w14:paraId="61035100">
                              <w:pPr>
                                <w:jc w:val="center"/>
                                <w:rPr>
                                  <w:rFonts w:hint="default" w:eastAsia="宋体"/>
                                  <w:sz w:val="18"/>
                                  <w:szCs w:val="18"/>
                                  <w:lang w:val="en-US" w:eastAsia="zh-CN"/>
                                </w:rPr>
                              </w:pPr>
                              <w:r>
                                <w:rPr>
                                  <w:rFonts w:hint="eastAsia"/>
                                  <w:sz w:val="18"/>
                                  <w:szCs w:val="18"/>
                                  <w:lang w:val="en-US" w:eastAsia="zh-CN"/>
                                </w:rPr>
                                <w:t>959t/a</w:t>
                              </w:r>
                            </w:p>
                          </w:txbxContent>
                        </v:textbox>
                      </v:shape>
                      <v:shape id="自选图形 243" o:spid="_x0000_s1026" o:spt="38" type="#_x0000_t38" style="position:absolute;left:2094865;top:1695450;height:211455;width:241300;rotation:-5898240f;" filled="f" stroked="t" coordsize="21600,21600" o:gfxdata="UEsDBAoAAAAAAIdO4kAAAAAAAAAAAAAAAAAEAAAAZHJzL1BLAwQUAAAACACHTuJAUaIjNdUAAAAF&#10;AQAADwAAAGRycy9kb3ducmV2LnhtbE2PMU/DQAyFdyT+w8lIbPSSIKAKuXRAFCGhDi0MHZ2cm6TN&#10;+aLctSn/HsNCF+tZz3rvc7E4u16daAydZwPpLAFFXHvbcWPg63N5NwcVIrLF3jMZ+KYAi/L6qsDc&#10;+onXdNrERkkIhxwNtDEOudahbslhmPmBWLydHx1GWcdG2xEnCXe9zpLkUTvsWBpaHOilpfqwOToD&#10;w/t+uzp83G+xel1NHN6mar1sjLm9SZNnUJHO8f8YfvEFHUphqvyRbVC9AXkk/k3xnubpA6hKRJYl&#10;oMtCX9KXP1BLAwQUAAAACACHTuJAqcBaPCwCAAAzBAAADgAAAGRycy9lMm9Eb2MueG1srVNLjhMx&#10;EN0jcQfL+0l/0h1NWunMImHYIBgJOIBju9NG/sl20smOHeIM7FhyB7jNSHALyu5mBgYhzYJeWGX3&#10;86t6r8qrq5OS6MidF0a3uJjlGHFNDRN63+K3b64vLjHygWhGpNG8xWfu8dX66ZPVYBtemt5Ixh0C&#10;Eu2bwba4D8E2WeZpzxXxM2O5hp+dcYoE2Lp9xhwZgF3JrMzzRTYYx6wzlHsPp9vxJ54Y3WMITdcJ&#10;yreGHhTXYWR1XJIAknwvrMfrVG3XcRpedZ3nAckWg9KQVkgC8S6u2XpFmr0jthd0KoE8poQHmhQR&#10;GpLeUW1JIOjgxF9USlBnvOnCjBqVjUKSI6CiyB9487onlictYLW3d6b7/0dLXx5vHBKsxSX0XRMF&#10;Hf/+4cuP9x9vP327/foZldU8mjRY3wB2o2/ctPP2xkXFp84p5Aw4e1FXefySESANnYA1X1aXixqj&#10;M8zaYllX9eQ5PwVEI6Aq5nAFUQCURVHVdUyXjbyR3zofnnOjUAxaTA/uyNnGaA29NW6ekpHjCx+S&#10;/WzSQNi7AqNOSejmkUhUp8JG5gkNOX5xx6tSo6HFy7qEYimBwe5goCBUFszxep8SeSMFuxZSxhve&#10;7Xcb6RDwwyilb6r9D1hMsiW+H3EMoogiTc8Je6YZCmcLpmt4bDhWoDjDSHJ4mzFKyECEvEcGJ4je&#10;y3+gQZXUYGBs2NiiGO0MO6fOpXOYpWTxNPdxWH/fp9v3b339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GiIzXVAAAABQEAAA8AAAAAAAAAAQAgAAAAIgAAAGRycy9kb3ducmV2LnhtbFBLAQIUABQA&#10;AAAIAIdO4kCpwFo8LAIAADMEAAAOAAAAAAAAAAEAIAAAACQBAABkcnMvZTJvRG9jLnhtbFBLBQYA&#10;AAAABgAGAFkBAADCBQAAAAA=&#10;" adj="10800">
                        <v:fill on="f" focussize="0,0"/>
                        <v:stroke color="#000000" joinstyle="round" dashstyle="dash" endarrow="block"/>
                        <v:imagedata o:title=""/>
                        <o:lock v:ext="edit" aspectratio="f"/>
                      </v:shape>
                      <v:shape id="文本框 244" o:spid="_x0000_s1026" o:spt="202" type="#_x0000_t202" style="position:absolute;left:2326005;top:1607185;height:236855;width:603885;"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HH/EjXZAQAAjwMAAA4AAABkcnMvZTJvRG9jLnhtbK1TwY7TMBC9&#10;I/EPlu80abotJWq6ElTLBQHSwge4jtNYij1m7DYpHwB/wIkL9/2ufgdjp92F5bIHLs545uXNvJnx&#10;6nowHTso9BpsxaeTnDNlJdTa7ir++dPNiyVnPghbiw6sqvhReX69fv5s1btSFdBCVytkRGJ92buK&#10;tyG4Msu8bJURfgJOWQo2gEYEuuIuq1H0xG66rMjzRdYD1g5BKu/JuxmD/MyITyGEptFSbUDujbJh&#10;ZEXViUCSfKud5+tUbdMoGT40jVeBdRUnpSGdlITsbTyz9UqUOxSu1fJcgnhKCY80GaEtJb2n2ogg&#10;2B71P1RGSwQPTZhIMNkoJHWEVEzzR725bYVTSQu12rv7pvv/RyvfHz4i03XFi1ecWWFo4qcf308/&#10;706/vrHi6ip2qHe+JOCtI2gYXsNAe3Pxe3JG4UODJn5JEqN4MSsWeT7n7EjYRf5yupyPvVZDYJIA&#10;i3y2JB+TBChmi+U8xbMHIoc+vFVgWDQqjjTK1GFxeOcDFUXQCyTmtXCjuy6Ns7N/OQgYPVlUMVYb&#10;rTBsh7O0LdRHUkZvgvK0gF8562kjKu6/7AUqzoSV5K54uJhvwrhCe4d619JfqR0pA80p1XbeqbgI&#10;f95THQ/vaP0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xjd5NMAAAAFAQAADwAAAAAAAAABACAA&#10;AAAiAAAAZHJzL2Rvd25yZXYueG1sUEsBAhQAFAAAAAgAh07iQHH/EjXZAQAAjwMAAA4AAAAAAAAA&#10;AQAgAAAAIgEAAGRycy9lMm9Eb2MueG1sUEsFBgAAAAAGAAYAWQEAAG0FAAAAAA==&#10;">
                        <v:fill on="f" focussize="0,0"/>
                        <v:stroke on="f"/>
                        <v:imagedata o:title=""/>
                        <o:lock v:ext="edit" aspectratio="f"/>
                        <v:textbox>
                          <w:txbxContent>
                            <w:p w14:paraId="6EEFB67D">
                              <w:pPr>
                                <w:rPr>
                                  <w:rFonts w:hint="default" w:eastAsia="宋体"/>
                                  <w:sz w:val="18"/>
                                  <w:szCs w:val="18"/>
                                  <w:lang w:val="en-US" w:eastAsia="zh-CN"/>
                                </w:rPr>
                              </w:pPr>
                              <w:r>
                                <w:rPr>
                                  <w:rFonts w:hint="eastAsia"/>
                                  <w:sz w:val="18"/>
                                  <w:szCs w:val="18"/>
                                  <w:lang w:val="en-US" w:eastAsia="zh-CN"/>
                                </w:rPr>
                                <w:t>959t/a</w:t>
                              </w:r>
                            </w:p>
                          </w:txbxContent>
                        </v:textbox>
                      </v:shape>
                      <v:shape id="文本框 248" o:spid="_x0000_s1026" o:spt="202" type="#_x0000_t202" style="position:absolute;left:2712085;top:1793875;height:231775;width:781685;"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Eu48ynYAQAAjwMAAA4AAABkcnMvZTJvRG9jLnhtbK1TS27bMBDd&#10;F+gdCO5rfdxEqmA5QGukm6ItkPQANEVZBEQOS9KWnAOkN+iqm+5zLp8jQ8rOr5ssuqGGM6M3894M&#10;Fxej6slOWCdB1zSbpZQIzaGRelPTH9eX70pKnGe6YT1oUdO9cPRi+fbNYjCVyKGDvhGWIIh21WBq&#10;2nlvqiRxvBOKuRkYoTHYglXM49VuksayAdFVn+Rpep4MYBtjgQvn0LuagvSIaF8DCG0ruVgB3yqh&#10;/YRqRc88UnKdNI4uY7dtK7j/1rZOeNLXFJn6eGIRtNfhTJYLVm0sM53kxxbYa1p4wUkxqbHoA9SK&#10;eUa2Vv4DpSS34KD1Mw4qmYhERZBFlr7Q5qpjRkQuKLUzD6K7/wfLv+6+WyKbms5REs0UTvzw+9fh&#10;z93h7y3J35dBocG4ChOvDKb68SOMuDcnv0NnID62VoUvUiIYz4ssT8szSvaYW3yYl8XZpLUYPeGY&#10;UJTZeYhzTMjnWTHFk0cgY53/LECRYNTU4iijwmz3xXlsClNPKaGuhkvZ93GcvX7mwMTgSQKLqdtg&#10;+XE9HqmtodkjM3wTWKcDe0PJgBtRU/dzy6yghGmO7pr6k/nJTyu0NVZuOvwryhEr4Jxib8edCovw&#10;9B77eHxHy3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7GN3k0wAAAAUBAAAPAAAAAAAAAAEAIAAA&#10;ACIAAABkcnMvZG93bnJldi54bWxQSwECFAAUAAAACACHTuJAS7jzKdgBAACPAwAADgAAAAAAAAAB&#10;ACAAAAAiAQAAZHJzL2Uyb0RvYy54bWxQSwUGAAAAAAYABgBZAQAAbAUAAAAA&#10;">
                        <v:fill on="f" focussize="0,0"/>
                        <v:stroke on="f"/>
                        <v:imagedata o:title=""/>
                        <o:lock v:ext="edit" aspectratio="f"/>
                        <v:textbox>
                          <w:txbxContent>
                            <w:p w14:paraId="6DC28AC5">
                              <w:pPr>
                                <w:jc w:val="center"/>
                                <w:rPr>
                                  <w:rFonts w:hint="default" w:eastAsia="宋体"/>
                                  <w:sz w:val="18"/>
                                  <w:szCs w:val="18"/>
                                  <w:lang w:val="en-US" w:eastAsia="zh-CN"/>
                                </w:rPr>
                              </w:pPr>
                              <w:r>
                                <w:rPr>
                                  <w:rFonts w:hint="eastAsia"/>
                                  <w:sz w:val="18"/>
                                  <w:szCs w:val="18"/>
                                  <w:lang w:val="en-US" w:eastAsia="zh-CN"/>
                                </w:rPr>
                                <w:t>37402.6t/a</w:t>
                              </w:r>
                            </w:p>
                          </w:txbxContent>
                        </v:textbox>
                      </v:shape>
                      <v:shape id="文本框 248" o:spid="_x0000_s1026" o:spt="202" type="#_x0000_t202" style="position:absolute;left:2728595;top:2078355;height:276860;width:766445;"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Oa5hj3aAQAAkAMAAA4AAABkcnMvZTJvRG9jLnhtbK1TS27bMBDd&#10;F8gdCO5jKaotqYLlAI2Rboq2QNoD0BRlERA/4dCW3AO0N+iqm+5zLp+jQ8pO2nSTRTfUcObpzbyZ&#10;4fJ6VD3ZCwfS6JpezVJKhOamkXpb0y+fby9LSsAz3bDeaFHTgwB6vbp4tRxsJTLTmb4RjiCJhmqw&#10;Ne28t1WSAO+EYjAzVmgMtsYp5vHqtknj2IDsqk+yNM2TwbjGOsMFAHrXU5CeGN1LCE3bSi7Whu+U&#10;0H5idaJnHiVBJy3QVay2bQX3H9sWhCd9TVGpjycmQXsTzmS1ZNXWMdtJfiqBvaSEZ5oUkxqTPlKt&#10;mWdk5+Q/VEpyZ8C0fsaNSiYhsSOo4ip91pu7jlkRtWCrwT42Hf4fLf+w/+SIbHAT8oISzRSO/Pjj&#10;+/Hnw/HXN5LNy9CiwUKFyDuLWD++NSPCz35AZ1A+tk6FL2oiGM+KrFy8WVByQDstyteLxdRsMXrC&#10;EVDk+XyOcR4ARV7mcRjJE5F14N8Jo0gwaupwlrHFbP8ePBaF0DMk5NXmVvZ9nGev/3IgMHiSoGKq&#10;Nlh+3IwnaRvTHFAZPgrM0xn3lZIBV6KmcL9jTlDCNEd3Tf3ZvPHTDu2sk9sO/4rtiBlwULG201KF&#10;TfjzHut4ekir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sY3eTTAAAABQEAAA8AAAAAAAAAAQAg&#10;AAAAIgAAAGRycy9kb3ducmV2LnhtbFBLAQIUABQAAAAIAIdO4kDmuYY92gEAAJADAAAOAAAAAAAA&#10;AAEAIAAAACIBAABkcnMvZTJvRG9jLnhtbFBLBQYAAAAABgAGAFkBAABuBQAAAAA=&#10;">
                        <v:fill on="f" focussize="0,0"/>
                        <v:stroke on="f"/>
                        <v:imagedata o:title=""/>
                        <o:lock v:ext="edit" aspectratio="f"/>
                        <v:textbox>
                          <w:txbxContent>
                            <w:p w14:paraId="440216BC">
                              <w:pPr>
                                <w:jc w:val="center"/>
                                <w:rPr>
                                  <w:rFonts w:hint="default" w:eastAsia="宋体"/>
                                  <w:sz w:val="18"/>
                                  <w:szCs w:val="18"/>
                                  <w:lang w:val="en-US" w:eastAsia="zh-CN"/>
                                </w:rPr>
                              </w:pPr>
                              <w:r>
                                <w:rPr>
                                  <w:rFonts w:hint="eastAsia"/>
                                  <w:sz w:val="18"/>
                                  <w:szCs w:val="18"/>
                                  <w:lang w:val="en-US" w:eastAsia="zh-CN"/>
                                </w:rPr>
                                <w:t>37402.6t/a</w:t>
                              </w:r>
                            </w:p>
                          </w:txbxContent>
                        </v:textbox>
                      </v:shape>
                      <v:shape id="_x0000_s1026" o:spid="_x0000_s1026" o:spt="35" type="#_x0000_t35" style="position:absolute;left:2136775;top:2014855;flip:x;height:136525;width:535305;" filled="f" stroked="t" coordsize="21600,21600" o:gfxdata="UEsDBAoAAAAAAIdO4kAAAAAAAAAAAAAAAAAEAAAAZHJzL1BLAwQUAAAACACHTuJAm+T+sNUAAAAF&#10;AQAADwAAAGRycy9kb3ducmV2LnhtbE2PT0vEQAzF74LfYYjgzZ22oi610z2sCoIH6boI3mY72bY6&#10;kymd7L9vb/Sil/DCC+/9Ui2Owas9TmmIZCCfZaCQ2ugG6gys356u5qASW3LWR0IDJ0ywqM/PKlu6&#10;eKAG9yvulIRQKq2BnnkstU5tj8GmWRyRxNvGKViWdeq0m+xBwoPXRZbd6mAHkobejrjssf1a7YKB&#10;9LneNv7juXmnl+uHxxMv/SsPxlxe5Nk9KMYj/x3DD76gQy1Mm7gjl5Q3II/w7xTvbp7fgNqIKIoM&#10;dF3p//T1N1BLAwQUAAAACACHTuJALG9NiVQCAACFBAAADgAAAGRycy9lMm9Eb2MueG1srVTLctMw&#10;FN0zwz9otG/8SJy0njpdJBQWDGQG+ABFlm0xeo2kxsmWD2DNigUzsOIXGL4G6GdwJbslbTddkIUj&#10;+V6dc+69Rz6/2EuBdsw6rlWFs0mKEVNU11y1FX739vLkFCPniaqJ0IpV+MAcvlg+fXLem5LlutOi&#10;ZhYBiHJlbyrceW/KJHG0Y5K4iTZMQbDRVhIPW9smtSU9oEuR5Gk6T3pta2M1Zc7B2/UQxCOifQyg&#10;bhpO2VrTK8mUH1AtE8RDSa7jxuFlVNs0jPrXTeOYR6LCUKmPTyCB9TY8k+U5KVtLTMfpKIE8RsK9&#10;miThCkhvodbEE3Rl+QMoyanVTjd+QrVMhkJiR6CKLL3XmzcdMSzWAq125rbp7v/B0le7jUW8Bidg&#10;pIiEgV9/+PTrx5frn59/f/z65/s3lIUm9caVkLtSGxvKdH61V/FYXmD431d4OvSSqfpBKA+h5A5E&#10;2DgzgO0bK1EjuHkRVAR46AsCyDybzhcLIDjAOs1mp0Uxkuw9opBQTItpCnEKCZBbgJjARMoAGYCM&#10;df450xKFRYW3YJeVVgpsoe0sUpHdS+fj5OqxflK/h140UoARdkSgk+wsL/L5wNweZeXHWfliNsvO&#10;RvoRFITcCAgMSl9yIaLjhEI9SM4XKRiRErhGDdgXltLAKJxqMSKihftJvY0ynRa8DscDkLPtdiUs&#10;AnXg4fgbie+kBe41cd2QF0NDEZJ7uMKCywqf3p4mpSdcPFM18gcDNiDW6n6EFWqc3zCyMLytrg8b&#10;ezNXcGfs+3iTgv2P9/H0v6/H8i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b5P6w1QAAAAUBAAAP&#10;AAAAAAAAAAEAIAAAACIAAABkcnMvZG93bnJldi54bWxQSwECFAAUAAAACACHTuJALG9NiVQCAACF&#10;BAAADgAAAAAAAAABACAAAAAkAQAAZHJzL2Uyb0RvYy54bWxQSwUGAAAAAAYABgBZAQAA6gUAAAAA&#10;" adj="-41586,59275">
                        <v:fill on="f" focussize="0,0"/>
                        <v:stroke weight="1pt" color="#000000 [3213]" miterlimit="8" joinstyle="miter" endarrow="open"/>
                        <v:imagedata o:title=""/>
                        <o:lock v:ext="edit" aspectratio="f"/>
                      </v:shape>
                      <v:shape id="_x0000_s1026" o:spid="_x0000_s1026" o:spt="32" type="#_x0000_t32" style="position:absolute;left:1034415;top:2825115;flip:y;height:6350;width:548005;" filled="f" stroked="t" coordsize="21600,21600" o:gfxdata="UEsDBAoAAAAAAIdO4kAAAAAAAAAAAAAAAAAEAAAAZHJzL1BLAwQUAAAACACHTuJAY0YPT9cAAAAF&#10;AQAADwAAAGRycy9kb3ducmV2LnhtbE2PQUvEMBCF74L/IYzgzU1aUJdu00UqwuKuiKsge8s2sS0m&#10;k5Kk3frvHb3oZXjDG977plzPzrLJhNh7lJAtBDCDjdc9thLeXh+ulsBiUqiV9WgkfJkI6+r8rFSF&#10;9id8MdM+tYxCMBZKQpfSUHAem844FRd+MEjehw9OJVpDy3VQJwp3ludC3HCneqSGTg2m7kzzuR+d&#10;hI3Nd4/bXf1+n9Wb8Wkbng938yTl5UUmVsCSmdPfMfzgEzpUxHT0I+rIrAR6JP1O8m6X2TWwI4k8&#10;F8Crkv+nr74BUEsDBBQAAAAIAIdO4kBdob/ZGwIAAPkDAAAOAAAAZHJzL2Uyb0RvYy54bWytU72O&#10;EzEQ7pF4B8s9t5u/uyjK5oqEo0FwEj+94/XuWvKfZnzZ5CV4ASQqoAKq63kaOB6DsTcccDRX4MKa&#10;8Xi+me/zeHm+t4btFKD2ruKjk5Iz5aSvtWsr/urlxaM5ZxiFq4XxTlX8oJCfrx4+WPZhoca+86ZW&#10;wAjE4aIPFe9iDIuiQNkpK/DEB+Uo2HiwIpILbVGD6AndmmJclqdF76EO4KVCpNPNEORHRLgPoG8a&#10;LdXGyyurXBxQQRkRiRJ2OiBf5W6bRsn4vGlQRWYqTkxj3qkI2du0F6ulWLQgQqflsQVxnxbucLJC&#10;Oyp6C7URUbAr0P9AWS3Bo2/iifS2GIhkRYjFqLyjzYtOBJW5kNQYbkXH/wcrn+0ugem64pMzzpyw&#10;9OI3b6+/v/lw8+Xzt/fXP76+S/anj4ziJFYfcEE5a3cJRw/DJSTm+wYsa4wOr2mqshbEju3JKSfT&#10;6WjG2aHi4/l4NiI7y672kUm6MJvOy5Liki6cTmb5UYoBMAEHwPhEecuSUXGMIHTbxbV3jp7Xw1BM&#10;7J5iJFhK/JWQkp2/0MbkcsaxnroZn5X0+FLQ6DY0MmTaQPTRtZwJ09KfkBFy/+iNrlN6AkJot2sD&#10;bCfSJOWVWFC5v66l2huB3XAvhwayVkf6NkbbihNbWsNxFNo8djWLh0DKCwDfH2GNI/Qk9yBwsra+&#10;PmTd8zlNRK5/nN40cn/6Ofv3j139B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GNGD0/XAAAABQEA&#10;AA8AAAAAAAAAAQAgAAAAIgAAAGRycy9kb3ducmV2LnhtbFBLAQIUABQAAAAIAIdO4kBdob/ZGwIA&#10;APkDAAAOAAAAAAAAAAEAIAAAACYBAABkcnMvZTJvRG9jLnhtbFBLBQYAAAAABgAGAFkBAACzBQAA&#10;AAA=&#10;">
                        <v:fill on="f" focussize="0,0"/>
                        <v:stroke weight="1pt" color="#000000 [3213]" miterlimit="8" joinstyle="miter" endarrow="open"/>
                        <v:imagedata o:title=""/>
                        <o:lock v:ext="edit" aspectratio="f"/>
                      </v:shape>
                      <v:rect id="矩形 6" o:spid="_x0000_s1026" o:spt="1" style="position:absolute;left:1588770;top:2677795;height:273050;width:1071245;" fillcolor="#FFFFFF" filled="t" stroked="t" coordsize="21600,21600" o:gfxdata="UEsDBAoAAAAAAIdO4kAAAAAAAAAAAAAAAAAEAAAAZHJzL1BLAwQUAAAACACHTuJAkqe+89QAAAAF&#10;AQAADwAAAGRycy9kb3ducmV2LnhtbE2PMU/DQAyFdyT+w8lIbPQuQUAJuXQAFYmxTRc2JzFJIOeL&#10;cpc28OsxLLBYz3rWe5/zzeIGdaQp9J4tJCsDirj2Tc+thUO5vVqDChG5wcEzWfikAJvi/CzHrPEn&#10;3tFxH1slIRwytNDFOGZah7ojh2HlR2Lx3vzkMMo6tbqZ8CThbtCpMbfaYc/S0OFIjx3VH/vZWaj6&#10;9IBfu/LZuPvtdXxZyvf59cnay4vEPICKtMS/Y/jBF3QohKnyMzdBDRbkkfg7xbtbJzegKhFpakAX&#10;uf5PX3wDUEsDBBQAAAAIAIdO4kD4fwChLgIAAGkEAAAOAAAAZHJzL2Uyb0RvYy54bWytVE2u0zAQ&#10;3iNxB8t7mrSPNm3U9C1eKRsET3pwANdxEkv+Y+w2KZdBYschOA7iGoyd8v5g0QVeJON4/M1838xk&#10;fT1oRY4CvLSmotNJTokw3NbStBX99HH3akmJD8zUTFkjKnoSnl5vXr5Y964UM9tZVQsgCGJ82buK&#10;diG4Mss874RmfmKdMHjYWNAs4BbarAbWI7pW2SzPF1lvoXZgufAev27HQ3pGhEsAbdNILraWH7Qw&#10;YUQFoVhASr6TztNNyrZpBA8fmsaLQFRFkWlITwyC9j4+s82alS0w10l+ToFdksIzTppJg0HvobYs&#10;MHIA+ReUlhyst02YcKuzkUhSBFlM82fa3HXMicQFpfbuXnT//2D5++MtEFlX9GpFiWEaK/7r6/ef&#10;P76RRRSnd75Enzt3C+edRzMyHRrQ8Y0cyICNNF8uiwJlPVV0tiiKYjUfxRVDIDw65MV09npOCY8e&#10;xVU+T+pnD0gOfHgrrCbRqChg8ZKm7PjOB4yOrn9cYmBvlax3Uqm0gXZ/o4AcGRZ6l1YMj1eeuClD&#10;+oqu5rOYB8PubbBr0NQOFfCmTfGe3PCPgfO0/gUcE9sy340JJISRvpZBAGbCyk6w+o2pSTg5FNng&#10;cNGYjBY1JUrgLEYreQYm1SWeyE4ZJBmLNJYlWmHYDwgTzb2tT1henHbUs7PwBSNiryPVzwcGGJ8Z&#10;jp8rihqM5k0Yh+PgQLYd3pomthEMOzAJep6W2OKP9ymPhz/E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Sp77z1AAAAAUBAAAPAAAAAAAAAAEAIAAAACIAAABkcnMvZG93bnJldi54bWxQSwECFAAU&#10;AAAACACHTuJA+H8AoS4CAABpBAAADgAAAAAAAAABACAAAAAjAQAAZHJzL2Uyb0RvYy54bWxQSwUG&#10;AAAAAAYABgBZAQAAwwUAAAAA&#10;">
                        <v:fill on="t" focussize="0,0"/>
                        <v:stroke color="#000000" joinstyle="miter"/>
                        <v:imagedata o:title=""/>
                        <o:lock v:ext="edit" aspectratio="f"/>
                        <v:textbox>
                          <w:txbxContent>
                            <w:p w14:paraId="3A34A880">
                              <w:pPr>
                                <w:jc w:val="center"/>
                                <w:rPr>
                                  <w:rFonts w:hint="default" w:eastAsia="宋体"/>
                                  <w:sz w:val="18"/>
                                  <w:szCs w:val="18"/>
                                  <w:lang w:val="en-US" w:eastAsia="zh-CN"/>
                                </w:rPr>
                              </w:pPr>
                              <w:r>
                                <w:rPr>
                                  <w:rFonts w:hint="eastAsia"/>
                                  <w:sz w:val="18"/>
                                  <w:szCs w:val="18"/>
                                  <w:lang w:val="en-US" w:eastAsia="zh-CN"/>
                                </w:rPr>
                                <w:t>防水涂料用水</w:t>
                              </w:r>
                            </w:p>
                          </w:txbxContent>
                        </v:textbox>
                      </v:rect>
                      <v:shape id="文本框 242" o:spid="_x0000_s1026" o:spt="202" type="#_x0000_t202" style="position:absolute;left:1035050;top:2498725;height:250825;width:52070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OzTXIvXAQAAjwMAAA4AAABkcnMvZTJvRG9jLnhtbK1TzY7TMBC+&#10;I/EOlu803tCw3ajuSlAtFwRICw/gOk5jKf5h7DYpDwBvwIkLd56rz8HYaXeX5bIHLs54ZvLNfN+M&#10;l9ej6cleQdDOcnoxY5QoK12j7ZbTz59uXiwoCVHYRvTOKk4PKtDr1fNny8HXqnSd6xsFBEFsqAfP&#10;aRejr4siyE4ZEWbOK4vB1oEREa+wLRoQA6KbvigZe1UMDhoPTqoQ0LuegvSECE8BdG2rpVo7uTPK&#10;xgkVVC8iUgqd9oGucrdtq2T80LZBRdJzikxjPrEI2pt0FqulqLcgfKflqQXxlBYecTJCWyx6B7UW&#10;UZAd6H+gjJbggmvjTDpTTESyIsjigj3S5rYTXmUuKHXwd6KH/wcr3+8/AtENp3OUxAqDEz/++H78&#10;+fv46xsp52VSaPChxsRbj6lxfO1G3JuzP6AzER9bMOmLlEiKs5cVqxDywGk5v1pcltWktRojkZhQ&#10;leySYVymhIotpnhxD+QhxLfKGZIMTgFHmRUW+3chYlOYek5Jda270X2fx9nbvxyYmDxFYjF1m6w4&#10;bsYTtY1rDsgM3wTW6Rx8pWTAjeA0fNkJUJQIK9HNaTybb+K0QjsPetvhX1mOXAHnlHs77VRahIf3&#10;3Mf9O1r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sY3eTTAAAABQEAAA8AAAAAAAAAAQAgAAAA&#10;IgAAAGRycy9kb3ducmV2LnhtbFBLAQIUABQAAAAIAIdO4kDs01yL1wEAAI8DAAAOAAAAAAAAAAEA&#10;IAAAACIBAABkcnMvZTJvRG9jLnhtbFBLBQYAAAAABgAGAFkBAABrBQAAAAA=&#10;">
                        <v:fill on="f" focussize="0,0"/>
                        <v:stroke on="f"/>
                        <v:imagedata o:title=""/>
                        <o:lock v:ext="edit" aspectratio="f"/>
                        <v:textbox>
                          <w:txbxContent>
                            <w:p w14:paraId="4E2510BD">
                              <w:pPr>
                                <w:jc w:val="center"/>
                                <w:rPr>
                                  <w:rFonts w:hint="default" w:eastAsia="宋体"/>
                                  <w:sz w:val="18"/>
                                  <w:szCs w:val="18"/>
                                  <w:lang w:val="en-US" w:eastAsia="zh-CN"/>
                                </w:rPr>
                              </w:pPr>
                              <w:r>
                                <w:rPr>
                                  <w:rFonts w:hint="eastAsia"/>
                                  <w:sz w:val="18"/>
                                  <w:szCs w:val="18"/>
                                  <w:lang w:val="en-US" w:eastAsia="zh-CN"/>
                                </w:rPr>
                                <w:t>200t/a</w:t>
                              </w:r>
                            </w:p>
                          </w:txbxContent>
                        </v:textbox>
                      </v:shape>
                      <v:line id="_x0000_s1026" o:spid="_x0000_s1026" o:spt="20" style="position:absolute;left:1034415;top:2037715;height:795655;width:0;" filled="f" stroked="t" coordsize="21600,21600" o:gfxdata="UEsDBAoAAAAAAIdO4kAAAAAAAAAAAAAAAAAEAAAAZHJzL1BLAwQUAAAACACHTuJAUIiA5NYAAAAF&#10;AQAADwAAAGRycy9kb3ducmV2LnhtbE2PQU/DMAyF70j8h8hI3FjSDthUmk4INHHgtDEBx6wxbbXG&#10;qZKsK/x6DBe4WM961nufy9XkejFiiJ0nDdlMgUCqve2o0bB7WV8tQcRkyJreE2r4xAir6vysNIX1&#10;J9rguE2N4BCKhdHQpjQUUsa6RWfizA9I7H344EziNTTSBnPicNfLXKlb6UxH3NCaAR9arA/bo9Pw&#10;er84zKenx+t12uzegx/nz/j1pvXlRabuQCSc0t8x/OAzOlTMtPdHslH0GviR9DvZWyyzGxB7Fnmu&#10;QFal/E9ffQNQSwMEFAAAAAgAh07iQKQZaSTxAQAAvwMAAA4AAABkcnMvZTJvRG9jLnhtbK1TzW4T&#10;MRC+I/EOlu9kN2nSlFU2PTQqFwSRgAeYeL27lvwnj5tNXoIXQOIGJ47ceRvKYzD2hraUSw/swTv2&#10;zHwz3+fx6vJgNNvLgMrZmk8nJWfSCtco29X8w/vrFxecYQTbgHZW1vwokV+unz9bDb6SM9c73cjA&#10;CMRiNfia9zH6qihQ9NIATpyXlpytCwYibUNXNAEGQje6mJXleTG40PjghESk083o5CfE8BRA17ZK&#10;yI0TN0baOKIGqSESJeyVR77O3batFPFt26KMTNecmMa8UhGyd2kt1iuougC+V+LUAjylhUecDChL&#10;Re+gNhCB3QT1D5RRIjh0bZwIZ4qRSFaEWEzLR9q868HLzIWkRn8nOv4/WPFmvw1MNTWfTzmzYOjG&#10;bz99//nxy68fn2m9/faVkYdkGjxWFH1lt+G0Q78NifOhDSb9iQ070EiVZ/P5dMHZseaz8my5JDvL&#10;LA+RCQog7QX5li8X54vsKu4xfMD4SjrDklFzrWwSACrYv8ZIKBT6JyQdW3ettM7o2rKBis+WZcIH&#10;msyWJoJM44kd2o4z0B2NvIghQ6LTqknpCQhDt7vSge0hDUr+UtNU7q+wVHsD2I9x2TVyMyrSq9DK&#10;1PziYba2BJKkG8VK1s41x6xhPqd7zWVOM5gG5+E+Z9+/u/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IiA5NYAAAAFAQAADwAAAAAAAAABACAAAAAiAAAAZHJzL2Rvd25yZXYueG1sUEsBAhQAFAAA&#10;AAgAh07iQKQZaSTxAQAAvwMAAA4AAAAAAAAAAQAgAAAAJQEAAGRycy9lMm9Eb2MueG1sUEsFBgAA&#10;AAAGAAYAWQEAAIgFAAAAAA==&#10;">
                        <v:fill on="f" focussize="0,0"/>
                        <v:stroke weight="1pt" color="#000000 [3213]" miterlimit="8" joinstyle="miter"/>
                        <v:imagedata o:title=""/>
                        <o:lock v:ext="edit" aspectratio="f"/>
                      </v:line>
                      <v:line id="_x0000_s1026" o:spid="_x0000_s1026" o:spt="20" style="position:absolute;left:1035685;top:2816860;height:795655;width:0;" filled="f" stroked="t" coordsize="21600,21600" o:gfxdata="UEsDBAoAAAAAAIdO4kAAAAAAAAAAAAAAAAAEAAAAZHJzL1BLAwQUAAAACACHTuJAUIiA5NYAAAAF&#10;AQAADwAAAGRycy9kb3ducmV2LnhtbE2PQU/DMAyF70j8h8hI3FjSDthUmk4INHHgtDEBx6wxbbXG&#10;qZKsK/x6DBe4WM961nufy9XkejFiiJ0nDdlMgUCqve2o0bB7WV8tQcRkyJreE2r4xAir6vysNIX1&#10;J9rguE2N4BCKhdHQpjQUUsa6RWfizA9I7H344EziNTTSBnPicNfLXKlb6UxH3NCaAR9arA/bo9Pw&#10;er84zKenx+t12uzegx/nz/j1pvXlRabuQCSc0t8x/OAzOlTMtPdHslH0GviR9DvZWyyzGxB7Fnmu&#10;QFal/E9ffQNQSwMEFAAAAAgAh07iQMHhtvXyAQAAvwMAAA4AAABkcnMvZTJvRG9jLnhtbK1TvW7b&#10;MBDeC/QdCO61ZAdWXMFyhhjpUrQG2j7AmaIkAvwDj7Hsl+gLFOjWTh27922aPkaPkpqkyZIhGqgj&#10;7+67+z4e1xdHo9lBBlTOVnw+yzmTVrha2bbinz5evVpxhhFsDdpZWfGTRH6xefli3ftSLlzndC0D&#10;IxCLZe8r3sXoyyxD0UkDOHNeWnI2LhiItA1tVgfoCd3obJHnRda7UPvghESk0+3o5BNieAqgaxol&#10;5NaJayNtHFGD1BCJEnbKI98M3TaNFPF906CMTFecmMZhpSJk79OabdZQtgF8p8TUAjylhQecDChL&#10;RW+hthCBXQf1CMooERy6Js6EM9lIZFCEWMzzB9p86MDLgQtJjf5WdHw+WPHusAtM1RU/KzizYOjG&#10;b778/P35259fX2m9+fGdkYdk6j2WFH1pd2Haod+FxPnYBJP+xIYdaaTys2WxWnJ2qvhiNS9WxSSz&#10;PEYmKIC0F+Q7f70slssEnd1h+IDxjXSGJaPiWtkkAJRweItxDP0Xko6tu1Ja0zmU2rKeii/O84QP&#10;NJkNTQSZxhM7tC1noFsaeRHDAIlOqzqlp2wM7f5SB3aANCjDN3X2X1iqvQXsxrjBlcKgNCrSq9DK&#10;VHx1P1tbopekG8VK1t7Vp0HD4ZzudRBgmsE0OPf3Q/bdu9v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CIgOTWAAAABQEAAA8AAAAAAAAAAQAgAAAAIgAAAGRycy9kb3ducmV2LnhtbFBLAQIUABQA&#10;AAAIAIdO4kDB4bb18gEAAL8DAAAOAAAAAAAAAAEAIAAAACUBAABkcnMvZTJvRG9jLnhtbFBLBQYA&#10;AAAABgAGAFkBAACJBQAAAAA=&#10;">
                        <v:fill on="f" focussize="0,0"/>
                        <v:stroke weight="1pt" color="#000000 [3213]" miterlimit="8" joinstyle="miter"/>
                        <v:imagedata o:title=""/>
                        <o:lock v:ext="edit" aspectratio="f"/>
                      </v:line>
                      <v:shape id="_x0000_s1026" o:spid="_x0000_s1026" o:spt="32" type="#_x0000_t32" style="position:absolute;left:1048385;top:3608705;flip:y;height:6350;width:548005;" filled="f" stroked="t" coordsize="21600,21600" o:gfxdata="UEsDBAoAAAAAAIdO4kAAAAAAAAAAAAAAAAAEAAAAZHJzL1BLAwQUAAAACACHTuJAY0YPT9cAAAAF&#10;AQAADwAAAGRycy9kb3ducmV2LnhtbE2PQUvEMBCF74L/IYzgzU1aUJdu00UqwuKuiKsge8s2sS0m&#10;k5Kk3frvHb3oZXjDG977plzPzrLJhNh7lJAtBDCDjdc9thLeXh+ulsBiUqiV9WgkfJkI6+r8rFSF&#10;9id8MdM+tYxCMBZKQpfSUHAem844FRd+MEjehw9OJVpDy3VQJwp3ludC3HCneqSGTg2m7kzzuR+d&#10;hI3Nd4/bXf1+n9Wb8Wkbng938yTl5UUmVsCSmdPfMfzgEzpUxHT0I+rIrAR6JP1O8m6X2TWwI4k8&#10;F8Crkv+nr74BUEsDBBQAAAAIAIdO4kA9l5JXGwIAAPkDAAAOAAAAZHJzL2Uyb0RvYy54bWytU72O&#10;EzEQ7pF4B8s92b3LJRdF2VyRcDQIIvHTO17vriX/acaXTV6CF0CiAiqgup6ngeMxGHvDAUdzBS6s&#10;GdvzzXzfjBcXe2vYTgFq7yp+Mio5U076Wru24q9eXj6acYZRuFoY71TFDwr5xfLhg0Uf5urUd97U&#10;ChiBOJz3oeJdjGFeFCg7ZQWOfFCOLhsPVkRyoS1qED2hW1OcluW06D3UAbxUiHS6Hi75ERHuA+ib&#10;Rku19vLKKhcHVFBGRKKEnQ7Il7naplEyPm8aVJGZihPTmHdKQvY27cVyIeYtiNBpeSxB3KeEO5ys&#10;0I6S3kKtRRTsCvQ/UFZL8OibOJLeFgORrAixOCnvaPOiE0FlLiQ1hlvR8f/Byme7DTBdV3xMfXfC&#10;Usdv3l5/f/Ph5svnb++vf3x9l+xPHxndk1h9wDnFrNwGjh6GDSTm+wYsa4wOr2mqshbEju3JKc9m&#10;49mEswMlmZaz83IyyK72kUl6MDmblXTGJD2Yjie5KcUAmIADYHyivGXJqDhGELrt4so7R+31MCQT&#10;u6cYqSQK/BWQgp2/1MbkLhvHeqrm9Lyk5ktBo9vQyJBpA9FH13ImTEt/QkbI9aM3uk7hCQih3a4M&#10;sJ1Ik5RXYkHp/nqWcq8FdsO7fDWQtTrStzHaVpzY0hqOo9DmsatZPARSXgD4/ghrHKEnuQeBk7X1&#10;9SHrns9pInL+4/SmkfvTz9G/f+zy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GNGD0/XAAAABQEA&#10;AA8AAAAAAAAAAQAgAAAAIgAAAGRycy9kb3ducmV2LnhtbFBLAQIUABQAAAAIAIdO4kA9l5JXGwIA&#10;APkDAAAOAAAAAAAAAAEAIAAAACYBAABkcnMvZTJvRG9jLnhtbFBLBQYAAAAABgAGAFkBAACzBQAA&#10;AAA=&#10;">
                        <v:fill on="f" focussize="0,0"/>
                        <v:stroke weight="1pt" color="#000000 [3213]" miterlimit="8" joinstyle="miter" endarrow="open"/>
                        <v:imagedata o:title=""/>
                        <o:lock v:ext="edit" aspectratio="f"/>
                      </v:shape>
                      <v:rect id="矩形 6" o:spid="_x0000_s1026" o:spt="1" style="position:absolute;left:1583690;top:3455035;height:273050;width:1211580;" fillcolor="#FFFFFF" filled="t" stroked="t" coordsize="21600,21600" o:gfxdata="UEsDBAoAAAAAAIdO4kAAAAAAAAAAAAAAAAAEAAAAZHJzL1BLAwQUAAAACACHTuJAkqe+89QAAAAF&#10;AQAADwAAAGRycy9kb3ducmV2LnhtbE2PMU/DQAyFdyT+w8lIbPQuQUAJuXQAFYmxTRc2JzFJIOeL&#10;cpc28OsxLLBYz3rWe5/zzeIGdaQp9J4tJCsDirj2Tc+thUO5vVqDChG5wcEzWfikAJvi/CzHrPEn&#10;3tFxH1slIRwytNDFOGZah7ojh2HlR2Lx3vzkMMo6tbqZ8CThbtCpMbfaYc/S0OFIjx3VH/vZWaj6&#10;9IBfu/LZuPvtdXxZyvf59cnay4vEPICKtMS/Y/jBF3QohKnyMzdBDRbkkfg7xbtbJzegKhFpakAX&#10;uf5PX3wDUEsDBBQAAAAIAIdO4kCcD1RWLQIAAGkEAAAOAAAAZHJzL2Uyb0RvYy54bWytVMuO0zAU&#10;3SPxD5b3NGk7KTNV01lMKRsEIw18gOs4iSW/sN0XP4PEjo/gcxC/wbFT5gWLLsgiuU6Oz73n3Oss&#10;rg9akZ3wQVpT0/GopEQYbhtpupp++rh+dUlJiMw0TFkjanoUgV4vX75Y7N1cTGxvVSM8AYkJ872r&#10;aR+jmxdF4L3QLIysEwYfW+s1i1j6rmg824Ndq2JSlrNib33jvOUiBLxdDR/pidGfQ2jbVnKxsnyr&#10;hYkDqxeKRUgKvXSBLnO1bSt4/NC2QUSiagqlMd+RBPEm3Yvlgs07z1wv+akEdk4JzzRpJg2S3lOt&#10;WGRk6+VfVFpyb4Nt44hbXQxCsiNQMS6feXPXMyeyFlgd3L3p4f/R8ve7W09kU9OLCSWGaXT819fv&#10;P398I7Nkzt6FOTB37tafVgFhUnpovU5PaCAHDFJ1OZ1dwdZjTacXVVVOq8FccYiEJ8BkDAwAHIjJ&#10;62lZZfeLBybnQ3wrrCYpqKlH87KnbPcuRGQH9A8kJQ5WyWYtlcoL321ulCc7hkav85XSY8sTmDJk&#10;X9OralKhDobpbTE1CLWDA8F0Od+THeExcZmvfxGnwlYs9EMBmWGQr2UUHpWweS9Y88Y0JB4dTDY4&#10;XDQVo0VDiRI4iynKyMikOgcJdcpAZGrS0JYUxcPmAJoUbmxzRHtx2uFnb/0XZMSsQ+rnLfPIzwzH&#10;65rCgyG8icPh2Dovux67xlltIsMEZkNPpyWN+ON1ruPhD7H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KnvvPUAAAABQEAAA8AAAAAAAAAAQAgAAAAIgAAAGRycy9kb3ducmV2LnhtbFBLAQIUABQA&#10;AAAIAIdO4kCcD1RWLQIAAGkEAAAOAAAAAAAAAAEAIAAAACMBAABkcnMvZTJvRG9jLnhtbFBLBQYA&#10;AAAABgAGAFkBAADCBQAAAAA=&#10;">
                        <v:fill on="t" focussize="0,0"/>
                        <v:stroke color="#000000" joinstyle="miter"/>
                        <v:imagedata o:title=""/>
                        <o:lock v:ext="edit" aspectratio="f"/>
                        <v:textbox>
                          <w:txbxContent>
                            <w:p w14:paraId="23FF67BC">
                              <w:pPr>
                                <w:jc w:val="center"/>
                                <w:rPr>
                                  <w:rFonts w:hint="default" w:eastAsia="宋体"/>
                                  <w:sz w:val="18"/>
                                  <w:szCs w:val="18"/>
                                  <w:lang w:val="en-US" w:eastAsia="zh-CN"/>
                                </w:rPr>
                              </w:pPr>
                              <w:r>
                                <w:rPr>
                                  <w:rFonts w:hint="eastAsia"/>
                                  <w:sz w:val="18"/>
                                  <w:szCs w:val="18"/>
                                  <w:lang w:val="en-US" w:eastAsia="zh-CN"/>
                                </w:rPr>
                                <w:t>废气处理设施用水</w:t>
                              </w:r>
                            </w:p>
                          </w:txbxContent>
                        </v:textbox>
                      </v:rect>
                      <v:shape id="_x0000_s1026" o:spid="_x0000_s1026" o:spt="32" type="#_x0000_t32" style="position:absolute;left:2799715;top:3602355;flip:y;height:6350;width:548005;" filled="f" stroked="t" coordsize="21600,21600" o:gfxdata="UEsDBAoAAAAAAIdO4kAAAAAAAAAAAAAAAAAEAAAAZHJzL1BLAwQUAAAACACHTuJAY0YPT9cAAAAF&#10;AQAADwAAAGRycy9kb3ducmV2LnhtbE2PQUvEMBCF74L/IYzgzU1aUJdu00UqwuKuiKsge8s2sS0m&#10;k5Kk3frvHb3oZXjDG977plzPzrLJhNh7lJAtBDCDjdc9thLeXh+ulsBiUqiV9WgkfJkI6+r8rFSF&#10;9id8MdM+tYxCMBZKQpfSUHAem844FRd+MEjehw9OJVpDy3VQJwp3ludC3HCneqSGTg2m7kzzuR+d&#10;hI3Nd4/bXf1+n9Wb8Wkbng938yTl5UUmVsCSmdPfMfzgEzpUxHT0I+rIrAR6JP1O8m6X2TWwI4k8&#10;F8Crkv+nr74BUEsDBBQAAAAIAIdO4kAvkx9/HgIAAPkDAAAOAAAAZHJzL2Uyb0RvYy54bWytU72O&#10;EzEQ7pF4B8s92U1yuZ8omysSjgbBSfz0jte7a8l/mvFlk5fgBZCogAqorudp4HgMxt5wwNFcgQtr&#10;7PF8M98348X5zhq2VYDau4qPRyVnyklfa9dW/NXLi0ennGEUrhbGO1XxvUJ+vnz4YNGHuZr4zpta&#10;ASMQh/M+VLyLMcyLAmWnrMCRD8qRs/FgRaQjtEUNoid0a4pJWR4XvYc6gJcKkW7Xg5MfEOE+gL5p&#10;tFRrL6+scnFABWVEJErY6YB8mattGiXj86ZBFZmpODGNeackZG/SXiwXYt6CCJ2WhxLEfUq4w8kK&#10;7SjpLdRaRMGuQP8DZbUEj76JI+ltMRDJihCLcXlHmxedCCpzIakx3IqO/w9WPtteAtN1xY+mnDlh&#10;qeM3b6+/v/lw8+Xzt/fXP76+S/anj4z8JFYfcE4xK3cJhxOGS0jMdw1Y1hgdXtNUZS2IHdtVfHJy&#10;dnYynnG2r/j0uJxMZ7NBdrWLTNKD2dFpWZJf0oPj6Sw3pRgAE3AAjE+UtywZFccIQrddXHnnqL0e&#10;hmRi+xQjlUSBvwJSsPMX2pjcZeNYT6VNTkpqvhQ0ug2NDJk2EH10LWfCtPQnZIRcP3qj6xSegBDa&#10;zcoA24o0SXklFpTur2cp91pgN7zLroGs1ZG+jdG24sSW1nAdhTaPXc3iPpDyAsD3B1jjCD3JPQic&#10;rI2v91n3fE8TkfMfpjeN3J/nHP37xy5/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GNGD0/XAAAA&#10;BQEAAA8AAAAAAAAAAQAgAAAAIgAAAGRycy9kb3ducmV2LnhtbFBLAQIUABQAAAAIAIdO4kAvkx9/&#10;HgIAAPkDAAAOAAAAAAAAAAEAIAAAACYBAABkcnMvZTJvRG9jLnhtbFBLBQYAAAAABgAGAFkBAAC2&#10;BQAAAAA=&#10;">
                        <v:fill on="f" focussize="0,0"/>
                        <v:stroke weight="1pt" color="#000000 [3213]" miterlimit="8" joinstyle="miter" endarrow="open"/>
                        <v:imagedata o:title=""/>
                        <o:lock v:ext="edit" aspectratio="f"/>
                      </v:shape>
                      <v:rect id="矩形 6" o:spid="_x0000_s1026" o:spt="1" style="position:absolute;left:3347720;top:3461385;height:273050;width:1071245;" fillcolor="#FFFFFF" filled="t" stroked="t" coordsize="21600,21600" o:gfxdata="UEsDBAoAAAAAAIdO4kAAAAAAAAAAAAAAAAAEAAAAZHJzL1BLAwQUAAAACACHTuJAkqe+89QAAAAF&#10;AQAADwAAAGRycy9kb3ducmV2LnhtbE2PMU/DQAyFdyT+w8lIbPQuQUAJuXQAFYmxTRc2JzFJIOeL&#10;cpc28OsxLLBYz3rWe5/zzeIGdaQp9J4tJCsDirj2Tc+thUO5vVqDChG5wcEzWfikAJvi/CzHrPEn&#10;3tFxH1slIRwytNDFOGZah7ojh2HlR2Lx3vzkMMo6tbqZ8CThbtCpMbfaYc/S0OFIjx3VH/vZWaj6&#10;9IBfu/LZuPvtdXxZyvf59cnay4vEPICKtMS/Y/jBF3QohKnyMzdBDRbkkfg7xbtbJzegKhFpakAX&#10;uf5PX3wDUEsDBBQAAAAIAIdO4kAkHAKdLgIAAGkEAAAOAAAAZHJzL2Uyb0RvYy54bWytVEuS0zAQ&#10;3VPFHVTaE3/yG1xxZjEhbCiYqoEDdGTZVpV+SEricBmq2HEIjkNxDVpymB8sskALu2W1Xvd73e3V&#10;9aAkOXDnhdE1LSY5JVwz0wjd1fTTx+2rK0p8AN2ANJrX9MQ9vV6/fLE62oqXpjey4Y4giPbV0da0&#10;D8FWWeZZzxX4ibFc42FrnIKAW9dljYMjoiuZlXm+yI7GNdYZxr3Hr5vxkJ4R3SWApm0F4xvD9orr&#10;MKI6LiEgJd8L6+k6Zdu2nIUPbet5ILKmyDSkJwZBexef2XoFVefA9oKdU4BLUnjGSYHQGPQeagMB&#10;yN6Jv6CUYM5404YJMyobiSRFkEWRP9PmrgfLExeU2tt70f3/g2XvD7eOiKamsxklGhRW/NfX7z9/&#10;fCOLKM7R+gp97uytO+88mpHp0DoV38iBDDWdTmfLZYmyntCeLYrp1XwUlw+BMHQo8mVRzuaUMPQo&#10;l9N8ntTPHpCs8+EtN4pEo6YOi5c0hcM7HzA6uv5xiYG9kaLZCinTxnW7G+nIAbDQ27RieLzyxE1q&#10;cqzp63kZ8wDs3ha7Bk1lUQGvuxTvyQ3/GDhP61/AMbEN+H5MICGM9JUI3GEmUPUcmje6IeFkUWSN&#10;w0VjMoo3lEiOsxit5BlAyEs8kZ3USDIWaSxLtMKwGxAmmjvTnLC8OO2oZ2/cF4yIvY5UP+/BYXzQ&#10;DD/XFDUYzZswDsfeOtH1eKtIbCMYdmAS9DwtscUf71MeD3+I9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Sp77z1AAAAAUBAAAPAAAAAAAAAAEAIAAAACIAAABkcnMvZG93bnJldi54bWxQSwECFAAU&#10;AAAACACHTuJAJBwCnS4CAABpBAAADgAAAAAAAAABACAAAAAjAQAAZHJzL2Uyb0RvYy54bWxQSwUG&#10;AAAAAAYABgBZAQAAwwUAAAAA&#10;">
                        <v:fill on="t" focussize="0,0"/>
                        <v:stroke color="#000000" joinstyle="miter"/>
                        <v:imagedata o:title=""/>
                        <o:lock v:ext="edit" aspectratio="f"/>
                        <v:textbox>
                          <w:txbxContent>
                            <w:p w14:paraId="3320B1F5">
                              <w:pPr>
                                <w:jc w:val="center"/>
                                <w:rPr>
                                  <w:rFonts w:hint="default" w:eastAsia="宋体"/>
                                  <w:sz w:val="18"/>
                                  <w:szCs w:val="18"/>
                                  <w:lang w:val="en-US" w:eastAsia="zh-CN"/>
                                </w:rPr>
                              </w:pPr>
                              <w:r>
                                <w:rPr>
                                  <w:rFonts w:hint="eastAsia"/>
                                  <w:sz w:val="18"/>
                                  <w:szCs w:val="18"/>
                                  <w:lang w:val="en-US" w:eastAsia="zh-CN"/>
                                </w:rPr>
                                <w:t>隔油沉淀池</w:t>
                              </w:r>
                            </w:p>
                          </w:txbxContent>
                        </v:textbox>
                      </v:rect>
                      <v:shape id="_x0000_s1026" o:spid="_x0000_s1026" o:spt="34" type="#_x0000_t34" style="position:absolute;left:3180715;top:2933065;height:1623695;width:3175;rotation:5898240f;" filled="f" stroked="t" coordsize="21600,21600" o:gfxdata="UEsDBAoAAAAAAIdO4kAAAAAAAAAAAAAAAAAEAAAAZHJzL1BLAwQUAAAACACHTuJACUUTJtYAAAAF&#10;AQAADwAAAGRycy9kb3ducmV2LnhtbE2PMU/DMBCFd6T+B+sqsVE7kUqrEKdDEQyw0JaFzY2vSUR8&#10;Tm03Lf31HCywnN7pnd77rlxdXC9GDLHzpCGbKRBItbcdNRred093SxAxGbKm94QavjDCqprclKaw&#10;/kwbHLepERxCsTAa2pSGQspYt+hMnPkBib2DD84kXkMjbTBnDne9zJW6l850xA2tGXDdYv25PTkN&#10;h8fx6l824bpYzz/k8Rjf3Otzo/XtNFMPIBJe0t8x/OAzOlTMtPcnslH0GviR9DvZWyyzOYg9izxX&#10;IKtS/qevvgFQSwMEFAAAAAgAh07iQAYZWiotAgAAIgQAAA4AAABkcnMvZTJvRG9jLnhtbK1TzY7T&#10;MBC+I/EOlu80Sbv9i5ruoWW5IFgJeICp4zRG/pPtbdorD8CZEwckOPEKiKcB9jEYO6HActkDOURj&#10;z8w3830zXl0elSQH7rwwuqLFKKeEa2ZqofcVffXy6tGCEh9A1yCN5hU9cU8v1w8frDpb8rFpjay5&#10;IwiifdnZirYh2DLLPGu5Aj8ylmt0NsYpCHh0+6x20CG6ktk4z2dZZ1xtnWHce7zd9k46ILr7AJqm&#10;EYxvDbtRXIce1XEJASn5VlhP16nbpuEsPG8azwORFUWmIf2xCNq7+M/WKyj3Dmwr2NAC3KeFO5wU&#10;CI1Fz1BbCEBunPgHSgnmjDdNGDGjsp5IUgRZFPkdbV60YHniglJ7exbd/z9Y9uxw7YioK3oxpUSD&#10;wonfvnn37cuH26/vv7/9+OPzJ4IelKmzvsTojb52w8nbaxc5HxuniDOo7fQij19SArmRY0UnxSKf&#10;F4h9quh4OZnks4QGJT8GwlLAHL0M3cVsPJktkzvrUSO6dT484UaRaFR0hxPfGK1xssZNUiU4PPUh&#10;iV8PDKB+XVDSKImzPIAk876xSAORh3i0fmHHZG2uhJRpH6QmXUWX03FsDHDHG9wtNJVFnbzeUwJy&#10;j4+HBZca8EaKOmZHHO/2u410BOvigvV69HX/Coult+DbPi65+mVUIuD7kkJVdHHOhjKAkI91TcLJ&#10;4ojAOdMNdKRGVnE6/TyitTP1KY0p3ePqJN7Dmsfd/POcsn8/7f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CUUTJtYAAAAFAQAADwAAAAAAAAABACAAAAAiAAAAZHJzL2Rvd25yZXYueG1sUEsBAhQA&#10;FAAAAAgAh07iQAYZWiotAgAAIgQAAA4AAAAAAAAAAQAgAAAAJQEAAGRycy9lMm9Eb2MueG1sUEsF&#10;BgAAAAAGAAYAWQEAAMQFAAAAAA==&#10;" adj="1628640">
                        <v:fill on="f" focussize="0,0"/>
                        <v:stroke color="#000000 [3213]" miterlimit="8" joinstyle="miter" endarrow="open"/>
                        <v:imagedata o:title=""/>
                        <o:lock v:ext="edit" aspectratio="f"/>
                      </v:shape>
                      <v:shape id="文本框 242" o:spid="_x0000_s1026" o:spt="202" type="#_x0000_t202" style="position:absolute;left:1042035;top:3314700;height:250825;width:52070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DRRjmHWAQAAjwMAAA4AAABkcnMvZTJvRG9jLnhtbK1TwY7TMBC9&#10;I/EPlu80adouq6juSlAtFwRICx/gOnZjKfYY221SPgD+gBMX7nxXv4Oxk+7CctkDF2c8M3kz7814&#10;fTOYjhylDxoso/NZSYm0Ahpt94x++nj74pqSELlteAdWMnqSgd5snj9b966WFbTQNdITBLGh7h2j&#10;bYyuLoogWml4mIGTFoMKvOERr35fNJ73iG66oirLq6IH3zgPQoaA3u0YpBOifwogKKWF3II4GGnj&#10;iOplxyNSCq12gW5yt0pJEd8rFWQkHaPINOYTi6C9S2exWfN677lrtZha4E9p4REnw7XFovdQWx45&#10;OXj9D5TRwkMAFWcCTDESyYogi3n5SJu7ljuZuaDUwd2LHv4frHh3/OCJbhhdXlFiucGJn79/O//4&#10;df75lVTLKinUu1Bj4p3D1Di8ggH35uIP6EzEB+VN+iIlkuLlsioXK0pOjC4W8+XLctJaDpEITFhV&#10;ZfIRgQnVqryuVgmxeAByPsQ3EgxJBqMeR5kV5se3IY6pl5RU18Kt7ro8zs7+5UDM5CkSi7HbZMVh&#10;N0zUdtCckBm+CazTgv9CSY8bwWj4fOBeUsKtQDej8WK+juMKHZzX+xb/ynLkCjinTGPaqbQIf95z&#10;Hw/vaPM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uxjd5NMAAAAFAQAADwAAAAAAAAABACAAAAAi&#10;AAAAZHJzL2Rvd25yZXYueG1sUEsBAhQAFAAAAAgAh07iQDRRjmHWAQAAjwMAAA4AAAAAAAAAAQAg&#10;AAAAIgEAAGRycy9lMm9Eb2MueG1sUEsFBgAAAAAGAAYAWQEAAGoFAAAAAA==&#10;">
                        <v:fill on="f" focussize="0,0"/>
                        <v:stroke on="f"/>
                        <v:imagedata o:title=""/>
                        <o:lock v:ext="edit" aspectratio="f"/>
                        <v:textbox>
                          <w:txbxContent>
                            <w:p w14:paraId="304006E8">
                              <w:pPr>
                                <w:jc w:val="center"/>
                                <w:rPr>
                                  <w:rFonts w:hint="default" w:eastAsia="宋体"/>
                                  <w:sz w:val="18"/>
                                  <w:szCs w:val="18"/>
                                  <w:lang w:val="en-US" w:eastAsia="zh-CN"/>
                                </w:rPr>
                              </w:pPr>
                              <w:r>
                                <w:rPr>
                                  <w:rFonts w:hint="eastAsia"/>
                                  <w:sz w:val="18"/>
                                  <w:szCs w:val="18"/>
                                  <w:lang w:val="en-US" w:eastAsia="zh-CN"/>
                                </w:rPr>
                                <w:t>720t/a</w:t>
                              </w:r>
                            </w:p>
                          </w:txbxContent>
                        </v:textbox>
                      </v:shape>
                      <v:shape id="文本框 242" o:spid="_x0000_s1026" o:spt="202" type="#_x0000_t202" style="position:absolute;left:2787650;top:3321685;height:250825;width:62738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FBemyjaAQAAjwMAAA4AAABkcnMvZTJvRG9jLnhtbK1TzY7TMBC+&#10;I/EOlu80abpto6juSlAtFwRICw/gOk5jKf5h7DYpDwBvwIkLd56rz7Fjp92F3cse9uKMZybfzPfN&#10;eHU96I4cJHhlDaPTSU6JNMLWyuwY/frl5k1JiQ/c1LyzRjJ6lJ5er1+/WvWukoVtbVdLIAhifNU7&#10;RtsQXJVlXrRScz+xThoMNhY0D3iFXVYD7xFdd1mR54ust1A7sEJ6j97NGKRnRHgOoG0aJeTGir2W&#10;JoyoIDsekJJvlfN0nbptGinCp6bxMpCOUWQa0olF0N7GM1uveLUD7lolzi3w57TwiJPmymDRe6gN&#10;D5zsQT2B0kqA9bYJE2F1NhJJiiCLaf5Im9uWO5m4oNTe3YvuXw5WfDx8BqJqRq+WlBiuceKnXz9P&#10;v/+e/vwgxVURFeqdrzDx1mFqGN7aAffm4vfojMSHBnT8IiWC8WJZLhdzVPnI6GxWTBflfNRaDoEI&#10;TFgUy1mJcYEJxTwvixTPHoAc+PBeWk2iwSjgKJPC/PDBB2wKUy8psa6xN6rr0jg7858DE6MniyzG&#10;bqMVhu1wpra19RGZ4ZvAOq2F75T0uBGM+m97DpISbgS6GQ0X810YV2jvQO1a/CvJkSrgnFJv552K&#10;i/DvPfXx8I7W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sY3eTTAAAABQEAAA8AAAAAAAAAAQAg&#10;AAAAIgAAAGRycy9kb3ducmV2LnhtbFBLAQIUABQAAAAIAIdO4kBQXpso2gEAAI8DAAAOAAAAAAAA&#10;AAEAIAAAACIBAABkcnMvZTJvRG9jLnhtbFBLBQYAAAAABgAGAFkBAABuBQAAAAA=&#10;">
                        <v:fill on="f" focussize="0,0"/>
                        <v:stroke on="f"/>
                        <v:imagedata o:title=""/>
                        <o:lock v:ext="edit" aspectratio="f"/>
                        <v:textbox>
                          <w:txbxContent>
                            <w:p w14:paraId="6ADBE47F">
                              <w:pPr>
                                <w:jc w:val="center"/>
                                <w:rPr>
                                  <w:rFonts w:hint="default" w:eastAsia="宋体"/>
                                  <w:sz w:val="18"/>
                                  <w:szCs w:val="18"/>
                                  <w:lang w:val="en-US" w:eastAsia="zh-CN"/>
                                </w:rPr>
                              </w:pPr>
                              <w:r>
                                <w:rPr>
                                  <w:rFonts w:hint="eastAsia"/>
                                  <w:sz w:val="18"/>
                                  <w:szCs w:val="18"/>
                                  <w:lang w:val="en-US" w:eastAsia="zh-CN"/>
                                </w:rPr>
                                <w:t>28800t/a</w:t>
                              </w:r>
                            </w:p>
                          </w:txbxContent>
                        </v:textbox>
                      </v:shape>
                      <v:shape id="文本框 242" o:spid="_x0000_s1026" o:spt="202" type="#_x0000_t202" style="position:absolute;left:2853690;top:3716020;height:250825;width:68707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JXq5W3ZAQAAjwMAAA4AAABkcnMvZTJvRG9jLnhtbK1TS27bMBDd&#10;F8gdCO5jyUr8qWA6QGOkm6ItkPYANEVZBMRPhrQl9wDtDbrqpvuey+fokJKTNt1k0Q01nBm9mfdm&#10;uLrpdUsOEryyhtHpJKdEGmErZXaMfv50d7mkxAduKt5aIxk9Sk9v1hevVp0rZWEb21YSCIIYX3aO&#10;0SYEV2aZF43U3E+skwaDtQXNA15hl1XAO0TXbVbk+TzrLFQOrJDeo3czBOmICC8BtHWthNxYsdfS&#10;hAEVZMsDUvKNcp6uU7d1LUX4UNdeBtIyikxDOrEI2tt4ZusVL3fAXaPE2AJ/SQvPOGmuDBZ9hNrw&#10;wMke1D9QWgmw3tZhIqzOBiJJEWQxzZ9pc99wJxMXlNq7R9H9/4MV7w8fgaiK0Wucu+EaJ376/u30&#10;49fp51dSXBdRoc75EhPvHaaG/o3tcW/Ofo/OSLyvQccvUiIYL5azq/lrVPnI6NViOs+LUWvZByIw&#10;Yb5c5AuMC0woZvmymEXE7AnIgQ9vpdUkGowCjjIpzA/vfBhSzymxrrF3qm3TOFvzlwMxoyeLLIZu&#10;oxX6bT9S29rqiMzwTWCdxsIXSjrcCEb9w56DpIQbgW5Gw9m8DcMK7R2oXYN/JTlSBZxTojHuVFyE&#10;P++pj6d3tP4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xjd5NMAAAAFAQAADwAAAAAAAAABACAA&#10;AAAiAAAAZHJzL2Rvd25yZXYueG1sUEsBAhQAFAAAAAgAh07iQJXq5W3ZAQAAjwMAAA4AAAAAAAAA&#10;AQAgAAAAIgEAAGRycy9lMm9Eb2MueG1sUEsFBgAAAAAGAAYAWQEAAG0FAAAAAA==&#10;">
                        <v:fill on="f" focussize="0,0"/>
                        <v:stroke on="f"/>
                        <v:imagedata o:title=""/>
                        <o:lock v:ext="edit" aspectratio="f"/>
                        <v:textbox>
                          <w:txbxContent>
                            <w:p w14:paraId="471B41D1">
                              <w:pPr>
                                <w:jc w:val="center"/>
                                <w:rPr>
                                  <w:rFonts w:hint="default" w:eastAsia="宋体"/>
                                  <w:sz w:val="18"/>
                                  <w:szCs w:val="18"/>
                                  <w:lang w:val="en-US" w:eastAsia="zh-CN"/>
                                </w:rPr>
                              </w:pPr>
                              <w:r>
                                <w:rPr>
                                  <w:rFonts w:hint="eastAsia"/>
                                  <w:sz w:val="18"/>
                                  <w:szCs w:val="18"/>
                                  <w:lang w:val="en-US" w:eastAsia="zh-CN"/>
                                </w:rPr>
                                <w:t>28800t/a</w:t>
                              </w:r>
                            </w:p>
                          </w:txbxContent>
                        </v:textbox>
                      </v:shape>
                      <w10:wrap type="none"/>
                      <w10:anchorlock/>
                    </v:group>
                  </w:pict>
                </mc:Fallback>
              </mc:AlternateContent>
            </w:r>
          </w:p>
          <w:p w14:paraId="2A8A93D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图2-</w:t>
            </w:r>
            <w:r>
              <w:rPr>
                <w:rFonts w:hint="eastAsia" w:cs="Times New Roman"/>
                <w:b/>
                <w:bCs/>
                <w:sz w:val="21"/>
                <w:szCs w:val="21"/>
                <w:highlight w:val="none"/>
                <w:lang w:val="en-US" w:eastAsia="zh-CN"/>
              </w:rPr>
              <w:t>1</w:t>
            </w:r>
            <w:r>
              <w:rPr>
                <w:rFonts w:hint="eastAsia" w:ascii="Times New Roman" w:hAnsi="Times New Roman" w:eastAsia="宋体" w:cs="Times New Roman"/>
                <w:b/>
                <w:bCs/>
                <w:sz w:val="21"/>
                <w:szCs w:val="21"/>
                <w:highlight w:val="none"/>
                <w:lang w:val="en-US" w:eastAsia="zh-CN"/>
              </w:rPr>
              <w:t xml:space="preserve">    项目水平衡图</w:t>
            </w:r>
          </w:p>
          <w:p w14:paraId="7A718E51">
            <w:pPr>
              <w:numPr>
                <w:ilvl w:val="0"/>
                <w:numId w:val="0"/>
              </w:numPr>
              <w:adjustRightInd w:val="0"/>
              <w:snapToGrid w:val="0"/>
              <w:spacing w:line="360" w:lineRule="auto"/>
              <w:jc w:val="both"/>
              <w:rPr>
                <w:rFonts w:hint="default" w:ascii="Times New Roman" w:hAnsi="Times New Roman" w:eastAsia="宋体" w:cs="Times New Roman"/>
                <w:b/>
                <w:bCs/>
                <w:sz w:val="24"/>
                <w:szCs w:val="24"/>
                <w:highlight w:val="none"/>
                <w:lang w:val="en-US" w:eastAsia="zh-CN"/>
              </w:rPr>
            </w:pPr>
            <w:r>
              <w:rPr>
                <w:rFonts w:hint="eastAsia" w:cs="Times New Roman"/>
                <w:b/>
                <w:bCs/>
                <w:sz w:val="24"/>
                <w:szCs w:val="24"/>
                <w:highlight w:val="none"/>
                <w:lang w:val="en-US" w:eastAsia="zh-CN"/>
              </w:rPr>
              <w:t>8</w:t>
            </w:r>
            <w:r>
              <w:rPr>
                <w:rFonts w:hint="default" w:ascii="Times New Roman" w:hAnsi="Times New Roman" w:eastAsia="宋体" w:cs="Times New Roman"/>
                <w:b/>
                <w:bCs/>
                <w:sz w:val="24"/>
                <w:szCs w:val="24"/>
                <w:highlight w:val="none"/>
                <w:lang w:val="en-US" w:eastAsia="zh-CN"/>
              </w:rPr>
              <w:t>.3 供电</w:t>
            </w:r>
          </w:p>
          <w:p w14:paraId="755E93EE">
            <w:pPr>
              <w:keepNext w:val="0"/>
              <w:keepLines w:val="0"/>
              <w:widowControl/>
              <w:suppressLineNumbers w:val="0"/>
              <w:spacing w:line="360" w:lineRule="auto"/>
              <w:ind w:firstLine="480" w:firstLineChars="200"/>
              <w:jc w:val="both"/>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本项目供电电源引自园区供电网络，可满足项目用电负荷的需求。</w:t>
            </w:r>
          </w:p>
          <w:p w14:paraId="3EE69835">
            <w:pPr>
              <w:numPr>
                <w:ilvl w:val="0"/>
                <w:numId w:val="0"/>
              </w:numPr>
              <w:adjustRightInd w:val="0"/>
              <w:snapToGrid w:val="0"/>
              <w:spacing w:line="360" w:lineRule="auto"/>
              <w:jc w:val="both"/>
              <w:rPr>
                <w:rFonts w:hint="default" w:ascii="Times New Roman" w:hAnsi="Times New Roman" w:eastAsia="宋体" w:cs="Times New Roman"/>
                <w:b/>
                <w:bCs/>
                <w:sz w:val="24"/>
                <w:szCs w:val="24"/>
                <w:highlight w:val="none"/>
                <w:lang w:val="en-US" w:eastAsia="zh-CN"/>
              </w:rPr>
            </w:pPr>
            <w:r>
              <w:rPr>
                <w:rFonts w:hint="eastAsia" w:cs="Times New Roman"/>
                <w:b/>
                <w:bCs/>
                <w:sz w:val="24"/>
                <w:szCs w:val="24"/>
                <w:highlight w:val="none"/>
                <w:lang w:val="en-US" w:eastAsia="zh-CN"/>
              </w:rPr>
              <w:t>8</w:t>
            </w:r>
            <w:r>
              <w:rPr>
                <w:rFonts w:hint="default" w:ascii="Times New Roman" w:hAnsi="Times New Roman" w:eastAsia="宋体" w:cs="Times New Roman"/>
                <w:b/>
                <w:bCs/>
                <w:sz w:val="24"/>
                <w:szCs w:val="24"/>
                <w:highlight w:val="none"/>
                <w:lang w:val="en-US" w:eastAsia="zh-CN"/>
              </w:rPr>
              <w:t>.4 供热</w:t>
            </w:r>
          </w:p>
          <w:p w14:paraId="67631D2D">
            <w:pPr>
              <w:keepNext w:val="0"/>
              <w:keepLines w:val="0"/>
              <w:widowControl/>
              <w:suppressLineNumbers w:val="0"/>
              <w:spacing w:line="360" w:lineRule="auto"/>
              <w:ind w:firstLine="480" w:firstLineChars="200"/>
              <w:jc w:val="both"/>
              <w:rPr>
                <w:rFonts w:hint="eastAsia" w:ascii="Times New Roman" w:hAnsi="Times New Roman" w:eastAsia="宋体" w:cs="Times New Roman"/>
                <w:color w:val="000000"/>
                <w:kern w:val="0"/>
                <w:sz w:val="24"/>
                <w:szCs w:val="24"/>
                <w:highlight w:val="none"/>
                <w:lang w:val="en-US" w:eastAsia="zh-CN" w:bidi="ar"/>
              </w:rPr>
            </w:pPr>
            <w:r>
              <w:rPr>
                <w:rFonts w:hint="eastAsia" w:ascii="Times New Roman" w:hAnsi="Times New Roman" w:eastAsia="宋体" w:cs="Times New Roman"/>
                <w:color w:val="000000"/>
                <w:kern w:val="0"/>
                <w:sz w:val="24"/>
                <w:szCs w:val="24"/>
                <w:highlight w:val="none"/>
                <w:lang w:val="en-US" w:eastAsia="zh-CN" w:bidi="ar"/>
              </w:rPr>
              <w:t>（1）生产供热</w:t>
            </w:r>
          </w:p>
          <w:p w14:paraId="579871C4">
            <w:pPr>
              <w:keepNext w:val="0"/>
              <w:keepLines w:val="0"/>
              <w:widowControl/>
              <w:suppressLineNumbers w:val="0"/>
              <w:spacing w:line="360" w:lineRule="auto"/>
              <w:ind w:firstLine="480" w:firstLineChars="200"/>
              <w:jc w:val="both"/>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本项目导热油锅炉采用天然气为燃料，天然气由园区管网提供，可满足项目</w:t>
            </w:r>
            <w:r>
              <w:rPr>
                <w:rFonts w:hint="eastAsia" w:ascii="Times New Roman" w:hAnsi="Times New Roman" w:eastAsia="宋体" w:cs="Times New Roman"/>
                <w:color w:val="000000"/>
                <w:kern w:val="0"/>
                <w:sz w:val="24"/>
                <w:szCs w:val="24"/>
                <w:highlight w:val="none"/>
                <w:lang w:val="en-US" w:eastAsia="zh-CN" w:bidi="ar"/>
              </w:rPr>
              <w:t>生产</w:t>
            </w:r>
            <w:r>
              <w:rPr>
                <w:rFonts w:hint="default" w:ascii="Times New Roman" w:hAnsi="Times New Roman" w:eastAsia="宋体" w:cs="Times New Roman"/>
                <w:color w:val="000000"/>
                <w:kern w:val="0"/>
                <w:sz w:val="24"/>
                <w:szCs w:val="24"/>
                <w:highlight w:val="none"/>
                <w:lang w:val="en-US" w:eastAsia="zh-CN" w:bidi="ar"/>
              </w:rPr>
              <w:t>供热需求。</w:t>
            </w:r>
          </w:p>
          <w:p w14:paraId="473315D2">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0"/>
                <w:sz w:val="24"/>
                <w:szCs w:val="24"/>
                <w:highlight w:val="none"/>
                <w:lang w:val="en-US" w:eastAsia="zh-CN" w:bidi="ar"/>
              </w:rPr>
            </w:pPr>
            <w:r>
              <w:rPr>
                <w:rFonts w:hint="eastAsia" w:ascii="Times New Roman" w:hAnsi="Times New Roman" w:eastAsia="宋体" w:cs="Times New Roman"/>
                <w:color w:val="000000"/>
                <w:kern w:val="0"/>
                <w:sz w:val="24"/>
                <w:szCs w:val="24"/>
                <w:lang w:val="en-US" w:eastAsia="zh-CN" w:bidi="ar"/>
              </w:rPr>
              <w:t>（2）</w:t>
            </w:r>
            <w:r>
              <w:rPr>
                <w:rFonts w:hint="eastAsia" w:ascii="Times New Roman" w:hAnsi="Times New Roman" w:eastAsia="宋体" w:cs="Times New Roman"/>
                <w:color w:val="000000"/>
                <w:kern w:val="0"/>
                <w:sz w:val="24"/>
                <w:szCs w:val="24"/>
                <w:highlight w:val="none"/>
                <w:lang w:val="en-US" w:eastAsia="zh-CN" w:bidi="ar"/>
              </w:rPr>
              <w:t>生活供热</w:t>
            </w:r>
          </w:p>
          <w:p w14:paraId="360D0110">
            <w:pPr>
              <w:pStyle w:val="4"/>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b w:val="0"/>
                <w:bCs w:val="0"/>
                <w:lang w:val="en-US" w:eastAsia="zh-CN"/>
              </w:rPr>
            </w:pPr>
            <w:r>
              <w:rPr>
                <w:rFonts w:hint="eastAsia"/>
                <w:b w:val="0"/>
                <w:bCs w:val="0"/>
                <w:lang w:val="en-US" w:eastAsia="zh-CN"/>
              </w:rPr>
              <w:t>本项目冬季不进行生产，值班人员用电采暖。</w:t>
            </w:r>
          </w:p>
          <w:p w14:paraId="61CD3BDA">
            <w:pPr>
              <w:numPr>
                <w:ilvl w:val="0"/>
                <w:numId w:val="0"/>
              </w:numPr>
              <w:adjustRightInd w:val="0"/>
              <w:snapToGrid w:val="0"/>
              <w:spacing w:line="360" w:lineRule="auto"/>
              <w:jc w:val="both"/>
              <w:rPr>
                <w:rFonts w:hint="default" w:ascii="Times New Roman" w:hAnsi="Times New Roman" w:eastAsia="宋体" w:cs="Times New Roman"/>
                <w:b/>
                <w:bCs/>
                <w:sz w:val="24"/>
                <w:szCs w:val="24"/>
                <w:highlight w:val="none"/>
                <w:lang w:val="en-US" w:eastAsia="zh-CN"/>
              </w:rPr>
            </w:pPr>
            <w:r>
              <w:rPr>
                <w:rFonts w:hint="eastAsia" w:cs="Times New Roman"/>
                <w:b/>
                <w:bCs/>
                <w:sz w:val="24"/>
                <w:szCs w:val="24"/>
                <w:highlight w:val="none"/>
                <w:lang w:val="en-US" w:eastAsia="zh-CN"/>
              </w:rPr>
              <w:t>9</w:t>
            </w:r>
            <w:r>
              <w:rPr>
                <w:rFonts w:hint="default" w:ascii="Times New Roman" w:hAnsi="Times New Roman" w:eastAsia="宋体" w:cs="Times New Roman"/>
                <w:b/>
                <w:bCs/>
                <w:sz w:val="24"/>
                <w:szCs w:val="24"/>
                <w:highlight w:val="none"/>
                <w:lang w:val="en-US" w:eastAsia="zh-CN"/>
              </w:rPr>
              <w:t xml:space="preserve"> 总平面布局</w:t>
            </w:r>
          </w:p>
          <w:p w14:paraId="5DCE260D">
            <w:pPr>
              <w:keepNext w:val="0"/>
              <w:keepLines w:val="0"/>
              <w:widowControl/>
              <w:suppressLineNumbers w:val="0"/>
              <w:spacing w:line="360" w:lineRule="auto"/>
              <w:ind w:firstLine="480" w:firstLineChars="200"/>
              <w:jc w:val="both"/>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本项目位于新疆昌吉州昌吉市高新技术产业开发区东四路与科荟路交叉口东南方向98米，（中心地理坐标：东经87度07分50.849秒，北纬44度05分12.474秒）。本项目在租赁的生产车间内设置原材料存放区、生产区、成品区。生产车间</w:t>
            </w:r>
            <w:r>
              <w:rPr>
                <w:rFonts w:hint="eastAsia" w:cs="Times New Roman"/>
                <w:color w:val="000000"/>
                <w:kern w:val="0"/>
                <w:sz w:val="24"/>
                <w:szCs w:val="24"/>
                <w:highlight w:val="none"/>
                <w:lang w:val="en-US" w:eastAsia="zh-CN" w:bidi="ar"/>
              </w:rPr>
              <w:t>北</w:t>
            </w:r>
            <w:r>
              <w:rPr>
                <w:rFonts w:hint="default" w:ascii="Times New Roman" w:hAnsi="Times New Roman" w:eastAsia="宋体" w:cs="Times New Roman"/>
                <w:color w:val="000000"/>
                <w:kern w:val="0"/>
                <w:sz w:val="24"/>
                <w:szCs w:val="24"/>
                <w:highlight w:val="none"/>
                <w:lang w:val="en-US" w:eastAsia="zh-CN" w:bidi="ar"/>
              </w:rPr>
              <w:t>侧设出入口，方便生产所需原料、产品运输及员工出入。原材料存放区位于生产车间</w:t>
            </w:r>
            <w:r>
              <w:rPr>
                <w:rFonts w:hint="eastAsia" w:cs="Times New Roman"/>
                <w:color w:val="000000"/>
                <w:kern w:val="0"/>
                <w:sz w:val="24"/>
                <w:szCs w:val="24"/>
                <w:highlight w:val="none"/>
                <w:lang w:val="en-US" w:eastAsia="zh-CN" w:bidi="ar"/>
              </w:rPr>
              <w:t>内</w:t>
            </w:r>
            <w:r>
              <w:rPr>
                <w:rFonts w:hint="default" w:ascii="Times New Roman" w:hAnsi="Times New Roman" w:eastAsia="宋体" w:cs="Times New Roman"/>
                <w:color w:val="000000"/>
                <w:kern w:val="0"/>
                <w:sz w:val="24"/>
                <w:szCs w:val="24"/>
                <w:highlight w:val="none"/>
                <w:lang w:val="en-US" w:eastAsia="zh-CN" w:bidi="ar"/>
              </w:rPr>
              <w:t>，成品区位于生产车间</w:t>
            </w:r>
            <w:r>
              <w:rPr>
                <w:rFonts w:hint="eastAsia" w:cs="Times New Roman"/>
                <w:color w:val="000000"/>
                <w:kern w:val="0"/>
                <w:sz w:val="24"/>
                <w:szCs w:val="24"/>
                <w:highlight w:val="none"/>
                <w:lang w:val="en-US" w:eastAsia="zh-CN" w:bidi="ar"/>
              </w:rPr>
              <w:t>入口处，便于装车拉运</w:t>
            </w: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办公区位于生产区北侧，可以有效避免生产过程中废气排放的干扰。</w:t>
            </w:r>
            <w:r>
              <w:rPr>
                <w:rFonts w:hint="default" w:ascii="Times New Roman" w:hAnsi="Times New Roman" w:eastAsia="宋体" w:cs="Times New Roman"/>
                <w:color w:val="000000"/>
                <w:kern w:val="0"/>
                <w:sz w:val="24"/>
                <w:szCs w:val="24"/>
                <w:highlight w:val="none"/>
                <w:lang w:val="en-US" w:eastAsia="zh-CN" w:bidi="ar"/>
              </w:rPr>
              <w:t xml:space="preserve">项目各功能区分区明确，间距合理，组织协作良好，避免了相互干扰，也满足生产及储运作业要求。 </w:t>
            </w:r>
          </w:p>
          <w:p w14:paraId="6C9E9449">
            <w:pPr>
              <w:keepNext w:val="0"/>
              <w:keepLines w:val="0"/>
              <w:widowControl/>
              <w:suppressLineNumbers w:val="0"/>
              <w:spacing w:line="360" w:lineRule="auto"/>
              <w:ind w:firstLine="480" w:firstLineChars="200"/>
              <w:jc w:val="both"/>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color w:val="000000"/>
                <w:kern w:val="0"/>
                <w:sz w:val="24"/>
                <w:szCs w:val="24"/>
                <w:highlight w:val="none"/>
                <w:lang w:val="en-US" w:eastAsia="zh-CN" w:bidi="ar"/>
              </w:rPr>
              <w:t>本次总平面设计在充分满足功能要求的基础上，合理组织各种功能空间，从整体布局看，是合理的。</w:t>
            </w:r>
          </w:p>
        </w:tc>
      </w:tr>
      <w:tr w14:paraId="5B1714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342" w:type="pct"/>
            <w:noWrap w:val="0"/>
            <w:vAlign w:val="center"/>
          </w:tcPr>
          <w:p w14:paraId="4D5CE8C0">
            <w:pPr>
              <w:pStyle w:val="18"/>
              <w:adjustRightInd w:val="0"/>
              <w:snapToGrid w:val="0"/>
              <w:spacing w:before="0" w:beforeAutospacing="0" w:after="0" w:afterAutospacing="0"/>
              <w:jc w:val="center"/>
              <w:rPr>
                <w:rFonts w:hint="default" w:ascii="Times New Roman" w:hAnsi="Times New Roman" w:cs="Times New Roman"/>
                <w:sz w:val="21"/>
                <w:szCs w:val="21"/>
                <w:highlight w:val="none"/>
              </w:rPr>
            </w:pPr>
            <w:r>
              <w:rPr>
                <w:rFonts w:hint="default" w:ascii="Times New Roman" w:hAnsi="Times New Roman" w:cs="Times New Roman"/>
                <w:sz w:val="24"/>
                <w:szCs w:val="24"/>
                <w:highlight w:val="none"/>
              </w:rPr>
              <w:t>工艺流程和产排污环节</w:t>
            </w:r>
          </w:p>
        </w:tc>
        <w:tc>
          <w:tcPr>
            <w:tcW w:w="4657" w:type="pct"/>
            <w:noWrap w:val="0"/>
            <w:vAlign w:val="top"/>
          </w:tcPr>
          <w:p w14:paraId="50B6AB0C">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jc w:val="both"/>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1 施工期</w:t>
            </w:r>
          </w:p>
          <w:p w14:paraId="136D0D41">
            <w:pPr>
              <w:numPr>
                <w:ilvl w:val="0"/>
                <w:numId w:val="0"/>
              </w:numPr>
              <w:adjustRightInd w:val="0"/>
              <w:snapToGrid w:val="0"/>
              <w:spacing w:line="360" w:lineRule="auto"/>
              <w:jc w:val="both"/>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1.1 施工期工艺流程</w:t>
            </w:r>
          </w:p>
          <w:p w14:paraId="228C21DF">
            <w:pPr>
              <w:keepNext w:val="0"/>
              <w:keepLines w:val="0"/>
              <w:widowControl/>
              <w:suppressLineNumbers w:val="0"/>
              <w:spacing w:line="360" w:lineRule="auto"/>
              <w:ind w:firstLine="480" w:firstLineChars="200"/>
              <w:jc w:val="both"/>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本项目施工期间的设备安装、装修工程等建设工序将产生噪音、粉尘、固体废弃物、废水等污染物。</w:t>
            </w:r>
          </w:p>
          <w:p w14:paraId="50F460CA">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jc w:val="both"/>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1.2 施工期主要产污工序</w:t>
            </w:r>
          </w:p>
          <w:p w14:paraId="334DE694">
            <w:pPr>
              <w:adjustRightInd w:val="0"/>
              <w:snapToGrid w:val="0"/>
              <w:spacing w:line="360" w:lineRule="auto"/>
              <w:ind w:firstLine="480" w:firstLineChars="200"/>
              <w:jc w:val="left"/>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1</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大气污染分析</w:t>
            </w:r>
          </w:p>
          <w:p w14:paraId="021FE36A">
            <w:pPr>
              <w:pStyle w:val="3"/>
              <w:spacing w:line="360" w:lineRule="auto"/>
              <w:ind w:firstLine="480" w:firstLineChars="200"/>
              <w:rPr>
                <w:rFonts w:hint="default" w:ascii="Times New Roman" w:hAnsi="Times New Roman" w:cs="Times New Roman"/>
                <w:b w:val="0"/>
                <w:bCs w:val="0"/>
                <w:sz w:val="24"/>
                <w:szCs w:val="24"/>
                <w:highlight w:val="none"/>
                <w:lang w:val="en-US" w:eastAsia="zh-CN"/>
              </w:rPr>
            </w:pPr>
            <w:r>
              <w:rPr>
                <w:rFonts w:hint="default" w:ascii="Times New Roman" w:hAnsi="Times New Roman" w:cs="Times New Roman"/>
                <w:b w:val="0"/>
                <w:bCs w:val="0"/>
                <w:sz w:val="24"/>
                <w:szCs w:val="24"/>
                <w:highlight w:val="none"/>
                <w:lang w:val="en-US" w:eastAsia="zh-CN"/>
              </w:rPr>
              <w:t>①粉尘与扬尘</w:t>
            </w:r>
          </w:p>
          <w:p w14:paraId="3AF9F85E">
            <w:pPr>
              <w:spacing w:line="360" w:lineRule="auto"/>
              <w:ind w:firstLine="480" w:firstLineChars="200"/>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本项目在</w:t>
            </w:r>
            <w:r>
              <w:rPr>
                <w:rFonts w:hint="eastAsia" w:cs="Times New Roman"/>
                <w:sz w:val="24"/>
                <w:szCs w:val="24"/>
                <w:highlight w:val="none"/>
                <w:lang w:val="en-US" w:eastAsia="zh-CN"/>
              </w:rPr>
              <w:t>建设方</w:t>
            </w:r>
            <w:r>
              <w:rPr>
                <w:rFonts w:hint="default" w:ascii="Times New Roman" w:hAnsi="Times New Roman" w:cs="Times New Roman"/>
                <w:sz w:val="24"/>
                <w:szCs w:val="24"/>
                <w:highlight w:val="none"/>
                <w:lang w:val="en-US" w:eastAsia="zh-CN"/>
              </w:rPr>
              <w:t>配套设施安装</w:t>
            </w:r>
            <w:r>
              <w:rPr>
                <w:rFonts w:hint="eastAsia" w:cs="Times New Roman"/>
                <w:sz w:val="24"/>
                <w:szCs w:val="24"/>
                <w:highlight w:val="none"/>
                <w:lang w:val="en-US" w:eastAsia="zh-CN"/>
              </w:rPr>
              <w:t>、装修</w:t>
            </w:r>
            <w:r>
              <w:rPr>
                <w:rFonts w:hint="default" w:ascii="Times New Roman" w:hAnsi="Times New Roman" w:cs="Times New Roman"/>
                <w:sz w:val="24"/>
                <w:szCs w:val="24"/>
                <w:highlight w:val="none"/>
                <w:lang w:val="en-US" w:eastAsia="zh-CN"/>
              </w:rPr>
              <w:t>等过程中会产生粉尘、扬尘。粉尘、扬尘的影响范围较大，天气干燥及风速较大时更为明显。</w:t>
            </w:r>
          </w:p>
          <w:p w14:paraId="6965FFED">
            <w:pPr>
              <w:spacing w:line="360" w:lineRule="auto"/>
              <w:ind w:firstLine="480" w:firstLineChars="200"/>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②尾气</w:t>
            </w:r>
          </w:p>
          <w:p w14:paraId="3F06EB0B">
            <w:pPr>
              <w:spacing w:line="360" w:lineRule="auto"/>
              <w:ind w:firstLine="480" w:firstLineChars="200"/>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尾气主要</w:t>
            </w:r>
            <w:r>
              <w:rPr>
                <w:rFonts w:hint="eastAsia" w:cs="Times New Roman"/>
                <w:sz w:val="24"/>
                <w:szCs w:val="24"/>
                <w:highlight w:val="none"/>
                <w:lang w:val="en-US" w:eastAsia="zh-CN"/>
              </w:rPr>
              <w:t>来自</w:t>
            </w:r>
            <w:r>
              <w:rPr>
                <w:rFonts w:hint="default" w:ascii="Times New Roman" w:hAnsi="Times New Roman" w:cs="Times New Roman"/>
                <w:sz w:val="24"/>
                <w:szCs w:val="24"/>
                <w:highlight w:val="none"/>
                <w:lang w:val="en-US" w:eastAsia="zh-CN"/>
              </w:rPr>
              <w:t>施工机械和交通运输车辆。排放的主要污染物为</w:t>
            </w:r>
            <w:r>
              <w:rPr>
                <w:rFonts w:hint="default" w:ascii="Times New Roman" w:hAnsi="Times New Roman" w:eastAsia="宋体" w:cs="Times New Roman"/>
                <w:snapToGrid w:val="0"/>
                <w:color w:val="000000"/>
                <w:kern w:val="0"/>
                <w:sz w:val="24"/>
                <w:highlight w:val="none"/>
                <w:lang w:val="en-US" w:eastAsia="zh-CN"/>
              </w:rPr>
              <w:t>非甲烷总烃、CO、SO</w:t>
            </w:r>
            <w:r>
              <w:rPr>
                <w:rFonts w:hint="default" w:ascii="Times New Roman" w:hAnsi="Times New Roman" w:eastAsia="宋体" w:cs="Times New Roman"/>
                <w:snapToGrid w:val="0"/>
                <w:color w:val="000000"/>
                <w:kern w:val="0"/>
                <w:sz w:val="24"/>
                <w:highlight w:val="none"/>
                <w:vertAlign w:val="subscript"/>
                <w:lang w:val="en-US" w:eastAsia="zh-CN"/>
              </w:rPr>
              <w:t>2</w:t>
            </w:r>
            <w:r>
              <w:rPr>
                <w:rFonts w:hint="default" w:ascii="Times New Roman" w:hAnsi="Times New Roman" w:eastAsia="宋体" w:cs="Times New Roman"/>
                <w:snapToGrid w:val="0"/>
                <w:color w:val="000000"/>
                <w:kern w:val="0"/>
                <w:sz w:val="24"/>
                <w:highlight w:val="none"/>
                <w:lang w:val="en-US" w:eastAsia="zh-CN"/>
              </w:rPr>
              <w:t>、NO</w:t>
            </w:r>
            <w:r>
              <w:rPr>
                <w:rFonts w:hint="default" w:ascii="Times New Roman" w:hAnsi="Times New Roman" w:eastAsia="宋体" w:cs="Times New Roman"/>
                <w:snapToGrid w:val="0"/>
                <w:color w:val="000000"/>
                <w:kern w:val="0"/>
                <w:sz w:val="24"/>
                <w:highlight w:val="none"/>
                <w:vertAlign w:val="subscript"/>
                <w:lang w:val="en-US" w:eastAsia="zh-CN"/>
              </w:rPr>
              <w:t>2</w:t>
            </w:r>
            <w:r>
              <w:rPr>
                <w:rFonts w:hint="default" w:ascii="Times New Roman" w:hAnsi="Times New Roman" w:cs="Times New Roman"/>
                <w:sz w:val="24"/>
                <w:szCs w:val="24"/>
                <w:highlight w:val="none"/>
                <w:lang w:val="en-US" w:eastAsia="zh-CN"/>
              </w:rPr>
              <w:t>等。</w:t>
            </w:r>
          </w:p>
          <w:p w14:paraId="0A5410CC">
            <w:pPr>
              <w:spacing w:line="360" w:lineRule="auto"/>
              <w:ind w:firstLine="480" w:firstLineChars="200"/>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（2）水污染分析</w:t>
            </w:r>
          </w:p>
          <w:p w14:paraId="54B1A542">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①生活污水</w:t>
            </w:r>
          </w:p>
          <w:p w14:paraId="72D381A2">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施工人员产生的生活污水的主要污染因子有BOD</w:t>
            </w:r>
            <w:r>
              <w:rPr>
                <w:rFonts w:hint="default" w:ascii="Times New Roman" w:hAnsi="Times New Roman" w:eastAsia="宋体" w:cs="Times New Roman"/>
                <w:sz w:val="24"/>
                <w:szCs w:val="24"/>
                <w:highlight w:val="none"/>
                <w:vertAlign w:val="subscript"/>
                <w:lang w:val="en-US" w:eastAsia="zh-CN"/>
              </w:rPr>
              <w:t>5</w:t>
            </w:r>
            <w:r>
              <w:rPr>
                <w:rFonts w:hint="default" w:ascii="Times New Roman" w:hAnsi="Times New Roman" w:eastAsia="宋体" w:cs="Times New Roman"/>
                <w:sz w:val="24"/>
                <w:szCs w:val="24"/>
                <w:highlight w:val="none"/>
                <w:lang w:val="en-US" w:eastAsia="zh-CN"/>
              </w:rPr>
              <w:t>、COD、SS、NH</w:t>
            </w:r>
            <w:r>
              <w:rPr>
                <w:rFonts w:hint="default" w:ascii="Times New Roman" w:hAnsi="Times New Roman" w:eastAsia="宋体" w:cs="Times New Roman"/>
                <w:sz w:val="24"/>
                <w:szCs w:val="24"/>
                <w:highlight w:val="none"/>
                <w:vertAlign w:val="subscript"/>
                <w:lang w:val="en-US" w:eastAsia="zh-CN"/>
              </w:rPr>
              <w:t>3</w:t>
            </w:r>
            <w:r>
              <w:rPr>
                <w:rFonts w:hint="default" w:ascii="Times New Roman" w:hAnsi="Times New Roman" w:eastAsia="宋体" w:cs="Times New Roman"/>
                <w:sz w:val="24"/>
                <w:szCs w:val="24"/>
                <w:highlight w:val="none"/>
                <w:lang w:val="en-US" w:eastAsia="zh-CN"/>
              </w:rPr>
              <w:t>-N等。</w:t>
            </w:r>
          </w:p>
          <w:p w14:paraId="15380178">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②施工废水</w:t>
            </w:r>
          </w:p>
          <w:p w14:paraId="09510E3D">
            <w:pPr>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z w:val="24"/>
                <w:szCs w:val="24"/>
                <w:highlight w:val="none"/>
                <w:lang w:val="en-US" w:eastAsia="zh-CN"/>
              </w:rPr>
              <w:t>项目施工废水主要有</w:t>
            </w:r>
            <w:r>
              <w:rPr>
                <w:rFonts w:hint="default" w:ascii="Times New Roman" w:hAnsi="Times New Roman" w:eastAsia="宋体" w:cs="Times New Roman"/>
                <w:snapToGrid w:val="0"/>
                <w:color w:val="000000"/>
                <w:kern w:val="0"/>
                <w:sz w:val="24"/>
                <w:highlight w:val="none"/>
                <w:lang w:val="en-US" w:eastAsia="zh-CN"/>
              </w:rPr>
              <w:t>施工机械设备运转的冷却水、施工现场清洗水、混凝土养护和设备水压试验等产生的废水</w:t>
            </w:r>
            <w:r>
              <w:rPr>
                <w:rFonts w:hint="default" w:ascii="Times New Roman" w:hAnsi="Times New Roman" w:eastAsia="宋体" w:cs="Times New Roman"/>
                <w:sz w:val="24"/>
                <w:szCs w:val="24"/>
                <w:highlight w:val="none"/>
                <w:lang w:val="en-US" w:eastAsia="zh-CN"/>
              </w:rPr>
              <w:t>。</w:t>
            </w:r>
            <w:r>
              <w:rPr>
                <w:rFonts w:hint="default" w:ascii="Times New Roman" w:hAnsi="Times New Roman" w:eastAsia="宋体" w:cs="Times New Roman"/>
                <w:snapToGrid w:val="0"/>
                <w:color w:val="000000"/>
                <w:kern w:val="0"/>
                <w:sz w:val="24"/>
                <w:highlight w:val="none"/>
                <w:lang w:val="en-US" w:eastAsia="zh-CN"/>
              </w:rPr>
              <w:t>这部分废水含有一定量的油污和泥沙。</w:t>
            </w:r>
          </w:p>
          <w:p w14:paraId="79E37A2C">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（3）噪声污染分析</w:t>
            </w:r>
          </w:p>
          <w:p w14:paraId="0DB2E097">
            <w:pPr>
              <w:adjustRightInd w:val="0"/>
              <w:snapToGrid w:val="0"/>
              <w:spacing w:line="360" w:lineRule="auto"/>
              <w:ind w:firstLine="480" w:firstLineChars="200"/>
              <w:jc w:val="left"/>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施工阶段产生的噪声包括土建施工噪声、设备使用噪声、设备安装噪声、运输车辆噪声等。施工过程中产生的噪声强度较大，数量较多，其强度与施工机械的功率、工作状态等因素都有关。</w:t>
            </w:r>
          </w:p>
          <w:p w14:paraId="74673DB1">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（4）固体废物污染分析</w:t>
            </w:r>
          </w:p>
          <w:p w14:paraId="45A6FD0E">
            <w:pPr>
              <w:adjustRightInd w:val="0"/>
              <w:snapToGrid w:val="0"/>
              <w:spacing w:line="360" w:lineRule="auto"/>
              <w:ind w:firstLine="480" w:firstLineChars="200"/>
              <w:jc w:val="left"/>
              <w:rPr>
                <w:rFonts w:hint="default" w:ascii="Times New Roman" w:hAnsi="Times New Roman" w:cs="Times New Roman"/>
                <w:sz w:val="21"/>
                <w:highlight w:val="none"/>
              </w:rPr>
            </w:pPr>
            <w:r>
              <w:rPr>
                <w:rFonts w:hint="default" w:ascii="Times New Roman" w:hAnsi="Times New Roman" w:eastAsia="宋体" w:cs="Times New Roman"/>
                <w:snapToGrid w:val="0"/>
                <w:color w:val="000000"/>
                <w:kern w:val="0"/>
                <w:sz w:val="24"/>
                <w:highlight w:val="none"/>
                <w:lang w:val="en-US" w:eastAsia="zh-CN"/>
              </w:rPr>
              <w:t>施工期固废主要为建筑垃圾及施工人员产生的生活垃圾。</w:t>
            </w:r>
          </w:p>
          <w:p w14:paraId="5248E061">
            <w:pPr>
              <w:adjustRightInd w:val="0"/>
              <w:snapToGrid w:val="0"/>
              <w:spacing w:line="360" w:lineRule="auto"/>
              <w:jc w:val="left"/>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2 运营期</w:t>
            </w:r>
          </w:p>
          <w:p w14:paraId="3D4562C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本项目产品主要为改性沥青防水卷材和非固化沥青涂料，其中防水卷材生产工艺见图2-</w:t>
            </w:r>
            <w:r>
              <w:rPr>
                <w:rFonts w:hint="eastAsia" w:ascii="Times New Roman" w:hAnsi="Times New Roman" w:eastAsia="宋体" w:cs="Times New Roman"/>
                <w:color w:val="000000"/>
                <w:kern w:val="0"/>
                <w:sz w:val="24"/>
                <w:szCs w:val="24"/>
                <w:highlight w:val="none"/>
                <w:lang w:val="en-US" w:eastAsia="zh-CN" w:bidi="ar"/>
              </w:rPr>
              <w:t>3</w:t>
            </w:r>
            <w:r>
              <w:rPr>
                <w:rFonts w:hint="default" w:ascii="Times New Roman" w:hAnsi="Times New Roman" w:eastAsia="宋体" w:cs="Times New Roman"/>
                <w:color w:val="000000"/>
                <w:kern w:val="0"/>
                <w:sz w:val="24"/>
                <w:szCs w:val="24"/>
                <w:highlight w:val="none"/>
                <w:lang w:val="en-US" w:eastAsia="zh-CN" w:bidi="ar"/>
              </w:rPr>
              <w:t>，非固化沥青涂料生产工艺见图2-</w:t>
            </w:r>
            <w:r>
              <w:rPr>
                <w:rFonts w:hint="eastAsia" w:ascii="Times New Roman" w:hAnsi="Times New Roman" w:eastAsia="宋体" w:cs="Times New Roman"/>
                <w:color w:val="000000"/>
                <w:kern w:val="0"/>
                <w:sz w:val="24"/>
                <w:szCs w:val="24"/>
                <w:highlight w:val="none"/>
                <w:lang w:val="en-US" w:eastAsia="zh-CN" w:bidi="ar"/>
              </w:rPr>
              <w:t>4</w:t>
            </w:r>
            <w:r>
              <w:rPr>
                <w:rFonts w:hint="default" w:ascii="Times New Roman" w:hAnsi="Times New Roman" w:eastAsia="宋体" w:cs="Times New Roman"/>
                <w:color w:val="000000"/>
                <w:kern w:val="0"/>
                <w:sz w:val="24"/>
                <w:szCs w:val="24"/>
                <w:highlight w:val="none"/>
                <w:lang w:val="en-US" w:eastAsia="zh-CN" w:bidi="ar"/>
              </w:rPr>
              <w:t>。</w:t>
            </w:r>
          </w:p>
          <w:p w14:paraId="37E05A6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bCs/>
                <w:sz w:val="24"/>
                <w:szCs w:val="24"/>
                <w:highlight w:val="none"/>
                <w:lang w:val="en-US" w:eastAsia="zh-CN"/>
              </w:rPr>
              <w:t xml:space="preserve">2.1 </w:t>
            </w:r>
            <w:r>
              <w:rPr>
                <w:rFonts w:hint="eastAsia" w:cs="Times New Roman"/>
                <w:b/>
                <w:bCs/>
                <w:sz w:val="24"/>
                <w:szCs w:val="24"/>
                <w:highlight w:val="none"/>
                <w:lang w:val="en-US" w:eastAsia="zh-CN"/>
              </w:rPr>
              <w:t>防水涂料</w:t>
            </w:r>
            <w:r>
              <w:rPr>
                <w:rFonts w:hint="default" w:ascii="Times New Roman" w:hAnsi="Times New Roman" w:eastAsia="宋体" w:cs="Times New Roman"/>
                <w:b/>
                <w:bCs/>
                <w:sz w:val="24"/>
                <w:szCs w:val="24"/>
                <w:highlight w:val="none"/>
                <w:lang w:val="en-US" w:eastAsia="zh-CN"/>
              </w:rPr>
              <w:t>工艺流程及产污环节</w:t>
            </w:r>
          </w:p>
          <w:p w14:paraId="029EA0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drawing>
                <wp:inline distT="0" distB="0" distL="114300" distR="114300">
                  <wp:extent cx="4537075" cy="2005965"/>
                  <wp:effectExtent l="0" t="0" r="0" b="0"/>
                  <wp:docPr id="4" name="ECB019B1-382A-4266-B25C-5B523AA43C14-1" descr="C:/Users/柒喵/AppData/Local/Temp/wps.qNMqPn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CB019B1-382A-4266-B25C-5B523AA43C14-1" descr="C:/Users/柒喵/AppData/Local/Temp/wps.qNMqPnwps"/>
                          <pic:cNvPicPr>
                            <a:picLocks noChangeAspect="1"/>
                          </pic:cNvPicPr>
                        </pic:nvPicPr>
                        <pic:blipFill>
                          <a:blip r:embed="rId9"/>
                          <a:stretch>
                            <a:fillRect/>
                          </a:stretch>
                        </pic:blipFill>
                        <pic:spPr>
                          <a:xfrm>
                            <a:off x="0" y="0"/>
                            <a:ext cx="4537075" cy="2005965"/>
                          </a:xfrm>
                          <a:prstGeom prst="rect">
                            <a:avLst/>
                          </a:prstGeom>
                        </pic:spPr>
                      </pic:pic>
                    </a:graphicData>
                  </a:graphic>
                </wp:inline>
              </w:drawing>
            </w:r>
          </w:p>
          <w:p w14:paraId="61D8A77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工艺流程简述如下：</w:t>
            </w:r>
          </w:p>
          <w:p w14:paraId="4CFE66CB">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cs="Times New Roman"/>
                <w:color w:val="000000"/>
                <w:kern w:val="0"/>
                <w:sz w:val="24"/>
                <w:szCs w:val="24"/>
                <w:highlight w:val="none"/>
                <w:lang w:val="en-US" w:eastAsia="zh-CN" w:bidi="ar"/>
              </w:rPr>
            </w:pPr>
            <w:r>
              <w:rPr>
                <w:rFonts w:hint="eastAsia" w:ascii="Times New Roman" w:hAnsi="Times New Roman" w:eastAsia="宋体" w:cs="Times New Roman"/>
                <w:color w:val="000000"/>
                <w:kern w:val="0"/>
                <w:sz w:val="24"/>
                <w:szCs w:val="24"/>
                <w:lang w:val="en-US" w:eastAsia="zh-CN" w:bidi="ar"/>
              </w:rPr>
              <w:t>（1）</w:t>
            </w:r>
            <w:r>
              <w:rPr>
                <w:rFonts w:hint="eastAsia" w:cs="Times New Roman"/>
                <w:color w:val="000000"/>
                <w:kern w:val="0"/>
                <w:sz w:val="24"/>
                <w:szCs w:val="24"/>
                <w:highlight w:val="none"/>
                <w:lang w:val="en-US" w:eastAsia="zh-CN" w:bidi="ar"/>
              </w:rPr>
              <w:t>加料：分别打开水、导热油和沥青导热油阀门进行加温，水温加到70度，沥青加热到140度；加水和乳化剂，开启乳化剂搅拌，搅拌均匀；开启皂液罐的加乳液阀，将皂液打入皂液罐后关闭乳化剂泵和乳化剂阀，开启保温，准备生产。本过程在全封闭罐内进行，不会产生废气及废水，但会产生噪声。</w:t>
            </w:r>
          </w:p>
          <w:p w14:paraId="50F43E7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000000"/>
                <w:kern w:val="0"/>
                <w:sz w:val="24"/>
                <w:szCs w:val="24"/>
                <w:highlight w:val="none"/>
                <w:lang w:val="en-US" w:eastAsia="zh-CN" w:bidi="ar"/>
              </w:rPr>
            </w:pPr>
            <w:r>
              <w:rPr>
                <w:rFonts w:hint="eastAsia" w:cs="Times New Roman"/>
                <w:color w:val="000000"/>
                <w:kern w:val="0"/>
                <w:sz w:val="24"/>
                <w:szCs w:val="24"/>
                <w:highlight w:val="none"/>
                <w:lang w:val="en-US" w:eastAsia="zh-CN" w:bidi="ar"/>
              </w:rPr>
              <w:t>（2）胶体磨：先启动沥青泵和皂液水泵按钮，待调速器正常后将触屏切至手动状态，开始慢慢增加乳液，看到成品有流量时再慢慢增加沥青，同时观察沥青比例，然后再同时慢慢增加乳液和沥青达到所需求的产量和比例达到客户所需要的比例。本过程会有少量废气和噪声产生。</w:t>
            </w:r>
          </w:p>
          <w:p w14:paraId="78824E1B">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000000"/>
                <w:kern w:val="0"/>
                <w:sz w:val="24"/>
                <w:szCs w:val="24"/>
                <w:highlight w:val="none"/>
                <w:lang w:val="en-US" w:eastAsia="zh-CN" w:bidi="ar"/>
              </w:rPr>
            </w:pPr>
            <w:r>
              <w:rPr>
                <w:rFonts w:hint="eastAsia" w:cs="Times New Roman"/>
                <w:color w:val="000000"/>
                <w:kern w:val="0"/>
                <w:sz w:val="24"/>
                <w:szCs w:val="24"/>
                <w:highlight w:val="none"/>
                <w:lang w:val="en-US" w:eastAsia="zh-CN" w:bidi="ar"/>
              </w:rPr>
              <w:t>（3）成品：待胶体磨磨完后的产品存放在全封闭的乳化沥青成品罐中，在出货时开启成品罐下方的阀门接入乳化沥青桶中外售，在罐装乳化沥青过程中会产生少量废气。</w:t>
            </w:r>
          </w:p>
          <w:p w14:paraId="320C2E0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cs="Times New Roman"/>
                <w:color w:val="000000"/>
                <w:kern w:val="0"/>
                <w:sz w:val="24"/>
                <w:szCs w:val="24"/>
                <w:highlight w:val="none"/>
                <w:lang w:val="en-US" w:eastAsia="zh-CN" w:bidi="ar"/>
              </w:rPr>
            </w:pPr>
            <w:r>
              <w:rPr>
                <w:rFonts w:hint="eastAsia" w:cs="Times New Roman"/>
                <w:color w:val="000000"/>
                <w:kern w:val="0"/>
                <w:sz w:val="24"/>
                <w:szCs w:val="24"/>
                <w:highlight w:val="none"/>
                <w:lang w:val="en-US" w:eastAsia="zh-CN" w:bidi="ar"/>
              </w:rPr>
              <w:t>（4）防水涂料：乳化沥青生产完后，根据买家要求，会生产水性聚氨酯、JS液料等防水涂料，把乳化沥青与稳定剂和涂料助剂在密闭罐中混合搅拌后即可生成产品、该过程会有废气产生。</w:t>
            </w:r>
          </w:p>
          <w:p w14:paraId="02C4154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cs="Times New Roman"/>
                <w:color w:val="000000"/>
                <w:kern w:val="0"/>
                <w:sz w:val="24"/>
                <w:szCs w:val="24"/>
                <w:highlight w:val="none"/>
                <w:lang w:val="en-US" w:eastAsia="zh-CN" w:bidi="ar"/>
              </w:rPr>
            </w:pPr>
            <w:r>
              <w:rPr>
                <w:rFonts w:hint="eastAsia" w:cs="Times New Roman"/>
                <w:color w:val="000000"/>
                <w:kern w:val="0"/>
                <w:sz w:val="24"/>
                <w:szCs w:val="24"/>
                <w:highlight w:val="none"/>
                <w:lang w:val="en-US" w:eastAsia="zh-CN" w:bidi="ar"/>
              </w:rPr>
              <w:t>（5）成品：把搅拌好的防水涂料从罐中装入密封塑料桶中即可外售。</w:t>
            </w:r>
          </w:p>
          <w:p w14:paraId="2704EA6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bCs/>
                <w:sz w:val="24"/>
                <w:szCs w:val="24"/>
                <w:highlight w:val="none"/>
                <w:lang w:val="en-US" w:eastAsia="zh-CN"/>
              </w:rPr>
              <w:t>2.</w:t>
            </w:r>
            <w:r>
              <w:rPr>
                <w:rFonts w:hint="eastAsia"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 xml:space="preserve"> 改性沥青防水卷材工艺流程及产污环节</w:t>
            </w:r>
          </w:p>
          <w:p w14:paraId="108F451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highlight w:val="none"/>
                <w:lang w:val="en-US" w:eastAsia="zh-CN"/>
              </w:rPr>
            </w:pPr>
            <w:r>
              <w:rPr>
                <w:rFonts w:hint="default" w:ascii="Times New Roman" w:hAnsi="Times New Roman" w:cs="Times New Roman"/>
                <w:sz w:val="21"/>
                <w:highlight w:val="none"/>
              </w:rPr>
              <mc:AlternateContent>
                <mc:Choice Requires="wps">
                  <w:drawing>
                    <wp:anchor distT="0" distB="0" distL="114300" distR="114300" simplePos="0" relativeHeight="251660288" behindDoc="0" locked="0" layoutInCell="1" allowOverlap="1">
                      <wp:simplePos x="0" y="0"/>
                      <wp:positionH relativeFrom="column">
                        <wp:posOffset>2912745</wp:posOffset>
                      </wp:positionH>
                      <wp:positionV relativeFrom="paragraph">
                        <wp:posOffset>3371850</wp:posOffset>
                      </wp:positionV>
                      <wp:extent cx="635" cy="154940"/>
                      <wp:effectExtent l="4445" t="0" r="10160" b="12700"/>
                      <wp:wrapNone/>
                      <wp:docPr id="20" name="直线 114"/>
                      <wp:cNvGraphicFramePr/>
                      <a:graphic xmlns:a="http://schemas.openxmlformats.org/drawingml/2006/main">
                        <a:graphicData uri="http://schemas.microsoft.com/office/word/2010/wordprocessingShape">
                          <wps:wsp>
                            <wps:cNvCnPr/>
                            <wps:spPr>
                              <a:xfrm flipV="1">
                                <a:off x="0" y="0"/>
                                <a:ext cx="635" cy="154940"/>
                              </a:xfrm>
                              <a:prstGeom prst="line">
                                <a:avLst/>
                              </a:prstGeom>
                              <a:ln w="9525" cap="flat" cmpd="sng">
                                <a:solidFill>
                                  <a:srgbClr val="000000"/>
                                </a:solidFill>
                                <a:prstDash val="dash"/>
                                <a:headEnd type="none" w="med" len="med"/>
                                <a:tailEnd type="none" w="med" len="med"/>
                              </a:ln>
                            </wps:spPr>
                            <wps:bodyPr upright="1"/>
                          </wps:wsp>
                        </a:graphicData>
                      </a:graphic>
                    </wp:anchor>
                  </w:drawing>
                </mc:Choice>
                <mc:Fallback>
                  <w:pict>
                    <v:line id="直线 114" o:spid="_x0000_s1026" o:spt="20" style="position:absolute;left:0pt;flip:y;margin-left:229.35pt;margin-top:265.5pt;height:12.2pt;width:0.05pt;z-index:251660288;mso-width-relative:page;mso-height-relative:page;" filled="f" stroked="t" coordsize="21600,21600" o:gfxdata="UEsDBAoAAAAAAIdO4kAAAAAAAAAAAAAAAAAEAAAAZHJzL1BLAwQUAAAACACHTuJA6Cu+/NUAAAAL&#10;AQAADwAAAGRycy9kb3ducmV2LnhtbE2PPU/DMBCGdyT+g3VIbNROSUoIcTogdchIqDpf4yOJiO0o&#10;dpv033NMMN57j96Pcr/aUVxpDoN3GpKNAkGu9WZwnYbj5+EpBxEiOoOjd6ThRgH21f1diYXxi/ug&#10;axM7wSYuFKihj3EqpAxtTxbDxk/k+PflZ4uRz7mTZsaFze0ot0rtpMXBcUKPE7331H43F6thPfmd&#10;SlJT42HZxvp4C/Vrk2v9+JCoNxCR1vgHw299rg4Vdzr7izNBjBrSLH9hVEP2nPAoJljhMWdWsiwF&#10;WZXy/4bqB1BLAwQUAAAACACHTuJAKeC3xvQBAADoAwAADgAAAGRycy9lMm9Eb2MueG1srVNLjhMx&#10;EN0jcQfLe9LpkIyYVjqzmDBsEERiYF+x3d2W/JPL+Z2Fa7Biw3HmGpTdIcCwyYJetMrl8qt6z8/L&#10;u6M1bK8iau9aXk+mnCknvNSub/nnx4dXbzjDBE6C8U61/KSQ361evlgeQqNmfvBGqsgIxGFzCC0f&#10;UgpNVaEYlAWc+KAcbXY+Wki0jH0lIxwI3ZpqNp3eVAcfZYheKETKrsdNfkaM1wD6rtNCrb3YWeXS&#10;iBqVgUSUcNAB+apM23VKpI9dhyox03JimsqfmlC8zf9qtYSmjxAGLc4jwDUjPONkQTtqeoFaQwK2&#10;i/ofKKtF9Oi7NBHeViORogixqKfPtPk0QFCFC0mN4SI6/j9Y8WG/iUzLls9IEgeWbvzp67en7z9Y&#10;Xc+zPIeADVXdu008rzBsYuZ67KJlndHhC/mosCc+7FjEPV3EVcfEBCVvXi84E5SvF/PbeVG+GjEy&#10;VoiY3ilvWQ5abrTLxKGB/XtM1JdKf5XktHHs0PLbxSxjArmwo9un0AZigq4vZ9EbLR+0MfkExn57&#10;byLbQ3ZC+TI7wv2rLDdZAw5jnaRotMigQL51kqVTIIUcvQyeJ7BKcmYUPaQcER40CbS5ppI6G0cD&#10;ZH1HRXO09fJEF7ILUfcDCVGXIfMOGaCMezZrdtif64L0+4Gu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oK7781QAAAAsBAAAPAAAAAAAAAAEAIAAAACIAAABkcnMvZG93bnJldi54bWxQSwECFAAU&#10;AAAACACHTuJAKeC3xvQBAADoAwAADgAAAAAAAAABACAAAAAkAQAAZHJzL2Uyb0RvYy54bWxQSwUG&#10;AAAAAAYABgBZAQAAigUAAAAA&#10;">
                      <v:fill on="f" focussize="0,0"/>
                      <v:stroke color="#000000" joinstyle="round" dashstyle="dash"/>
                      <v:imagedata o:title=""/>
                      <o:lock v:ext="edit" aspectratio="f"/>
                    </v:line>
                  </w:pict>
                </mc:Fallback>
              </mc:AlternateContent>
            </w:r>
            <w:r>
              <w:rPr>
                <w:rFonts w:hint="default" w:ascii="Times New Roman" w:hAnsi="Times New Roman" w:cs="Times New Roman"/>
                <w:sz w:val="21"/>
                <w:highlight w:val="none"/>
              </w:rPr>
              <mc:AlternateContent>
                <mc:Choice Requires="wpc">
                  <w:drawing>
                    <wp:inline distT="0" distB="0" distL="114300" distR="114300">
                      <wp:extent cx="5143500" cy="4322445"/>
                      <wp:effectExtent l="0" t="0" r="7620" b="5715"/>
                      <wp:docPr id="105" name="画布 61"/>
                      <wp:cNvGraphicFramePr/>
                      <a:graphic xmlns:a="http://schemas.openxmlformats.org/drawingml/2006/main">
                        <a:graphicData uri="http://schemas.microsoft.com/office/word/2010/wordprocessingCanvas">
                          <wpc:wpc>
                            <wpc:bg>
                              <a:noFill/>
                            </wpc:bg>
                            <wpc:whole>
                              <a:ln>
                                <a:noFill/>
                              </a:ln>
                            </wpc:whole>
                            <wps:wsp>
                              <wps:cNvPr id="22" name="矩形 62"/>
                              <wps:cNvSpPr/>
                              <wps:spPr>
                                <a:xfrm>
                                  <a:off x="1812290" y="366395"/>
                                  <a:ext cx="676910" cy="2432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50101D">
                                    <w:pPr>
                                      <w:spacing w:line="240" w:lineRule="auto"/>
                                      <w:jc w:val="center"/>
                                      <w:rPr>
                                        <w:rFonts w:hint="default" w:eastAsia="宋体"/>
                                        <w:sz w:val="18"/>
                                        <w:szCs w:val="18"/>
                                        <w:lang w:val="en-US" w:eastAsia="zh-CN"/>
                                      </w:rPr>
                                    </w:pPr>
                                    <w:r>
                                      <w:rPr>
                                        <w:rFonts w:hint="eastAsia"/>
                                        <w:sz w:val="18"/>
                                        <w:szCs w:val="18"/>
                                        <w:lang w:val="en-US" w:eastAsia="zh-CN"/>
                                      </w:rPr>
                                      <w:t>沥青储罐</w:t>
                                    </w:r>
                                  </w:p>
                                </w:txbxContent>
                              </wps:txbx>
                              <wps:bodyPr vert="horz" wrap="square" anchor="t" anchorCtr="0" upright="1"/>
                            </wps:wsp>
                            <wps:wsp>
                              <wps:cNvPr id="23" name="矩形 67"/>
                              <wps:cNvSpPr/>
                              <wps:spPr>
                                <a:xfrm>
                                  <a:off x="2794000" y="2644142"/>
                                  <a:ext cx="673100" cy="2400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0346DF">
                                    <w:pPr>
                                      <w:spacing w:line="240" w:lineRule="auto"/>
                                      <w:jc w:val="center"/>
                                      <w:rPr>
                                        <w:rFonts w:hint="default" w:eastAsia="宋体"/>
                                        <w:sz w:val="18"/>
                                        <w:szCs w:val="18"/>
                                        <w:lang w:val="en-US" w:eastAsia="zh-CN"/>
                                      </w:rPr>
                                    </w:pPr>
                                    <w:r>
                                      <w:rPr>
                                        <w:rFonts w:hint="eastAsia" w:eastAsia="宋体"/>
                                        <w:sz w:val="18"/>
                                        <w:szCs w:val="18"/>
                                        <w:lang w:val="en-US" w:eastAsia="zh-CN"/>
                                      </w:rPr>
                                      <w:t>覆膜</w:t>
                                    </w:r>
                                  </w:p>
                                </w:txbxContent>
                              </wps:txbx>
                              <wps:bodyPr vert="horz" wrap="square" anchor="t" anchorCtr="0" upright="1"/>
                            </wps:wsp>
                            <wps:wsp>
                              <wps:cNvPr id="24" name="矩形 70"/>
                              <wps:cNvSpPr/>
                              <wps:spPr>
                                <a:xfrm>
                                  <a:off x="2773680" y="3121025"/>
                                  <a:ext cx="673100" cy="2400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886D5F9">
                                    <w:pPr>
                                      <w:spacing w:line="240" w:lineRule="auto"/>
                                      <w:jc w:val="center"/>
                                      <w:rPr>
                                        <w:rFonts w:hint="default" w:eastAsia="宋体"/>
                                        <w:sz w:val="18"/>
                                        <w:szCs w:val="18"/>
                                        <w:lang w:val="en-US" w:eastAsia="zh-CN"/>
                                      </w:rPr>
                                    </w:pPr>
                                    <w:r>
                                      <w:rPr>
                                        <w:rFonts w:hint="eastAsia" w:eastAsia="宋体"/>
                                        <w:sz w:val="18"/>
                                        <w:szCs w:val="18"/>
                                        <w:lang w:val="en-US" w:eastAsia="zh-CN"/>
                                      </w:rPr>
                                      <w:t>冷却定型</w:t>
                                    </w:r>
                                  </w:p>
                                </w:txbxContent>
                              </wps:txbx>
                              <wps:bodyPr vert="horz" wrap="square" anchor="t" anchorCtr="0" upright="1"/>
                            </wps:wsp>
                            <wps:wsp>
                              <wps:cNvPr id="32" name="矩形 66"/>
                              <wps:cNvSpPr/>
                              <wps:spPr>
                                <a:xfrm>
                                  <a:off x="1816100" y="786131"/>
                                  <a:ext cx="673100" cy="241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E07A8A">
                                    <w:pPr>
                                      <w:spacing w:line="240" w:lineRule="auto"/>
                                      <w:jc w:val="center"/>
                                      <w:rPr>
                                        <w:rFonts w:hint="default" w:eastAsia="宋体"/>
                                        <w:sz w:val="18"/>
                                        <w:szCs w:val="18"/>
                                        <w:lang w:val="en-US" w:eastAsia="zh-CN"/>
                                      </w:rPr>
                                    </w:pPr>
                                    <w:r>
                                      <w:rPr>
                                        <w:rFonts w:hint="eastAsia"/>
                                        <w:sz w:val="18"/>
                                        <w:szCs w:val="18"/>
                                        <w:lang w:val="en-US" w:eastAsia="zh-CN"/>
                                      </w:rPr>
                                      <w:t>沥青加热</w:t>
                                    </w:r>
                                  </w:p>
                                </w:txbxContent>
                              </wps:txbx>
                              <wps:bodyPr vert="horz" wrap="square" anchor="t" anchorCtr="0" upright="1"/>
                            </wps:wsp>
                            <wps:wsp>
                              <wps:cNvPr id="33" name="矩形 73"/>
                              <wps:cNvSpPr/>
                              <wps:spPr>
                                <a:xfrm>
                                  <a:off x="2794000" y="2186941"/>
                                  <a:ext cx="673100" cy="2400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807670">
                                    <w:pPr>
                                      <w:spacing w:line="240" w:lineRule="auto"/>
                                      <w:jc w:val="center"/>
                                      <w:rPr>
                                        <w:rFonts w:hint="default" w:eastAsia="宋体"/>
                                        <w:sz w:val="18"/>
                                        <w:szCs w:val="18"/>
                                        <w:lang w:val="en-US" w:eastAsia="zh-CN"/>
                                      </w:rPr>
                                    </w:pPr>
                                    <w:r>
                                      <w:rPr>
                                        <w:rFonts w:hint="eastAsia" w:eastAsia="宋体"/>
                                        <w:sz w:val="18"/>
                                        <w:szCs w:val="18"/>
                                        <w:lang w:val="en-US" w:eastAsia="zh-CN"/>
                                      </w:rPr>
                                      <w:t>胎基涂油</w:t>
                                    </w:r>
                                  </w:p>
                                </w:txbxContent>
                              </wps:txbx>
                              <wps:bodyPr vert="horz" wrap="square" anchor="t" anchorCtr="0" upright="1"/>
                            </wps:wsp>
                            <wps:wsp>
                              <wps:cNvPr id="106" name="矩形 71"/>
                              <wps:cNvSpPr/>
                              <wps:spPr>
                                <a:xfrm>
                                  <a:off x="883285" y="2185671"/>
                                  <a:ext cx="673100" cy="241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A7E383F">
                                    <w:pPr>
                                      <w:spacing w:line="240" w:lineRule="auto"/>
                                      <w:jc w:val="center"/>
                                      <w:rPr>
                                        <w:rFonts w:hint="default" w:eastAsia="宋体"/>
                                        <w:sz w:val="18"/>
                                        <w:szCs w:val="18"/>
                                        <w:lang w:val="en-US" w:eastAsia="zh-CN"/>
                                      </w:rPr>
                                    </w:pPr>
                                    <w:r>
                                      <w:rPr>
                                        <w:rFonts w:hint="eastAsia" w:eastAsia="宋体"/>
                                        <w:sz w:val="18"/>
                                        <w:szCs w:val="18"/>
                                        <w:lang w:val="en-US" w:eastAsia="zh-CN"/>
                                      </w:rPr>
                                      <w:t>胎基展平</w:t>
                                    </w:r>
                                  </w:p>
                                </w:txbxContent>
                              </wps:txbx>
                              <wps:bodyPr vert="horz" wrap="square" anchor="t" anchorCtr="0" upright="1"/>
                            </wps:wsp>
                            <wps:wsp>
                              <wps:cNvPr id="107" name="矩形 76"/>
                              <wps:cNvSpPr/>
                              <wps:spPr>
                                <a:xfrm>
                                  <a:off x="2774315" y="3612515"/>
                                  <a:ext cx="673100" cy="2400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850EEB">
                                    <w:pPr>
                                      <w:spacing w:line="240" w:lineRule="auto"/>
                                      <w:jc w:val="center"/>
                                      <w:rPr>
                                        <w:rFonts w:hint="default" w:eastAsia="宋体"/>
                                        <w:sz w:val="18"/>
                                        <w:szCs w:val="18"/>
                                        <w:lang w:val="en-US" w:eastAsia="zh-CN"/>
                                      </w:rPr>
                                    </w:pPr>
                                    <w:r>
                                      <w:rPr>
                                        <w:rFonts w:hint="eastAsia" w:eastAsia="宋体"/>
                                        <w:sz w:val="18"/>
                                        <w:szCs w:val="18"/>
                                        <w:lang w:val="en-US" w:eastAsia="zh-CN"/>
                                      </w:rPr>
                                      <w:t>收卷</w:t>
                                    </w:r>
                                  </w:p>
                                </w:txbxContent>
                              </wps:txbx>
                              <wps:bodyPr vert="horz" wrap="square" anchor="t" anchorCtr="0" upright="1"/>
                            </wps:wsp>
                            <wps:wsp>
                              <wps:cNvPr id="108" name="矩形 77"/>
                              <wps:cNvSpPr/>
                              <wps:spPr>
                                <a:xfrm>
                                  <a:off x="2743835" y="1271271"/>
                                  <a:ext cx="773430" cy="241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A4F60B2">
                                    <w:pPr>
                                      <w:spacing w:line="240" w:lineRule="auto"/>
                                      <w:jc w:val="center"/>
                                      <w:rPr>
                                        <w:rFonts w:hint="default" w:eastAsia="宋体"/>
                                        <w:sz w:val="18"/>
                                        <w:szCs w:val="18"/>
                                        <w:lang w:val="en-US" w:eastAsia="zh-CN"/>
                                      </w:rPr>
                                    </w:pPr>
                                    <w:r>
                                      <w:rPr>
                                        <w:rFonts w:hint="eastAsia" w:eastAsia="宋体"/>
                                        <w:sz w:val="18"/>
                                        <w:szCs w:val="18"/>
                                        <w:lang w:val="en-US" w:eastAsia="zh-CN"/>
                                      </w:rPr>
                                      <w:t>搅拌罐混合</w:t>
                                    </w:r>
                                  </w:p>
                                </w:txbxContent>
                              </wps:txbx>
                              <wps:bodyPr vert="horz" wrap="square" anchor="t" anchorCtr="0" upright="1"/>
                            </wps:wsp>
                            <wps:wsp>
                              <wps:cNvPr id="109" name="矩形 78"/>
                              <wps:cNvSpPr/>
                              <wps:spPr>
                                <a:xfrm>
                                  <a:off x="2743835" y="1729741"/>
                                  <a:ext cx="774065" cy="2400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306B69A">
                                    <w:pPr>
                                      <w:spacing w:line="240" w:lineRule="auto"/>
                                      <w:jc w:val="center"/>
                                      <w:rPr>
                                        <w:rFonts w:hint="default" w:eastAsia="宋体"/>
                                        <w:sz w:val="18"/>
                                        <w:szCs w:val="18"/>
                                        <w:lang w:val="en-US" w:eastAsia="zh-CN"/>
                                      </w:rPr>
                                    </w:pPr>
                                    <w:r>
                                      <w:rPr>
                                        <w:rFonts w:hint="eastAsia" w:eastAsia="宋体"/>
                                        <w:sz w:val="18"/>
                                        <w:szCs w:val="18"/>
                                        <w:lang w:val="en-US" w:eastAsia="zh-CN"/>
                                      </w:rPr>
                                      <w:t>胶体磨研磨</w:t>
                                    </w:r>
                                  </w:p>
                                </w:txbxContent>
                              </wps:txbx>
                              <wps:bodyPr vert="horz" wrap="square" anchor="t" anchorCtr="0" upright="1"/>
                            </wps:wsp>
                            <wps:wsp>
                              <wps:cNvPr id="110" name="矩形 75"/>
                              <wps:cNvSpPr/>
                              <wps:spPr>
                                <a:xfrm>
                                  <a:off x="823595" y="791211"/>
                                  <a:ext cx="673100" cy="241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0713D1A">
                                    <w:pPr>
                                      <w:spacing w:line="240" w:lineRule="auto"/>
                                      <w:jc w:val="center"/>
                                      <w:rPr>
                                        <w:rFonts w:hint="default" w:eastAsia="宋体"/>
                                        <w:sz w:val="18"/>
                                        <w:szCs w:val="18"/>
                                        <w:lang w:val="en-US" w:eastAsia="zh-CN"/>
                                      </w:rPr>
                                    </w:pPr>
                                    <w:r>
                                      <w:rPr>
                                        <w:rFonts w:hint="eastAsia" w:eastAsia="宋体"/>
                                        <w:sz w:val="18"/>
                                        <w:szCs w:val="18"/>
                                        <w:lang w:val="en-US" w:eastAsia="zh-CN"/>
                                      </w:rPr>
                                      <w:t>导热油炉</w:t>
                                    </w:r>
                                  </w:p>
                                </w:txbxContent>
                              </wps:txbx>
                              <wps:bodyPr vert="horz" wrap="square" anchor="t" anchorCtr="0" upright="1"/>
                            </wps:wsp>
                            <wps:wsp>
                              <wps:cNvPr id="111" name="文本框 81"/>
                              <wps:cNvSpPr txBox="1"/>
                              <wps:spPr>
                                <a:xfrm>
                                  <a:off x="2132330" y="2671445"/>
                                  <a:ext cx="425450" cy="201930"/>
                                </a:xfrm>
                                <a:prstGeom prst="rect">
                                  <a:avLst/>
                                </a:prstGeom>
                                <a:solidFill>
                                  <a:srgbClr val="FFFFFF"/>
                                </a:solidFill>
                                <a:ln>
                                  <a:noFill/>
                                </a:ln>
                              </wps:spPr>
                              <wps:txbx>
                                <w:txbxContent>
                                  <w:p w14:paraId="62F18EFF">
                                    <w:pPr>
                                      <w:rPr>
                                        <w:rFonts w:hint="default" w:eastAsia="宋体"/>
                                        <w:sz w:val="15"/>
                                        <w:szCs w:val="15"/>
                                        <w:lang w:val="en-US" w:eastAsia="zh-CN"/>
                                      </w:rPr>
                                    </w:pPr>
                                    <w:r>
                                      <w:rPr>
                                        <w:rFonts w:hint="eastAsia"/>
                                        <w:sz w:val="15"/>
                                        <w:szCs w:val="15"/>
                                        <w:lang w:val="en-US" w:eastAsia="zh-CN"/>
                                      </w:rPr>
                                      <w:t>PE膜</w:t>
                                    </w:r>
                                  </w:p>
                                </w:txbxContent>
                              </wps:txbx>
                              <wps:bodyPr vert="horz" wrap="square" anchor="t" anchorCtr="0" upright="1"/>
                            </wps:wsp>
                            <wps:wsp>
                              <wps:cNvPr id="112" name="文本框 82"/>
                              <wps:cNvSpPr txBox="1"/>
                              <wps:spPr>
                                <a:xfrm>
                                  <a:off x="3576320" y="356870"/>
                                  <a:ext cx="956310" cy="241935"/>
                                </a:xfrm>
                                <a:prstGeom prst="rect">
                                  <a:avLst/>
                                </a:prstGeom>
                                <a:solidFill>
                                  <a:srgbClr val="FFFFFF"/>
                                </a:solidFill>
                                <a:ln>
                                  <a:noFill/>
                                </a:ln>
                              </wps:spPr>
                              <wps:txbx>
                                <w:txbxContent>
                                  <w:p w14:paraId="166843C3">
                                    <w:pPr>
                                      <w:rPr>
                                        <w:rFonts w:hint="default" w:eastAsia="宋体"/>
                                        <w:sz w:val="15"/>
                                        <w:szCs w:val="15"/>
                                        <w:lang w:val="en-US" w:eastAsia="zh-CN"/>
                                      </w:rPr>
                                    </w:pPr>
                                    <w:r>
                                      <w:rPr>
                                        <w:rFonts w:hint="eastAsia"/>
                                        <w:sz w:val="15"/>
                                        <w:szCs w:val="15"/>
                                        <w:lang w:val="en-US" w:eastAsia="zh-CN"/>
                                      </w:rPr>
                                      <w:t>SBS</w:t>
                                    </w:r>
                                    <w:r>
                                      <w:rPr>
                                        <w:rFonts w:hint="eastAsia" w:eastAsia="宋体"/>
                                        <w:sz w:val="15"/>
                                        <w:szCs w:val="15"/>
                                        <w:lang w:val="en-US" w:eastAsia="zh-CN"/>
                                      </w:rPr>
                                      <w:t>、</w:t>
                                    </w:r>
                                    <w:r>
                                      <w:rPr>
                                        <w:rFonts w:hint="eastAsia"/>
                                        <w:sz w:val="15"/>
                                        <w:szCs w:val="15"/>
                                        <w:lang w:val="en-US" w:eastAsia="zh-CN"/>
                                      </w:rPr>
                                      <w:t>SBR</w:t>
                                    </w:r>
                                    <w:r>
                                      <w:rPr>
                                        <w:rFonts w:hint="eastAsia" w:eastAsia="宋体"/>
                                        <w:sz w:val="15"/>
                                        <w:szCs w:val="15"/>
                                        <w:lang w:val="en-US" w:eastAsia="zh-CN"/>
                                      </w:rPr>
                                      <w:t>树脂</w:t>
                                    </w:r>
                                  </w:p>
                                </w:txbxContent>
                              </wps:txbx>
                              <wps:bodyPr vert="horz" wrap="square" anchor="t" anchorCtr="0" upright="1"/>
                            </wps:wsp>
                            <wps:wsp>
                              <wps:cNvPr id="113" name="文本框 83"/>
                              <wps:cNvSpPr txBox="1"/>
                              <wps:spPr>
                                <a:xfrm>
                                  <a:off x="136525" y="2193290"/>
                                  <a:ext cx="568960" cy="228599"/>
                                </a:xfrm>
                                <a:prstGeom prst="rect">
                                  <a:avLst/>
                                </a:prstGeom>
                                <a:solidFill>
                                  <a:srgbClr val="FFFFFF"/>
                                </a:solidFill>
                                <a:ln>
                                  <a:noFill/>
                                </a:ln>
                              </wps:spPr>
                              <wps:txbx>
                                <w:txbxContent>
                                  <w:p w14:paraId="282A6EF9">
                                    <w:pPr>
                                      <w:rPr>
                                        <w:rFonts w:hint="default" w:eastAsia="宋体"/>
                                        <w:sz w:val="15"/>
                                        <w:szCs w:val="15"/>
                                        <w:lang w:val="en-US" w:eastAsia="zh-CN"/>
                                      </w:rPr>
                                    </w:pPr>
                                    <w:r>
                                      <w:rPr>
                                        <w:rFonts w:hint="eastAsia" w:eastAsia="宋体"/>
                                        <w:sz w:val="15"/>
                                        <w:szCs w:val="15"/>
                                        <w:lang w:val="en-US" w:eastAsia="zh-CN"/>
                                      </w:rPr>
                                      <w:t>聚酯胎基</w:t>
                                    </w:r>
                                  </w:p>
                                </w:txbxContent>
                              </wps:txbx>
                              <wps:bodyPr vert="horz" wrap="square" anchor="t" anchorCtr="0" upright="1"/>
                            </wps:wsp>
                            <wps:wsp>
                              <wps:cNvPr id="114" name="文本框 84"/>
                              <wps:cNvSpPr txBox="1"/>
                              <wps:spPr>
                                <a:xfrm>
                                  <a:off x="2045970" y="3613150"/>
                                  <a:ext cx="705485" cy="228600"/>
                                </a:xfrm>
                                <a:prstGeom prst="rect">
                                  <a:avLst/>
                                </a:prstGeom>
                                <a:solidFill>
                                  <a:srgbClr val="FFFFFF"/>
                                </a:solidFill>
                                <a:ln>
                                  <a:noFill/>
                                </a:ln>
                              </wps:spPr>
                              <wps:txbx>
                                <w:txbxContent>
                                  <w:p w14:paraId="056C80DD">
                                    <w:pPr>
                                      <w:rPr>
                                        <w:rFonts w:hint="default" w:eastAsia="宋体"/>
                                        <w:sz w:val="15"/>
                                        <w:szCs w:val="15"/>
                                        <w:lang w:val="en-US" w:eastAsia="zh-CN"/>
                                      </w:rPr>
                                    </w:pPr>
                                    <w:r>
                                      <w:rPr>
                                        <w:rFonts w:hint="eastAsia" w:eastAsia="宋体"/>
                                        <w:sz w:val="15"/>
                                        <w:szCs w:val="15"/>
                                        <w:lang w:val="en-US" w:eastAsia="zh-CN"/>
                                      </w:rPr>
                                      <w:t>冷却水循环</w:t>
                                    </w:r>
                                  </w:p>
                                </w:txbxContent>
                              </wps:txbx>
                              <wps:bodyPr vert="horz" wrap="square" anchor="t" anchorCtr="0" upright="1"/>
                            </wps:wsp>
                            <wps:wsp>
                              <wps:cNvPr id="115" name="文本框 85"/>
                              <wps:cNvSpPr txBox="1"/>
                              <wps:spPr>
                                <a:xfrm>
                                  <a:off x="1974215" y="45720"/>
                                  <a:ext cx="415925" cy="200660"/>
                                </a:xfrm>
                                <a:prstGeom prst="rect">
                                  <a:avLst/>
                                </a:prstGeom>
                                <a:solidFill>
                                  <a:srgbClr val="FFFFFF"/>
                                </a:solidFill>
                                <a:ln>
                                  <a:noFill/>
                                </a:ln>
                              </wps:spPr>
                              <wps:txbx>
                                <w:txbxContent>
                                  <w:p w14:paraId="7606719B">
                                    <w:pPr>
                                      <w:rPr>
                                        <w:rFonts w:hint="default" w:eastAsia="宋体"/>
                                        <w:sz w:val="15"/>
                                        <w:szCs w:val="15"/>
                                        <w:lang w:val="en-US" w:eastAsia="zh-CN"/>
                                      </w:rPr>
                                    </w:pPr>
                                    <w:r>
                                      <w:rPr>
                                        <w:rFonts w:hint="eastAsia" w:eastAsia="宋体"/>
                                        <w:sz w:val="15"/>
                                        <w:szCs w:val="15"/>
                                        <w:lang w:val="en-US" w:eastAsia="zh-CN"/>
                                      </w:rPr>
                                      <w:t>沥青</w:t>
                                    </w:r>
                                  </w:p>
                                </w:txbxContent>
                              </wps:txbx>
                              <wps:bodyPr vert="horz" wrap="square" anchor="t" anchorCtr="0" upright="1"/>
                            </wps:wsp>
                            <wps:wsp>
                              <wps:cNvPr id="116" name="文本框 86"/>
                              <wps:cNvSpPr txBox="1"/>
                              <wps:spPr>
                                <a:xfrm>
                                  <a:off x="109855" y="811531"/>
                                  <a:ext cx="521335" cy="241300"/>
                                </a:xfrm>
                                <a:prstGeom prst="rect">
                                  <a:avLst/>
                                </a:prstGeom>
                                <a:solidFill>
                                  <a:srgbClr val="FFFFFF"/>
                                </a:solidFill>
                                <a:ln>
                                  <a:noFill/>
                                </a:ln>
                              </wps:spPr>
                              <wps:txbx>
                                <w:txbxContent>
                                  <w:p w14:paraId="1A2B2FD5">
                                    <w:pPr>
                                      <w:rPr>
                                        <w:rFonts w:hint="default" w:eastAsia="宋体"/>
                                        <w:sz w:val="15"/>
                                        <w:szCs w:val="15"/>
                                        <w:lang w:val="en-US" w:eastAsia="zh-CN"/>
                                      </w:rPr>
                                    </w:pPr>
                                    <w:r>
                                      <w:rPr>
                                        <w:rFonts w:hint="eastAsia" w:eastAsia="宋体"/>
                                        <w:sz w:val="15"/>
                                        <w:szCs w:val="15"/>
                                        <w:lang w:val="en-US" w:eastAsia="zh-CN"/>
                                      </w:rPr>
                                      <w:t>天然气</w:t>
                                    </w:r>
                                  </w:p>
                                </w:txbxContent>
                              </wps:txbx>
                              <wps:bodyPr vert="horz" wrap="square" anchor="t" anchorCtr="0" upright="1"/>
                            </wps:wsp>
                            <wps:wsp>
                              <wps:cNvPr id="117" name="矩形 87"/>
                              <wps:cNvSpPr/>
                              <wps:spPr>
                                <a:xfrm>
                                  <a:off x="262890" y="3494405"/>
                                  <a:ext cx="1024890" cy="76453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23DB92C">
                                    <w:pPr>
                                      <w:jc w:val="center"/>
                                      <w:rPr>
                                        <w:rFonts w:hint="eastAsia"/>
                                        <w:sz w:val="18"/>
                                        <w:szCs w:val="18"/>
                                        <w:lang w:val="en-US" w:eastAsia="zh-CN"/>
                                      </w:rPr>
                                    </w:pPr>
                                    <w:r>
                                      <w:rPr>
                                        <w:rFonts w:hint="eastAsia"/>
                                        <w:sz w:val="18"/>
                                        <w:szCs w:val="18"/>
                                        <w:lang w:val="en-US" w:eastAsia="zh-CN"/>
                                      </w:rPr>
                                      <w:t>图例</w:t>
                                    </w:r>
                                  </w:p>
                                  <w:p w14:paraId="45B4497F">
                                    <w:pPr>
                                      <w:pStyle w:val="3"/>
                                      <w:jc w:val="center"/>
                                      <w:rPr>
                                        <w:rFonts w:hint="eastAsia"/>
                                        <w:b w:val="0"/>
                                        <w:bCs w:val="0"/>
                                        <w:sz w:val="18"/>
                                        <w:szCs w:val="18"/>
                                        <w:lang w:val="en-US" w:eastAsia="zh-CN"/>
                                      </w:rPr>
                                    </w:pPr>
                                    <w:r>
                                      <w:rPr>
                                        <w:rFonts w:hint="eastAsia"/>
                                        <w:b w:val="0"/>
                                        <w:bCs w:val="0"/>
                                        <w:sz w:val="18"/>
                                        <w:szCs w:val="18"/>
                                        <w:lang w:val="en-US" w:eastAsia="zh-CN"/>
                                      </w:rPr>
                                      <w:t>G—有组织废气</w:t>
                                    </w:r>
                                  </w:p>
                                  <w:p w14:paraId="173F142C">
                                    <w:pPr>
                                      <w:jc w:val="center"/>
                                      <w:rPr>
                                        <w:rFonts w:hint="eastAsia"/>
                                        <w:b w:val="0"/>
                                        <w:bCs w:val="0"/>
                                        <w:sz w:val="18"/>
                                        <w:szCs w:val="18"/>
                                        <w:lang w:val="en-US" w:eastAsia="zh-CN"/>
                                      </w:rPr>
                                    </w:pPr>
                                    <w:r>
                                      <w:rPr>
                                        <w:rFonts w:hint="eastAsia"/>
                                        <w:b w:val="0"/>
                                        <w:bCs w:val="0"/>
                                        <w:sz w:val="18"/>
                                        <w:szCs w:val="18"/>
                                        <w:lang w:val="en-US" w:eastAsia="zh-CN"/>
                                      </w:rPr>
                                      <w:t>N—噪声</w:t>
                                    </w:r>
                                  </w:p>
                                  <w:p w14:paraId="3CD988BE">
                                    <w:pPr>
                                      <w:jc w:val="center"/>
                                      <w:rPr>
                                        <w:rFonts w:hint="default"/>
                                        <w:lang w:val="en-US" w:eastAsia="zh-CN"/>
                                      </w:rPr>
                                    </w:pPr>
                                    <w:r>
                                      <w:rPr>
                                        <w:rFonts w:hint="eastAsia"/>
                                        <w:b w:val="0"/>
                                        <w:bCs w:val="0"/>
                                        <w:sz w:val="18"/>
                                        <w:szCs w:val="18"/>
                                        <w:lang w:val="en-US" w:eastAsia="zh-CN"/>
                                      </w:rPr>
                                      <w:t>S—固废</w:t>
                                    </w:r>
                                  </w:p>
                                </w:txbxContent>
                              </wps:txbx>
                              <wps:bodyPr vert="horz" wrap="square" anchor="t" anchorCtr="0" upright="1"/>
                            </wps:wsp>
                            <wps:wsp>
                              <wps:cNvPr id="118" name="矩形 88"/>
                              <wps:cNvSpPr/>
                              <wps:spPr>
                                <a:xfrm>
                                  <a:off x="1798320" y="3134360"/>
                                  <a:ext cx="673100" cy="241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1CA14F5">
                                    <w:pPr>
                                      <w:spacing w:line="240" w:lineRule="auto"/>
                                      <w:jc w:val="center"/>
                                      <w:rPr>
                                        <w:rFonts w:hint="default" w:eastAsia="宋体"/>
                                        <w:sz w:val="18"/>
                                        <w:szCs w:val="18"/>
                                        <w:lang w:val="en-US" w:eastAsia="zh-CN"/>
                                      </w:rPr>
                                    </w:pPr>
                                    <w:r>
                                      <w:rPr>
                                        <w:rFonts w:hint="eastAsia" w:eastAsia="宋体"/>
                                        <w:sz w:val="18"/>
                                        <w:szCs w:val="18"/>
                                        <w:lang w:val="en-US" w:eastAsia="zh-CN"/>
                                      </w:rPr>
                                      <w:t>冷却水床chuangchuang</w:t>
                                    </w:r>
                                  </w:p>
                                </w:txbxContent>
                              </wps:txbx>
                              <wps:bodyPr vert="horz" wrap="square" anchor="t" anchorCtr="0" upright="1"/>
                            </wps:wsp>
                            <wps:wsp>
                              <wps:cNvPr id="119" name="矩形 89"/>
                              <wps:cNvSpPr/>
                              <wps:spPr>
                                <a:xfrm>
                                  <a:off x="3682365" y="786131"/>
                                  <a:ext cx="673100" cy="241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426D5B">
                                    <w:pPr>
                                      <w:spacing w:line="240" w:lineRule="auto"/>
                                      <w:jc w:val="center"/>
                                      <w:rPr>
                                        <w:rFonts w:hint="default" w:eastAsia="宋体"/>
                                        <w:sz w:val="18"/>
                                        <w:szCs w:val="18"/>
                                        <w:lang w:val="en-US" w:eastAsia="zh-CN"/>
                                      </w:rPr>
                                    </w:pPr>
                                    <w:r>
                                      <w:rPr>
                                        <w:rFonts w:hint="eastAsia" w:eastAsia="宋体"/>
                                        <w:sz w:val="18"/>
                                        <w:szCs w:val="18"/>
                                        <w:lang w:val="en-US" w:eastAsia="zh-CN"/>
                                      </w:rPr>
                                      <w:t>仓库储存</w:t>
                                    </w:r>
                                  </w:p>
                                </w:txbxContent>
                              </wps:txbx>
                              <wps:bodyPr vert="horz" wrap="square" anchor="t" anchorCtr="0" upright="1"/>
                            </wps:wsp>
                            <wps:wsp>
                              <wps:cNvPr id="120" name="文本框 97"/>
                              <wps:cNvSpPr txBox="1"/>
                              <wps:spPr>
                                <a:xfrm>
                                  <a:off x="2849880" y="4070985"/>
                                  <a:ext cx="574675" cy="228600"/>
                                </a:xfrm>
                                <a:prstGeom prst="rect">
                                  <a:avLst/>
                                </a:prstGeom>
                                <a:solidFill>
                                  <a:srgbClr val="FFFFFF"/>
                                </a:solidFill>
                                <a:ln>
                                  <a:noFill/>
                                </a:ln>
                              </wps:spPr>
                              <wps:txbx>
                                <w:txbxContent>
                                  <w:p w14:paraId="3ED17BBB">
                                    <w:pPr>
                                      <w:rPr>
                                        <w:rFonts w:hint="default" w:eastAsia="宋体"/>
                                        <w:sz w:val="15"/>
                                        <w:szCs w:val="15"/>
                                        <w:lang w:val="en-US" w:eastAsia="zh-CN"/>
                                      </w:rPr>
                                    </w:pPr>
                                    <w:r>
                                      <w:rPr>
                                        <w:rFonts w:hint="eastAsia" w:eastAsia="宋体"/>
                                        <w:sz w:val="15"/>
                                        <w:szCs w:val="15"/>
                                        <w:lang w:val="en-US" w:eastAsia="zh-CN"/>
                                      </w:rPr>
                                      <w:t>包装入库</w:t>
                                    </w:r>
                                  </w:p>
                                </w:txbxContent>
                              </wps:txbx>
                              <wps:bodyPr vert="horz" wrap="square" anchor="t" anchorCtr="0" upright="1"/>
                            </wps:wsp>
                            <wps:wsp>
                              <wps:cNvPr id="121" name="文本框 99"/>
                              <wps:cNvSpPr txBox="1"/>
                              <wps:spPr>
                                <a:xfrm>
                                  <a:off x="3757930" y="1291590"/>
                                  <a:ext cx="915670" cy="228600"/>
                                </a:xfrm>
                                <a:prstGeom prst="rect">
                                  <a:avLst/>
                                </a:prstGeom>
                                <a:solidFill>
                                  <a:srgbClr val="FFFFFF"/>
                                </a:solidFill>
                                <a:ln>
                                  <a:noFill/>
                                </a:ln>
                              </wps:spPr>
                              <wps:txbx>
                                <w:txbxContent>
                                  <w:p w14:paraId="6436EC09">
                                    <w:pPr>
                                      <w:rPr>
                                        <w:rFonts w:hint="default" w:eastAsia="宋体"/>
                                        <w:sz w:val="15"/>
                                        <w:szCs w:val="15"/>
                                        <w:lang w:val="en-US" w:eastAsia="zh-CN"/>
                                      </w:rPr>
                                    </w:pPr>
                                    <w:r>
                                      <w:rPr>
                                        <w:rFonts w:hint="eastAsia" w:eastAsia="宋体"/>
                                        <w:sz w:val="15"/>
                                        <w:szCs w:val="15"/>
                                        <w:lang w:val="en-US" w:eastAsia="zh-CN"/>
                                      </w:rPr>
                                      <w:t>G1-1、G1-2、N</w:t>
                                    </w:r>
                                  </w:p>
                                </w:txbxContent>
                              </wps:txbx>
                              <wps:bodyPr vert="horz" wrap="square" anchor="t" anchorCtr="0" upright="1"/>
                            </wps:wsp>
                            <wps:wsp>
                              <wps:cNvPr id="123" name="文本框 101"/>
                              <wps:cNvSpPr txBox="1"/>
                              <wps:spPr>
                                <a:xfrm>
                                  <a:off x="3726815" y="2194561"/>
                                  <a:ext cx="508000" cy="228600"/>
                                </a:xfrm>
                                <a:prstGeom prst="rect">
                                  <a:avLst/>
                                </a:prstGeom>
                                <a:solidFill>
                                  <a:srgbClr val="FFFFFF"/>
                                </a:solidFill>
                                <a:ln>
                                  <a:noFill/>
                                </a:ln>
                              </wps:spPr>
                              <wps:txbx>
                                <w:txbxContent>
                                  <w:p w14:paraId="767F0907">
                                    <w:pPr>
                                      <w:rPr>
                                        <w:rFonts w:hint="default" w:eastAsia="宋体"/>
                                        <w:sz w:val="15"/>
                                        <w:szCs w:val="15"/>
                                        <w:lang w:val="en-US" w:eastAsia="zh-CN"/>
                                      </w:rPr>
                                    </w:pPr>
                                    <w:r>
                                      <w:rPr>
                                        <w:rFonts w:hint="eastAsia" w:eastAsia="宋体"/>
                                        <w:sz w:val="15"/>
                                        <w:szCs w:val="15"/>
                                        <w:lang w:val="en-US" w:eastAsia="zh-CN"/>
                                      </w:rPr>
                                      <w:t>G1-2、N</w:t>
                                    </w:r>
                                  </w:p>
                                </w:txbxContent>
                              </wps:txbx>
                              <wps:bodyPr vert="horz" wrap="square" anchor="t" anchorCtr="0" upright="1"/>
                            </wps:wsp>
                            <wps:wsp>
                              <wps:cNvPr id="124" name="文本框 102"/>
                              <wps:cNvSpPr txBox="1"/>
                              <wps:spPr>
                                <a:xfrm>
                                  <a:off x="3712845" y="2653032"/>
                                  <a:ext cx="508000" cy="228600"/>
                                </a:xfrm>
                                <a:prstGeom prst="rect">
                                  <a:avLst/>
                                </a:prstGeom>
                                <a:solidFill>
                                  <a:srgbClr val="FFFFFF"/>
                                </a:solidFill>
                                <a:ln>
                                  <a:noFill/>
                                </a:ln>
                              </wps:spPr>
                              <wps:txbx>
                                <w:txbxContent>
                                  <w:p w14:paraId="03594387">
                                    <w:pPr>
                                      <w:rPr>
                                        <w:rFonts w:hint="default" w:eastAsia="宋体"/>
                                        <w:sz w:val="15"/>
                                        <w:szCs w:val="15"/>
                                        <w:lang w:val="en-US" w:eastAsia="zh-CN"/>
                                      </w:rPr>
                                    </w:pPr>
                                    <w:r>
                                      <w:rPr>
                                        <w:rFonts w:hint="eastAsia" w:eastAsia="宋体"/>
                                        <w:sz w:val="15"/>
                                        <w:szCs w:val="15"/>
                                        <w:lang w:val="en-US" w:eastAsia="zh-CN"/>
                                      </w:rPr>
                                      <w:t>G1-3、N</w:t>
                                    </w:r>
                                  </w:p>
                                </w:txbxContent>
                              </wps:txbx>
                              <wps:bodyPr vert="horz" wrap="square" anchor="t" anchorCtr="0" upright="1"/>
                            </wps:wsp>
                            <wps:wsp>
                              <wps:cNvPr id="125" name="文本框 104"/>
                              <wps:cNvSpPr txBox="1"/>
                              <wps:spPr>
                                <a:xfrm>
                                  <a:off x="751205" y="327660"/>
                                  <a:ext cx="706755" cy="228600"/>
                                </a:xfrm>
                                <a:prstGeom prst="rect">
                                  <a:avLst/>
                                </a:prstGeom>
                                <a:solidFill>
                                  <a:srgbClr val="FFFFFF"/>
                                </a:solidFill>
                                <a:ln>
                                  <a:noFill/>
                                </a:ln>
                              </wps:spPr>
                              <wps:txbx>
                                <w:txbxContent>
                                  <w:p w14:paraId="5268C8DE">
                                    <w:pPr>
                                      <w:rPr>
                                        <w:rFonts w:hint="default" w:eastAsia="宋体"/>
                                        <w:sz w:val="15"/>
                                        <w:szCs w:val="15"/>
                                        <w:lang w:val="en-US" w:eastAsia="zh-CN"/>
                                      </w:rPr>
                                    </w:pPr>
                                    <w:r>
                                      <w:rPr>
                                        <w:rFonts w:hint="eastAsia" w:eastAsia="宋体"/>
                                        <w:sz w:val="15"/>
                                        <w:szCs w:val="15"/>
                                        <w:lang w:val="en-US" w:eastAsia="zh-CN"/>
                                      </w:rPr>
                                      <w:t>G1-5、N、S2</w:t>
                                    </w:r>
                                  </w:p>
                                </w:txbxContent>
                              </wps:txbx>
                              <wps:bodyPr vert="horz" wrap="square" anchor="t" anchorCtr="0" upright="1"/>
                            </wps:wsp>
                            <wps:wsp>
                              <wps:cNvPr id="126" name="自选图形 105"/>
                              <wps:cNvCnPr/>
                              <wps:spPr>
                                <a:xfrm>
                                  <a:off x="542925" y="910591"/>
                                  <a:ext cx="280670" cy="1270"/>
                                </a:xfrm>
                                <a:prstGeom prst="straightConnector1">
                                  <a:avLst/>
                                </a:prstGeom>
                                <a:ln w="9525" cap="flat" cmpd="sng">
                                  <a:solidFill>
                                    <a:srgbClr val="000000"/>
                                  </a:solidFill>
                                  <a:prstDash val="dash"/>
                                  <a:headEnd type="none" w="med" len="med"/>
                                  <a:tailEnd type="arrow" w="med" len="med"/>
                                </a:ln>
                              </wps:spPr>
                              <wps:bodyPr/>
                            </wps:wsp>
                            <wps:wsp>
                              <wps:cNvPr id="127" name="自选图形 108"/>
                              <wps:cNvCnPr/>
                              <wps:spPr>
                                <a:xfrm>
                                  <a:off x="2518410" y="2770507"/>
                                  <a:ext cx="279400" cy="0"/>
                                </a:xfrm>
                                <a:prstGeom prst="straightConnector1">
                                  <a:avLst/>
                                </a:prstGeom>
                                <a:ln w="9525" cap="flat" cmpd="sng">
                                  <a:solidFill>
                                    <a:srgbClr val="000000"/>
                                  </a:solidFill>
                                  <a:prstDash val="dash"/>
                                  <a:headEnd type="none" w="med" len="med"/>
                                  <a:tailEnd type="arrow" w="med" len="med"/>
                                </a:ln>
                              </wps:spPr>
                              <wps:bodyPr/>
                            </wps:wsp>
                            <wps:wsp>
                              <wps:cNvPr id="128" name="自选图形 109"/>
                              <wps:cNvCnPr/>
                              <wps:spPr>
                                <a:xfrm>
                                  <a:off x="3469005" y="2772412"/>
                                  <a:ext cx="279400" cy="0"/>
                                </a:xfrm>
                                <a:prstGeom prst="straightConnector1">
                                  <a:avLst/>
                                </a:prstGeom>
                                <a:ln w="9525" cap="flat" cmpd="sng">
                                  <a:solidFill>
                                    <a:srgbClr val="000000"/>
                                  </a:solidFill>
                                  <a:prstDash val="dash"/>
                                  <a:headEnd type="none" w="med" len="med"/>
                                  <a:tailEnd type="arrow" w="med" len="med"/>
                                </a:ln>
                              </wps:spPr>
                              <wps:bodyPr/>
                            </wps:wsp>
                            <wps:wsp>
                              <wps:cNvPr id="129" name="自选图形 110"/>
                              <wps:cNvCnPr/>
                              <wps:spPr>
                                <a:xfrm>
                                  <a:off x="3465195" y="2305686"/>
                                  <a:ext cx="279400" cy="0"/>
                                </a:xfrm>
                                <a:prstGeom prst="straightConnector1">
                                  <a:avLst/>
                                </a:prstGeom>
                                <a:ln w="9525" cap="flat" cmpd="sng">
                                  <a:solidFill>
                                    <a:srgbClr val="000000"/>
                                  </a:solidFill>
                                  <a:prstDash val="dash"/>
                                  <a:headEnd type="none" w="med" len="med"/>
                                  <a:tailEnd type="arrow" w="med" len="med"/>
                                </a:ln>
                              </wps:spPr>
                              <wps:bodyPr/>
                            </wps:wsp>
                            <wps:wsp>
                              <wps:cNvPr id="131" name="自选图形 112"/>
                              <wps:cNvCnPr/>
                              <wps:spPr>
                                <a:xfrm>
                                  <a:off x="3515360" y="1408431"/>
                                  <a:ext cx="279400" cy="0"/>
                                </a:xfrm>
                                <a:prstGeom prst="straightConnector1">
                                  <a:avLst/>
                                </a:prstGeom>
                                <a:ln w="9525" cap="flat" cmpd="sng">
                                  <a:solidFill>
                                    <a:srgbClr val="000000"/>
                                  </a:solidFill>
                                  <a:prstDash val="dash"/>
                                  <a:headEnd type="none" w="med" len="med"/>
                                  <a:tailEnd type="arrow" w="med" len="med"/>
                                </a:ln>
                              </wps:spPr>
                              <wps:bodyPr/>
                            </wps:wsp>
                            <wps:wsp>
                              <wps:cNvPr id="132" name="自选图形 113"/>
                              <wps:cNvCnPr/>
                              <wps:spPr>
                                <a:xfrm>
                                  <a:off x="2473325" y="1847851"/>
                                  <a:ext cx="279400" cy="0"/>
                                </a:xfrm>
                                <a:prstGeom prst="straightConnector1">
                                  <a:avLst/>
                                </a:prstGeom>
                                <a:ln w="9525" cap="flat" cmpd="sng">
                                  <a:solidFill>
                                    <a:srgbClr val="000000"/>
                                  </a:solidFill>
                                  <a:prstDash val="dash"/>
                                  <a:headEnd type="none" w="med" len="med"/>
                                  <a:tailEnd type="arrow" w="med" len="med"/>
                                </a:ln>
                              </wps:spPr>
                              <wps:bodyPr/>
                            </wps:wsp>
                            <wps:wsp>
                              <wps:cNvPr id="133" name="自选图形 115"/>
                              <wps:cNvCnPr/>
                              <wps:spPr>
                                <a:xfrm>
                                  <a:off x="3130550" y="1512571"/>
                                  <a:ext cx="635" cy="217170"/>
                                </a:xfrm>
                                <a:prstGeom prst="straightConnector1">
                                  <a:avLst/>
                                </a:prstGeom>
                                <a:ln w="9525" cap="flat" cmpd="sng">
                                  <a:solidFill>
                                    <a:srgbClr val="000000"/>
                                  </a:solidFill>
                                  <a:prstDash val="solid"/>
                                  <a:headEnd type="none" w="med" len="med"/>
                                  <a:tailEnd type="arrow" w="med" len="med"/>
                                </a:ln>
                              </wps:spPr>
                              <wps:bodyPr/>
                            </wps:wsp>
                            <wps:wsp>
                              <wps:cNvPr id="134" name="自选图形 119"/>
                              <wps:cNvCnPr/>
                              <wps:spPr>
                                <a:xfrm flipH="1">
                                  <a:off x="3148330" y="1934846"/>
                                  <a:ext cx="635" cy="217170"/>
                                </a:xfrm>
                                <a:prstGeom prst="straightConnector1">
                                  <a:avLst/>
                                </a:prstGeom>
                                <a:ln w="9525" cap="flat" cmpd="sng">
                                  <a:solidFill>
                                    <a:srgbClr val="000000"/>
                                  </a:solidFill>
                                  <a:prstDash val="solid"/>
                                  <a:headEnd type="none" w="med" len="med"/>
                                  <a:tailEnd type="arrow" w="med" len="med"/>
                                </a:ln>
                              </wps:spPr>
                              <wps:bodyPr/>
                            </wps:wsp>
                            <wps:wsp>
                              <wps:cNvPr id="135" name="自选图形 120"/>
                              <wps:cNvCnPr/>
                              <wps:spPr>
                                <a:xfrm>
                                  <a:off x="3130550" y="2426972"/>
                                  <a:ext cx="0" cy="217170"/>
                                </a:xfrm>
                                <a:prstGeom prst="straightConnector1">
                                  <a:avLst/>
                                </a:prstGeom>
                                <a:ln w="9525" cap="flat" cmpd="sng">
                                  <a:solidFill>
                                    <a:srgbClr val="000000"/>
                                  </a:solidFill>
                                  <a:prstDash val="solid"/>
                                  <a:headEnd type="none" w="med" len="med"/>
                                  <a:tailEnd type="arrow" w="med" len="med"/>
                                </a:ln>
                              </wps:spPr>
                              <wps:bodyPr/>
                            </wps:wsp>
                            <wps:wsp>
                              <wps:cNvPr id="136" name="自选图形 121"/>
                              <wps:cNvCnPr/>
                              <wps:spPr>
                                <a:xfrm>
                                  <a:off x="3130550" y="2884172"/>
                                  <a:ext cx="0" cy="217170"/>
                                </a:xfrm>
                                <a:prstGeom prst="straightConnector1">
                                  <a:avLst/>
                                </a:prstGeom>
                                <a:ln w="9525" cap="flat" cmpd="sng">
                                  <a:solidFill>
                                    <a:srgbClr val="000000"/>
                                  </a:solidFill>
                                  <a:prstDash val="solid"/>
                                  <a:headEnd type="none" w="med" len="med"/>
                                  <a:tailEnd type="arrow" w="med" len="med"/>
                                </a:ln>
                              </wps:spPr>
                              <wps:bodyPr/>
                            </wps:wsp>
                            <wps:wsp>
                              <wps:cNvPr id="137" name="自选图形 122"/>
                              <wps:cNvCnPr/>
                              <wps:spPr>
                                <a:xfrm>
                                  <a:off x="3103880" y="3368675"/>
                                  <a:ext cx="0" cy="217170"/>
                                </a:xfrm>
                                <a:prstGeom prst="straightConnector1">
                                  <a:avLst/>
                                </a:prstGeom>
                                <a:ln w="9525" cap="flat" cmpd="sng">
                                  <a:solidFill>
                                    <a:srgbClr val="000000"/>
                                  </a:solidFill>
                                  <a:prstDash val="solid"/>
                                  <a:headEnd type="none" w="med" len="med"/>
                                  <a:tailEnd type="arrow" w="med" len="med"/>
                                </a:ln>
                              </wps:spPr>
                              <wps:bodyPr/>
                            </wps:wsp>
                            <wps:wsp>
                              <wps:cNvPr id="138" name="自选图形 123"/>
                              <wps:cNvCnPr/>
                              <wps:spPr>
                                <a:xfrm>
                                  <a:off x="3124200" y="3858895"/>
                                  <a:ext cx="635" cy="245110"/>
                                </a:xfrm>
                                <a:prstGeom prst="straightConnector1">
                                  <a:avLst/>
                                </a:prstGeom>
                                <a:ln w="9525" cap="flat" cmpd="sng">
                                  <a:solidFill>
                                    <a:srgbClr val="000000"/>
                                  </a:solidFill>
                                  <a:prstDash val="solid"/>
                                  <a:headEnd type="none" w="med" len="med"/>
                                  <a:tailEnd type="arrow" w="med" len="med"/>
                                </a:ln>
                              </wps:spPr>
                              <wps:bodyPr/>
                            </wps:wsp>
                            <wps:wsp>
                              <wps:cNvPr id="139" name="文本框 127"/>
                              <wps:cNvSpPr txBox="1"/>
                              <wps:spPr>
                                <a:xfrm>
                                  <a:off x="1047750" y="1737995"/>
                                  <a:ext cx="592455" cy="228600"/>
                                </a:xfrm>
                                <a:prstGeom prst="rect">
                                  <a:avLst/>
                                </a:prstGeom>
                                <a:solidFill>
                                  <a:srgbClr val="FFFFFF"/>
                                </a:solidFill>
                                <a:ln>
                                  <a:noFill/>
                                </a:ln>
                              </wps:spPr>
                              <wps:txbx>
                                <w:txbxContent>
                                  <w:p w14:paraId="75951849">
                                    <w:pPr>
                                      <w:rPr>
                                        <w:rFonts w:hint="default" w:eastAsia="宋体"/>
                                        <w:sz w:val="15"/>
                                        <w:szCs w:val="15"/>
                                        <w:lang w:val="en-US" w:eastAsia="zh-CN"/>
                                      </w:rPr>
                                    </w:pPr>
                                    <w:r>
                                      <w:rPr>
                                        <w:rFonts w:hint="eastAsia" w:eastAsia="宋体"/>
                                        <w:sz w:val="15"/>
                                        <w:szCs w:val="15"/>
                                        <w:lang w:val="en-US" w:eastAsia="zh-CN"/>
                                      </w:rPr>
                                      <w:t>滑石粉</w:t>
                                    </w:r>
                                  </w:p>
                                </w:txbxContent>
                              </wps:txbx>
                              <wps:bodyPr vert="horz" wrap="square" anchor="t" anchorCtr="0" upright="1"/>
                            </wps:wsp>
                            <wps:wsp>
                              <wps:cNvPr id="140" name="矩形 128"/>
                              <wps:cNvSpPr/>
                              <wps:spPr>
                                <a:xfrm>
                                  <a:off x="1816100" y="1728471"/>
                                  <a:ext cx="673100" cy="241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1C20B33">
                                    <w:pPr>
                                      <w:spacing w:line="240" w:lineRule="auto"/>
                                      <w:jc w:val="center"/>
                                      <w:rPr>
                                        <w:rFonts w:hint="default" w:eastAsia="宋体"/>
                                        <w:sz w:val="18"/>
                                        <w:szCs w:val="18"/>
                                        <w:lang w:val="en-US" w:eastAsia="zh-CN"/>
                                      </w:rPr>
                                    </w:pPr>
                                    <w:r>
                                      <w:rPr>
                                        <w:rFonts w:hint="eastAsia" w:eastAsia="宋体"/>
                                        <w:sz w:val="18"/>
                                        <w:szCs w:val="18"/>
                                        <w:lang w:val="en-US" w:eastAsia="zh-CN"/>
                                      </w:rPr>
                                      <w:t>石粉储罐</w:t>
                                    </w:r>
                                  </w:p>
                                </w:txbxContent>
                              </wps:txbx>
                              <wps:bodyPr vert="horz" wrap="square" anchor="t" anchorCtr="0" upright="1"/>
                            </wps:wsp>
                            <wps:wsp>
                              <wps:cNvPr id="141" name="自选图形 129"/>
                              <wps:cNvCnPr/>
                              <wps:spPr>
                                <a:xfrm>
                                  <a:off x="2506980" y="2309496"/>
                                  <a:ext cx="279400" cy="0"/>
                                </a:xfrm>
                                <a:prstGeom prst="straightConnector1">
                                  <a:avLst/>
                                </a:prstGeom>
                                <a:ln w="9525" cap="flat" cmpd="sng">
                                  <a:solidFill>
                                    <a:srgbClr val="000000"/>
                                  </a:solidFill>
                                  <a:prstDash val="dash"/>
                                  <a:headEnd type="none" w="med" len="med"/>
                                  <a:tailEnd type="arrow" w="med" len="med"/>
                                </a:ln>
                              </wps:spPr>
                              <wps:bodyPr/>
                            </wps:wsp>
                            <wps:wsp>
                              <wps:cNvPr id="142" name="自选图形 130"/>
                              <wps:cNvCnPr/>
                              <wps:spPr>
                                <a:xfrm>
                                  <a:off x="1534795" y="1846581"/>
                                  <a:ext cx="279400" cy="0"/>
                                </a:xfrm>
                                <a:prstGeom prst="straightConnector1">
                                  <a:avLst/>
                                </a:prstGeom>
                                <a:ln w="9525" cap="flat" cmpd="sng">
                                  <a:solidFill>
                                    <a:srgbClr val="000000"/>
                                  </a:solidFill>
                                  <a:prstDash val="dash"/>
                                  <a:headEnd type="none" w="med" len="med"/>
                                  <a:tailEnd type="arrow" w="med" len="med"/>
                                </a:ln>
                              </wps:spPr>
                              <wps:bodyPr/>
                            </wps:wsp>
                            <wps:wsp>
                              <wps:cNvPr id="143" name="自选图形 131"/>
                              <wps:cNvCnPr/>
                              <wps:spPr>
                                <a:xfrm>
                                  <a:off x="2501900" y="3269615"/>
                                  <a:ext cx="279400" cy="0"/>
                                </a:xfrm>
                                <a:prstGeom prst="straightConnector1">
                                  <a:avLst/>
                                </a:prstGeom>
                                <a:ln w="9525" cap="flat" cmpd="sng">
                                  <a:solidFill>
                                    <a:srgbClr val="000000"/>
                                  </a:solidFill>
                                  <a:prstDash val="dash"/>
                                  <a:headEnd type="none" w="med" len="med"/>
                                  <a:tailEnd type="arrow" w="med" len="med"/>
                                </a:ln>
                              </wps:spPr>
                              <wps:bodyPr/>
                            </wps:wsp>
                            <wps:wsp>
                              <wps:cNvPr id="144" name="自选图形 139"/>
                              <wps:cNvCnPr/>
                              <wps:spPr>
                                <a:xfrm rot="10800000">
                                  <a:off x="2112010" y="3401060"/>
                                  <a:ext cx="803275" cy="154305"/>
                                </a:xfrm>
                                <a:prstGeom prst="bentConnector2">
                                  <a:avLst/>
                                </a:prstGeom>
                                <a:ln w="9525" cap="flat" cmpd="sng">
                                  <a:solidFill>
                                    <a:srgbClr val="000000"/>
                                  </a:solidFill>
                                  <a:prstDash val="dash"/>
                                  <a:miter/>
                                  <a:headEnd type="none" w="med" len="med"/>
                                  <a:tailEnd type="arrow" w="med" len="med"/>
                                </a:ln>
                              </wps:spPr>
                              <wps:bodyPr/>
                            </wps:wsp>
                            <wps:wsp>
                              <wps:cNvPr id="145" name="直线 141"/>
                              <wps:cNvCnPr/>
                              <wps:spPr>
                                <a:xfrm>
                                  <a:off x="4029075" y="577215"/>
                                  <a:ext cx="635" cy="219710"/>
                                </a:xfrm>
                                <a:prstGeom prst="line">
                                  <a:avLst/>
                                </a:prstGeom>
                                <a:ln w="9525" cap="flat" cmpd="sng">
                                  <a:solidFill>
                                    <a:srgbClr val="000000"/>
                                  </a:solidFill>
                                  <a:prstDash val="dash"/>
                                  <a:headEnd type="none" w="med" len="med"/>
                                  <a:tailEnd type="arrow" w="med" len="med"/>
                                </a:ln>
                              </wps:spPr>
                              <wps:bodyPr upright="1"/>
                            </wps:wsp>
                            <wps:wsp>
                              <wps:cNvPr id="146" name="自选图形 142"/>
                              <wps:cNvCnPr/>
                              <wps:spPr>
                                <a:xfrm flipH="1" flipV="1">
                                  <a:off x="1130935" y="535305"/>
                                  <a:ext cx="3810" cy="251460"/>
                                </a:xfrm>
                                <a:prstGeom prst="straightConnector1">
                                  <a:avLst/>
                                </a:prstGeom>
                                <a:ln w="9525" cap="flat" cmpd="sng">
                                  <a:solidFill>
                                    <a:srgbClr val="000000"/>
                                  </a:solidFill>
                                  <a:prstDash val="dash"/>
                                  <a:headEnd type="none" w="med" len="med"/>
                                  <a:tailEnd type="arrow" w="med" len="med"/>
                                </a:ln>
                              </wps:spPr>
                              <wps:bodyPr/>
                            </wps:wsp>
                            <wps:wsp>
                              <wps:cNvPr id="147" name="直线 143"/>
                              <wps:cNvCnPr/>
                              <wps:spPr>
                                <a:xfrm flipH="1">
                                  <a:off x="2148205" y="641350"/>
                                  <a:ext cx="3810" cy="140970"/>
                                </a:xfrm>
                                <a:prstGeom prst="line">
                                  <a:avLst/>
                                </a:prstGeom>
                                <a:ln w="9525" cap="flat" cmpd="sng">
                                  <a:solidFill>
                                    <a:srgbClr val="000000"/>
                                  </a:solidFill>
                                  <a:prstDash val="dash"/>
                                  <a:headEnd type="none" w="med" len="med"/>
                                  <a:tailEnd type="arrow" w="med" len="med"/>
                                </a:ln>
                              </wps:spPr>
                              <wps:bodyPr upright="1"/>
                            </wps:wsp>
                            <wps:wsp>
                              <wps:cNvPr id="148" name="自选图形 145"/>
                              <wps:cNvCnPr/>
                              <wps:spPr>
                                <a:xfrm>
                                  <a:off x="3127375" y="1136016"/>
                                  <a:ext cx="3175" cy="135255"/>
                                </a:xfrm>
                                <a:prstGeom prst="straightConnector1">
                                  <a:avLst/>
                                </a:prstGeom>
                                <a:ln w="9525" cap="flat" cmpd="sng">
                                  <a:solidFill>
                                    <a:srgbClr val="000000"/>
                                  </a:solidFill>
                                  <a:prstDash val="solid"/>
                                  <a:headEnd type="none" w="med" len="sm"/>
                                  <a:tailEnd type="arrow" w="med" len="med"/>
                                </a:ln>
                              </wps:spPr>
                              <wps:bodyPr/>
                            </wps:wsp>
                            <wps:wsp>
                              <wps:cNvPr id="149" name="自选图形 148"/>
                              <wps:cNvCnPr/>
                              <wps:spPr>
                                <a:xfrm>
                                  <a:off x="2152650" y="1027431"/>
                                  <a:ext cx="1905" cy="106045"/>
                                </a:xfrm>
                                <a:prstGeom prst="straightConnector1">
                                  <a:avLst/>
                                </a:prstGeom>
                                <a:ln w="9525" cap="flat" cmpd="sng">
                                  <a:solidFill>
                                    <a:srgbClr val="000000"/>
                                  </a:solidFill>
                                  <a:prstDash val="solid"/>
                                  <a:headEnd type="none" w="med" len="med"/>
                                  <a:tailEnd type="none" w="med" len="med"/>
                                </a:ln>
                              </wps:spPr>
                              <wps:bodyPr/>
                            </wps:wsp>
                            <wps:wsp>
                              <wps:cNvPr id="150" name="自选图形 149"/>
                              <wps:cNvCnPr/>
                              <wps:spPr>
                                <a:xfrm>
                                  <a:off x="4018915" y="1027431"/>
                                  <a:ext cx="0" cy="95885"/>
                                </a:xfrm>
                                <a:prstGeom prst="straightConnector1">
                                  <a:avLst/>
                                </a:prstGeom>
                                <a:ln w="9525" cap="flat" cmpd="sng">
                                  <a:solidFill>
                                    <a:srgbClr val="000000"/>
                                  </a:solidFill>
                                  <a:prstDash val="solid"/>
                                  <a:headEnd type="none" w="med" len="sm"/>
                                  <a:tailEnd type="none" w="med" len="med"/>
                                </a:ln>
                              </wps:spPr>
                              <wps:bodyPr/>
                            </wps:wsp>
                            <wps:wsp>
                              <wps:cNvPr id="151" name="自选图形 150"/>
                              <wps:cNvCnPr/>
                              <wps:spPr>
                                <a:xfrm>
                                  <a:off x="2148840" y="1127126"/>
                                  <a:ext cx="1878330" cy="0"/>
                                </a:xfrm>
                                <a:prstGeom prst="straightConnector1">
                                  <a:avLst/>
                                </a:prstGeom>
                                <a:ln w="9525" cap="flat" cmpd="sng">
                                  <a:solidFill>
                                    <a:srgbClr val="000000"/>
                                  </a:solidFill>
                                  <a:prstDash val="solid"/>
                                  <a:headEnd type="none" w="med" len="med"/>
                                  <a:tailEnd type="none" w="med" len="med"/>
                                </a:ln>
                              </wps:spPr>
                              <wps:bodyPr/>
                            </wps:wsp>
                            <wps:wsp>
                              <wps:cNvPr id="152" name="直线 154"/>
                              <wps:cNvCnPr/>
                              <wps:spPr>
                                <a:xfrm flipH="1">
                                  <a:off x="2158365" y="222250"/>
                                  <a:ext cx="0" cy="139700"/>
                                </a:xfrm>
                                <a:prstGeom prst="line">
                                  <a:avLst/>
                                </a:prstGeom>
                                <a:ln w="9525" cap="flat" cmpd="sng">
                                  <a:solidFill>
                                    <a:srgbClr val="000000"/>
                                  </a:solidFill>
                                  <a:prstDash val="dash"/>
                                  <a:headEnd type="none" w="med" len="med"/>
                                  <a:tailEnd type="arrow" w="med" len="med"/>
                                </a:ln>
                              </wps:spPr>
                              <wps:bodyPr upright="1"/>
                            </wps:wsp>
                            <wps:wsp>
                              <wps:cNvPr id="153" name="自选图形 156"/>
                              <wps:cNvCnPr/>
                              <wps:spPr>
                                <a:xfrm>
                                  <a:off x="1529715" y="919481"/>
                                  <a:ext cx="279400" cy="0"/>
                                </a:xfrm>
                                <a:prstGeom prst="straightConnector1">
                                  <a:avLst/>
                                </a:prstGeom>
                                <a:ln w="9525" cap="flat" cmpd="sng">
                                  <a:solidFill>
                                    <a:srgbClr val="000000"/>
                                  </a:solidFill>
                                  <a:prstDash val="dash"/>
                                  <a:headEnd type="none" w="med" len="med"/>
                                  <a:tailEnd type="arrow" w="med" len="med"/>
                                </a:ln>
                              </wps:spPr>
                              <wps:bodyPr/>
                            </wps:wsp>
                            <wps:wsp>
                              <wps:cNvPr id="154" name="矩形 158"/>
                              <wps:cNvSpPr/>
                              <wps:spPr>
                                <a:xfrm>
                                  <a:off x="1824990" y="2193291"/>
                                  <a:ext cx="673100" cy="241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BD3C1">
                                    <w:pPr>
                                      <w:spacing w:line="240" w:lineRule="auto"/>
                                      <w:jc w:val="center"/>
                                      <w:rPr>
                                        <w:rFonts w:hint="default" w:eastAsia="宋体"/>
                                        <w:sz w:val="18"/>
                                        <w:szCs w:val="18"/>
                                        <w:lang w:val="en-US" w:eastAsia="zh-CN"/>
                                      </w:rPr>
                                    </w:pPr>
                                    <w:r>
                                      <w:rPr>
                                        <w:rFonts w:hint="eastAsia" w:eastAsia="宋体"/>
                                        <w:sz w:val="18"/>
                                        <w:szCs w:val="18"/>
                                        <w:lang w:val="en-US" w:eastAsia="zh-CN"/>
                                      </w:rPr>
                                      <w:t>胎基烘干</w:t>
                                    </w:r>
                                  </w:p>
                                </w:txbxContent>
                              </wps:txbx>
                              <wps:bodyPr vert="horz" wrap="square" anchor="t" anchorCtr="0" upright="1"/>
                            </wps:wsp>
                            <wps:wsp>
                              <wps:cNvPr id="155" name="自选图形 160"/>
                              <wps:cNvCnPr/>
                              <wps:spPr>
                                <a:xfrm flipV="1">
                                  <a:off x="661670" y="2313941"/>
                                  <a:ext cx="220345" cy="1905"/>
                                </a:xfrm>
                                <a:prstGeom prst="straightConnector1">
                                  <a:avLst/>
                                </a:prstGeom>
                                <a:ln w="9525" cap="flat" cmpd="sng">
                                  <a:solidFill>
                                    <a:srgbClr val="000000"/>
                                  </a:solidFill>
                                  <a:prstDash val="dash"/>
                                  <a:headEnd type="none" w="med" len="med"/>
                                  <a:tailEnd type="arrow" w="med" len="med"/>
                                </a:ln>
                              </wps:spPr>
                              <wps:bodyPr/>
                            </wps:wsp>
                            <wps:wsp>
                              <wps:cNvPr id="156" name="自选图形 161"/>
                              <wps:cNvCnPr/>
                              <wps:spPr>
                                <a:xfrm>
                                  <a:off x="1557655" y="2313941"/>
                                  <a:ext cx="279400" cy="0"/>
                                </a:xfrm>
                                <a:prstGeom prst="straightConnector1">
                                  <a:avLst/>
                                </a:prstGeom>
                                <a:ln w="9525" cap="flat" cmpd="sng">
                                  <a:solidFill>
                                    <a:srgbClr val="000000"/>
                                  </a:solidFill>
                                  <a:prstDash val="dash"/>
                                  <a:headEnd type="none" w="med" len="med"/>
                                  <a:tailEnd type="arrow" w="med" len="med"/>
                                </a:ln>
                              </wps:spPr>
                              <wps:bodyPr/>
                            </wps:wsp>
                            <wps:wsp>
                              <wps:cNvPr id="157" name="文本框 165"/>
                              <wps:cNvSpPr txBox="1"/>
                              <wps:spPr>
                                <a:xfrm>
                                  <a:off x="3740150" y="4013202"/>
                                  <a:ext cx="389255" cy="228600"/>
                                </a:xfrm>
                                <a:prstGeom prst="rect">
                                  <a:avLst/>
                                </a:prstGeom>
                                <a:solidFill>
                                  <a:srgbClr val="FFFFFF"/>
                                </a:solidFill>
                                <a:ln>
                                  <a:noFill/>
                                </a:ln>
                              </wps:spPr>
                              <wps:txbx>
                                <w:txbxContent>
                                  <w:p w14:paraId="0E4E887D">
                                    <w:pPr>
                                      <w:rPr>
                                        <w:rFonts w:hint="default" w:eastAsia="宋体"/>
                                        <w:sz w:val="15"/>
                                        <w:szCs w:val="15"/>
                                        <w:lang w:val="en-US" w:eastAsia="zh-CN"/>
                                      </w:rPr>
                                    </w:pPr>
                                  </w:p>
                                </w:txbxContent>
                              </wps:txbx>
                              <wps:bodyPr vert="horz" wrap="square" anchor="t" anchorCtr="0" upright="1"/>
                            </wps:wsp>
                            <wps:wsp>
                              <wps:cNvPr id="158" name="自选图形 176"/>
                              <wps:cNvCnPr/>
                              <wps:spPr>
                                <a:xfrm flipV="1">
                                  <a:off x="1157605" y="1391921"/>
                                  <a:ext cx="1586230" cy="635"/>
                                </a:xfrm>
                                <a:prstGeom prst="straightConnector1">
                                  <a:avLst/>
                                </a:prstGeom>
                                <a:ln w="9525" cap="flat" cmpd="sng">
                                  <a:solidFill>
                                    <a:srgbClr val="000000"/>
                                  </a:solidFill>
                                  <a:prstDash val="dash"/>
                                  <a:headEnd type="none" w="med" len="med"/>
                                  <a:tailEnd type="arrow" w="med" len="med"/>
                                </a:ln>
                              </wps:spPr>
                              <wps:bodyPr/>
                            </wps:wsp>
                            <wps:wsp>
                              <wps:cNvPr id="159" name="自选图形 177"/>
                              <wps:cNvCnPr/>
                              <wps:spPr>
                                <a:xfrm>
                                  <a:off x="1160145" y="1032511"/>
                                  <a:ext cx="635" cy="353060"/>
                                </a:xfrm>
                                <a:prstGeom prst="straightConnector1">
                                  <a:avLst/>
                                </a:prstGeom>
                                <a:ln w="9525" cap="flat" cmpd="sng">
                                  <a:solidFill>
                                    <a:srgbClr val="000000"/>
                                  </a:solidFill>
                                  <a:prstDash val="dash"/>
                                  <a:headEnd type="none" w="med" len="med"/>
                                  <a:tailEnd type="none" w="med" len="med"/>
                                </a:ln>
                              </wps:spPr>
                              <wps:bodyPr/>
                            </wps:wsp>
                            <wps:wsp>
                              <wps:cNvPr id="160" name="文本框 178"/>
                              <wps:cNvSpPr txBox="1"/>
                              <wps:spPr>
                                <a:xfrm>
                                  <a:off x="1633220" y="1157606"/>
                                  <a:ext cx="483235" cy="222885"/>
                                </a:xfrm>
                                <a:prstGeom prst="rect">
                                  <a:avLst/>
                                </a:prstGeom>
                                <a:solidFill>
                                  <a:srgbClr val="FFFFFF"/>
                                </a:solidFill>
                                <a:ln>
                                  <a:noFill/>
                                </a:ln>
                              </wps:spPr>
                              <wps:txbx>
                                <w:txbxContent>
                                  <w:p w14:paraId="69C96ED8">
                                    <w:pPr>
                                      <w:rPr>
                                        <w:rFonts w:hint="default" w:eastAsia="宋体"/>
                                        <w:sz w:val="15"/>
                                        <w:szCs w:val="15"/>
                                        <w:lang w:val="en-US" w:eastAsia="zh-CN"/>
                                      </w:rPr>
                                    </w:pPr>
                                    <w:r>
                                      <w:rPr>
                                        <w:rFonts w:hint="eastAsia" w:eastAsia="宋体"/>
                                        <w:sz w:val="15"/>
                                        <w:szCs w:val="15"/>
                                        <w:lang w:val="en-US" w:eastAsia="zh-CN"/>
                                      </w:rPr>
                                      <w:t>导热油</w:t>
                                    </w:r>
                                  </w:p>
                                </w:txbxContent>
                              </wps:txbx>
                              <wps:bodyPr vert="horz" wrap="square" anchor="t" anchorCtr="0" upright="1"/>
                            </wps:wsp>
                            <wps:wsp>
                              <wps:cNvPr id="161" name="文本框 200"/>
                              <wps:cNvSpPr txBox="1"/>
                              <wps:spPr>
                                <a:xfrm>
                                  <a:off x="4617085" y="800101"/>
                                  <a:ext cx="508000" cy="228600"/>
                                </a:xfrm>
                                <a:prstGeom prst="rect">
                                  <a:avLst/>
                                </a:prstGeom>
                                <a:solidFill>
                                  <a:srgbClr val="FFFFFF"/>
                                </a:solidFill>
                                <a:ln>
                                  <a:noFill/>
                                </a:ln>
                              </wps:spPr>
                              <wps:txbx>
                                <w:txbxContent>
                                  <w:p w14:paraId="23EF9A54">
                                    <w:pPr>
                                      <w:rPr>
                                        <w:rFonts w:hint="default" w:eastAsia="宋体"/>
                                        <w:sz w:val="15"/>
                                        <w:szCs w:val="15"/>
                                        <w:lang w:val="en-US" w:eastAsia="zh-CN"/>
                                      </w:rPr>
                                    </w:pPr>
                                    <w:r>
                                      <w:rPr>
                                        <w:rFonts w:hint="eastAsia" w:eastAsia="宋体"/>
                                        <w:sz w:val="15"/>
                                        <w:szCs w:val="15"/>
                                        <w:lang w:val="en-US" w:eastAsia="zh-CN"/>
                                      </w:rPr>
                                      <w:t>S1</w:t>
                                    </w:r>
                                  </w:p>
                                </w:txbxContent>
                              </wps:txbx>
                              <wps:bodyPr vert="horz" wrap="square" anchor="t" anchorCtr="0" upright="1"/>
                            </wps:wsp>
                            <wps:wsp>
                              <wps:cNvPr id="162" name="自选图形 201"/>
                              <wps:cNvCnPr/>
                              <wps:spPr>
                                <a:xfrm>
                                  <a:off x="4375785" y="914401"/>
                                  <a:ext cx="279400" cy="0"/>
                                </a:xfrm>
                                <a:prstGeom prst="straightConnector1">
                                  <a:avLst/>
                                </a:prstGeom>
                                <a:ln w="9525" cap="flat" cmpd="sng">
                                  <a:solidFill>
                                    <a:srgbClr val="000000"/>
                                  </a:solidFill>
                                  <a:prstDash val="dash"/>
                                  <a:headEnd type="none" w="med" len="med"/>
                                  <a:tailEnd type="arrow" w="med" len="med"/>
                                </a:ln>
                              </wps:spPr>
                              <wps:bodyPr/>
                            </wps:wsp>
                          </wpc:wpc>
                        </a:graphicData>
                      </a:graphic>
                    </wp:inline>
                  </w:drawing>
                </mc:Choice>
                <mc:Fallback>
                  <w:pict>
                    <v:group id="画布 61" o:spid="_x0000_s1026" o:spt="203" style="height:340.35pt;width:405pt;" coordsize="5143500,4322445" editas="canvas" o:gfxdata="UEsDBAoAAAAAAIdO4kAAAAAAAAAAAAAAAAAEAAAAZHJzL1BLAwQUAAAACACHTuJAoKexT9YAAAAF&#10;AQAADwAAAGRycy9kb3ducmV2LnhtbE2PQUvDQBCF7wX/wzKCl2J346GGmE0PBWkpQjHVnrfZMQlm&#10;Z9PsNqn/3tGLXh483vDeN/nq6jox4hBaTxqShQKBVHnbUq3h7fB8n4II0ZA1nSfU8IUBVsXNLDeZ&#10;9RO94ljGWnAJhcxoaGLsMylD1aAzYeF7JM4+/OBMZDvU0g5m4nLXyQelltKZlnihMT2uG6w+y4vT&#10;MFX78Xh42cj9/Lj1dN6e1+X7Tuu720Q9gYh4jX/H8IPP6FAw08lfyAbRaeBH4q9yliaK7UnDMlWP&#10;IItc/qcvvgFQSwMEFAAAAAgAh07iQIXzG4PeCwAAu4MAAA4AAABkcnMvZTJvRG9jLnhtbO1dTY/j&#10;SBm+I/EfrNyZdn25ytH0rMTMznBAsNICd0/iTiIlcbA90z2ckJBYcUdcFgnBDcSRAwIBv2Zm4F/w&#10;VJXj2NV2x+nd7nSmq7WadacdJ673qffjeT/89LOr1TJ4m+bFIlufj8iTcBSk60k2Xaxn56Of/uTl&#10;99QoKMpkPU2W2To9H71Li9Fnz777naeXm3FKs3m2nKZ5gIusi/Hl5nw0L8vN+OysmMzTVVI8yTbp&#10;Gn+8yPJVUuLXfHY2zZNLXH21PKNhGJ1dZvl0k2eTtCjw6gv7x1F1xXzIBbOLi8UkfZFN3qzSdWmv&#10;mqfLpMQtFfPFphg9M9/24iKdlD++uCjSMliej3CnpfkXH4Lj1/rfs2dPk/EsTzbzxaT6CsmQr+Dc&#10;0ypZrPGh9aVeJGUSvMkX1y61WkzyrMguyieTbHVmb8SsCO6ChM7avMqzNxtzL7Px5WxTLzoE5az6&#10;rS87+dHbL/JgMQUSQjEK1skKIv/423++//uvgojo5bnczMY461W++XLzRV69MLO/6Tu+ushX+v+4&#10;l+DKLOy7emHTqzKY4EVBOBMh1nyCv3FGKefCLv1kDvlce99k/vmed55tP/hMf7/661xuAMpit1LF&#10;N1upL+fJJjUCKPQaVCtFab1Qf/jz+3/9KYioXShzUr1KxbjAgnUsEVGE0hirgcVgUcTiai22qxXJ&#10;KCbVYlGsFgSDZa/vOBlv8qJ8lWarQB+cj3Kg3IAvefvDorSnbk/RH19ky8X05WK5NL/ks9fPl3nw&#10;NsGOeGl+qqu3Tluug8vzUSwoQDFJsM0vsL1wuNoAKsV6Zj6v9Y6ieeHQ/HRdWH+xF0kxt1/AXEGf&#10;loxXizLNzdE8Taafr6dB+W4DMK6hhUb6y6zS6ShYplBa+sicWSaL5ZAzsXbLNZZQw8MKRR+VV6+v&#10;cBl9+DqbvoN0oRaxnvMs/wU+EUoBt/rzN0mOz0/WE7x8PsIa2MPnpdUibzb5YjbHu8xmMZ8AANqr&#10;3j0SmYtEqRdG3xHguh+JVMYckjJIpBHnhBskJ+MdFBnZ7luKU5nRmB6KHoo1yrZKkTtQlAYqB0BR&#10;skhVSpFQEkLzmD3uoei1onYZuxykbvvMrtnn6CCtCPscGa0H+yxVRJhR7X1KkTAoSCDVK0WvFF2l&#10;yFz7LNlBSGzZZ6KimN8IRW+fvau4nnUrRRJGroGuwruBvqJSjCpEA1CKlCgRyRuh6LWih2I/FKUL&#10;xcMMNJWSM2KxyCJCBY69r+gjaM0K9pJpfWoRdGfFelkyRx4aQnOmmMUioVL/18ailIwjbDbUF+Ve&#10;L3q92K8XYxeL6kB3sYFFSWPpuovQm2EErGoa1tM5nlnUCZgevagJ6LZeNDZ2MJ+jKBMgtrW7KGPw&#10;OY5WjGSTWPRa0WvFfiSSLRI//O6rD7//64c//jpQbuwSlFffz5Bpql/vyb1QwijT5lhrQMQwdSJq&#10;SzNyKrjYmuuQxMdhvHVCZJ3pnI1llj7J7AUhNVHXkKybSxsqWSZkhFyZkSwTkbL88461i0UElbO1&#10;fRDsUbJqj0SwNe/VEKxLfQ0VLGGRSUMa4iFmOnPaCvYg6zjaChYURRzrv983HftIBFtneRqC5Y6T&#10;OlSwNOQixja1eXDQ7NC7LcnKUHBNORl3laroOET7I5Es1tn6ew3Jui7fUMkShB60Imi4kNDKLbly&#10;ImJTWKC3NEqCsHv9jt3cSa0KITXt25CrS7cNlmsYK2GdekWIcBNjAt6VpkJseHksp/6R7FeXQ1UH&#10;8lYRVdsaJB5zbouMdu4SEvDcnKCFKSMu2FHMqq9CevhVSIS4HKo6jLciMkZyqXIECOhSaxB2YPRs&#10;ga+Ic4tj+3grl0NVRm8N5q1QhEQRcFjiyhd/VIWWvjjzFqklrdFclzp2rfRQ14sqHquqPo6HUjti&#10;badaSB7JrfPlg6WqP+FunGraQUla2qGhZ4ZKlkkhNc2ow2BCY8RGTriElyIdJvsw+M4LqgntYK5I&#10;WLPKVVX1cNHSSFVxMCUxF7alYufYiFCZ+msv2nsQbQd3hShHa9Fb7VoClWz9BBoJFqLqtEVyeNHe&#10;WxsEKoCuW1oS3paXlILonhtDS1JZsVO7PStD2FlvaNFjcg97tmav/vvVX/73y9+8//rfuuFK96rt&#10;tu3zddWXtm3u2faG1U1pglNDOMLCorNKxE4ymiqItDKwKODZw0YWZZ7olp/n2XqNzqssJzc1X91T&#10;I9UULVVW/9y2eyrJ8+yyu9Gqu33K9kxp4larT2DB6tF7AEVNfTmgaLIO+0GBskHFdUZQs9ASuYbQ&#10;+Oa7jW6rr63f5TExbTffPTRM1BSUg4lm9L8fE4xHcVjpfmAC9XqOVfeYOCE9UVNBbUxgzx9iPIAJ&#10;QapSJspCpJtN+sTriV3n7elgAimripNxMNGMAwboCZSca5baxOw8VChHb3v/Xk+cECbqMiQHE82K&#10;lf2YoFwypiMRzeMoLpXwmBi3O/RPCBM1D+Rg4rDAgyEJLnQ5ocYEwkrhdgdEdb6cSHKSkUdjhMOn&#10;H3qwmkNyYDHAzQwulovND3SJqq5QqMalMMLVth4VNYlccce58ADBDJAT0hs1E9UGiC2BqnjG/bak&#10;qTcop1EsnTikYiuo1xpdk2EeWHDKelgspJEOCkQaxoQqcBceFFCkJ+th9LBYmC51GChCts0LMxQv&#10;6Bww3r+LTr2mOCXz0UNjIS15GChgNKq5TkwJpa6NGKvdTi6I5UP6C+YfJOH9uNzOmsnaFfEiUdHA&#10;hJ71NTQrjcyYlNugRDIZu+hAdTb3Ga4qq1FPXbybUhIO/dzqs0Ra2ZFrtfN7Otqa04rgEYB4cGgH&#10;XzzpiycHFk+iX7yTHaUDwttGUEtFGMVVrRoY85jHTlDr2dHTiWgxErITE7YxdnBEC76cyyqLAnY0&#10;EraFd+enekycECZ62FGbBRmMCegJgnSrYUcZSI7InePjMXFCmOihRm3f0M2YCPJMT9A1xZDAQ9OU&#10;oEkcg7EtRDiO3NYQFTK6LXsmApN2TPjbH8y8xsTwunKHPqjKnW9eZH9CaKl50o9f/+3jP/4TEDur&#10;5macNIDBQzSCa8EjsyJQqeGqjgZvHst9Ee5ygfkb+uI9E7Q/9SKu4KhTrAlyHp0uhp1GfTMkdlkV&#10;c/QzJ79CwJnqUQ8GJgxlug47xpRWLqb8GkPq9zUiP0gm5DGV/vGaNK3VxgBmbIeRhgKhyLxty3wj&#10;zGVzhw/skEF4qMcUIAzvNytegxxzDj5E2aNBDk3XU/BhVltAc0QhuudbZDojta/BMJRkj6/xINXF&#10;IcRpsbK3f6o5Fl7zpu1sLOByCJ0O5wItHtYJRceIHj7ahgWiGIBGWxHtoNpnm/TripOHxbf0/I2j&#10;FZBrUVrO1YHFYTQXwhGF3jzjW3TCovIsYiRgHqem6J+wiN3RMdPseIjoIT6tU3CzB+r4FEoz+loT&#10;mGmwjv0gStpyH60r9rgUXk3YhpLjgaJmPrfOpmi2lPVU8fQ4m0JtpwpQ/LjOZqUpCIOjuQcW3tM8&#10;qqcpeqhPYXb6YE0BjwK0hLUdMTqDPRt+upU80AqVO/HRjhAnoulf7n8MF1GUx9UwJrSJY8Sh41/6&#10;FK5P4Q5M4eq6jS7f1lJbN+unTgYtiohpjoXDQlGWeu0RNJSGTPfBm+hHx0E38iQP0ql5TAwa7FQ3&#10;Pg6rRSUC43Y11nphYR4t6JtnO59c+dCin5pVbZSXYQbWjiM5pLyM4SEDepSrhgaOMNjNqV1nCs34&#10;lcagflLRnU4qgifSud3lAHe10xxg7KeMNNsF6cIakNgWse/qOOD8RCj6sTtfZ+G8PWg9tfah7f0e&#10;irT1GJyeULfBfGDObEiqcTgEKXlUFbcp0jofq5NwjzTPdjJ0GORTaY2GQZBuUDO43jhCX2w13tOq&#10;D4cVQwscnhZiNQbIkb1s6d088Fqj+dN/5gImkF0TrW4VuJ2t5xGaVqunAmKSWTUpbWcM/BCs+xuL&#10;g6fQd5l6lE81hLtfk3M9j7ASaYzno9i370Tqa/K+jSorzEyajS9nmJkEf2CGR83PF5MXSZk0fzeT&#10;lcYpzebZcprmz/4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TQ4AAFtDb250ZW50X1R5cGVzXS54bWxQSwECFAAKAAAAAACHTuJAAAAAAAAAAAAA&#10;AAAABgAAAAAAAAAAABAAAAAvDQAAX3JlbHMvUEsBAhQAFAAAAAgAh07iQIoUZjzRAAAAlAEAAAsA&#10;AAAAAAAAAQAgAAAAUw0AAF9yZWxzLy5yZWxzUEsBAhQACgAAAAAAh07iQAAAAAAAAAAAAAAAAAQA&#10;AAAAAAAAAAAQAAAAAAAAAGRycy9QSwECFAAUAAAACACHTuJAoKexT9YAAAAFAQAADwAAAAAAAAAB&#10;ACAAAAAiAAAAZHJzL2Rvd25yZXYueG1sUEsBAhQAFAAAAAgAh07iQIXzG4PeCwAAu4MAAA4AAAAA&#10;AAAAAQAgAAAAJQEAAGRycy9lMm9Eb2MueG1sUEsFBgAAAAAGAAYAWQEAAHUPAAAAAA==&#10;">
                      <o:lock v:ext="edit" aspectratio="f"/>
                      <v:shape id="画布 61" o:spid="_x0000_s1026" style="position:absolute;left:0;top:0;height:4322445;width:5143500;" filled="f" stroked="f" coordsize="21600,21600" o:gfxdata="UEsDBAoAAAAAAIdO4kAAAAAAAAAAAAAAAAAEAAAAZHJzL1BLAwQUAAAACACHTuJAoKexT9YAAAAF&#10;AQAADwAAAGRycy9kb3ducmV2LnhtbE2PQUvDQBCF7wX/wzKCl2J346GGmE0PBWkpQjHVnrfZMQlm&#10;Z9PsNqn/3tGLXh483vDeN/nq6jox4hBaTxqShQKBVHnbUq3h7fB8n4II0ZA1nSfU8IUBVsXNLDeZ&#10;9RO94ljGWnAJhcxoaGLsMylD1aAzYeF7JM4+/OBMZDvU0g5m4nLXyQelltKZlnihMT2uG6w+y4vT&#10;MFX78Xh42cj9/Lj1dN6e1+X7Tuu720Q9gYh4jX/H8IPP6FAw08lfyAbRaeBH4q9yliaK7UnDMlWP&#10;IItc/qcvvgFQSwMEFAAAAAgAh07iQCAwLa2gCwAANYMAAA4AAABkcnMvZTJvRG9jLnhtbO1dy47j&#10;WhWdI/EPVuZ0+TzsY0ddfSW6aRgguNIF5q7EqURK7GC7u6oZMeKKH2BykRDMQAwZIQFfc7vhL1j7&#10;HMePU3HF6dv1SNcpdVe54pRje6+zH2s//PyL683ae5sW5SrPzifsmT/x0myWz1fZ5fnkl794/YNo&#10;4pVVks2TdZ6l55N3aTn54sX3v/f8ajtNeb7M1/O08HCQrJxebc8ny6raTs/Oytky3STls3ybZti5&#10;yItNUuHX4vJsXiRXOPpmfcZ9Pzy7yov5tshnaVni1Vdm56Q+YjHmgPlisZqlr/LZm02aVeaoRbpO&#10;KlxSuVxty8kLfbaLRTqrfr5YlGnlrc8nuNJKf8eHYPuCvp+9eJ5ML4tku1zN6lNIxpyCdU2bZJXh&#10;Q5tDvUqqxHtTrG4carOaFXmZL6pns3xzZi5E3xFcBfOte/Myyd4m5mJmuNe7E8TWJzzuxSWdd5a/&#10;Xq3XuBtnOPqUXqOfV5B2SrvXWf9N5hX93vo9V1vAodw2wCi/2yl+tUy2qRZjOZ397O2Xhbean084&#10;n3hZsgEqP/zpr9/+6y9eyEmC9Nl401fbL4v6txKbdMbXi2JDP3GjvWugPWKcx5D9u/OJCEMRBwYA&#10;6XXlzbA/VGHMsHuG/VwK7uv9Z+1xtkVZ/TjNNx5tnE8K4EuLPXn707Kiu5dMd2+hjy3z9WpON1b/&#10;UlxevFwX3tsEWHytv+jT8Se9t60z7+p8Egc8wHkkWGALABubmy1uQJld6s/r/UXZPbCvv/YdmE7s&#10;VVIuzQnoI5ir36yqtMCZJNNlmsx/lM296t0W9zjD+p/QyWzS+cRbp1AXtKXfWSWr9Zh34uoIO0BK&#10;OTVCoa3q+uIah6HNi3z+DtKFQsL9XObFb/CJWI641F+/SQp8fpLN8PL5BPfAbL6szPp9sy1Wl0v8&#10;FdNXSwcDAM1R7x6JwkaiorOgkxiFRK5iCUlpJPJQSiY1kpNpC0XBaL+Bou8LrascFB0UG5TtlKK0&#10;oKg0VI6AohJhVCtFxpkPzaPXuINioe+D04o3XZP99lncsM/hUVoR9jnUWg/2V0UhE1q1DylFJqAg&#10;ISGnFJ1StJWisO2zEkchsWefWRTG8lYoOvvsXMXscr9SZH5oG2iNpdEGOooEjxANUFDCoiBUt0LR&#10;aUUHxWEoKhuKxxlorpQUzGBRhIwH2Ha+4tRF0ODjBmmsIbUIorFH5qhjQ2gpImGwyLiif30sKiUk&#10;wuY6hHZ60enFYb0Y21iMjnQXO1hUPFa2uwi96YfAqqNzHLO4S30M6EUioPt6UdvY8e4iFwGIbXIX&#10;VQw+x9KKoeoSi04rOq04qBUBnRqJ7//w9fs//v39n3/nRXbs4lXXP8wpt7JTmAO5F84EF2SOKYxB&#10;DCOl5TpKHshgZ659Fj8M401pkDYZ9plmLxhriLqOZO1c2ljJikCFyJVpyYogjAz/3LJ2cRBC5exs&#10;HwSrBX/frN0TEWzDe3UEa1NfYwXLRKjTkJp4iAVlTnvBHmQdhzvBgqKIY9rvBGvXRByV9B/yCpos&#10;T0ewcqdz65zjWMFyXwYxlqnJg4Nmh97tSVb5gSTKSburPAofhmh/IksW99n4ex3J2i7fWMkyhB68&#10;JmhkoKCVe3KVLIh1YQEtaRTjYPW6Fbu9k1oVxhratyNXm24bLVc/jgLj1EeMBXZiLIB3RVSICS8f&#10;yql/IuvV5lCjI3mrkEe7GiQZS2mKjFp3CQl4qd9AwlShDMSDmFVXhfT4q5AYsznU6DjeiqkYyaXa&#10;EWCgS41BaMHo2AJXEWeXpQ55qDaHGmm9NZq3QhESR8BhiCtX/FEXWrrU0keklkij2S51bFvpsa4X&#10;j2Qc1fVx0lfkiPWd6kDJUO2cLxcs1Z0Bd+NU8z2UpKEdOnpmrGSFChTRjBQGMx4jNrLCJbwUUpjs&#10;wuA7L6hmfA9zxfyGVT6S4RCKh1EdB3MWyyC00iCBH+n6ayfaexDtHu4KUQ5p0Y9atQwq2fgJPAyE&#10;j6rTHsnhRHtvbRCoALppaZn/sbykChj13GhakquanWqDEeXDzjpDaxpd7rbTivGGvfrv13/7329/&#10;/+03/6aGK2bYinrZvswOdVwFkmvCERYWnVVBbGlhHkGktYFFAc8BNrKsioRafl7mWYbOq7xgtzVf&#10;3VMj1RwtVUb/fGyfQFIU+dX+RivkUva0T5meKSJuSQ731/QECe1WuwWKLutwGBQoG4wkZQSJhVbI&#10;NfjaN28Xuqm+Nn6Xw8S833z32DDRUFAWJrrR/2FMCBnGfq37gQkukaLuWXWHiRPSEw0V1McE1nzr&#10;843CRMDqUiYufKSbdfrE6Ym28/Z0MIGUVc3JWJjoxgEjMIGSc2Kpdcwu/Qjl6E5P9LuxTwgTTRmS&#10;hYluxcphTHCphKBIhHicSKoocJiYniwmGh7IwkS3JOIwJgSS4AGVExImEFYGdndA2OTLmWInGXl0&#10;Rjh8/qGHaDgkCxYj3ExvsV5tf0IlqlShUM8CEUxGu3pU1CTKSFrOhQMIZoCckC1pmKg+QEwJ1GjC&#10;oqs3uORhrKw4pGYruNMa+ybDPLLgVAywWEgjHRWIdIwJj8BdOFBAkZ6shzHAYmG61HGg8MUuLyxQ&#10;vEA54B5j4TTFKZmPARoLacnjQAGjUc91ElEQRTdGjDVupwyY4UOGC+YfJeH9tNzOhslqi3iJBm8x&#10;QVPnxhYcIDOm1C4oUULFNjpQnS1dhqvOatxxhktCP/f6LJFWtuRaS3mgo607rQgeAYgHi3ZwxZOu&#10;eHJk8ST6xfeyo3xEeNsJanngh3FdqwbGPJaxFdS6LMrpRLQYCbkXE6YxdnREC75cqjqLAnY0DEwL&#10;r8uinGIWRQ6woyYLMhoT0BMM6VbNjgqQHKE9x8fpiRPSEwPUqOkbuh0TXpHTBF1dDAk8dE0JmsQx&#10;99FARGLLbg2JfMF3Zc8swKQdHf4OBzMXmNXdVO7wR1W5892L7E8ILQ1P+uGbf3z45388ZmbV3I6T&#10;DjCkj0ZwEjwyKwEqNWzV0eHNY3Uowl2vMH+DDj4wQftzL+LyHnSKNUPOY6+LYaZR3w6JNquit35l&#10;5VcYOFMa9aBhIlCma7FjIiLlosuvA5yHK/N63GVesiFNG7UxghlrMdJRIByZt12ZbyiZsIcPtMhg&#10;0qcxBQjDh82K0yAPOQcfohzQIMem6zn4MKMtoDlCH93zEHsbpAjW+BoCQ0kO+BonT5yWG3P5p5pj&#10;kQ1v2s/GAi4tdXq4igPOBVo8jBOKjhEaPtqHBaIYgIasCDmoZqTUsK44eVh8oudvPFgBOYnScK4W&#10;LI6juRCOROjN077FXljUnkWMBMzT1BTDz27B6nhMLQUo1duLCOMU3O6BWj5FRIw+aQIaBYv+lZ79&#10;YJEy5T6kKw64FE5NmMa8h1MTDfO5czaDbkvZgN0YcDaDaDdVgOPLdjZrTcEEHM0DsHCe5oN6msEA&#10;9RnolT5aU8CjAC1hbEeMzmDHhp9uJQ+0Qm086ufBsaDrX1JqvvY2B1O4XMb1MCa0iWPEoeVfuhSu&#10;S+GOTOFS3cY+39ZQW7frp70MWhgy3RwLh4WjLPXGI2g49wX1wevoh+IgYP3EYp+n1DwLO7UfH8fV&#10;orIA43YJa4Ow0I8WdM2ze59c+diin4ZV7ZSXYQZWy5EcU14m8JABGuVK0MAWBrtZtesiQjN+rTG4&#10;m1R0p5OK4InsXe5qhLu61xxg7KcKie2CdGENWGyK2FuKFM5PiKIfs/IpC+fsQe+ptY9t7Q9QpL3H&#10;4AyEuh3mA3NmfVaPw2FIyaOqmATfwqLJx1IS7onm2U6GDoN8aq3RMQjKDmpG1xuH6Iutx3sa9WGx&#10;YmiBw9NCjMYAOXKQLb2bB14TWj//Zy5gAtkN0VKrwMfZehmiabV+KiAmmdWT0tpV74Zg3d8QLDyF&#10;fp+pR/lUR7iHNbmkeYS1SGM8H8X8eStSV5P3KaqsMDNpNsV/HStf4lHzy9XsVVIl3d+xfbWdpjxf&#10;5ut5Wrz4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8OAABbQ29udGVudF9UeXBlc10ueG1sUEsBAhQACgAAAAAAh07iQAAAAAAAAAAAAAAAAAYA&#10;AAAAAAAAAAAQAAAA8QwAAF9yZWxzL1BLAQIUABQAAAAIAIdO4kCKFGY80QAAAJQBAAALAAAAAAAA&#10;AAEAIAAAABUNAABfcmVscy8ucmVsc1BLAQIUAAoAAAAAAIdO4kAAAAAAAAAAAAAAAAAEAAAAAAAA&#10;AAAAEAAAAAAAAABkcnMvUEsBAhQAFAAAAAgAh07iQKCnsU/WAAAABQEAAA8AAAAAAAAAAQAgAAAA&#10;IgAAAGRycy9kb3ducmV2LnhtbFBLAQIUABQAAAAIAIdO4kAgMC2toAsAADWDAAAOAAAAAAAAAAEA&#10;IAAAACUBAABkcnMvZTJvRG9jLnhtbFBLBQYAAAAABgAGAFkBAAA3DwAAAAA=&#10;">
                        <v:fill on="f" focussize="0,0"/>
                        <v:stroke on="f"/>
                        <v:imagedata o:title=""/>
                        <o:lock v:ext="edit" aspectratio="f"/>
                      </v:shape>
                      <v:rect id="矩形 62" o:spid="_x0000_s1026" o:spt="1" style="position:absolute;left:1812290;top:366395;height:243205;width:67691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JhV0qouAgAAaAQAAA4AAABkcnMvZTJvRG9jLnhtbK1US44TMRDd&#10;I3EHy3vSSYeESSudWUwIGwQjDRzAcbu7LfmH7fy4DBI7DsFx0FyDZ3eYHyxmQS865a7yq3qvqrK8&#10;PGpF9sIHaU1NJ6MxJcJw20jT1fTzp82rC0pCZKZhyhpR05MI9HL18sXy4CpR2t6qRngCEBOqg6tp&#10;H6OriiLwXmgWRtYJA2drvWYRR98VjWcHoGtVlOPxvDhY3zhvuQgBX9eDk54R/XMAbdtKLtaW77Qw&#10;cUD1QrEISqGXLtBVrrZtBY8f2zaISFRNwTTmN5LA3qZ3sVqyqvPM9ZKfS2DPKeEJJ82kQdI7qDWL&#10;jOy8/AtKS+5tsG0ccauLgUhWBCwm4yfa3PTMicwFUgd3J3r4f7D8w/7aE9nUtCwpMUyj47fffvz6&#10;+Z3My6TOwYUKQTfu2p9PAWaiemy9Tr8gQY6YpItJWS6g66mm0/l8upgN4opjJBz++Zv5YgI3h798&#10;PS3H2V/c4zgf4jthNUlGTT16lyVl+/chIjdC/4SktMEq2WykUvngu+2V8mTP0OdNflJ2XHkUpgw5&#10;1HQxK2eog2F4WwwNTO0gQDBdzvfoRngIPM7Pv4BTYWsW+qGAjDCw1zIKj0pY1QvWvDUNiScHjQ12&#10;i6ZitGgoUQKrmKwcGZlUz4kEO2VAMrVoaEqy4nF7BEwyt7Y5obtYdujZW/8VGTHqoPplxzzyM8Px&#10;uabQYDCv4rAbO+dl1+PWJLNNYBjALOh5WdKEPzznOu7/IF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XHq5rTAAAABQEAAA8AAAAAAAAAAQAgAAAAIgAAAGRycy9kb3ducmV2LnhtbFBLAQIUABQA&#10;AAAIAIdO4kCYVdKqLgIAAGgEAAAOAAAAAAAAAAEAIAAAACIBAABkcnMvZTJvRG9jLnhtbFBLBQYA&#10;AAAABgAGAFkBAADCBQAAAAA=&#10;">
                        <v:fill on="t" focussize="0,0"/>
                        <v:stroke color="#000000" joinstyle="miter"/>
                        <v:imagedata o:title=""/>
                        <o:lock v:ext="edit" aspectratio="f"/>
                        <v:textbox>
                          <w:txbxContent>
                            <w:p w14:paraId="0450101D">
                              <w:pPr>
                                <w:spacing w:line="240" w:lineRule="auto"/>
                                <w:jc w:val="center"/>
                                <w:rPr>
                                  <w:rFonts w:hint="default" w:eastAsia="宋体"/>
                                  <w:sz w:val="18"/>
                                  <w:szCs w:val="18"/>
                                  <w:lang w:val="en-US" w:eastAsia="zh-CN"/>
                                </w:rPr>
                              </w:pPr>
                              <w:r>
                                <w:rPr>
                                  <w:rFonts w:hint="eastAsia"/>
                                  <w:sz w:val="18"/>
                                  <w:szCs w:val="18"/>
                                  <w:lang w:val="en-US" w:eastAsia="zh-CN"/>
                                </w:rPr>
                                <w:t>沥青储罐</w:t>
                              </w:r>
                            </w:p>
                          </w:txbxContent>
                        </v:textbox>
                      </v:rect>
                      <v:rect id="矩形 67" o:spid="_x0000_s1026" o:spt="1" style="position:absolute;left:2794000;top:2644142;height:24003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MCrqNUtAgAAaQQAAA4AAABkcnMvZTJvRG9jLnhtbK1US44TMRDd&#10;I3EHy3vSnc8kTCudWUwIGwQjDRzAcbvTlvzDdpIOl0FixyE4DuIaPLvD/GAxC7LolNtVr+q9qurl&#10;Va8VOQgfpDU1HY9KSoThtpFmV9NPHzevXlMSIjMNU9aImp5EoFerly+WR1eJie2saoQnADGhOrqa&#10;djG6qigC74RmYWSdMLhsrdcs4uh3RePZEehaFZOynBdH6xvnLRch4O16uKRnRP8cQNu2kou15Xst&#10;TBxQvVAsglLopAt0lattW8Hjh7YNIhJVUzCN+YkksLfpWayWrNp55jrJzyWw55TwhJNm0iDpHdSa&#10;RUb2Xv4FpSX3Ntg2jrjVxUAkKwIW4/KJNrcdcyJzgdTB3Yke/h8sf3+48UQ2NZ1MKTFMo+O/vn7/&#10;+eMbmS+SOkcXKjjduht/PgWYiWrfep3+QYL0iF9czsoSup5gz2ez8WwyqCv6SDgc5ovpON3z5ADX&#10;aVa/uAdyPsS3wmqSjJp6NC9ryg7vQkRyuP5xSXmDVbLZSKXywe+218qTA0OjN/mXsiPkkZsy5FjT&#10;y4vJBepgmN4WUwNTOygQzC7nexQRHgKDX6L4D+BU2JqFbiggIwzstYzCI4BVnWDNG9OQeHIQ2WC5&#10;aCpGi4YSJbCLycqekUn1HE+wUwYkU4+GriQr9tseMMnc2uaE9mLboWdn/RdkxKyD6uc988jPDMfr&#10;mkKDwbyOw3LsnZe7DlHjzDaBYQKzoOdtSSP+8JzruP9Cr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ZcermtMAAAAFAQAADwAAAAAAAAABACAAAAAiAAAAZHJzL2Rvd25yZXYueG1sUEsBAhQAFAAA&#10;AAgAh07iQMCrqNUtAgAAaQQAAA4AAAAAAAAAAQAgAAAAIgEAAGRycy9lMm9Eb2MueG1sUEsFBgAA&#10;AAAGAAYAWQEAAMEFAAAAAA==&#10;">
                        <v:fill on="t" focussize="0,0"/>
                        <v:stroke color="#000000" joinstyle="miter"/>
                        <v:imagedata o:title=""/>
                        <o:lock v:ext="edit" aspectratio="f"/>
                        <v:textbox>
                          <w:txbxContent>
                            <w:p w14:paraId="730346DF">
                              <w:pPr>
                                <w:spacing w:line="240" w:lineRule="auto"/>
                                <w:jc w:val="center"/>
                                <w:rPr>
                                  <w:rFonts w:hint="default" w:eastAsia="宋体"/>
                                  <w:sz w:val="18"/>
                                  <w:szCs w:val="18"/>
                                  <w:lang w:val="en-US" w:eastAsia="zh-CN"/>
                                </w:rPr>
                              </w:pPr>
                              <w:r>
                                <w:rPr>
                                  <w:rFonts w:hint="eastAsia" w:eastAsia="宋体"/>
                                  <w:sz w:val="18"/>
                                  <w:szCs w:val="18"/>
                                  <w:lang w:val="en-US" w:eastAsia="zh-CN"/>
                                </w:rPr>
                                <w:t>覆膜</w:t>
                              </w:r>
                            </w:p>
                          </w:txbxContent>
                        </v:textbox>
                      </v:rect>
                      <v:rect id="矩形 70" o:spid="_x0000_s1026" o:spt="1" style="position:absolute;left:2773680;top:3121025;height:24003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CdNeN8tAgAAaQQAAA4AAABkcnMvZTJvRG9jLnhtbK1US27bMBDd&#10;F+gdCO5ryXJip4blLOK6m6INkPYANEVJBPgrSf96mQLd9RA9TtFr9JFy4yTtIotqQQ3F4Zt5b2a0&#10;uD5oRXbCB2lNTcejkhJhuG2k6Wr66eP61RUlITLTMGWNqOlRBHq9fPlisXdzUdneqkZ4AhAT5ntX&#10;0z5GNy+KwHuhWRhZJwwOW+s1i9j6rmg82wNdq6Iqy2mxt75x3nIRAr6uhkN6QvTPAbRtK7lYWb7V&#10;wsQB1QvFIiiFXrpAlznbthU8fmjbICJRNQXTmFcEgb1Ja7FcsHnnmeslP6XAnpPCE06aSYOg91Ar&#10;FhnZevkXlJbc22DbOOJWFwORrAhYjMsn2tz1zInMBVIHdy96+H+w/P3u1hPZ1LS6oMQwjYr/+vr9&#10;549vZJbV2bswh9Odu/XQKu0CzET10Hqd3iBBDrg/m02mV9D1WNPJuBqX1eWgrjhEwuEwnU3GJc45&#10;HKqLspxk/OIM5HyIb4XVJBk19She1pTt3oWI4HD945LiBqtks5ZK5Y3vNjfKkx1Dodf5SdFx5ZGb&#10;MmRf09eXyI1whu5t0TUwtYMCwXQ53qMb4SFwmZ9/AafEViz0QwIZYWCvZRQ+d1kvWPPGNCQeHUQ2&#10;GC6aktGioUQJzGKysmdkUj3HE+yUAclzVZIVD5sDYJK5sc0R5cW0Q8/e+i+IiF4H1c9b5hGfGY7P&#10;NYUGg3kTh+HYOi+7HrfGmW0CQwdmQU/Tklr84T7ncf5DL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ZcermtMAAAAFAQAADwAAAAAAAAABACAAAAAiAAAAZHJzL2Rvd25yZXYueG1sUEsBAhQAFAAA&#10;AAgAh07iQCdNeN8tAgAAaQQAAA4AAAAAAAAAAQAgAAAAIgEAAGRycy9lMm9Eb2MueG1sUEsFBgAA&#10;AAAGAAYAWQEAAMEFAAAAAA==&#10;">
                        <v:fill on="t" focussize="0,0"/>
                        <v:stroke color="#000000" joinstyle="miter"/>
                        <v:imagedata o:title=""/>
                        <o:lock v:ext="edit" aspectratio="f"/>
                        <v:textbox>
                          <w:txbxContent>
                            <w:p w14:paraId="5886D5F9">
                              <w:pPr>
                                <w:spacing w:line="240" w:lineRule="auto"/>
                                <w:jc w:val="center"/>
                                <w:rPr>
                                  <w:rFonts w:hint="default" w:eastAsia="宋体"/>
                                  <w:sz w:val="18"/>
                                  <w:szCs w:val="18"/>
                                  <w:lang w:val="en-US" w:eastAsia="zh-CN"/>
                                </w:rPr>
                              </w:pPr>
                              <w:r>
                                <w:rPr>
                                  <w:rFonts w:hint="eastAsia" w:eastAsia="宋体"/>
                                  <w:sz w:val="18"/>
                                  <w:szCs w:val="18"/>
                                  <w:lang w:val="en-US" w:eastAsia="zh-CN"/>
                                </w:rPr>
                                <w:t>冷却定型</w:t>
                              </w:r>
                            </w:p>
                          </w:txbxContent>
                        </v:textbox>
                      </v:rect>
                      <v:rect id="矩形 66" o:spid="_x0000_s1026" o:spt="1" style="position:absolute;left:1816100;top:786131;height:24130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CQIpV4rAgAAaAQAAA4AAABkcnMvZTJvRG9jLnhtbK1UzY7TMBC+&#10;I/EOlu80SctmS9R0D1vKBcFKCw8wdZzEkv+w3SblZZC48RA8DtrXYOyU/YNDD+SQjDOTb+b7Ziar&#10;q1FJcuDOC6NrWsxySrhmphG6q+nnT9tXS0p8AN2ANJrX9Mg9vVq/fLEabMXnpjey4Y4giPbVYGva&#10;h2CrLPOs5wr8zFiu0dkapyDg0XVZ42BAdCWzeZ6X2WBcY51h3Ht8u5mc9ITozgE0bSsY3xi2V1yH&#10;CdVxCQEp+V5YT9ep2rblLHxsW88DkTVFpiHdMQnau3jP1iuoOge2F+xUApxTwjNOCoTGpPdQGwhA&#10;9k78BaUEc8abNsyYUdlEJCmCLIr8mTa3PVieuKDU3t6L7v8fLPtwuHFENDVdzCnRoLDjd99+/Pr5&#10;nZRlVGewvsKgW3vjTiePZqQ6tk7FJ5IgI07SsiiLHHU91vRyWRaLYhKXj4Ew9JeXi+Rm6J+/LhYY&#10;ioDZA451PrzjRpFo1NRh75KkcHjvwxT6JySm9UaKZiukTAfX7a6lIwfAPm/TdUJ/EiY1GWr65mJ+&#10;QQkDHN4WhwZNZVEAr7uU78kX/jFwnq5/AcfCNuD7qYCEMLFXInCHxUPVc2je6oaEo0WNNe4WjcUo&#10;3lAiOa5itFJkACHPiUTtpEYJY4umpkQrjLsRYaK5M80Ru4vLjnr2xn3FjDjqSPXLHhzmB83wdU1R&#10;g8m8DtNu7K0TXY9fpSamDDiAqV2nZYkT/vic6nj4Qa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XHq5rTAAAABQEAAA8AAAAAAAAAAQAgAAAAIgAAAGRycy9kb3ducmV2LnhtbFBLAQIUABQAAAAI&#10;AIdO4kAkCKVeKwIAAGgEAAAOAAAAAAAAAAEAIAAAACIBAABkcnMvZTJvRG9jLnhtbFBLBQYAAAAA&#10;BgAGAFkBAAC/BQAAAAA=&#10;">
                        <v:fill on="t" focussize="0,0"/>
                        <v:stroke color="#000000" joinstyle="miter"/>
                        <v:imagedata o:title=""/>
                        <o:lock v:ext="edit" aspectratio="f"/>
                        <v:textbox>
                          <w:txbxContent>
                            <w:p w14:paraId="1DE07A8A">
                              <w:pPr>
                                <w:spacing w:line="240" w:lineRule="auto"/>
                                <w:jc w:val="center"/>
                                <w:rPr>
                                  <w:rFonts w:hint="default" w:eastAsia="宋体"/>
                                  <w:sz w:val="18"/>
                                  <w:szCs w:val="18"/>
                                  <w:lang w:val="en-US" w:eastAsia="zh-CN"/>
                                </w:rPr>
                              </w:pPr>
                              <w:r>
                                <w:rPr>
                                  <w:rFonts w:hint="eastAsia"/>
                                  <w:sz w:val="18"/>
                                  <w:szCs w:val="18"/>
                                  <w:lang w:val="en-US" w:eastAsia="zh-CN"/>
                                </w:rPr>
                                <w:t>沥青加热</w:t>
                              </w:r>
                            </w:p>
                          </w:txbxContent>
                        </v:textbox>
                      </v:rect>
                      <v:rect id="矩形 73" o:spid="_x0000_s1026" o:spt="1" style="position:absolute;left:2794000;top:2186941;height:24003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JzoYBguAgAAaQQAAA4AAABkcnMvZTJvRG9jLnhtbK1US44TMRDd&#10;I3EHy3vS+cwkk1Y6s5gQNghGGjiA43anLfmH7SQdLoPEjkNwHDTX4Nkd5geLLOiFu9wuv6r3qqoX&#10;151WZC98kNZUdDQYUiIMt7U024p+/rR+c0VJiMzUTFkjKnoUgV4vX79aHFwpxra1qhaeAMSE8uAq&#10;2sboyqIIvBWahYF1wuCwsV6ziK3fFrVnB6BrVYyHw2lxsL523nIRAr6u+kN6QvTnANqmkVysLN9p&#10;YWKP6oViEZRCK12gy5xt0wgePzZNEJGoioJpzCuCwN6ktVguWLn1zLWSn1Jg56TwgpNm0iDoA9SK&#10;RUZ2Xv4FpSX3NtgmDrjVRU8kKwIWo+ELbe5a5kTmAqmDexA9/D9Y/mF/64msKzqZUGKYRsXvv/34&#10;9fM7mU2SOgcXSjjduVt/2gWYiWrXeJ3eIEG6io5n84vhELoeYY+upvOLUa+u6CLhcJjOJqN0zpMD&#10;XCdZ/eIRyPkQ3wmrSTIq6lG8rCnbvw8RweH6xyXFDVbJei2Vyhu/3dwoT/YMhV7nJ0XHlWduypBD&#10;ReeX40vkwdC9DboGpnZQIJhtjvfsRngKDH6J4j+AU2IrFto+gYzQs9cyCo8LrGwFq9+amsSjg8gG&#10;w0VTMlrUlCiBWUxW9oxMqnM8wU4ZkEw16quSrNhtOsAkc2PrI8qLaYeerfVfERG9DqpfdswjPjMc&#10;nysKDXrzJvbDsXNeblvcykXMEdCBWdDTtKQWf7rPeTz+I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XHq5rTAAAABQEAAA8AAAAAAAAAAQAgAAAAIgAAAGRycy9kb3ducmV2LnhtbFBLAQIUABQA&#10;AAAIAIdO4kCc6GAYLgIAAGkEAAAOAAAAAAAAAAEAIAAAACIBAABkcnMvZTJvRG9jLnhtbFBLBQYA&#10;AAAABgAGAFkBAADCBQAAAAA=&#10;">
                        <v:fill on="t" focussize="0,0"/>
                        <v:stroke color="#000000" joinstyle="miter"/>
                        <v:imagedata o:title=""/>
                        <o:lock v:ext="edit" aspectratio="f"/>
                        <v:textbox>
                          <w:txbxContent>
                            <w:p w14:paraId="23807670">
                              <w:pPr>
                                <w:spacing w:line="240" w:lineRule="auto"/>
                                <w:jc w:val="center"/>
                                <w:rPr>
                                  <w:rFonts w:hint="default" w:eastAsia="宋体"/>
                                  <w:sz w:val="18"/>
                                  <w:szCs w:val="18"/>
                                  <w:lang w:val="en-US" w:eastAsia="zh-CN"/>
                                </w:rPr>
                              </w:pPr>
                              <w:r>
                                <w:rPr>
                                  <w:rFonts w:hint="eastAsia" w:eastAsia="宋体"/>
                                  <w:sz w:val="18"/>
                                  <w:szCs w:val="18"/>
                                  <w:lang w:val="en-US" w:eastAsia="zh-CN"/>
                                </w:rPr>
                                <w:t>胎基涂油</w:t>
                              </w:r>
                            </w:p>
                          </w:txbxContent>
                        </v:textbox>
                      </v:rect>
                      <v:rect id="矩形 71" o:spid="_x0000_s1026" o:spt="1" style="position:absolute;left:883285;top:2185671;height:24130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NWrlC8rAgAAaQQAAA4AAABkcnMvZTJvRG9jLnhtbK1UzY7TMBC+&#10;I/EOlu80SUu73ajpHraUC4KVFh5g6jiJJf9hu03KyyBx4yF4HLSvwdgp+8uhB3JwPsfjb2a+mcnq&#10;alCSHLjzwuiKFpOcEq6ZqYVuK/rl8/bNkhIfQNcgjeYVPXJPr9avX616W/Kp6YysuSNIon3Z24p2&#10;IdgyyzzruAI/MZZrPGyMUxBw69qsdtAju5LZNM8XWW9cbZ1h3Hv8uhkP6YnRnUNomkYwvjFsr7gO&#10;I6vjEgKm5DthPV2naJuGs/CpaTwPRFYUMw1pRSeId3HN1isoWwe2E+wUApwTwrOcFAiNTu+pNhCA&#10;7J14QaUEc8abJkyYUdmYSFIEsyjyZ9rcdmB5ygWl9vZedP//aNnHw40josZOyBeUaFBY8rvvP3//&#10;+kEuiihPb32JVrf2xp12HmHMdWicim/MggwVXS5n0+WckmNFp8VyvhivQ8mHQBieLy5mRY66s2jw&#10;tpghRsLsgcc6H95zo0gEFXVYvKQpHD74MJr+NYluvZGi3gop08a1u2vpyAGw0Nv0nNifmElN+ope&#10;zqcYJwPs3ga7BqGyqIDXbfL35IZ/TJyn51/EMbAN+G4MIDFEMyiVCNwl1HGo3+mahKNFjTUOF43B&#10;KF5TIjnOYkTJMoCQ51iidlKjhLFEY1EiCsNuQJoId6Y+Ynlx2lHPzrhv6BF7HVP9ugeH/kEz/FxR&#10;1GCE12Ecjr11ou3wVuqB5AE7MJXrNC2xxR/vUxwPf4j1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XHq5rTAAAABQEAAA8AAAAAAAAAAQAgAAAAIgAAAGRycy9kb3ducmV2LnhtbFBLAQIUABQAAAAI&#10;AIdO4kDVq5QvKwIAAGkEAAAOAAAAAAAAAAEAIAAAACIBAABkcnMvZTJvRG9jLnhtbFBLBQYAAAAA&#10;BgAGAFkBAAC/BQAAAAA=&#10;">
                        <v:fill on="t" focussize="0,0"/>
                        <v:stroke color="#000000" joinstyle="miter"/>
                        <v:imagedata o:title=""/>
                        <o:lock v:ext="edit" aspectratio="f"/>
                        <v:textbox>
                          <w:txbxContent>
                            <w:p w14:paraId="1A7E383F">
                              <w:pPr>
                                <w:spacing w:line="240" w:lineRule="auto"/>
                                <w:jc w:val="center"/>
                                <w:rPr>
                                  <w:rFonts w:hint="default" w:eastAsia="宋体"/>
                                  <w:sz w:val="18"/>
                                  <w:szCs w:val="18"/>
                                  <w:lang w:val="en-US" w:eastAsia="zh-CN"/>
                                </w:rPr>
                              </w:pPr>
                              <w:r>
                                <w:rPr>
                                  <w:rFonts w:hint="eastAsia" w:eastAsia="宋体"/>
                                  <w:sz w:val="18"/>
                                  <w:szCs w:val="18"/>
                                  <w:lang w:val="en-US" w:eastAsia="zh-CN"/>
                                </w:rPr>
                                <w:t>胎基展平</w:t>
                              </w:r>
                            </w:p>
                          </w:txbxContent>
                        </v:textbox>
                      </v:rect>
                      <v:rect id="矩形 76" o:spid="_x0000_s1026" o:spt="1" style="position:absolute;left:2774315;top:3612515;height:24003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BO/Kg0uAgAAagQAAA4AAABkcnMvZTJvRG9jLnhtbK1US5LTMBDd&#10;U8UdVNoT28kkgVScWUwIGwqmauAAiizbqtIPSflxGarYcQiOQ801eJLD/GAxC7SwW1brdb/X3V5e&#10;HrUie+GDtKam1aikRBhuG2m6mn7+tHn1mpIQmWmYskbU9CQCvVy9fLE8uIUY296qRngCEBMWB1fT&#10;Pka3KIrAe6FZGFknDA5b6zWL2PquaDw7AF2rYlyWs+JgfeO85SIEfF0Ph/SM6J8DaNtWcrG2fKeF&#10;iQOqF4pFUAq9dIGucrZtK3j82LZBRKJqCqYxPxEE9jY9i9WSLTrPXC/5OQX2nBSecNJMGgS9g1qz&#10;yMjOy7+gtOTeBtvGEbe6GIhkRcCiKp9oc9MzJzIXSB3cnejh/8HyD/trT2SDTijnlBimUfLbbz9+&#10;/fxO5rMkz8GFBbxu3LU/7wLMxPXYep3eYEGONR3P5xeTakrJqaaTWTWews7yimMkHA6z+aQqITyH&#10;w/iiLCdZ/uIeyPkQ3wmrSTJq6lG9LCrbvw8RUHD945LiBqtks5FK5Y3vtlfKkz1DpTd5pei48shN&#10;GXKo6ZvpGHlyhvZt0TYwtYMEwXQ53qMb4SFwmde/gFNiaxb6IYGMMLDXMgqfdegFa96ahsSTg8gG&#10;00VTMlo0lCiBYUxW9oxMqud4gp0yIJlqNFQlWfG4PQImmVvbnFBfjDv07K3/iohodlD9smMe8Znh&#10;+FxTaDCYV3GYjp3zsutxq8psExhaMAt6HpfU4w/3OY/7X8Tq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XHq5rTAAAABQEAAA8AAAAAAAAAAQAgAAAAIgAAAGRycy9kb3ducmV2LnhtbFBLAQIUABQA&#10;AAAIAIdO4kATvyoNLgIAAGoEAAAOAAAAAAAAAAEAIAAAACIBAABkcnMvZTJvRG9jLnhtbFBLBQYA&#10;AAAABgAGAFkBAADCBQAAAAA=&#10;">
                        <v:fill on="t" focussize="0,0"/>
                        <v:stroke color="#000000" joinstyle="miter"/>
                        <v:imagedata o:title=""/>
                        <o:lock v:ext="edit" aspectratio="f"/>
                        <v:textbox>
                          <w:txbxContent>
                            <w:p w14:paraId="63850EEB">
                              <w:pPr>
                                <w:spacing w:line="240" w:lineRule="auto"/>
                                <w:jc w:val="center"/>
                                <w:rPr>
                                  <w:rFonts w:hint="default" w:eastAsia="宋体"/>
                                  <w:sz w:val="18"/>
                                  <w:szCs w:val="18"/>
                                  <w:lang w:val="en-US" w:eastAsia="zh-CN"/>
                                </w:rPr>
                              </w:pPr>
                              <w:r>
                                <w:rPr>
                                  <w:rFonts w:hint="eastAsia" w:eastAsia="宋体"/>
                                  <w:sz w:val="18"/>
                                  <w:szCs w:val="18"/>
                                  <w:lang w:val="en-US" w:eastAsia="zh-CN"/>
                                </w:rPr>
                                <w:t>收卷</w:t>
                              </w:r>
                            </w:p>
                          </w:txbxContent>
                        </v:textbox>
                      </v:rect>
                      <v:rect id="矩形 77" o:spid="_x0000_s1026" o:spt="1" style="position:absolute;left:2743835;top:1271271;height:241300;width:77343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M6DmKUuAgAAagQAAA4AAABkcnMvZTJvRG9jLnhtbK1UzY7TMBC+&#10;I/EOlu80adqlS9V0D1vKBcFKCw/gOk5jyX/YbpvyMkjceAgeB+1r8Nkp+weHHoiiZByPv5nvm5ks&#10;rnqtyF74IK2p6XhUUiIMt40025p+/rR+dUlJiMw0TFkjanoUgV4tX75YHNxcVLazqhGeAMSE+cHV&#10;tIvRzYsi8E5oFkbWCYPN1nrNIpZ+WzSeHYCuVVGV5eviYH3jvOUiBHxdDZv0hOjPAbRtK7lYWb7T&#10;wsQB1QvFIiiFTrpAlznbthU8fmzbICJRNQXTmJ8IAnuTnsVyweZbz1wn+SkFdk4KzzhpJg2C3kOt&#10;WGRk5+VfUFpyb4Nt44hbXQxEsiJgMS6faXPbMScyF0gd3L3o4f/B8g/7G09kg04oUXjDNEp+9+3H&#10;r5/fyWyW5Dm4MIfXrbvxp1WAmbj2rdfpDRakr2k1m04uJxeUHAFWzdI9yCv6SDgcZrPJdALhORyq&#10;6XhSZvmLByDnQ3wnrCbJqKlH9bKobP8+RASH6x+XFDdYJZu1VCov/HZzrTzZM1R6na8UHUeeuClD&#10;DjV9c1EhT87Qvi3aBqZ2kCCYbY735ER4DFzm61/AKbEVC92QQEYY2GsZhUcmbN4J1rw1DYlHB5EN&#10;poumZLRoKFECw5is7BmZVOd4gp0yIJlqNFQlWbHf9IBJ5sY2R9QX4w49O+u/IiKaHVS/7JhHfGY4&#10;PtcUGgzmdRymY+e83HY4lYuYI6AFs6CncUk9/nid83j4RS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XHq5rTAAAABQEAAA8AAAAAAAAAAQAgAAAAIgAAAGRycy9kb3ducmV2LnhtbFBLAQIUABQA&#10;AAAIAIdO4kDOg5ilLgIAAGoEAAAOAAAAAAAAAAEAIAAAACIBAABkcnMvZTJvRG9jLnhtbFBLBQYA&#10;AAAABgAGAFkBAADCBQAAAAA=&#10;">
                        <v:fill on="t" focussize="0,0"/>
                        <v:stroke color="#000000" joinstyle="miter"/>
                        <v:imagedata o:title=""/>
                        <o:lock v:ext="edit" aspectratio="f"/>
                        <v:textbox>
                          <w:txbxContent>
                            <w:p w14:paraId="3A4F60B2">
                              <w:pPr>
                                <w:spacing w:line="240" w:lineRule="auto"/>
                                <w:jc w:val="center"/>
                                <w:rPr>
                                  <w:rFonts w:hint="default" w:eastAsia="宋体"/>
                                  <w:sz w:val="18"/>
                                  <w:szCs w:val="18"/>
                                  <w:lang w:val="en-US" w:eastAsia="zh-CN"/>
                                </w:rPr>
                              </w:pPr>
                              <w:r>
                                <w:rPr>
                                  <w:rFonts w:hint="eastAsia" w:eastAsia="宋体"/>
                                  <w:sz w:val="18"/>
                                  <w:szCs w:val="18"/>
                                  <w:lang w:val="en-US" w:eastAsia="zh-CN"/>
                                </w:rPr>
                                <w:t>搅拌罐混合</w:t>
                              </w:r>
                            </w:p>
                          </w:txbxContent>
                        </v:textbox>
                      </v:rect>
                      <v:rect id="矩形 78" o:spid="_x0000_s1026" o:spt="1" style="position:absolute;left:2743835;top:1729741;height:240030;width:774065;"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OVhyoQvAgAAagQAAA4AAABkcnMvZTJvRG9jLnhtbK1US44TMRDd&#10;I3EHy3vSnc9MPkpnFhPCBsFIAwdw3O60Jf+wnaTDZZDYcQiOg+YaPLvD/GAxC3rhLrfLr+q9qurl&#10;VacVOQgfpDUVHQ5KSoThtpZmV9HPnzZvZpSEyEzNlDWioicR6NXq9avl0S3EyLZW1cITgJiwOLqK&#10;tjG6RVEE3grNwsA6YXDYWK9ZxNbvitqzI9C1KkZleVkcra+dt1yEgK/r/pCeEf1LAG3TSC7Wlu+1&#10;MLFH9UKxCEqhlS7QVc62aQSPH5smiEhURcE05hVBYG/TWqyWbLHzzLWSn1NgL0nhGSfNpEHQe6g1&#10;i4zsvfwLSkvubbBNHHCri55IVgQshuUzbW5b5kTmAqmDuxc9/D9Y/uFw44ms0QnlnBLDNEp+9+3H&#10;r5/fyXSW5Dm6sIDXrbvx512Ambh2jdfpDRakq+hoOhnPxheUnAA2Hc2nk2Evr+gi4XCYTiflJc45&#10;HEaTshxn+YsHIOdDfCesJsmoqEf1sqjs8D5EBIfrH5cUN1gl641UKm/8bnutPDkwVHqTnxQdV564&#10;KUOOFZ1fjFIeDO3boG1gagcJgtnleE9uhMfAZX7+BZwSW7PQ9glkhJ69llF4ZMIWrWD1W1OTeHIQ&#10;2WC6aEpGi5oSJTCMycqekUn1Ek+wUwYkU436qiQrdtsOMMnc2vqE+mLcoWdr/VdERLOD6pc984jP&#10;DMfnikKD3ryO/XTsnZe7FrdyEXMEtGAW9Dwuqccf73MeD7+I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lx6ua0wAAAAUBAAAPAAAAAAAAAAEAIAAAACIAAABkcnMvZG93bnJldi54bWxQSwECFAAU&#10;AAAACACHTuJA5WHKhC8CAABqBAAADgAAAAAAAAABACAAAAAiAQAAZHJzL2Uyb0RvYy54bWxQSwUG&#10;AAAAAAYABgBZAQAAwwUAAAAA&#10;">
                        <v:fill on="t" focussize="0,0"/>
                        <v:stroke color="#000000" joinstyle="miter"/>
                        <v:imagedata o:title=""/>
                        <o:lock v:ext="edit" aspectratio="f"/>
                        <v:textbox>
                          <w:txbxContent>
                            <w:p w14:paraId="5306B69A">
                              <w:pPr>
                                <w:spacing w:line="240" w:lineRule="auto"/>
                                <w:jc w:val="center"/>
                                <w:rPr>
                                  <w:rFonts w:hint="default" w:eastAsia="宋体"/>
                                  <w:sz w:val="18"/>
                                  <w:szCs w:val="18"/>
                                  <w:lang w:val="en-US" w:eastAsia="zh-CN"/>
                                </w:rPr>
                              </w:pPr>
                              <w:r>
                                <w:rPr>
                                  <w:rFonts w:hint="eastAsia" w:eastAsia="宋体"/>
                                  <w:sz w:val="18"/>
                                  <w:szCs w:val="18"/>
                                  <w:lang w:val="en-US" w:eastAsia="zh-CN"/>
                                </w:rPr>
                                <w:t>胶体磨研磨</w:t>
                              </w:r>
                            </w:p>
                          </w:txbxContent>
                        </v:textbox>
                      </v:rect>
                      <v:rect id="矩形 75" o:spid="_x0000_s1026" o:spt="1" style="position:absolute;left:823595;top:791211;height:24130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IXzyXMrAgAAaAQAAA4AAABkcnMvZTJvRG9jLnhtbK1US5LTMBDd&#10;U8UdVNoTxw6ZTFJxZjEhbCiYqoEDKLJsq0o/JOXHZahixyE4DsU1eJLD/GAxC7SwW1L7db/X3V5e&#10;HbUie+GDtKam5WhMiTDcNtJ0Nf30cfPqkpIQmWmYskbU9CQCvVq9fLE8uIWobG9VIzwBiAmLg6tp&#10;H6NbFEXgvdAsjKwTBpet9ZpFbH1XNJ4dgK5VUY3HF8XB+sZ5y0UIOF0Pl/SM6J8DaNtWcrG2fKeF&#10;iQOqF4pFUAq9dIGucrZtK3j80LZBRKJqCqYxPxEE9jY9i9WSLTrPXC/5OQX2nBSecNJMGgS9g1qz&#10;yMjOy7+gtOTeBtvGEbe6GIhkRcCiHD/R5rZnTmQukDq4O9HD/4Pl7/c3nsgGnVBCE8M0Sv7r6/ef&#10;P76R2TTJc3BhAa9bd+PPuwAzcT22Xqc3WJBjTS+ryXQ+peRU09m8rMpyEFccI+G4vphNyjFCcNxX&#10;r8sJbOAV9zDOh/hWWE2SUVOP2mVJ2f5diIPrH5cUNVglm41UKm98t71WnuwZ6rzJ64z+yE0Zcqjp&#10;fFohTc7QvC2aBqZ2ECCYLsd79EV4CDzO61/AKbE1C/2QQEYY2GsZhUfybNEL1rwxDYknB4kNZoum&#10;ZLRoKFECo5is7BmZVM/xhHbKQMJUoaEmyYrH7REwydza5oTqYtihZ2/9F0REq4Pq5x3ziM8Mx3FN&#10;ocFgXsdhNnbOy67HV7mIOQIaMJfrPCypwx/ucx73P4jV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XHq5rTAAAABQEAAA8AAAAAAAAAAQAgAAAAIgAAAGRycy9kb3ducmV2LnhtbFBLAQIUABQAAAAI&#10;AIdO4kCF88lzKwIAAGgEAAAOAAAAAAAAAAEAIAAAACIBAABkcnMvZTJvRG9jLnhtbFBLBQYAAAAA&#10;BgAGAFkBAAC/BQAAAAA=&#10;">
                        <v:fill on="t" focussize="0,0"/>
                        <v:stroke color="#000000" joinstyle="miter"/>
                        <v:imagedata o:title=""/>
                        <o:lock v:ext="edit" aspectratio="f"/>
                        <v:textbox>
                          <w:txbxContent>
                            <w:p w14:paraId="70713D1A">
                              <w:pPr>
                                <w:spacing w:line="240" w:lineRule="auto"/>
                                <w:jc w:val="center"/>
                                <w:rPr>
                                  <w:rFonts w:hint="default" w:eastAsia="宋体"/>
                                  <w:sz w:val="18"/>
                                  <w:szCs w:val="18"/>
                                  <w:lang w:val="en-US" w:eastAsia="zh-CN"/>
                                </w:rPr>
                              </w:pPr>
                              <w:r>
                                <w:rPr>
                                  <w:rFonts w:hint="eastAsia" w:eastAsia="宋体"/>
                                  <w:sz w:val="18"/>
                                  <w:szCs w:val="18"/>
                                  <w:lang w:val="en-US" w:eastAsia="zh-CN"/>
                                </w:rPr>
                                <w:t>导热油炉</w:t>
                              </w:r>
                            </w:p>
                          </w:txbxContent>
                        </v:textbox>
                      </v:rect>
                      <v:shape id="文本框 81" o:spid="_x0000_s1026" o:spt="202" type="#_x0000_t202" style="position:absolute;left:2132330;top:2671445;height:201930;width:425450;"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E1pKXfqAQAAuAMAAA4AAABkcnMvZTJvRG9jLnhtbK1TS5LTMBDd&#10;U8UdVNoTf5IMQyrOVDGpsKGAqoEDKLJsq0o/WkrscAC4ASs27DlXzkFLdmZg2MwCL+xW6/l1v6fW&#10;+mbQihwFeGlNRYtZTokw3NbStBX99HH34poSH5ipmbJGVPQkPL3ZPH+27t1KlLazqhZAkMT4Ve8q&#10;2oXgVlnmeSc08zPrhMHNxoJmAZfQZjWwHtm1yso8v8p6C7UDy4X3mN2Om3RihKcQ2qaRXGwtP2hh&#10;wsgKQrGAknwnnaeb1G3TCB7eN40XgaiKotKQ3lgE4318Z5s1W7XAXCf51AJ7SguPNGkmDRa9p9qy&#10;wMgB5D9UWnKw3jZhxq3ORiHJEVRR5I+8ueuYE0kLWu3dven+/9Hyd8cPQGSNk1AUlBim8cjP37+d&#10;f/w6//xKrovoUO/8CoF3DqFheG0HRF/yHpNR+NCAjl+URHC/LOblfI4unzC+elksFsvRazEEwhGw&#10;KJeLJe7zCMiLV4jFStkDkQMf3girSQwqCniUyWF2fOvDCL1AYl1vlax3Uqm0gHZ/q4AcGR77Lj0T&#10;+18wZSLY2PjbyBgzWZQ7yopRGPbD5MHe1ie0AC8PNtRZ+EJJj6NTUf/5wEBQwgzHdEXDJbwN46wd&#10;HMi2w7+Sb6kCHmjSOw1fnJg/16mPhwu3+Q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xANMH0wAA&#10;AAUBAAAPAAAAAAAAAAEAIAAAACIAAABkcnMvZG93bnJldi54bWxQSwECFAAUAAAACACHTuJATWkp&#10;d+oBAAC4AwAADgAAAAAAAAABACAAAAAiAQAAZHJzL2Uyb0RvYy54bWxQSwUGAAAAAAYABgBZAQAA&#10;fgUAAAAA&#10;">
                        <v:fill on="t" focussize="0,0"/>
                        <v:stroke on="f"/>
                        <v:imagedata o:title=""/>
                        <o:lock v:ext="edit" aspectratio="f"/>
                        <v:textbox>
                          <w:txbxContent>
                            <w:p w14:paraId="62F18EFF">
                              <w:pPr>
                                <w:rPr>
                                  <w:rFonts w:hint="default" w:eastAsia="宋体"/>
                                  <w:sz w:val="15"/>
                                  <w:szCs w:val="15"/>
                                  <w:lang w:val="en-US" w:eastAsia="zh-CN"/>
                                </w:rPr>
                              </w:pPr>
                              <w:r>
                                <w:rPr>
                                  <w:rFonts w:hint="eastAsia"/>
                                  <w:sz w:val="15"/>
                                  <w:szCs w:val="15"/>
                                  <w:lang w:val="en-US" w:eastAsia="zh-CN"/>
                                </w:rPr>
                                <w:t>PE膜</w:t>
                              </w:r>
                            </w:p>
                          </w:txbxContent>
                        </v:textbox>
                      </v:shape>
                      <v:shape id="文本框 82" o:spid="_x0000_s1026" o:spt="202" type="#_x0000_t202" style="position:absolute;left:3576320;top:356870;height:241935;width:956310;"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Pv3N/PpAQAAtwMAAA4AAABkcnMvZTJvRG9jLnhtbK1TzY7TMBC+&#10;I/EOlu80TUq73arpSmxVLgiQFh7AdZzEkv8Yu03KA8AbcOLCfZ+rz8HYSXdhueyBHJzxzPib+T6P&#10;1ze9VuQowEtrSppPppQIw20lTVPSz592r5aU+MBMxZQ1oqQn4enN5uWLdedWorCtVZUAgiDGrzpX&#10;0jYEt8oyz1uhmZ9YJwwGawuaBdxCk1XAOkTXKium00XWWagcWC68R+92CNIREZ4DaOtacrG1/KCF&#10;CQMqCMUCUvKtdJ5uUrd1LXj4UNdeBKJKikxDWrEI2vu4Zps1WzXAXCv52AJ7TgtPOGkmDRZ9gNqy&#10;wMgB5D9QWnKw3tZhwq3OBiJJEWSRT59oc9cyJxIXlNq7B9H9/4Pl748fgcgKJyEvKDFM45Wff3w/&#10;/7w///pGlkVUqHN+hYl3DlND/8b2mH3xe3RG4n0NOv6REsH4bH61mBWo8inai+XVKLXoA+EYv54v&#10;ZjmGOcaL1/n1bB4Bs0ccBz68FVaTaJQU8CaTwOz4zoch9ZISy3qrZLWTSqUNNPtbBeTI8NZ36RvR&#10;/0pTJiYbG48NiNGTRbYDq2iFft+PEuxtdUIF8O1gQ62Fr5R0ODkl9V8ODAQlzHB0lzRczNswjNrB&#10;gWxaPJVkSxXwPhPfcfbiwPy5T308vrfN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PEA0wfTAAAA&#10;BQEAAA8AAAAAAAAAAQAgAAAAIgAAAGRycy9kb3ducmV2LnhtbFBLAQIUABQAAAAIAIdO4kD79zfz&#10;6QEAALcDAAAOAAAAAAAAAAEAIAAAACIBAABkcnMvZTJvRG9jLnhtbFBLBQYAAAAABgAGAFkBAAB9&#10;BQAAAAA=&#10;">
                        <v:fill on="t" focussize="0,0"/>
                        <v:stroke on="f"/>
                        <v:imagedata o:title=""/>
                        <o:lock v:ext="edit" aspectratio="f"/>
                        <v:textbox>
                          <w:txbxContent>
                            <w:p w14:paraId="166843C3">
                              <w:pPr>
                                <w:rPr>
                                  <w:rFonts w:hint="default" w:eastAsia="宋体"/>
                                  <w:sz w:val="15"/>
                                  <w:szCs w:val="15"/>
                                  <w:lang w:val="en-US" w:eastAsia="zh-CN"/>
                                </w:rPr>
                              </w:pPr>
                              <w:r>
                                <w:rPr>
                                  <w:rFonts w:hint="eastAsia"/>
                                  <w:sz w:val="15"/>
                                  <w:szCs w:val="15"/>
                                  <w:lang w:val="en-US" w:eastAsia="zh-CN"/>
                                </w:rPr>
                                <w:t>SBS</w:t>
                              </w:r>
                              <w:r>
                                <w:rPr>
                                  <w:rFonts w:hint="eastAsia" w:eastAsia="宋体"/>
                                  <w:sz w:val="15"/>
                                  <w:szCs w:val="15"/>
                                  <w:lang w:val="en-US" w:eastAsia="zh-CN"/>
                                </w:rPr>
                                <w:t>、</w:t>
                              </w:r>
                              <w:r>
                                <w:rPr>
                                  <w:rFonts w:hint="eastAsia"/>
                                  <w:sz w:val="15"/>
                                  <w:szCs w:val="15"/>
                                  <w:lang w:val="en-US" w:eastAsia="zh-CN"/>
                                </w:rPr>
                                <w:t>SBR</w:t>
                              </w:r>
                              <w:r>
                                <w:rPr>
                                  <w:rFonts w:hint="eastAsia" w:eastAsia="宋体"/>
                                  <w:sz w:val="15"/>
                                  <w:szCs w:val="15"/>
                                  <w:lang w:val="en-US" w:eastAsia="zh-CN"/>
                                </w:rPr>
                                <w:t>树脂</w:t>
                              </w:r>
                            </w:p>
                          </w:txbxContent>
                        </v:textbox>
                      </v:shape>
                      <v:shape id="文本框 83" o:spid="_x0000_s1026" o:spt="202" type="#_x0000_t202" style="position:absolute;left:136525;top:2193290;height:228599;width:568960;"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BzsMtXqAQAAtwMAAA4AAABkcnMvZTJvRG9jLnhtbK1TzY7TMBC+&#10;I/EOlu80bapWbdR0JbYqFwRICw/gOk5iyX+M3SblAeANOHHhznP1ORg76S7sXvawOTjj8fib+b4Z&#10;b256rchJgJfWlHQ2mVIiDLeVNE1Jv3zev1lR4gMzFVPWiJKehac329evNp0rRG5bqyoBBEGMLzpX&#10;0jYEV2SZ563QzE+sEwYPawuaBdxCk1XAOkTXKsun02XWWagcWC68R+9uOKQjIjwH0Na15GJn+VEL&#10;EwZUEIoFpORb6TzdpmrrWvDwsa69CESVFJmGtGIStA9xzbYbVjTAXCv5WAJ7TgmPOGkmDSa9h9qx&#10;wMgR5BMoLTlYb+sw4VZnA5GkCLKYTR9pc9cyJxIXlNq7e9H9y8HyD6dPQGSFkzCbU2KYxpZffv64&#10;/Ppz+f2drOZRoc75AgPvHIaG/q3tMfrq9+iMxPsadPwjJRLP58tFvqDkXNJ8tp7n61Fq0QfC8Xyx&#10;XK2X2AQeA/LVYr2OgNkDjgMf3gmrSTRKCtjJJDA7vfdhCL2GxLTeKlntpVJpA83hVgE5Mez6Pn0j&#10;+n9hysRgY+O1ATF6ssh2YBWt0B/6UYKDrc6oAL4dLKi18I2SDienpP7rkYGghBmO7pKGq3kbhlE7&#10;OpBNi7eSbCkD9jPxHWcvDsy/+1THw3vb/g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xANMH0wAA&#10;AAUBAAAPAAAAAAAAAAEAIAAAACIAAABkcnMvZG93bnJldi54bWxQSwECFAAUAAAACACHTuJAHOwy&#10;1eoBAAC3AwAADgAAAAAAAAABACAAAAAiAQAAZHJzL2Uyb0RvYy54bWxQSwUGAAAAAAYABgBZAQAA&#10;fgUAAAAA&#10;">
                        <v:fill on="t" focussize="0,0"/>
                        <v:stroke on="f"/>
                        <v:imagedata o:title=""/>
                        <o:lock v:ext="edit" aspectratio="f"/>
                        <v:textbox>
                          <w:txbxContent>
                            <w:p w14:paraId="282A6EF9">
                              <w:pPr>
                                <w:rPr>
                                  <w:rFonts w:hint="default" w:eastAsia="宋体"/>
                                  <w:sz w:val="15"/>
                                  <w:szCs w:val="15"/>
                                  <w:lang w:val="en-US" w:eastAsia="zh-CN"/>
                                </w:rPr>
                              </w:pPr>
                              <w:r>
                                <w:rPr>
                                  <w:rFonts w:hint="eastAsia" w:eastAsia="宋体"/>
                                  <w:sz w:val="15"/>
                                  <w:szCs w:val="15"/>
                                  <w:lang w:val="en-US" w:eastAsia="zh-CN"/>
                                </w:rPr>
                                <w:t>聚酯胎基</w:t>
                              </w:r>
                            </w:p>
                          </w:txbxContent>
                        </v:textbox>
                      </v:shape>
                      <v:shape id="文本框 84" o:spid="_x0000_s1026" o:spt="202" type="#_x0000_t202" style="position:absolute;left:2045970;top:3613150;height:228600;width:705485;"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HTzZ/vvAQAAuAMAAA4AAABkcnMvZTJvRG9jLnhtbK1TTY7TMBTe&#10;I3EHy3uapNN2StR0JKYqGwRIAwdwHaex5D+e3SblAHADVmzYz7l6Dp6ddAaGzSzIwrHf+/z5fZ+f&#10;Vze9VuQowEtrKlpMckqE4baWZl/Rz5+2r5aU+MBMzZQ1oqIn4enN+uWLVedKMbWtVbUAgiTGl52r&#10;aBuCK7PM81Zo5ifWCYPJxoJmAZewz2pgHbJrlU3zfJF1FmoHlgvvMboZknRkhOcQ2qaRXGwsP2hh&#10;wsAKQrGAknwrnafrVG3TCB4+NI0XgaiKotKQRjwE57s4ZusVK/fAXCv5WAJ7TglPNGkmDR76QLVh&#10;gZEDyH+otORgvW3ChFudDUKSI6iiyJ94c9cyJ5IWtNq7B9P9/6Pl748fgcgaO6GYUWKYxis///h+&#10;/nl//vWNLGfRoc75EoF3DqGhf2N7RF/iHoNReN+Ajn+URDA/zWfz19fo8qmiV4viqpiPXos+EI6A&#10;63w+W84p4QiYTpeLPOWzRyIHPrwVVpM4qSjgVSaH2fGdD1gUQi+QeK63StZbqVRawH53q4AcGV77&#10;Nn2xXtzyF0yZCDY2bhvSMZJFuYOsOAv9rh892Nn6hBbg48GCWgtfKemwdSrqvxwYCEqY4RiuaLhM&#10;b8PQawcHct/iruRbOgEvNFU0Nl/smD/XqY7HB7f+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EA&#10;0wfTAAAABQEAAA8AAAAAAAAAAQAgAAAAIgAAAGRycy9kb3ducmV2LnhtbFBLAQIUABQAAAAIAIdO&#10;4kB082f77wEAALgDAAAOAAAAAAAAAAEAIAAAACIBAABkcnMvZTJvRG9jLnhtbFBLBQYAAAAABgAG&#10;AFkBAACDBQAAAAA=&#10;">
                        <v:fill on="t" focussize="0,0"/>
                        <v:stroke on="f"/>
                        <v:imagedata o:title=""/>
                        <o:lock v:ext="edit" aspectratio="f"/>
                        <v:textbox>
                          <w:txbxContent>
                            <w:p w14:paraId="056C80DD">
                              <w:pPr>
                                <w:rPr>
                                  <w:rFonts w:hint="default" w:eastAsia="宋体"/>
                                  <w:sz w:val="15"/>
                                  <w:szCs w:val="15"/>
                                  <w:lang w:val="en-US" w:eastAsia="zh-CN"/>
                                </w:rPr>
                              </w:pPr>
                              <w:r>
                                <w:rPr>
                                  <w:rFonts w:hint="eastAsia" w:eastAsia="宋体"/>
                                  <w:sz w:val="15"/>
                                  <w:szCs w:val="15"/>
                                  <w:lang w:val="en-US" w:eastAsia="zh-CN"/>
                                </w:rPr>
                                <w:t>冷却水循环</w:t>
                              </w:r>
                            </w:p>
                          </w:txbxContent>
                        </v:textbox>
                      </v:shape>
                      <v:shape id="文本框 85" o:spid="_x0000_s1026" o:spt="202" type="#_x0000_t202" style="position:absolute;left:1974215;top:45720;height:200660;width:415925;"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Owh87LqAQAAtgMAAA4AAABkcnMvZTJvRG9jLnhtbK1TzY7TMBC+&#10;I/EOlu80bdXuT9R0JbYqFwRICw/gOk5jyfaYsdukPAC8AScu3HmuPgdjp91ldy97IAdnPDP+Zr7P&#10;48VNbw3bKwwaXMUnozFnykmotdtW/Mvn9ZsrzkIUrhYGnKr4QQV+s3z9atH5Uk2hBVMrZATiQtn5&#10;ircx+rIogmyVFWEEXjkKNoBWRNritqhRdIRuTTEdjy+KDrD2CFKFQN7VEOQnRHwJIDSNlmoFcmeV&#10;iwMqKiMiUQqt9oEvc7dNo2T82DRBRWYqTkxjXqkI2Zu0FsuFKLcofKvlqQXxkhaecLJCOyp6D7US&#10;UbAd6mdQVkuEAE0cSbDFQCQrQiwm4yfa3LXCq8yFpA7+XvTw/2Dlh/0nZLqmSZjMOXPC0pUff/44&#10;/vpz/P2dXc2TQp0PJSXeeUqN/VvoKfvsD+RMxPsGbfoTJZbi15ezaUI8VHw2v5yelFZ9ZJLCs8n8&#10;ekpRSeE0FBc5XjzAeAzxnQLLklFxpIvM+or9+xCpJUo9p6SqAYyu19qYvMHt5tYg2wu69HX+Urd0&#10;5FGacSnZQTo2hJOnSGQHUsmK/aY/KbCB+kAC0NOhhlrAb5x1NDgVD193AhVnwklyVzyezds4TNrO&#10;o962dCqrlivQdeaOTqOX5uXffe7j4bkt/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xANMH0wAA&#10;AAUBAAAPAAAAAAAAAAEAIAAAACIAAABkcnMvZG93bnJldi54bWxQSwECFAAUAAAACACHTuJA7CHz&#10;suoBAAC2AwAADgAAAAAAAAABACAAAAAiAQAAZHJzL2Uyb0RvYy54bWxQSwUGAAAAAAYABgBZAQAA&#10;fgUAAAAA&#10;">
                        <v:fill on="t" focussize="0,0"/>
                        <v:stroke on="f"/>
                        <v:imagedata o:title=""/>
                        <o:lock v:ext="edit" aspectratio="f"/>
                        <v:textbox>
                          <w:txbxContent>
                            <w:p w14:paraId="7606719B">
                              <w:pPr>
                                <w:rPr>
                                  <w:rFonts w:hint="default" w:eastAsia="宋体"/>
                                  <w:sz w:val="15"/>
                                  <w:szCs w:val="15"/>
                                  <w:lang w:val="en-US" w:eastAsia="zh-CN"/>
                                </w:rPr>
                              </w:pPr>
                              <w:r>
                                <w:rPr>
                                  <w:rFonts w:hint="eastAsia" w:eastAsia="宋体"/>
                                  <w:sz w:val="15"/>
                                  <w:szCs w:val="15"/>
                                  <w:lang w:val="en-US" w:eastAsia="zh-CN"/>
                                </w:rPr>
                                <w:t>沥青</w:t>
                              </w:r>
                            </w:p>
                          </w:txbxContent>
                        </v:textbox>
                      </v:shape>
                      <v:shape id="文本框 86" o:spid="_x0000_s1026" o:spt="202" type="#_x0000_t202" style="position:absolute;left:109855;top:811531;height:241300;width:521335;"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OO6EjrtAQAAtgMAAA4AAABkcnMvZTJvRG9jLnhtbK1TzY7TMBC+&#10;I+07WL7TJC2tStR0JbYqlxUgLTyA6ziJJf/t2G3SfQB4A05cuPNcfQ7GTrsLy2UP5OCMZ8af5/tm&#10;vLoetCIHAV5aU9FiklMiDLe1NG1Fv3zevl5S4gMzNVPWiIoehafX66tXq96VYmo7q2oBBEGML3tX&#10;0S4EV2aZ553QzE+sEwaDjQXNAm6hzWpgPaJrlU3zfJH1FmoHlgvv0bsZg/SMCC8BtE0judhYvtfC&#10;hBEVhGIBKflOOk/XqdqmETx8bBovAlEVRaYhrXgJ2ru4ZusVK1tgrpP8XAJ7SQnPOGkmDV76CLVh&#10;gZE9yH+gtORgvW3ChFudjUSSIsiiyJ9pc9cxJxIXlNq7R9H9/4PlHw6fgMgaJ6FYUGKYxpafvn87&#10;/fh1+vmVLBdRod75EhPvHKaG4Z0dMPvi9+iMxIcGdPwjJRLj+dvlfE7JsaLLopjPUj4rxRAIx/B8&#10;WsxmGOYYn74pZnnqRPYE48CH98JqEo2KAjYy6csOtz5gSZh6SYm3eqtkvZVKpQ20uxsF5MCw6dv0&#10;xWrxyF9pysRkY+OxMRw9WSQ7kopWGHbDWYGdrY8oAD4dLKiz8EBJj4NTUX+/ZyAoYYaju6LhYt6E&#10;cdL2DmTb4amkQroB25kqOo9enJc/96mOp+e2/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ANMH&#10;0wAAAAUBAAAPAAAAAAAAAAEAIAAAACIAAABkcnMvZG93bnJldi54bWxQSwECFAAUAAAACACHTuJA&#10;47oSOu0BAAC2AwAADgAAAAAAAAABACAAAAAiAQAAZHJzL2Uyb0RvYy54bWxQSwUGAAAAAAYABgBZ&#10;AQAAgQUAAAAA&#10;">
                        <v:fill on="t" focussize="0,0"/>
                        <v:stroke on="f"/>
                        <v:imagedata o:title=""/>
                        <o:lock v:ext="edit" aspectratio="f"/>
                        <v:textbox>
                          <w:txbxContent>
                            <w:p w14:paraId="1A2B2FD5">
                              <w:pPr>
                                <w:rPr>
                                  <w:rFonts w:hint="default" w:eastAsia="宋体"/>
                                  <w:sz w:val="15"/>
                                  <w:szCs w:val="15"/>
                                  <w:lang w:val="en-US" w:eastAsia="zh-CN"/>
                                </w:rPr>
                              </w:pPr>
                              <w:r>
                                <w:rPr>
                                  <w:rFonts w:hint="eastAsia" w:eastAsia="宋体"/>
                                  <w:sz w:val="15"/>
                                  <w:szCs w:val="15"/>
                                  <w:lang w:val="en-US" w:eastAsia="zh-CN"/>
                                </w:rPr>
                                <w:t>天然气</w:t>
                              </w:r>
                            </w:p>
                          </w:txbxContent>
                        </v:textbox>
                      </v:shape>
                      <v:rect id="矩形 87" o:spid="_x0000_s1026" o:spt="1" style="position:absolute;left:262890;top:3494405;height:764539;width:102489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OOZGYEtAgAAagQAAA4AAABkcnMvZTJvRG9jLnhtbK1US5LTMBDd&#10;U8UdVNoTO558XXFmMSFsKJiqgQMosmyrSj9aSuJwGarYcQiOQ801aMlhfrDIAi3sltR+3e91t1fX&#10;vVbkIMBLayo6HuWUCMNtLU1b0c+ftm8WlPjATM2UNaKiJ+Hp9fr1q9XRlaKwnVW1AIIgxpdHV9Eu&#10;BFdmmeed0MyPrBMGLxsLmgXcQpvVwI6IrlVW5PksO1qoHVguvMfTzXBJz4hwCaBtGsnFxvK9FiYM&#10;qCAUC0jJd9J5uk7ZNo3g4WPTeBGIqigyDemJQdDexWe2XrGyBeY6yc8psEtSeMFJM2kw6APUhgVG&#10;9iD/gtKSg/W2CSNudTYQSYogi3H+Qpu7jjmRuKDU3j2I7v8fLP9wuAUia+yE8ZwSwzSW/P7bj18/&#10;v5PFPMpzdL5Erzt3C+edRzNy7RvQ8Y0sSF/RYlYslqjrqaJXk+Vkkk8HdUUfCMf7cV5MkgNHj/ls&#10;Mr1aRofsEciBD++E1SQaFQWsXhKVHd77MLj+cYlxvVWy3kql0gba3Y0CcmBY6W1aZ/RnbsqQY0WX&#10;02JKCWfYvg22DZraoQTetCnesy/8U+A8rX8Bx8Q2zHdDAglhoK9lEIDJs7ITrH5rahJODkU2OF00&#10;JqNFTYkSOIzRSp6BSXWJJ2qnDEoYazRUJVqh3/UIE82drU9YXxx31LOz8BUjYrMj1S97BhifGY7H&#10;FUUNBvMmDNOxdyDbDr8aJ7YRDFswles8LrHHn+5THo+/iP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ZcermtMAAAAFAQAADwAAAAAAAAABACAAAAAiAAAAZHJzL2Rvd25yZXYueG1sUEsBAhQAFAAA&#10;AAgAh07iQOOZGYEtAgAAagQAAA4AAAAAAAAAAQAgAAAAIgEAAGRycy9lMm9Eb2MueG1sUEsFBgAA&#10;AAAGAAYAWQEAAMEFAAAAAA==&#10;">
                        <v:fill on="t" focussize="0,0"/>
                        <v:stroke color="#000000" joinstyle="miter"/>
                        <v:imagedata o:title=""/>
                        <o:lock v:ext="edit" aspectratio="f"/>
                        <v:textbox>
                          <w:txbxContent>
                            <w:p w14:paraId="523DB92C">
                              <w:pPr>
                                <w:jc w:val="center"/>
                                <w:rPr>
                                  <w:rFonts w:hint="eastAsia"/>
                                  <w:sz w:val="18"/>
                                  <w:szCs w:val="18"/>
                                  <w:lang w:val="en-US" w:eastAsia="zh-CN"/>
                                </w:rPr>
                              </w:pPr>
                              <w:r>
                                <w:rPr>
                                  <w:rFonts w:hint="eastAsia"/>
                                  <w:sz w:val="18"/>
                                  <w:szCs w:val="18"/>
                                  <w:lang w:val="en-US" w:eastAsia="zh-CN"/>
                                </w:rPr>
                                <w:t>图例</w:t>
                              </w:r>
                            </w:p>
                            <w:p w14:paraId="45B4497F">
                              <w:pPr>
                                <w:pStyle w:val="3"/>
                                <w:jc w:val="center"/>
                                <w:rPr>
                                  <w:rFonts w:hint="eastAsia"/>
                                  <w:b w:val="0"/>
                                  <w:bCs w:val="0"/>
                                  <w:sz w:val="18"/>
                                  <w:szCs w:val="18"/>
                                  <w:lang w:val="en-US" w:eastAsia="zh-CN"/>
                                </w:rPr>
                              </w:pPr>
                              <w:r>
                                <w:rPr>
                                  <w:rFonts w:hint="eastAsia"/>
                                  <w:b w:val="0"/>
                                  <w:bCs w:val="0"/>
                                  <w:sz w:val="18"/>
                                  <w:szCs w:val="18"/>
                                  <w:lang w:val="en-US" w:eastAsia="zh-CN"/>
                                </w:rPr>
                                <w:t>G—有组织废气</w:t>
                              </w:r>
                            </w:p>
                            <w:p w14:paraId="173F142C">
                              <w:pPr>
                                <w:jc w:val="center"/>
                                <w:rPr>
                                  <w:rFonts w:hint="eastAsia"/>
                                  <w:b w:val="0"/>
                                  <w:bCs w:val="0"/>
                                  <w:sz w:val="18"/>
                                  <w:szCs w:val="18"/>
                                  <w:lang w:val="en-US" w:eastAsia="zh-CN"/>
                                </w:rPr>
                              </w:pPr>
                              <w:r>
                                <w:rPr>
                                  <w:rFonts w:hint="eastAsia"/>
                                  <w:b w:val="0"/>
                                  <w:bCs w:val="0"/>
                                  <w:sz w:val="18"/>
                                  <w:szCs w:val="18"/>
                                  <w:lang w:val="en-US" w:eastAsia="zh-CN"/>
                                </w:rPr>
                                <w:t>N—噪声</w:t>
                              </w:r>
                            </w:p>
                            <w:p w14:paraId="3CD988BE">
                              <w:pPr>
                                <w:jc w:val="center"/>
                                <w:rPr>
                                  <w:rFonts w:hint="default"/>
                                  <w:lang w:val="en-US" w:eastAsia="zh-CN"/>
                                </w:rPr>
                              </w:pPr>
                              <w:r>
                                <w:rPr>
                                  <w:rFonts w:hint="eastAsia"/>
                                  <w:b w:val="0"/>
                                  <w:bCs w:val="0"/>
                                  <w:sz w:val="18"/>
                                  <w:szCs w:val="18"/>
                                  <w:lang w:val="en-US" w:eastAsia="zh-CN"/>
                                </w:rPr>
                                <w:t>S—固废</w:t>
                              </w:r>
                            </w:p>
                          </w:txbxContent>
                        </v:textbox>
                      </v:rect>
                      <v:rect id="矩形 88" o:spid="_x0000_s1026" o:spt="1" style="position:absolute;left:1798320;top:3134360;height:24130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IvTW30sAgAAagQAAA4AAABkcnMvZTJvRG9jLnhtbK1US27bMBTc&#10;F+gdCO5rWXbiOIblLOK6m6INkPYANEVJBPgrSVt2L1Ogux6ixylyjQ4pN792kUW1kIbi07w38x61&#10;vDpoRfbCB2lNRcvRmBJhuK2laSv6+dPmzZySEJmpmbJGVPQoAr1avX617N1CTGxnVS08AYkJi95V&#10;tIvRLYoi8E5oFkbWCYPNxnrNIpa+LWrPerBrVUzG41nRW187b7kIAW/XwyY9MfqXENqmkVysLd9p&#10;YeLA6oViEZJCJ12gq1xt0wgePzZNEJGoikJpzHckAd6me7FaskXrmeskP5XAXlLCM02aSYOk91Rr&#10;FhnZefkXlZbc22CbOOJWF4OQ7AhUlONn3tx2zImsBVYHd296+H+0/MP+xhNZYxJKNN4wjZbfffvx&#10;6+d3Mp8ne3oXFoi6dTf+tAqASeuh8To9oYIcQHBxOZ9OYOyxotNyejadnewVh0g4AmYX03KMfY6A&#10;yVk5BQZj8UDkfIjvhNUkgYp6dC+byvbvQxxC/4SkvMEqWW+kUnnh2+218mTP0OlNvk7sT8KUIX1F&#10;L88n56iDYXwbjA2gdrAgmDbne/JFeEw8zte/iFNhaxa6oYDMkMLYQssofEadYPVbU5N4dDDZ4HTR&#10;VIwWNSVK4DAmlCMjk+olkfBOGViYejR0JaF42B5Ak+DW1kf0F8cdfnbWf0VGDDukftkxj/zMcLyu&#10;KDwY4HUcTsfOedl2+KrMahMZRjC363Rc0ow/Xuc6Hn4Rq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lx6ua0wAAAAUBAAAPAAAAAAAAAAEAIAAAACIAAABkcnMvZG93bnJldi54bWxQSwECFAAUAAAA&#10;CACHTuJAi9NbfSwCAABqBAAADgAAAAAAAAABACAAAAAiAQAAZHJzL2Uyb0RvYy54bWxQSwUGAAAA&#10;AAYABgBZAQAAwAUAAAAA&#10;">
                        <v:fill on="t" focussize="0,0"/>
                        <v:stroke color="#000000" joinstyle="miter"/>
                        <v:imagedata o:title=""/>
                        <o:lock v:ext="edit" aspectratio="f"/>
                        <v:textbox>
                          <w:txbxContent>
                            <w:p w14:paraId="01CA14F5">
                              <w:pPr>
                                <w:spacing w:line="240" w:lineRule="auto"/>
                                <w:jc w:val="center"/>
                                <w:rPr>
                                  <w:rFonts w:hint="default" w:eastAsia="宋体"/>
                                  <w:sz w:val="18"/>
                                  <w:szCs w:val="18"/>
                                  <w:lang w:val="en-US" w:eastAsia="zh-CN"/>
                                </w:rPr>
                              </w:pPr>
                              <w:r>
                                <w:rPr>
                                  <w:rFonts w:hint="eastAsia" w:eastAsia="宋体"/>
                                  <w:sz w:val="18"/>
                                  <w:szCs w:val="18"/>
                                  <w:lang w:val="en-US" w:eastAsia="zh-CN"/>
                                </w:rPr>
                                <w:t>冷却水床chuangchuang</w:t>
                              </w:r>
                            </w:p>
                          </w:txbxContent>
                        </v:textbox>
                      </v:rect>
                      <v:rect id="矩形 89" o:spid="_x0000_s1026" o:spt="1" style="position:absolute;left:3682365;top:786131;height:24130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A8FbacuAgAAaQQAAA4AAABkcnMvZTJvRG9jLnhtbK1US5LTMBDd&#10;U8UdVNoTxwmTSVJxZjEhbCiYqoEDKLIcq0o/JCV2uAxV7DgEx6G4Bk9ymB8sZoEWdktqv+73utur&#10;q14rchQ+SGsqWo7GlAjDbS3NvqKfPm5fzSkJkZmaKWtERU8i0Kv1yxerzi3FxLZW1cITgJiw7FxF&#10;2xjdsigCb4VmYWSdMLhsrNcsYuv3Re1ZB3Stisl4PCs662vnLRch4HQzXNIzon8OoG0aycXG8oMW&#10;Jg6oXigWQSm00gW6ztk2jeDxQ9MEEYmqKJjG/EQQ2Lv0LNYrttx75lrJzymw56TwhJNm0iDoHdSG&#10;RUYOXv4FpSX3NtgmjrjVxUAkKwIW5fiJNrctcyJzgdTB3Yke/h8sf3+88UTW6IRyQYlhGiX/9fX7&#10;zx/fyHyR5OlcWMLr1t348y7ATFz7xuv0BgvSV3Q6m0+mswtKThW9nM/KaTmoK/pIOO5nl9NyDN05&#10;7ievyylsABb3OM6H+FZYTZJRUY/iZU3Z8V2Ig+sflxQ2WCXrrVQqb/x+d608OTIUepvXGf2RmzKk&#10;q+jiYoI0OUP3NugamNpBgWD2Od6jL8JD4HFe/wJOiW1YaIcEMsLAXssoPJJny1aw+o2pSTw5aGww&#10;XDQlo0VNiRKYxWRlz8ikeo4ntFMGEqYSDUVJVux3PWCSubP1CeXFtEPP1voviIheB9XPB+YRnxmO&#10;44pCg8G8jsNwHJyX+xZf5SLmCOjAXK7ztKQWf7jPedz/Id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XHq5rTAAAABQEAAA8AAAAAAAAAAQAgAAAAIgAAAGRycy9kb3ducmV2LnhtbFBLAQIUABQA&#10;AAAIAIdO4kAPBW2nLgIAAGkEAAAOAAAAAAAAAAEAIAAAACIBAABkcnMvZTJvRG9jLnhtbFBLBQYA&#10;AAAABgAGAFkBAADCBQAAAAA=&#10;">
                        <v:fill on="t" focussize="0,0"/>
                        <v:stroke color="#000000" joinstyle="miter"/>
                        <v:imagedata o:title=""/>
                        <o:lock v:ext="edit" aspectratio="f"/>
                        <v:textbox>
                          <w:txbxContent>
                            <w:p w14:paraId="6C426D5B">
                              <w:pPr>
                                <w:spacing w:line="240" w:lineRule="auto"/>
                                <w:jc w:val="center"/>
                                <w:rPr>
                                  <w:rFonts w:hint="default" w:eastAsia="宋体"/>
                                  <w:sz w:val="18"/>
                                  <w:szCs w:val="18"/>
                                  <w:lang w:val="en-US" w:eastAsia="zh-CN"/>
                                </w:rPr>
                              </w:pPr>
                              <w:r>
                                <w:rPr>
                                  <w:rFonts w:hint="eastAsia" w:eastAsia="宋体"/>
                                  <w:sz w:val="18"/>
                                  <w:szCs w:val="18"/>
                                  <w:lang w:val="en-US" w:eastAsia="zh-CN"/>
                                </w:rPr>
                                <w:t>仓库储存</w:t>
                              </w:r>
                            </w:p>
                          </w:txbxContent>
                        </v:textbox>
                      </v:rect>
                      <v:shape id="文本框 97" o:spid="_x0000_s1026" o:spt="202" type="#_x0000_t202" style="position:absolute;left:2849880;top:4070985;height:228600;width:574675;"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BHQQjbvAQAAuAMAAA4AAABkcnMvZTJvRG9jLnhtbK1TzY7TMBC+&#10;I/EOlu802ag/adR0JbYqFwRICw/gOk5jyX+M3SblAeANOHHhznP1ORg77S4slz2QQ2KPP38z3zeT&#10;1e2gFTkK8NKamt5MckqE4baRZl/TTx+3r0pKfGCmYcoaUdOT8PR2/fLFqneVKGxnVSOAIInxVe9q&#10;2oXgqizzvBOa+Yl1wuBha0GzgFvYZw2wHtm1yoo8n2e9hcaB5cJ7jG7GQ3phhOcQ2raVXGwsP2hh&#10;wsgKQrGAknwnnafrVG3bCh7et60XgaiaotKQ3pgE17v4ztYrVu2BuU7ySwnsOSU80aSZNJj0gWrD&#10;AiMHkP9QacnBetuGCbc6G4UkR1DFTf7Em/uOOZG0oNXePZju/x8tf3f8AEQ2OAkFemKYxpafv387&#10;//h1/vmVLBfRod75CoH3DqFheG0HRF/jHoNR+NCCjl+URPC8KKfLskTGU02n+SJflrPRazEEwhEw&#10;W0znixklHAFFUc7z1IvskciBD2+E1SQuagrYyuQwO771AYtC6BUS83qrZLOVSqUN7Hd3CsiRYdu3&#10;6YnZ8cpfMGUi2Nh4bTyOkSzKHWXFVRh2w8WDnW1OaAH+PFhQZ+ELJT2OTk395wMDQQkzHMM1Ddfl&#10;XRhn7eBA7ju8lXxLGbChqaLL8MWJ+XOf6nj84d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EA&#10;0wfTAAAABQEAAA8AAAAAAAAAAQAgAAAAIgAAAGRycy9kb3ducmV2LnhtbFBLAQIUABQAAAAIAIdO&#10;4kAR0EI27wEAALgDAAAOAAAAAAAAAAEAIAAAACIBAABkcnMvZTJvRG9jLnhtbFBLBQYAAAAABgAG&#10;AFkBAACDBQAAAAA=&#10;">
                        <v:fill on="t" focussize="0,0"/>
                        <v:stroke on="f"/>
                        <v:imagedata o:title=""/>
                        <o:lock v:ext="edit" aspectratio="f"/>
                        <v:textbox>
                          <w:txbxContent>
                            <w:p w14:paraId="3ED17BBB">
                              <w:pPr>
                                <w:rPr>
                                  <w:rFonts w:hint="default" w:eastAsia="宋体"/>
                                  <w:sz w:val="15"/>
                                  <w:szCs w:val="15"/>
                                  <w:lang w:val="en-US" w:eastAsia="zh-CN"/>
                                </w:rPr>
                              </w:pPr>
                              <w:r>
                                <w:rPr>
                                  <w:rFonts w:hint="eastAsia" w:eastAsia="宋体"/>
                                  <w:sz w:val="15"/>
                                  <w:szCs w:val="15"/>
                                  <w:lang w:val="en-US" w:eastAsia="zh-CN"/>
                                </w:rPr>
                                <w:t>包装入库</w:t>
                              </w:r>
                            </w:p>
                          </w:txbxContent>
                        </v:textbox>
                      </v:shape>
                      <v:shape id="文本框 99" o:spid="_x0000_s1026" o:spt="202" type="#_x0000_t202" style="position:absolute;left:3757930;top:1291590;height:228600;width:915670;"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H9fvufrAQAAuAMAAA4AAABkcnMvZTJvRG9jLnhtbK1TTY7TMBTe&#10;I3EHy3uatKNpJ1HTkZiqbBAgDRzAdZzEkv94dpuUA8ANWLFhz7l6Dp6ddAaGzSzIwrHf+/z5fZ+f&#10;17eDVuQowEtrKjqf5ZQIw20tTVvRTx93r24o8YGZmilrREVPwtPbzcsX696VYmE7q2oBBEmML3tX&#10;0S4EV2aZ553QzM+sEwaTjQXNAi6hzWpgPbJrlS3yfJn1FmoHlgvvMbodk3RihOcQ2qaRXGwtP2hh&#10;wsgKQrGAknwnnaebVG3TCB7eN40XgaiKotKQRjwE5/s4Zps1K1tgrpN8KoE9p4QnmjSTBg99oNqy&#10;wMgB5D9UWnKw3jZhxq3ORiHJEVQxz594c98xJ5IWtNq7B9P9/6Pl744fgMgaO2Exp8QwjVd+/v7t&#10;/OPX+edXUhTRod75EoH3DqFheG0HRF/iHoNR+NCAjn+URDB/tbpeFVfo8ikyF/PrYvJaDIFwBGBo&#10;ucI8R8BicbPMUz57JHLgwxthNYmTigJeZXKYHd/6gEUh9AKJ53qrZL2TSqUFtPs7BeTI8Np36Yv1&#10;4pa/YMpEsLFx25iOkSzKHWXFWRj2w+TB3tYntAAfDxbUWfhCSY+tU1H/+cBAUMIMx3BFw2V6F8Ze&#10;OziQbYe7km/pBLzQVNHUfLFj/lynOh4f3OY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8QDTB9MA&#10;AAAFAQAADwAAAAAAAAABACAAAAAiAAAAZHJzL2Rvd25yZXYueG1sUEsBAhQAFAAAAAgAh07iQH9f&#10;vufrAQAAuAMAAA4AAAAAAAAAAQAgAAAAIgEAAGRycy9lMm9Eb2MueG1sUEsFBgAAAAAGAAYAWQEA&#10;AH8FAAAAAA==&#10;">
                        <v:fill on="t" focussize="0,0"/>
                        <v:stroke on="f"/>
                        <v:imagedata o:title=""/>
                        <o:lock v:ext="edit" aspectratio="f"/>
                        <v:textbox>
                          <w:txbxContent>
                            <w:p w14:paraId="6436EC09">
                              <w:pPr>
                                <w:rPr>
                                  <w:rFonts w:hint="default" w:eastAsia="宋体"/>
                                  <w:sz w:val="15"/>
                                  <w:szCs w:val="15"/>
                                  <w:lang w:val="en-US" w:eastAsia="zh-CN"/>
                                </w:rPr>
                              </w:pPr>
                              <w:r>
                                <w:rPr>
                                  <w:rFonts w:hint="eastAsia" w:eastAsia="宋体"/>
                                  <w:sz w:val="15"/>
                                  <w:szCs w:val="15"/>
                                  <w:lang w:val="en-US" w:eastAsia="zh-CN"/>
                                </w:rPr>
                                <w:t>G1-1、G1-2、N</w:t>
                              </w:r>
                            </w:p>
                          </w:txbxContent>
                        </v:textbox>
                      </v:shape>
                      <v:shape id="文本框 101" o:spid="_x0000_s1026" o:spt="202" type="#_x0000_t202" style="position:absolute;left:3726815;top:2194561;height:228600;width:508000;"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O9nXTDsAQAAuQMAAA4AAABkcnMvZTJvRG9jLnhtbK1TzY7TMBC+&#10;I/EOlu80P0tLiZquxFblggBp4QFcx2ks+Y+x26Q8ALwBJy7c97n6HIyddBeWyx7IwRmPx9/M9814&#10;dT1oRY4CvLSmpsUsp0QYbhtp9jX9/Gn7YkmJD8w0TFkjanoSnl6vnz9b9a4Spe2sagQQBDG+6l1N&#10;uxBclWWed0IzP7NOGDxsLWgWcAv7rAHWI7pWWZnni6y30DiwXHiP3s14SCdEeAqgbVvJxcbygxYm&#10;jKggFAtIyXfSebpO1bat4OFD23oRiKopMg1pxSRo7+KarVes2gNzneRTCewpJTzipJk0mPQeasMC&#10;IweQ/0BpycF624YZtzobiSRFkEWRP9LmtmNOJC4otXf3ovv/B8vfHz8CkQ1OQnlFiWEaW37+8f38&#10;8+786xsp8iJK1DtfYeStw9gwvLEDhl/8Hp2R+dCCjn/kRPD86lW5WBZzSk41LYvXL+eLdINVYgiE&#10;Y8A8X+Y5toHHgHK5QBszZQ9ADnx4K6wm0agpYC+TxOz4zocx9BIS83qrZLOVSqUN7Hc3CsiRYd+3&#10;6ZvQ/wpTJgYbG6+NiNGTRbojrWiFYTdMGuxsc0IJ8PVgQZ2Fr5T0ODs19V8ODAQlzHB01zRczJsw&#10;DtvBgdx3eCupkDJgRxPfafriyPy5T3U8vLj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EA0wfT&#10;AAAABQEAAA8AAAAAAAAAAQAgAAAAIgAAAGRycy9kb3ducmV2LnhtbFBLAQIUABQAAAAIAIdO4kDv&#10;Z10w7AEAALkDAAAOAAAAAAAAAAEAIAAAACIBAABkcnMvZTJvRG9jLnhtbFBLBQYAAAAABgAGAFkB&#10;AACABQAAAAA=&#10;">
                        <v:fill on="t" focussize="0,0"/>
                        <v:stroke on="f"/>
                        <v:imagedata o:title=""/>
                        <o:lock v:ext="edit" aspectratio="f"/>
                        <v:textbox>
                          <w:txbxContent>
                            <w:p w14:paraId="767F0907">
                              <w:pPr>
                                <w:rPr>
                                  <w:rFonts w:hint="default" w:eastAsia="宋体"/>
                                  <w:sz w:val="15"/>
                                  <w:szCs w:val="15"/>
                                  <w:lang w:val="en-US" w:eastAsia="zh-CN"/>
                                </w:rPr>
                              </w:pPr>
                              <w:r>
                                <w:rPr>
                                  <w:rFonts w:hint="eastAsia" w:eastAsia="宋体"/>
                                  <w:sz w:val="15"/>
                                  <w:szCs w:val="15"/>
                                  <w:lang w:val="en-US" w:eastAsia="zh-CN"/>
                                </w:rPr>
                                <w:t>G1-2、N</w:t>
                              </w:r>
                            </w:p>
                          </w:txbxContent>
                        </v:textbox>
                      </v:shape>
                      <v:shape id="文本框 102" o:spid="_x0000_s1026" o:spt="202" type="#_x0000_t202" style="position:absolute;left:3712845;top:2653032;height:228600;width:508000;"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NTr8N/tAQAAuQMAAA4AAABkcnMvZTJvRG9jLnhtbK1TS27bMBDd&#10;F+gdCO5ryXLsGoLlAI3hboq2QNoD0BRlEeCvQ9qSe4D2Bl11033P5XNkSMlJm2yyiBfycPj0Zt6b&#10;0eq614ocBXhpTUWnk5wSYbitpdlX9OuX7ZslJT4wUzNljajoSXh6vX79atW5UhS2taoWQJDE+LJz&#10;FW1DcGWWed4KzfzEOmHwsrGgWcAj7LMaWIfsWmVFni+yzkLtwHLhPWY3wyUdGeE5hLZpJBcbyw9a&#10;mDCwglAsoCTfSufpOnXbNIKHT03jRSCqoqg0pCcWwXgXn9l6xco9MNdKPrbAntPCI02aSYNF76k2&#10;LDByAPmESksO1tsmTLjV2SAkOYIqpvkjb25b5kTSglZ7d2+6fzla/vH4GYiscROKK0oM0zjy86+f&#10;599/z39+kGleRIs650tE3jrEhv6d7RF+yXtMRuV9Azr+oyaC97O302J5NafkVNFiMZ/ls8TEStEH&#10;whEwz5d5jmPgEVAsFxhjpeyByIEP74XVJAYVBZxlspgdP/gwQC+QWNdbJeutVCodYL+7UUCODOe+&#10;Tb+R/T+YMhFsbHxtYIyZLModZMUo9Lt+9GBn6xNagF8PNtRa+E5Jh7tTUf/twEBQwgzHdEXDJbwJ&#10;w7IdHMh9i28l31IFnGjSO25fXJl/z6mPhy9uf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ANMH&#10;0wAAAAUBAAAPAAAAAAAAAAEAIAAAACIAAABkcnMvZG93bnJldi54bWxQSwECFAAUAAAACACHTuJA&#10;1Ovw3+0BAAC5AwAADgAAAAAAAAABACAAAAAiAQAAZHJzL2Uyb0RvYy54bWxQSwUGAAAAAAYABgBZ&#10;AQAAgQUAAAAA&#10;">
                        <v:fill on="t" focussize="0,0"/>
                        <v:stroke on="f"/>
                        <v:imagedata o:title=""/>
                        <o:lock v:ext="edit" aspectratio="f"/>
                        <v:textbox>
                          <w:txbxContent>
                            <w:p w14:paraId="03594387">
                              <w:pPr>
                                <w:rPr>
                                  <w:rFonts w:hint="default" w:eastAsia="宋体"/>
                                  <w:sz w:val="15"/>
                                  <w:szCs w:val="15"/>
                                  <w:lang w:val="en-US" w:eastAsia="zh-CN"/>
                                </w:rPr>
                              </w:pPr>
                              <w:r>
                                <w:rPr>
                                  <w:rFonts w:hint="eastAsia" w:eastAsia="宋体"/>
                                  <w:sz w:val="15"/>
                                  <w:szCs w:val="15"/>
                                  <w:lang w:val="en-US" w:eastAsia="zh-CN"/>
                                </w:rPr>
                                <w:t>G1-3、N</w:t>
                              </w:r>
                            </w:p>
                          </w:txbxContent>
                        </v:textbox>
                      </v:shape>
                      <v:shape id="文本框 104" o:spid="_x0000_s1026" o:spt="202" type="#_x0000_t202" style="position:absolute;left:751205;top:327660;height:228600;width:706755;"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PM7L5PrAQAAtwMAAA4AAABkcnMvZTJvRG9jLnhtbK1TzY7TMBC+&#10;I/EOlu80aaDtKmq6EluVCwKkhQdwHSex5D/GbpPyAPAGnLhw57n6HIyddJfdveyBHJzxzPib+T6P&#10;19eDVuQowEtrKjqf5ZQIw20tTVvRL593r64o8YGZmilrREVPwtPrzcsX696VorCdVbUAgiDGl72r&#10;aBeCK7PM805o5mfWCYPBxoJmAbfQZjWwHtG1yoo8X2a9hdqB5cJ79G7HIJ0Q4TmAtmkkF1vLD1qY&#10;MKKCUCwgJd9J5+kmdds0goePTeNFIKqiyDSkFYugvY9rtlmzsgXmOsmnFthzWnjESTNpsOgd1JYF&#10;Rg4gn0BpycF624QZtzobiSRFkMU8f6TNbcecSFxQau/uRPf/D5Z/OH4CImuchGJBiWEar/z888f5&#10;15/z7+9knr+JEvXOl5h56zA3DG/tgOkXv0dnZD40oOMfORGMrxbzIkfEU0VfF6vlcpJaDIHwGM6X&#10;qwWGOcaL4mqZp3h2D+PAh3fCahKNigLeZBKYHd/7gC1h6iUlVvVWyXonlUobaPc3CsiR4a3v0he7&#10;xSMP0pSJycbGY2M4erJIdiQVrTDsh0mBva1PKAC+HWyos/CNkh4np6L+64GBoIQZju6Khot5E8ZR&#10;OziQbYenkmqpAt5n6miavTgw/+5TH/fvbfM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8QDTB9MA&#10;AAAFAQAADwAAAAAAAAABACAAAAAiAAAAZHJzL2Rvd25yZXYueG1sUEsBAhQAFAAAAAgAh07iQPM7&#10;L5PrAQAAtwMAAA4AAAAAAAAAAQAgAAAAIgEAAGRycy9lMm9Eb2MueG1sUEsFBgAAAAAGAAYAWQEA&#10;AH8FAAAAAA==&#10;">
                        <v:fill on="t" focussize="0,0"/>
                        <v:stroke on="f"/>
                        <v:imagedata o:title=""/>
                        <o:lock v:ext="edit" aspectratio="f"/>
                        <v:textbox>
                          <w:txbxContent>
                            <w:p w14:paraId="5268C8DE">
                              <w:pPr>
                                <w:rPr>
                                  <w:rFonts w:hint="default" w:eastAsia="宋体"/>
                                  <w:sz w:val="15"/>
                                  <w:szCs w:val="15"/>
                                  <w:lang w:val="en-US" w:eastAsia="zh-CN"/>
                                </w:rPr>
                              </w:pPr>
                              <w:r>
                                <w:rPr>
                                  <w:rFonts w:hint="eastAsia" w:eastAsia="宋体"/>
                                  <w:sz w:val="15"/>
                                  <w:szCs w:val="15"/>
                                  <w:lang w:val="en-US" w:eastAsia="zh-CN"/>
                                </w:rPr>
                                <w:t>G1-5、N、S2</w:t>
                              </w:r>
                            </w:p>
                          </w:txbxContent>
                        </v:textbox>
                      </v:shape>
                      <v:shape id="自选图形 105" o:spid="_x0000_s1026" o:spt="32" type="#_x0000_t32" style="position:absolute;left:542925;top:910591;height:1270;width:28067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I4xWqkIAgAA8wMAAA4AAABkcnMvZTJvRG9jLnhtbK1TS44TMRDd&#10;I3EHy3vSH5EwaaUzi4RhgyAScADHdndb8k8uTzrZsUOcgR1L7gC3GQluQdkdZmBgMQt64S67ql7V&#10;ey6vLo9Gk4MMoJxtaTUrKZGWO6Fs39J3b6+eXFACkVnBtLOypScJ9HL9+NFq9I2s3eC0kIEgiIVm&#10;9C0dYvRNUQAfpGEwc15adHYuGBZxG/pCBDYiutFFXZaLYnRB+OC4BMDT7eSkZ8TwEEDXdYrLrePX&#10;Rto4oQapWURKMCgPdJ277TrJ4+uuAxmJbikyjXnFImjv01qsV6zpA/OD4ucW2ENauMfJMGWx6C3U&#10;lkVGroP6C8ooHhy4Ls64M8VEJCuCLKrynjZvBuZl5oJSg78VHf4fLH912AWiBE5CvaDEMoNX/v3D&#10;lx/vP958+nbz9TOpynlSafTQYPDG7sJ5B34XEuVjF0z6IxlybOn8ab2s55ScWrrE3GU1aSyPkXB0&#10;1xfl4hmqz9Ff1WghWnEH4gPEF9IZkoyWQgxM9UPcOGvxLl2ossrs8BLilPgrIXWgLRmx6jyV5wxn&#10;s8OZQNN45Ae2z7ngtBJXSuuUAaHfb3QgB5bmI3/nhv4IS0W2DIYpTqA1kRokE8+tIPHkUTaL74Wm&#10;DowUlGiJzytZ2CdrIlP6LpKF4MZ/h6IW2qIkSe9J4WTtnThl4fM5zkIW7Ty3adh+3+fsu7e6/g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iRIQX0wAAAAUBAAAPAAAAAAAAAAEAIAAAACIAAABkcnMv&#10;ZG93bnJldi54bWxQSwECFAAUAAAACACHTuJAjjFaqQgCAADzAwAADgAAAAAAAAABACAAAAAiAQAA&#10;ZHJzL2Uyb0RvYy54bWxQSwUGAAAAAAYABgBZAQAAnAUAAAAA&#10;">
                        <v:fill on="f" focussize="0,0"/>
                        <v:stroke color="#000000" joinstyle="round" dashstyle="dash" endarrow="open"/>
                        <v:imagedata o:title=""/>
                        <o:lock v:ext="edit" aspectratio="f"/>
                      </v:shape>
                      <v:shape id="自选图形 108" o:spid="_x0000_s1026" o:spt="32" type="#_x0000_t32" style="position:absolute;left:2518410;top:2770507;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CbfDkgLAgAA8gMAAA4AAABkcnMvZTJvRG9jLnhtbK1TTY7TMBTe&#10;I3EHy3uapJrSTtR0Fi3DBkEl4ACu7SSW/Cc/T9Pu2CHOwI4ld4DbjDTcgmenTGFgMQuycJ7t9z5/&#10;3+fn5dXBaLKXAZSzDa0mJSXScieU7Rr6/t31swUlEJkVTDsrG3qUQK9WT58sB1/LqeudFjIQBLFQ&#10;D76hfYy+LgrgvTQMJs5Li5utC4ZFnIauEIENiG50MS3L58XggvDBcQmAq5txk54Qw2MAXdsqLjeO&#10;3xhp44gapGYRJUGvPNBVZtu2ksc3bQsyEt1QVBrziIdgvEtjsVqyugvM94qfKLDHUHigyTBl8dB7&#10;qA2LjNwE9ReUUTw4cG2ccGeKUUh2BFVU5QNv3vbMy6wFrQZ/bzr8P1j+er8NRAnshOmcEssMXvnd&#10;x68/Pny6/fz99tsXUpWL5NLgocbktd2G0wz8NiTJhzaY9Ecx5NDQ6axaXFTo7xHj+byclfPRZXmI&#10;hKeE+eVFifscE/IFFGcMHyC+lM6QFDQUYmCq6+PaWYtX6UKVTWb7VxCRBRb+KkgEtCVDQy9n0xmC&#10;M2zNFlsCQ+NRHtgu14LTSlwrrVMFhG631oHsWWqP/CWuiPtHWjpkw6Af8wRGo6JeMvHCChKPHl2z&#10;+FxoYmCkoERLfF0pQjxWR6b0OZOF4IZ/p+LR2iKDZPdocIp2Thyz73kdWyFzPLVt6rXf57n6/FRX&#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RIQX0wAAAAUBAAAPAAAAAAAAAAEAIAAAACIAAABk&#10;cnMvZG93bnJldi54bWxQSwECFAAUAAAACACHTuJAJt8OSAsCAADyAwAADgAAAAAAAAABACAAAAAi&#10;AQAAZHJzL2Uyb0RvYy54bWxQSwUGAAAAAAYABgBZAQAAnwUAAAAA&#10;">
                        <v:fill on="f" focussize="0,0"/>
                        <v:stroke color="#000000" joinstyle="round" dashstyle="dash" endarrow="open"/>
                        <v:imagedata o:title=""/>
                        <o:lock v:ext="edit" aspectratio="f"/>
                      </v:shape>
                      <v:shape id="自选图形 109" o:spid="_x0000_s1026" o:spt="32" type="#_x0000_t32" style="position:absolute;left:3469005;top:2772412;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JhxPg8NAgAA8gMAAA4AAABkcnMvZTJvRG9jLnhtbK1TzY7TMBC+&#10;I/EOlu80aehuadR0Dy3LBUEl4AFc20ks+U9jb9PeuCGegRtH3gHeZiV4C8ZO2cLCYQ/k4IyTmW++&#10;7/N4eXUwmuwlBOVsQ6eTkhJpuRPKdg199/b6yTNKQmRWMO2sbOhRBnq1evxoOfhaVq53WkggCGJD&#10;PfiG9jH6uigC76VhYeK8tPizdWBYxC10hQA2ILrRRVWWl8XgQHhwXIaAXzfjT3pChIcAurZVXG4c&#10;vzHSxhEVpGYRJYVe+UBXmW3bSh5ft22QkeiGotKYV2yC8S6txWrJ6g6Y7xU/UWAPoXBPk2HKYtM7&#10;qA2LjNyA+gvKKA4uuDZOuDPFKCQ7giqm5T1v3vTMy6wFrQ7+zvTw/2D5q/0WiBI4CRUevGUGj/z7&#10;hy8/3n+8/fTt9utnMi0XyaXBhxqT13YLp13wW0iSDy2Y9EYx5NDQp7PLRVleUHJsaDWfV7NpNbos&#10;D5FwTKjmi1mJ/nNMyAdQnDE8hPhCOkNS0NAQgamuj2tnLR6lg2k2me1fhogssPBXQSKgLRkaurio&#10;sDlnOJotjgSGxqO8YLtcG5xW4lppnSoCdLu1BrJnaTzyk7gi7h9pqcmGhX7MExiNinrJxHMrSDx6&#10;dM3idaGJgZGCEi3xdqUI8VgdmdLnTAbghn+nYmttkUGyezQ4RTsnjtn3/B1HIXM8jW2atd/3ufp8&#10;VVc/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JEhBfTAAAABQEAAA8AAAAAAAAAAQAgAAAAIgAA&#10;AGRycy9kb3ducmV2LnhtbFBLAQIUABQAAAAIAIdO4kCYcT4PDQIAAPIDAAAOAAAAAAAAAAEAIAAA&#10;ACIBAABkcnMvZTJvRG9jLnhtbFBLBQYAAAAABgAGAFkBAAChBQAAAAA=&#10;">
                        <v:fill on="f" focussize="0,0"/>
                        <v:stroke color="#000000" joinstyle="round" dashstyle="dash" endarrow="open"/>
                        <v:imagedata o:title=""/>
                        <o:lock v:ext="edit" aspectratio="f"/>
                      </v:shape>
                      <v:shape id="自选图形 110" o:spid="_x0000_s1026" o:spt="32" type="#_x0000_t32" style="position:absolute;left:3465195;top:2305686;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Abl9IALAgAA8gMAAA4AAABkcnMvZTJvRG9jLnhtbK1TS44TMRDd&#10;I3EHy3vSn5mESZTOLBKGDYKRgAM4trvbkn8qe9LJjh3iDOxYcgfmNiPBLSi7wwQGFrOgF93ldtWr&#10;957Ly8u90WQnIShnG1pNSkqk5U4o2zX0/burZxeUhMisYNpZ2dCDDPRy9fTJcvALWbveaSGBIIgN&#10;i8E3tI/RL4oi8F4aFibOS4ubrQPDIi6hKwSwAdGNLuqynBWDA+HBcRkC/t2Mm/SICI8BdG2ruNw4&#10;fmOkjSMqSM0iSgq98oGuMtu2lTy+adsgI9ENRaUxv7EJxtv0LlZLtuiA+V7xIwX2GAoPNBmmLDa9&#10;h9qwyMgNqL+gjOLggmvjhDtTjEKyI6iiKh9487ZnXmYtaHXw96aH/wfLX++ugSiBk1DPKbHM4JF/&#10;//j1x4dPd59v7759IVWVXRp8WGDy2l4DepZWwV9DkrxvwaQviiH7hp6dz6bVfErJoaH1WTmdXcxG&#10;l+U+Eo4J9fP5eYn+c0zI0MUJw0OIL6UzJAUNDRGY6vq4dtbiUTqossls9ypEZIGFvwoSAW3J0ND5&#10;tMbmnOFotjgSGBqP8oLtcm1wWokrpXWqCNBt1xrIjqXxyE/iirh/pKUmGxb6MU9gNCrqJRMvrCDx&#10;4NE1i9eFJgZGCkq0xNuVojxhkSl9ymQAbvh3KrbWFhmcDE7R1olD9j3/x1HIHI9jm2bt93WuPl3V&#10;1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RIQX0wAAAAUBAAAPAAAAAAAAAAEAIAAAACIAAABk&#10;cnMvZG93bnJldi54bWxQSwECFAAUAAAACACHTuJABuX0gAsCAADyAwAADgAAAAAAAAABACAAAAAi&#10;AQAAZHJzL2Uyb0RvYy54bWxQSwUGAAAAAAYABgBZAQAAnwUAAAAA&#10;">
                        <v:fill on="f" focussize="0,0"/>
                        <v:stroke color="#000000" joinstyle="round" dashstyle="dash" endarrow="open"/>
                        <v:imagedata o:title=""/>
                        <o:lock v:ext="edit" aspectratio="f"/>
                      </v:shape>
                      <v:shape id="自选图形 112" o:spid="_x0000_s1026" o:spt="32" type="#_x0000_t32" style="position:absolute;left:3515360;top:1408431;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Fa83+4LAgAA8gMAAA4AAABkcnMvZTJvRG9jLnhtbK1Ty24TMRTd&#10;I/EPlvdkZvIobZRJFwllgyAS9AMc2zNjyS9du5lkxw7xDexY8g/0byrBX/TaExooLLpgFp5r+97j&#10;c46vF5d7o8lOQlDO1rQalZRIy51Qtq3p9YerF+eUhMisYNpZWdODDPRy+fzZovdzOXad00ICQRAb&#10;5r2vaRejnxdF4J00LIyclxY3GweGRZxCWwhgPaIbXYzL8qzoHQgPjssQcHU9bNIjIjwF0DWN4nLt&#10;+I2RNg6oIDWLKCl0yge6zGybRvL4rmmCjETXFJXGPOIhGG/TWCwXbN4C853iRwrsKRQeaTJMWTz0&#10;AWrNIiM3oP6CMoqDC66JI+5MMQjJjqCKqnzkzfuOeZm1oNXBP5ge/h8sf7vbAFECO2FSUWKZwSv/&#10;8enbz4+f777c3n3/SqpqnFzqfZhj8spu4DgLfgNJ8r4Bk/4ohuxrOplVs8kZ+ntAzGl5PkXc7LLc&#10;R8IxYfzyYlriPseEfAHFCcNDiK+lMyQFNQ0RmGq7uHLW4lU6qLLJbPcmRMTEwl8FiYC2pK/pxWw8&#10;Q3CGrdlgS2BoPMoLts21wWklrpTWqSJAu11pIDuW2iN/iSvi/pGWDlmz0A15AqNBUSeZeGUFiQeP&#10;rll8LjQxMFJQoiW+rhRl7ZEpfcpkAK7/dyoerS0ySHYPBqdo68Qh+57XsRUyx2Pbpl77fZ6rT091&#10;eQ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RIQX0wAAAAUBAAAPAAAAAAAAAAEAIAAAACIAAABk&#10;cnMvZG93bnJldi54bWxQSwECFAAUAAAACACHTuJAVrzf7gsCAADyAwAADgAAAAAAAAABACAAAAAi&#10;AQAAZHJzL2Uyb0RvYy54bWxQSwUGAAAAAAYABgBZAQAAnwUAAAAA&#10;">
                        <v:fill on="f" focussize="0,0"/>
                        <v:stroke color="#000000" joinstyle="round" dashstyle="dash" endarrow="open"/>
                        <v:imagedata o:title=""/>
                        <o:lock v:ext="edit" aspectratio="f"/>
                      </v:shape>
                      <v:shape id="自选图形 113" o:spid="_x0000_s1026" o:spt="32" type="#_x0000_t32" style="position:absolute;left:2473325;top:1847851;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LmcCF0MAgAA8gMAAA4AAABkcnMvZTJvRG9jLnhtbK1TzY7TMBC+&#10;I/EOlu80TX9oN2q6h5blgmAl4AGmtpNY8p9sb9PeuCGegRtH3oF9m5XgLRg7ZQsLhz2QgzNOZr75&#10;vs/j1eVBK7IXPkhralqOxpQIwyyXpq3p+3dXz5aUhAiGg7JG1PQoAr1cP32y6l0lJrazigtPEMSE&#10;qnc17WJ0VVEE1gkNYWSdMPizsV5DxK1vC+6hR3Stisl4/LzorefOWyZCwK/b4Sc9IfrHANqmkUxs&#10;LbvRwsQB1QsFESWFTrpA15lt0wgW3zRNEJGomqLSmFdsgvEurcV6BVXrwXWSnSjAYyg80KRBGmx6&#10;D7WFCOTGy7+gtGTeBtvEEbO6GIRkR1BFOX7gzdsOnMha0Org7k0P/w+Wvd5feyI5TsJ0QokBjUf+&#10;/ePXHx8+3X2+vfv2hZTlNLnUu1Bh8sZc+9MuuGufJB8ar9MbxZBDTSezxXQ6mVNyRMzlbLGcl4PL&#10;4hAJSwmLi9kY/WeYkA+gOGM4H+JLYTVJQU1D9CDbLm6sMXiU1pfZZNi/ChFZYOGvgkRAGdLX9GKe&#10;mjPA0WxwJDDUDuUF0+baYJXkV1KpVBF8u9soT/aQxiM/iSvi/pGWmmwhdEMex2hQ1AngLwwn8ejQ&#10;NYPXhSYGWnBKlMDblSLEgyqCVOdM8N72/07F1sogg2T3YHCKdpYfs+/5O45C5nga2zRrv+9z9fmq&#10;rn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okSEF9MAAAAFAQAADwAAAAAAAAABACAAAAAiAAAA&#10;ZHJzL2Rvd25yZXYueG1sUEsBAhQAFAAAAAgAh07iQLmcCF0MAgAA8gMAAA4AAAAAAAAAAQAgAAAA&#10;IgEAAGRycy9lMm9Eb2MueG1sUEsFBgAAAAAGAAYAWQEAAKAFAAAAAA==&#10;">
                        <v:fill on="f" focussize="0,0"/>
                        <v:stroke color="#000000" joinstyle="round" dashstyle="dash" endarrow="open"/>
                        <v:imagedata o:title=""/>
                        <o:lock v:ext="edit" aspectratio="f"/>
                      </v:shape>
                      <v:shape id="自选图形 115" o:spid="_x0000_s1026" o:spt="32" type="#_x0000_t32" style="position:absolute;left:3130550;top:1512571;height:217170;width:635;" filled="f" stroked="t" coordsize="21600,21600" o:gfxdata="UEsDBAoAAAAAAIdO4kAAAAAAAAAAAAAAAAAEAAAAZHJzL1BLAwQUAAAACACHTuJANlGSBNQAAAAF&#10;AQAADwAAAGRycy9kb3ducmV2LnhtbE2PQUvDQBCF74L/YRnBm91N0BpiNj0IPQQqxeoP2CZjEszO&#10;ptlp2v77jl708uDxhve+KVZnP6gZp9gHspAsDCikOjQ9tRY+P9YPGajIjho3BEILF4ywKm9vCpc3&#10;4UTvOO+4VVJCMXcWOuYx1zrWHXoXF2FEkuwrTN6x2KnVzeROUu4HnRqz1N71JAudG/G1w/p7d/QW&#10;0urAl/Wm4nnLT28Hn24eq7G29v4uMS+gGM/8dww/+IIOpTDtw5GaqAYL8gj/qmRZYsTuLSwz8wy6&#10;LPR/+vIKUEsDBBQAAAAIAIdO4kB/gcfKDAIAAPUDAAAOAAAAZHJzL2Uyb0RvYy54bWytU82O0zAQ&#10;viPxDpbvNE2rbKFquoeW5YJgJeABpo6TWPKfxt6mvXFDPAM3jrwDvM1K8BaMnbKFhcMeyCEZxzPf&#10;fN/n8eryYDTbSwzK2ZqXkyln0grXKNvV/N3bqydPOQsRbAPaWVnzowz8cv340WrwSzlzvdONREYg&#10;NiwHX/M+Rr8siiB6aSBMnJeWNluHBiItsSsahIHQjS5m0+lFMThsPDohQ6C/23GTnxDxIYCubZWQ&#10;WydujLRxREWpIZKk0Csf+DqzbVsp4uu2DTIyXXNSGvObmlC8S+9ivYJlh+B7JU4U4CEU7mkyoCw1&#10;vYPaQgR2g+ovKKMEuuDaOBHOFKOQ7AipKKf3vHnTg5dZC1kd/J3p4f/Bilf7a2SqoUmYzzmzYOjI&#10;v3/48uP9x9tP326/fmZlWSWXBh+WlLyx13haBX+NSfKhRZO+JIYdaj4v59OqIn+PhFmVs2pRji7L&#10;Q2SCEi7mFWeCdmflolzkIyjOKB5DfCGdYSmoeYgIquvjxllLh+mwzDbD/mWIxIMKfxUkCtqyoebP&#10;qlnqADScLQ0FhcaTwGC7XBucVs2V0jpVBOx2G41sD2lA8pPYEu4faanJFkI/5uWtUVQvoXluGxaP&#10;noyzdGN4omBkw5mWdMFSRICwjKD0ORMQ3fDvVOqtLVFIjo8ep2jnmmO2Pv+nacgkT5Obxu33da4+&#10;39b1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ZRkgTUAAAABQEAAA8AAAAAAAAAAQAgAAAAIgAA&#10;AGRycy9kb3ducmV2LnhtbFBLAQIUABQAAAAIAIdO4kB/gcfKDAIAAPUDAAAOAAAAAAAAAAEAIAAA&#10;ACMBAABkcnMvZTJvRG9jLnhtbFBLBQYAAAAABgAGAFkBAAChBQAAAAA=&#10;">
                        <v:fill on="f" focussize="0,0"/>
                        <v:stroke color="#000000" joinstyle="round" endarrow="open"/>
                        <v:imagedata o:title=""/>
                        <o:lock v:ext="edit" aspectratio="f"/>
                      </v:shape>
                      <v:shape id="自选图形 119" o:spid="_x0000_s1026" o:spt="32" type="#_x0000_t32" style="position:absolute;left:3148330;top:1934846;flip:x;height:217170;width:635;" filled="f" stroked="t" coordsize="21600,21600" o:gfxdata="UEsDBAoAAAAAAIdO4kAAAAAAAAAAAAAAAAAEAAAAZHJzL1BLAwQUAAAACACHTuJAYgzZz9MAAAAF&#10;AQAADwAAAGRycy9kb3ducmV2LnhtbE2PwU7DMBBE70j8g7VI3KgdBCUKcXoAcYILBanqzY2XOCVe&#10;B9ttwt+zcKGXkUazmnlbr2Y/iCPG1AfSUCwUCKQ22J46De9vT1cliJQNWTMEQg3fmGDVnJ/VprJh&#10;olc8rnMnuIRSZTS4nMdKytQ69CYtwojE2UeI3mS2sZM2monL/SCvlVpKb3riBWdGfHDYfq4PXsPm&#10;RW1v5xDdfvt14577x26z95PWlxeFugeRcc7/x/CLz+jQMNMuHMgmMWjgR/KfclYWiu1Ow7JUdyCb&#10;Wp7SNz9QSwMEFAAAAAgAh07iQHXUFroWAgAA/wMAAA4AAABkcnMvZTJvRG9jLnhtbK1TzY7TMBC+&#10;I/EOlu80TdPttlHTPbQsHBBUYnmAqeMklvwn29u0N26IZ+DGkXdY3mYleIsdO2UXFg57IIdo7Jn5&#10;Zr5vxsuLg5Jkz50XRlc0H40p4ZqZWui2oh+uLl/MKfEBdA3SaF7RI/f0YvX82bK3JZ+YzsiaO4Ig&#10;2pe9rWgXgi2zzLOOK/AjY7lGZ2OcgoBH12a1gx7Rlcwm4/Es642rrTOMe4+3m8FJT4juKYCmaQTj&#10;G8OuFddhQHVcQkBKvhPW01Xqtmk4C++axvNAZEWRaUh/LIL2Lv6z1RLK1oHtBDu1AE9p4REnBUJj&#10;0XuoDQQg1078BaUEc8abJoyYUdlAJCmCLPLxI23ed2B54oJSe3svuv9/sOztfuuIqHETiiklGhSO&#10;/Menbz8/fr798v325ivJ80VUqbe+xOC13rrTyduti5QPjVOkkcK+RpAkAtIih4oW+XReFKj0ER2L&#10;Yjqfzga9+SEQhgGz4owSht5Jfp6fp2FkA17Etc6HV9woEo2K+uBAtF1YG61xrMYNtWD/xgfsCBN/&#10;JcRkqUlf0cXZJFYAXNMG1wNNZZGq123q0xsp6kshZczwrt2tpSN7iKuSvtgt4v4RFotswHdDXHIN&#10;pDoO9Utdk3C0KKHGt0NjC4rXlEiOTy1aCAhlACEfIsE50/87FGtLjS1E7Qe1o7Uz9TENId3jXqQm&#10;TzscF+/3c8p+eLerO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IM2c/TAAAABQEAAA8AAAAAAAAA&#10;AQAgAAAAIgAAAGRycy9kb3ducmV2LnhtbFBLAQIUABQAAAAIAIdO4kB11Ba6FgIAAP8DAAAOAAAA&#10;AAAAAAEAIAAAACIBAABkcnMvZTJvRG9jLnhtbFBLBQYAAAAABgAGAFkBAACqBQAAAAA=&#10;">
                        <v:fill on="f" focussize="0,0"/>
                        <v:stroke color="#000000" joinstyle="round" endarrow="open"/>
                        <v:imagedata o:title=""/>
                        <o:lock v:ext="edit" aspectratio="f"/>
                      </v:shape>
                      <v:shape id="自选图形 120" o:spid="_x0000_s1026" o:spt="32" type="#_x0000_t32" style="position:absolute;left:3130550;top:2426972;height:217170;width:0;" filled="f" stroked="t" coordsize="21600,21600" o:gfxdata="UEsDBAoAAAAAAIdO4kAAAAAAAAAAAAAAAAAEAAAAZHJzL1BLAwQUAAAACACHTuJANlGSBNQAAAAF&#10;AQAADwAAAGRycy9kb3ducmV2LnhtbE2PQUvDQBCF74L/YRnBm91N0BpiNj0IPQQqxeoP2CZjEszO&#10;ptlp2v77jl708uDxhve+KVZnP6gZp9gHspAsDCikOjQ9tRY+P9YPGajIjho3BEILF4ywKm9vCpc3&#10;4UTvOO+4VVJCMXcWOuYx1zrWHXoXF2FEkuwrTN6x2KnVzeROUu4HnRqz1N71JAudG/G1w/p7d/QW&#10;0urAl/Wm4nnLT28Hn24eq7G29v4uMS+gGM/8dww/+IIOpTDtw5GaqAYL8gj/qmRZYsTuLSwz8wy6&#10;LPR/+vIKUEsDBBQAAAAIAIdO4kCNBZUTCQIAAPMDAAAOAAAAZHJzL2Uyb0RvYy54bWytU82O0zAQ&#10;viPxDpbvNE1Kt2zVdA8tywVBJeABXMdpLPlPM96mvXFDPAM3jrwDvM1K8BaMnbKFhcMeyMEZZ2Y+&#10;f9+X8eLqYA3bK0DtXc3L0Zgz5aRvtNvV/N3b6yfPOMMoXCOMd6rmR4X8avn40aIPc1X5zptGASMQ&#10;h/M+1LyLMcyLAmWnrMCRD8pRsvVgRaQt7IoGRE/o1hTVeHxR9B6aAF4qRPq6HpL8hAgPAfRtq6Va&#10;e3ljlYsDKigjIknCTgfky8y2bZWMr9sWVWSm5qQ05pUOoXib1mK5EPMdiNBpeaIgHkLhniYrtKND&#10;76DWIgp2A/ovKKslePRtHElvi0FIdoRUlON73rzpRFBZC1mN4c50/H+w8tV+A0w3NAmTKWdOWPrl&#10;3z98+fH+4+2nb7dfP7Oyyi71AedUvHIbIM/SDsMGkuRDCza9SQw71HxSTsbTKfl7rHn1tLq4nFWD&#10;y+oQmaQCSsmUK2flLEMXZ4wAGF8ob1kKao4RhN51ceWdo1/pocwmi/1LjMSCGn81JALGsb7ml9OK&#10;hEhBo9nSSFBoA8lDt8u96I1urrUxqQNht10ZYHuRxiM/iSvh/lGWDlkL7Ia6nBokdUo0z13D4jGQ&#10;bY7uC08UrGo4M4quV4ryiEWhzblSAPj+36V0tnFE4exwira+OWbj83eahUzyNLdp2H7f5+7zXV3+&#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ZRkgTUAAAABQEAAA8AAAAAAAAAAQAgAAAAIgAAAGRy&#10;cy9kb3ducmV2LnhtbFBLAQIUABQAAAAIAIdO4kCNBZUTCQIAAPMDAAAOAAAAAAAAAAEAIAAAACMB&#10;AABkcnMvZTJvRG9jLnhtbFBLBQYAAAAABgAGAFkBAACeBQAAAAA=&#10;">
                        <v:fill on="f" focussize="0,0"/>
                        <v:stroke color="#000000" joinstyle="round" endarrow="open"/>
                        <v:imagedata o:title=""/>
                        <o:lock v:ext="edit" aspectratio="f"/>
                      </v:shape>
                      <v:shape id="自选图形 121" o:spid="_x0000_s1026" o:spt="32" type="#_x0000_t32" style="position:absolute;left:3130550;top:2884172;height:217170;width:0;" filled="f" stroked="t" coordsize="21600,21600" o:gfxdata="UEsDBAoAAAAAAIdO4kAAAAAAAAAAAAAAAAAEAAAAZHJzL1BLAwQUAAAACACHTuJANlGSBNQAAAAF&#10;AQAADwAAAGRycy9kb3ducmV2LnhtbE2PQUvDQBCF74L/YRnBm91N0BpiNj0IPQQqxeoP2CZjEszO&#10;ptlp2v77jl708uDxhve+KVZnP6gZp9gHspAsDCikOjQ9tRY+P9YPGajIjho3BEILF4ywKm9vCpc3&#10;4UTvOO+4VVJCMXcWOuYx1zrWHXoXF2FEkuwrTN6x2KnVzeROUu4HnRqz1N71JAudG/G1w/p7d/QW&#10;0urAl/Wm4nnLT28Hn24eq7G29v4uMS+gGM/8dww/+IIOpTDtw5GaqAYL8gj/qmRZYsTuLSwz8wy6&#10;LPR/+vIKUEsDBBQAAAAIAIdO4kDDcRQ2CwIAAPMDAAAOAAAAZHJzL2Uyb0RvYy54bWytU82O0zAQ&#10;viPxDpbvNE1KtyVquoeW5YJgJeABXNtJLPlPHm/T3rghnoEbR94B3mYleAvGTtnCwmEP5OCMPTPf&#10;zPd5vLo8GE32MoBytqHlZEqJtNwJZbuGvnt79WRJCURmBdPOyoYeJdDL9eNHq8HXsnK900IGgiAW&#10;6sE3tI/R10UBvJeGwcR5adHZumBYxG3oChHYgOhGF9V0elEMLggfHJcAeLodnfSEGB4C6NpWcbl1&#10;/MZIG0fUIDWLSAl65YGuc7dtK3l83bYgI9ENRaYxr1gE7V1ai/WK1V1gvlf81AJ7SAv3OBmmLBa9&#10;g9qyyMhNUH9BGcWDA9fGCXemGIlkRZBFOb2nzZueeZm5oNTg70SH/wfLX+2vA1ECJ2F2QYllBq/8&#10;+4cvP95/vP307fbrZ1JWZVJp8FBj8MZeh9MO/HVIlA9tMOmPZMihobNyNp3PUd9jQ6vl8mm5qEaV&#10;5SESjgHo4slXLspFvoDijOEDxBfSGZKMhkIMTHV93Dhr8SpdKLPIbP8SInaBib8SUgPakqGhz+bV&#10;HCswHM0WRwJN45Ee2C7ngtNKXCmtUwaEbrfRgexZGo/8pV4R94+wVGTLoB/jsmuk1EsmnltB4tGj&#10;bBbfC00tGCko0RKfV7IQkNWRKX2OZCG44d+hWFtbbCHpPSqcrJ0Txyx8PsdZyE2e5jYN2+/7nH1+&#10;q+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NlGSBNQAAAAFAQAADwAAAAAAAAABACAAAAAiAAAA&#10;ZHJzL2Rvd25yZXYueG1sUEsBAhQAFAAAAAgAh07iQMNxFDYLAgAA8wMAAA4AAAAAAAAAAQAgAAAA&#10;IwEAAGRycy9lMm9Eb2MueG1sUEsFBgAAAAAGAAYAWQEAAKAFAAAAAA==&#10;">
                        <v:fill on="f" focussize="0,0"/>
                        <v:stroke color="#000000" joinstyle="round" endarrow="open"/>
                        <v:imagedata o:title=""/>
                        <o:lock v:ext="edit" aspectratio="f"/>
                      </v:shape>
                      <v:shape id="自选图形 122" o:spid="_x0000_s1026" o:spt="32" type="#_x0000_t32" style="position:absolute;left:3103880;top:3368675;height:217170;width:0;" filled="f" stroked="t" coordsize="21600,21600" o:gfxdata="UEsDBAoAAAAAAIdO4kAAAAAAAAAAAAAAAAAEAAAAZHJzL1BLAwQUAAAACACHTuJANlGSBNQAAAAF&#10;AQAADwAAAGRycy9kb3ducmV2LnhtbE2PQUvDQBCF74L/YRnBm91N0BpiNj0IPQQqxeoP2CZjEszO&#10;ptlp2v77jl708uDxhve+KVZnP6gZp9gHspAsDCikOjQ9tRY+P9YPGajIjho3BEILF4ywKm9vCpc3&#10;4UTvOO+4VVJCMXcWOuYx1zrWHXoXF2FEkuwrTN6x2KnVzeROUu4HnRqz1N71JAudG/G1w/p7d/QW&#10;0urAl/Wm4nnLT28Hn24eq7G29v4uMS+gGM/8dww/+IIOpTDtw5GaqAYL8gj/qmRZYsTuLSwz8wy6&#10;LPR/+vIKUEsDBBQAAAAIAIdO4kANN/B7CwIAAPMDAAAOAAAAZHJzL2Uyb0RvYy54bWytU0uOEzEQ&#10;3SNxB8t70p8oH1rpzCJh2CCIBByg4nZ3W/JPtied7NghzsCOJXeA24w03IKyO0xgYDELeuEuu6pe&#10;1Xsur66OSpIDd14YXdNiklPCNTON0F1N37+7frakxAfQDUijeU1P3NOr9dMnq8FWvDS9kQ13BEG0&#10;rwZb0z4EW2WZZz1X4CfGco3O1jgFAbeuyxoHA6IrmZV5Ps8G4xrrDOPe4+l2dNIzonsMoGlbwfjW&#10;sBvFdRhRHZcQkJLvhfV0nbptW87Cm7b1PBBZU2Qa0opF0N7HNVuvoOoc2F6wcwvwmBYecFIgNBa9&#10;h9pCAHLjxF9QSjBnvGnDhBmVjUSSIsiiyB9o87YHyxMXlNrbe9H9/4Nlrw87R0SDkzBdUKJB4ZXf&#10;ffz648On28/fb799IUVZRpUG6ysM3uidO++83blI+dg6Ff9IhhxrOi3y6XKJ+p7Qns6X88VsVJkf&#10;A2EYgC6GvrJYFIt0AdkFwzofXnKjSDRq6oMD0fVhY7TGqzSuSCLD4ZUP2AUm/kqIDUhNhpo+n5Uz&#10;rAA4mi2OBJrKIj2vu5TrjRTNtZAyZnjX7TfSkQPE8Uhf7BVx/wiLRbbg+zEuuUZKPYfmhW5IOFmU&#10;TeN7obEFxRtKJMfnFS0EhCqAkJdIcM4M/w7F2lJjC1HvUeFo7U1zSsKnc5yF1OR5buOw/b5P2Ze3&#10;uv4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NlGSBNQAAAAFAQAADwAAAAAAAAABACAAAAAiAAAA&#10;ZHJzL2Rvd25yZXYueG1sUEsBAhQAFAAAAAgAh07iQA038HsLAgAA8wMAAA4AAAAAAAAAAQAgAAAA&#10;IwEAAGRycy9lMm9Eb2MueG1sUEsFBgAAAAAGAAYAWQEAAKAFAAAAAA==&#10;">
                        <v:fill on="f" focussize="0,0"/>
                        <v:stroke color="#000000" joinstyle="round" endarrow="open"/>
                        <v:imagedata o:title=""/>
                        <o:lock v:ext="edit" aspectratio="f"/>
                      </v:shape>
                      <v:shape id="自选图形 123" o:spid="_x0000_s1026" o:spt="32" type="#_x0000_t32" style="position:absolute;left:3124200;top:3858895;height:245110;width:635;" filled="f" stroked="t" coordsize="21600,21600" o:gfxdata="UEsDBAoAAAAAAIdO4kAAAAAAAAAAAAAAAAAEAAAAZHJzL1BLAwQUAAAACACHTuJANlGSBNQAAAAF&#10;AQAADwAAAGRycy9kb3ducmV2LnhtbE2PQUvDQBCF74L/YRnBm91N0BpiNj0IPQQqxeoP2CZjEszO&#10;ptlp2v77jl708uDxhve+KVZnP6gZp9gHspAsDCikOjQ9tRY+P9YPGajIjho3BEILF4ywKm9vCpc3&#10;4UTvOO+4VVJCMXcWOuYx1zrWHXoXF2FEkuwrTN6x2KnVzeROUu4HnRqz1N71JAudG/G1w/p7d/QW&#10;0urAl/Wm4nnLT28Hn24eq7G29v4uMS+gGM/8dww/+IIOpTDtw5GaqAYL8gj/qmRZYsTuLSwz8wy6&#10;LPR/+vIKUEsDBBQAAAAIAIdO4kDOLQddDQIAAPUDAAAOAAAAZHJzL2Uyb0RvYy54bWytU82O0zAQ&#10;viPxDpbvNE26XXWjpntoWS4IKgEP4NpOYsl/8nib9sYN8QzcOPIO8DYrwVswdsoWFg57IAdnbM98&#10;M9834+X1wWiylwGUsw0tJ1NKpOVOKNs19N3bm2cLSiAyK5h2Vjb0KIFer54+WQ6+lpXrnRYyEASx&#10;UA++oX2Mvi4K4L00DCbOS4uXrQuGRdyGrhCBDYhudFFNp5fF4ILwwXEJgKeb8ZKeEMNjAF3bKi43&#10;jt8aaeOIGqRmESlBrzzQVa62bSWPr9sWZCS6ocg05hWToL1La7FasroLzPeKn0pgjynhASfDlMWk&#10;91AbFhm5DeovKKN4cODaOOHOFCORrAiyKKcPtHnTMy8zF5Qa/L3o8P9g+av9NhAlcBJm2HjLDLb8&#10;+4cvP95/vPv07e7rZ1JWs6TS4KFG57XdhtMO/DYkyoc2mPRHMuTQ0FlZXWCfKTmivZgvFlfzUWV5&#10;iISjw+VsTgnH2+piXpa5BcUZxQeIL6QzJBkNhRiY6vq4dtZiM10os8xs/xIi1oGBvwJSCdqSoaFX&#10;8yplYDicLQ4FmsYjQbBdjgWnlbhRWqcICN1urQPZszQg+UvVIu4fbinJhkE/+uWrkVQvmXhuBYlH&#10;j8JZfDE0lWCkoERLfGDJQkBWR6b02ZOF4IZ/u2JubbGEpPiocbJ2Thyz9PkcpyEXeZrcNG6/73P0&#10;+bWuf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2UZIE1AAAAAUBAAAPAAAAAAAAAAEAIAAAACIA&#10;AABkcnMvZG93bnJldi54bWxQSwECFAAUAAAACACHTuJAzi0HXQ0CAAD1AwAADgAAAAAAAAABACAA&#10;AAAjAQAAZHJzL2Uyb0RvYy54bWxQSwUGAAAAAAYABgBZAQAAogUAAAAA&#10;">
                        <v:fill on="f" focussize="0,0"/>
                        <v:stroke color="#000000" joinstyle="round" endarrow="open"/>
                        <v:imagedata o:title=""/>
                        <o:lock v:ext="edit" aspectratio="f"/>
                      </v:shape>
                      <v:shape id="文本框 127" o:spid="_x0000_s1026" o:spt="202" type="#_x0000_t202" style="position:absolute;left:1047750;top:1737995;height:228600;width:592455;"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C8OCa7vAQAAuQMAAA4AAABkcnMvZTJvRG9jLnhtbK1TzY7TMBC+&#10;I/EOlu80aXaz2VZNV2KrckGAtPAAruM0lvzH2G1SHgDegBMX7jxXn4Ox0+4flz2QgzMef56Z75vx&#10;4mbQiuwFeGlNTaeTnBJhuG2k2db0y+f1m2tKfGCmYcoaUdOD8PRm+frVondzUdjOqkYAwSDGz3tX&#10;0y4EN88yzzuhmZ9YJwwethY0C7iFbdYA6zG6VlmR51dZb6FxYLnwHr2r8ZCeIsJLAtq2lVysLN9p&#10;YcIYFYRiASn5TjpPl6nathU8fGxbLwJRNUWmIa2YBO1NXLPlgs23wFwn+akE9pISnnHSTBpMeh9q&#10;xQIjO5D/hNKSg/W2DRNudTYSSYogi2n+TJu7jjmRuKDU3t2L7v9fWP5h/wmIbHASLmaUGKax5cef&#10;P46//hx/fyfToooS9c7PEXnnEBuGt3ZA+Nnv0RmZDy3o+EdOJJ7nl1VVoswHtKuLajYrR7HFEAhH&#10;QDkrLsuSEo6Aori+ylMzsodADnx4J6wm0agpYC+TxGz/3gcsCqFnSMzrrZLNWiqVNrDd3Coge4Z9&#10;X6cvZscrT2DKRLCx8dp4HD1ZpDvSilYYNsNJg41tDigBvh4sqLPwjZIeZ6em/uuOgaCEGY7umoaz&#10;eRvGYds5kNsObyXdUgbsaKroNH1xZB7vUx0PL27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EA&#10;0wfTAAAABQEAAA8AAAAAAAAAAQAgAAAAIgAAAGRycy9kb3ducmV2LnhtbFBLAQIUABQAAAAIAIdO&#10;4kAvDgmu7wEAALkDAAAOAAAAAAAAAAEAIAAAACIBAABkcnMvZTJvRG9jLnhtbFBLBQYAAAAABgAG&#10;AFkBAACDBQAAAAA=&#10;">
                        <v:fill on="t" focussize="0,0"/>
                        <v:stroke on="f"/>
                        <v:imagedata o:title=""/>
                        <o:lock v:ext="edit" aspectratio="f"/>
                        <v:textbox>
                          <w:txbxContent>
                            <w:p w14:paraId="75951849">
                              <w:pPr>
                                <w:rPr>
                                  <w:rFonts w:hint="default" w:eastAsia="宋体"/>
                                  <w:sz w:val="15"/>
                                  <w:szCs w:val="15"/>
                                  <w:lang w:val="en-US" w:eastAsia="zh-CN"/>
                                </w:rPr>
                              </w:pPr>
                              <w:r>
                                <w:rPr>
                                  <w:rFonts w:hint="eastAsia" w:eastAsia="宋体"/>
                                  <w:sz w:val="15"/>
                                  <w:szCs w:val="15"/>
                                  <w:lang w:val="en-US" w:eastAsia="zh-CN"/>
                                </w:rPr>
                                <w:t>滑石粉</w:t>
                              </w:r>
                            </w:p>
                          </w:txbxContent>
                        </v:textbox>
                      </v:shape>
                      <v:rect id="矩形 128" o:spid="_x0000_s1026" o:spt="1" style="position:absolute;left:1816100;top:1728471;height:24130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PpJ0D8qAgAAawQAAA4AAABkcnMvZTJvRG9jLnhtbK1US5LTMBDd&#10;U8UdVNoTx55MElxxZjEhbCiYqoEDKLIcq0o/JOXHZahixyE4DsU1eJLD/GAxC7SwW1L7db/X3V5c&#10;HbUie+GDtKah5WhMiTDcttJsG/rp4/rVnJIQmWmZskY09CQCvVq+fLE4uFpUtreqFZ4AxIT64Bra&#10;x+jqogi8F5qFkXXC4LKzXrOIrd8WrWcHoGtVVOPxtDhY3zpvuQgBp6vhkp4R/XMAbddJLlaW77Qw&#10;cUD1QrEISqGXLtBlzrbrBI8fui6ISFRDwTTmJ4LA3qRnsVyweuuZ6yU/p8Cek8ITTppJg6B3UCsW&#10;Gdl5+ReUltzbYLs44lYXA5GsCFiU4yfa3PbMicwFUgd3J3r4f7D8/f7GE9miEybQxDCNkv/6+v3n&#10;j2+krOZJn4MLNdxu3Y0/7wLMRPbYeZ3eoEGOQJiX03IMlBPsWTWfzMpBX3GMhMNhOrvI9xwO1aS8&#10;gC8Qi3sg50N8K6wmyWioR/myqmz/LsTB9Y9Lihusku1aKpU3fru5Vp7sGUq9zuuM/shNGXJo6OvL&#10;6pISztC/HfoGpnbQIJhtjvfoi/AQeJzXv4BTYisW+iGBjDCw1zIKj+RZ3QvWvjEtiScHlQ3Gi6Zk&#10;tGgpUQLTmKzsGZlUz/GEdspAwlSjoSrJisfNETDJ3Nj2hAJj3qFnb/0XRES3g+rnHfOIzwzHcUOh&#10;wWBex2E8ds7LbY+vchFzBPRgLtd5XlKTP9znPO7/Ec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ZcermtMAAAAFAQAADwAAAAAAAAABACAAAAAiAAAAZHJzL2Rvd25yZXYueG1sUEsBAhQAFAAAAAgA&#10;h07iQPpJ0D8qAgAAawQAAA4AAAAAAAAAAQAgAAAAIgEAAGRycy9lMm9Eb2MueG1sUEsFBgAAAAAG&#10;AAYAWQEAAL4FAAAAAA==&#10;">
                        <v:fill on="t" focussize="0,0"/>
                        <v:stroke color="#000000" joinstyle="miter"/>
                        <v:imagedata o:title=""/>
                        <o:lock v:ext="edit" aspectratio="f"/>
                        <v:textbox>
                          <w:txbxContent>
                            <w:p w14:paraId="41C20B33">
                              <w:pPr>
                                <w:spacing w:line="240" w:lineRule="auto"/>
                                <w:jc w:val="center"/>
                                <w:rPr>
                                  <w:rFonts w:hint="default" w:eastAsia="宋体"/>
                                  <w:sz w:val="18"/>
                                  <w:szCs w:val="18"/>
                                  <w:lang w:val="en-US" w:eastAsia="zh-CN"/>
                                </w:rPr>
                              </w:pPr>
                              <w:r>
                                <w:rPr>
                                  <w:rFonts w:hint="eastAsia" w:eastAsia="宋体"/>
                                  <w:sz w:val="18"/>
                                  <w:szCs w:val="18"/>
                                  <w:lang w:val="en-US" w:eastAsia="zh-CN"/>
                                </w:rPr>
                                <w:t>石粉储罐</w:t>
                              </w:r>
                            </w:p>
                          </w:txbxContent>
                        </v:textbox>
                      </v:rect>
                      <v:shape id="自选图形 129" o:spid="_x0000_s1026" o:spt="32" type="#_x0000_t32" style="position:absolute;left:2506980;top:2309496;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DS4u3gLAgAA8gMAAA4AAABkcnMvZTJvRG9jLnhtbK1TTY7TMBTe&#10;I3EHy3uatLRlEjWdRcuwQTAScADXdhJL/tOzp2l37BBnYMeSO8BtRoJb8OyUKQwsZkEWzrP93ufv&#10;+/y8ujwYTfYSgnK2odNJSYm03Allu4a+e3v15IKSEJkVTDsrG3qUgV6uHz9aDb6WM9c7LSQQBLGh&#10;HnxD+xh9XRSB99KwMHFeWtxsHRgWcQpdIYANiG50MSvLZTE4EB4clyHg6nbcpCdEeAiga1vF5dbx&#10;GyNtHFFBahZRUuiVD3Sd2bat5PF12wYZiW4oKo15xEMw3qWxWK9Y3QHzveInCuwhFO5pMkxZPPQO&#10;assiIzeg/oIyioMLro0T7kwxCsmOoIppec+bNz3zMmtBq4O/Mz38P1j+an8NRAnshPmUEssMXvn3&#10;D19+vP94++nb7dfPZDqrkkuDDzUmb+w1nGbBX0OSfGjBpD+KIYeGzhblsrpAf48YPy2rebUcXZaH&#10;SHhKeFbNS9znmJAvoDhjeAjxhXSGpKChIQJTXR83zlq8SgfTbDLbvwwRWWDhr4JEQFsyNLRazBYI&#10;zrA1W2wJDI1HecF2uTY4rcSV0jpVBOh2Gw1kz1J75C9xRdw/0tIhWxb6MU9gNCrqJRPPrSDx6NE1&#10;i8+FJgZGCkq0xNeVIsRjdWRKnzMZgBv+nYpHa4sMkt2jwSnaOXHMvud1bIXM8dS2qdd+n+fq81Nd&#10;/w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RIQX0wAAAAUBAAAPAAAAAAAAAAEAIAAAACIAAABk&#10;cnMvZG93bnJldi54bWxQSwECFAAUAAAACACHTuJANLi7eAsCAADyAwAADgAAAAAAAAABACAAAAAi&#10;AQAAZHJzL2Uyb0RvYy54bWxQSwUGAAAAAAYABgBZAQAAnwUAAAAA&#10;">
                        <v:fill on="f" focussize="0,0"/>
                        <v:stroke color="#000000" joinstyle="round" dashstyle="dash" endarrow="open"/>
                        <v:imagedata o:title=""/>
                        <o:lock v:ext="edit" aspectratio="f"/>
                      </v:shape>
                      <v:shape id="自选图形 130" o:spid="_x0000_s1026" o:spt="32" type="#_x0000_t32" style="position:absolute;left:1534795;top:1846581;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GcSwcAKAgAA8gMAAA4AAABkcnMvZTJvRG9jLnhtbK1TzY7TMBC+&#10;I/EOlu80bbfdbaume2hZLggqAQ/gOk5iyX+a8TbtjRviGbhx5B3gbVaCt2DslC0sHPZADsk4nvnm&#10;+z6Pl9cHa9heAWrvSj4aDDlTTvpKu6bk797ePJtxhlG4ShjvVMmPCvn16umTZRcWauxbbyoFjEAc&#10;LrpQ8jbGsCgKlK2yAgc+KEebtQcrIi2hKSoQHaFbU4yHw8ui81AF8FIh0t9Nv8lPiPAYQF/XWqqN&#10;l7dWudijgjIikiRsdUC+ymzrWsn4uq5RRWZKTkpjflMTinfpXayWYtGACK2WJwriMRQeaLJCO2p6&#10;D7URUbBb0H9BWS3Bo6/jQHpb9EKyI6RiNHzgzZtWBJW1kNUY7k3H/wcrX+23wHRFkzAZc+aEpSP/&#10;/uHLj/cf7z59u/v6mY0usktdwAUlr90WyLO0wrCFJPlQg01fEsMOhDO9mFzNp5wdKZ5NLqezUe+y&#10;OkQmKWF8NZ8MyX9JCRm6OGMEwPhCectSUHKMIHTTxrV3jo7SwyibLPYvMRILKvxVkAgYx7qSz6dj&#10;ai4FjWZNI0GhDSQPXZNr0Rtd3WhjUgVCs1sbYHuRxiM/iSvh/pGWmmwEtn1eRVGvqFWieu4qFo+B&#10;XHN0XXhiYFXFmVF0u1KUJywKbc6ZAsB3/06l1sYRg7PBKdr56ph9z/9pFDLH09imWft9navPV3X1&#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JEhBfTAAAABQEAAA8AAAAAAAAAAQAgAAAAIgAAAGRy&#10;cy9kb3ducmV2LnhtbFBLAQIUABQAAAAIAIdO4kBnEsHACgIAAPIDAAAOAAAAAAAAAAEAIAAAACIB&#10;AABkcnMvZTJvRG9jLnhtbFBLBQYAAAAABgAGAFkBAACeBQAAAAA=&#10;">
                        <v:fill on="f" focussize="0,0"/>
                        <v:stroke color="#000000" joinstyle="round" dashstyle="dash" endarrow="open"/>
                        <v:imagedata o:title=""/>
                        <o:lock v:ext="edit" aspectratio="f"/>
                      </v:shape>
                      <v:shape id="自选图形 131" o:spid="_x0000_s1026" o:spt="32" type="#_x0000_t32" style="position:absolute;left:2501900;top:3269615;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KmlJ+ULAgAA8gMAAA4AAABkcnMvZTJvRG9jLnhtbK1TTY7TMBTe&#10;I3EHy3uapJ0WGjWdRcuwQTAScADXdhJL/tOzp2l37BBnYMeSO8BtRoJb8OyUKQwsZkEWzrP93ufv&#10;+/y8ujwYTfYSgnK2odWkpERa7oSyXUPfvb168oySEJkVTDsrG3qUgV6uHz9aDb6WU9c7LSQQBLGh&#10;HnxD+xh9XRSB99KwMHFeWtxsHRgWcQpdIYANiG50MS3LRTE4EB4clyHg6nbcpCdEeAiga1vF5dbx&#10;GyNtHFFBahZRUuiVD3Sd2bat5PF12wYZiW4oKo15xEMw3qWxWK9Y3QHzveInCuwhFO5pMkxZPPQO&#10;assiIzeg/oIyioMLro0T7kwxCsmOoIqqvOfNm555mbWg1cHfmR7+Hyx/tb8GogR2wsWMEssMXvn3&#10;D19+vP94++nb7dfPpJpVyaXBhxqTN/YaTrPgryFJPrRg0h/FkENDp/OyWpbo77Ghs+liuajmo8vy&#10;EAlPCU+XF2mfY0K+gOKM4SHEF9IZkoKGhghMdX3cOGvxKh1U2WS2fxkissDCXwWJgLZkaOhyPp0j&#10;OMPWbLElMDQe5QXb5drgtBJXSutUEaDbbTSQPUvtkb/EFXH/SEuHbFnoxzyB0aiol0w8t4LEo0fX&#10;LD4XmhgYKSjREl9XihCP1ZEpfc5kAG74dyoerS0ySHaPBqdo58Qx+57XsRUyx1Pbpl77fZ6rz091&#10;/R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RIQX0wAAAAUBAAAPAAAAAAAAAAEAIAAAACIAAABk&#10;cnMvZG93bnJldi54bWxQSwECFAAUAAAACACHTuJAqaUn5QsCAADyAwAADgAAAAAAAAABACAAAAAi&#10;AQAAZHJzL2Uyb0RvYy54bWxQSwUGAAAAAAYABgBZAQAAnwUAAAAA&#10;">
                        <v:fill on="f" focussize="0,0"/>
                        <v:stroke color="#000000" joinstyle="round" dashstyle="dash" endarrow="open"/>
                        <v:imagedata o:title=""/>
                        <o:lock v:ext="edit" aspectratio="f"/>
                      </v:shape>
                      <v:shape id="自选图形 139" o:spid="_x0000_s1026" o:spt="33" type="#_x0000_t33" style="position:absolute;left:2112010;top:3401060;height:154305;width:803275;rotation:11796480f;" filled="f" stroked="t" coordsize="21600,21600" o:gfxdata="UEsDBAoAAAAAAIdO4kAAAAAAAAAAAAAAAAAEAAAAZHJzL1BLAwQUAAAACACHTuJAgkQ+49QAAAAF&#10;AQAADwAAAGRycy9kb3ducmV2LnhtbE2PvU7DQBCEeyTe4bRIdOTOFIkxPqdASkNoEhCCbu3b2Ib7&#10;se7OSXh7FhpoRhrNaubben12VhwppjF4DcVCgSDfBTP6XsPL8+amBJEyeoM2eNLwRQnWzeVFjZUJ&#10;J7+j4z73gkt8qlDDkPNUSZm6gRymRZjIc3YI0WFmG3tpIp643Fl5q9RSOhw9Lww40cNA3ed+dho+&#10;XrvtbmPb9y0dnlaR3vBuLh+1vr4q1D2ITOf8dww/+IwODTO1YfYmCauBH8m/yllZKLathmWpViCb&#10;Wv6nb74BUEsDBBQAAAAIAIdO4kBbpcfVGAIAAAwEAAAOAAAAZHJzL2Uyb0RvYy54bWytU0uOEzEQ&#10;3SNxB8t70p8kQ6aVziwShg2CkYADOLY7bck/lT3pZMcOcQZ2LLkDc5uR4BaU3WEGBhazoBdW2f3q&#10;ld+r8vLiYDTZSwjK2ZZWk5ISabkTyu5a+v7d5bMFJSEyK5h2Vrb0KAO9WD19shx8I2vXOy0kECSx&#10;oRl8S/sYfVMUgffSsDBxXlr82TkwLOIWdoUANiC70UVdlmfF4EB4cFyGgKeb8Sc9McJjCF3XKS43&#10;jl8baePIClKziJJCr3ygq3zbrpM8vum6ICPRLUWlMa9YBONtWovVkjU7YL5X/HQF9pgrPNBkmLJY&#10;9I5qwyIj16D+ojKKgwuuixPuTDEKyY6giqp84M3bnnmZtaDVwd+ZHv4fLX+9vwKiBE7CbEaJZQZb&#10;/v3j1x8fPt1+vrn99oVU0/Pk0uBDg+C1vYLTLvgrSJIPHRgCDq2tykWZvuwEaiOHltZVlZRRcmzp&#10;dIbR2cl0eYiEI2BRTuvnc0o4Aqr5bFrOU7li5E38HkJ8KZ0hKWjpFlu+dtZiax3UuRTbvwpxTPoF&#10;TonakqGl5/M6sTMc1Q5HBEPjUW6wu5wbnFbiUmmdMgLstmsNZM/SuIxaRt4/YKnIhoV+xAmMxjky&#10;KsrkDmt6ycQLK0g8evTT4kOi6S5GCkq0xHeXooyMTOl7JANww7+h6Ii2aExqxGh9irZOHHNH8jkO&#10;SbbuNNBpCn/f5+z7R7z6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JEPuPUAAAABQEAAA8AAAAA&#10;AAAAAQAgAAAAIgAAAGRycy9kb3ducmV2LnhtbFBLAQIUABQAAAAIAIdO4kBbpcfVGAIAAAwEAAAO&#10;AAAAAAAAAAEAIAAAACMBAABkcnMvZTJvRG9jLnhtbFBLBQYAAAAABgAGAFkBAACtBQAAAAA=&#10;">
                        <v:fill on="f" focussize="0,0"/>
                        <v:stroke color="#000000" joinstyle="miter" dashstyle="dash" endarrow="open"/>
                        <v:imagedata o:title=""/>
                        <o:lock v:ext="edit" aspectratio="f"/>
                      </v:shape>
                      <v:line id="直线 141" o:spid="_x0000_s1026" o:spt="20" style="position:absolute;left:4029075;top:577215;height:219710;width:635;" filled="f" stroked="t" coordsize="21600,21600" o:gfxdata="UEsDBAoAAAAAAIdO4kAAAAAAAAAAAAAAAAAEAAAAZHJzL1BLAwQUAAAACACHTuJAuzmvsNQAAAAF&#10;AQAADwAAAGRycy9kb3ducmV2LnhtbE2PwUrEMBCG74LvEEbw5ib10C216YKCKB5k7S54nTbZtNhM&#10;SpPt7r69oxe9DPz8wzffVJuzH8Vi5zgE0pCtFAhLXTADOQ373fNdASImJINjIKvhYiNs6uurCksT&#10;TvRhlyY5wRCKJWroU5pKKWPXW49xFSZL3B3C7DFxnJ00M54Y7kd5r1QuPQ7EF3qc7FNvu6/m6DXk&#10;r/j+2Bxc+7a4y3r72eW77Uuu9e1Nph5AJHtOf8vwo8/qULNTG45kohg18CPpd3JXZIpjy+BCrUHW&#10;lfxvX38DUEsDBBQAAAAIAIdO4kD3ohRr/gEAAOsDAAAOAAAAZHJzL2Uyb0RvYy54bWytU0uOEzEQ&#10;3SNxB8t70h+SCWmlM4sJwwZBJOAAFdvdbck/2U46OQvXYMWG48w1KLvDBAYWs6AX7rKr/Kreq/L6&#10;9qQVOQofpDUtrWYlJcIwy6XpW/rl8/2rN5SECIaDska09CwCvd28fLEeXSNqO1jFhScIYkIzupYO&#10;MbqmKAIbhIYws04YdHbWa4i49X3BPYyIrlVRl+VNMVrPnbdMhICn28lJL4j+OYC26yQTW8sOWpg4&#10;oXqhICKlMEgX6CZX23WCxY9dF0QkqqXINOYVk6C9T2uxWUPTe3CDZJcS4DklPOGkQRpM+gi1hQjk&#10;4OVfUFoyb4Pt4oxZXUxEsiLIoiqfaPNpACcyF5Q6uEfRw/+DZR+OO08kx0mYLygxoLHlD1+/PXz/&#10;Qap5lfQZXWgw7M7s/GUX3M4nsqfO6/RHGuTU0nlZr8olopxbulgu62oxyStOkTD037xGH0NnXa2W&#10;Vda+uII4H+I7YTVJRkuVNIk6NHB8HyImxtBfIelYGTK2dLWoEybgHHbYfzS1Qy7B9PlusErye6lU&#10;uhF8v79TnhwhzUL+Un2I+0dYSrKFMExxHK2JxSCAvzWcxLNDiQy+DZoq0IJTogQ+pWQhHjQRpLpG&#10;gvd2/HcoplYGK0gKT5oma2/5GXtycF72AyqRm5BjcAZyvZd5TUP2+z4jXd/o5i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7Oa+w1AAAAAUBAAAPAAAAAAAAAAEAIAAAACIAAABkcnMvZG93bnJldi54&#10;bWxQSwECFAAUAAAACACHTuJA96IUa/4BAADrAwAADgAAAAAAAAABACAAAAAjAQAAZHJzL2Uyb0Rv&#10;Yy54bWxQSwUGAAAAAAYABgBZAQAAkwUAAAAA&#10;">
                        <v:fill on="f" focussize="0,0"/>
                        <v:stroke color="#000000" joinstyle="round" dashstyle="dash" endarrow="open"/>
                        <v:imagedata o:title=""/>
                        <o:lock v:ext="edit" aspectratio="f"/>
                      </v:line>
                      <v:shape id="自选图形 142" o:spid="_x0000_s1026" o:spt="32" type="#_x0000_t32" style="position:absolute;left:1130935;top:535305;flip:x y;height:251460;width:3810;" filled="f" stroked="t" coordsize="21600,21600" o:gfxdata="UEsDBAoAAAAAAIdO4kAAAAAAAAAAAAAAAAAEAAAAZHJzL1BLAwQUAAAACACHTuJAgY3fy9MAAAAF&#10;AQAADwAAAGRycy9kb3ducmV2LnhtbE2PwU7DMBBE70j8g7VI3KgdECEKcSpB1SOHBi7c3HibRI3X&#10;wXbT9u9ZeimXkUazmnlbLU9uFDOGOHjSkC0UCKTW24E6DV+f64cCREyGrBk9oYYzRljWtzeVKa0/&#10;0gbnJnWCSyiWRkOf0lRKGdsenYkLPyFxtvPBmcQ2dNIGc+RyN8pHpXLpzEC80JsJ33ts983BaVjZ&#10;efiwPn+WT99N+NnHt509b7S+v8vUK4iEp3Q9hj98Roeambb+QDaKUQM/ki7KWZEptlsNeaFeQNaV&#10;/E9f/wJQSwMEFAAAAAgAh07iQPEc2MEZAgAACAQAAA4AAABkcnMvZTJvRG9jLnhtbK1TzW4TMRC+&#10;I/EOlu9kN0m3alfZ9JBQOCCIBOU+sb27lvwn280mN26IZ+DGkXeAt6kEb9GxN7RQOPTAHlZjz8w3&#10;3zczXlzstSI74YO0pqHTSUmJMMxyabqGXr27fHZGSYhgOChrREMPItCL5dMni8HVYmZ7q7jwBEFM&#10;qAfX0D5GVxdFYL3QECbWCYPO1noNEY++K7iHAdG1KmZleVoM1nPnLRMh4O16dNIjon8MoG1bycTa&#10;smstTBxRvVAQUVLopQt0mdm2rWDxTdsGEYlqKCqN+Y9F0N6mf7FcQN15cL1kRwrwGAoPNGmQBove&#10;Qa0hArn28i8oLZm3wbZxwqwuRiG5I6hiWj7ozdsenMhasNXB3TU9/D9Y9nq38URy3ISTU0oMaBz5&#10;j49ff374dPP5+823L2R6MktdGlyoMXhlNv54Cm7jk+R96zVplXQvEYRm632ykg8Fkj0epvPyfF5R&#10;cmhoNa/mZTU2XuwjYeifn01xIAy9swp55LEUI3JCcT7EF8JqkoyGhuhBdn1cWWNwwNaPtWD3KkTk&#10;hom/ElKyMmRo6Hk1w/IMcGFbXBQ0tUPRwXSZZ7BK8kupVMoIvtuulCc7SEuTv0QXcf8IS0XWEPox&#10;jqM1iuoF8OeGk3hw2EuDj4gmBlpwSpTAN5csxIM6glT3keC9Hf4diqWVQQZpCGPbk7W1/JCnke9x&#10;QTLH4zKnDfz9nLPvH/DyF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GN38vTAAAABQEAAA8AAAAA&#10;AAAAAQAgAAAAIgAAAGRycy9kb3ducmV2LnhtbFBLAQIUABQAAAAIAIdO4kDxHNjBGQIAAAgEAAAO&#10;AAAAAAAAAAEAIAAAACIBAABkcnMvZTJvRG9jLnhtbFBLBQYAAAAABgAGAFkBAACtBQAAAAA=&#10;">
                        <v:fill on="f" focussize="0,0"/>
                        <v:stroke color="#000000" joinstyle="round" dashstyle="dash" endarrow="open"/>
                        <v:imagedata o:title=""/>
                        <o:lock v:ext="edit" aspectratio="f"/>
                      </v:shape>
                      <v:line id="直线 143" o:spid="_x0000_s1026" o:spt="20" style="position:absolute;left:2148205;top:641350;flip:x;height:140970;width:3810;" filled="f" stroked="t" coordsize="21600,21600" o:gfxdata="UEsDBAoAAAAAAIdO4kAAAAAAAAAAAAAAAAAEAAAAZHJzL1BLAwQUAAAACACHTuJAiR9hNdMAAAAF&#10;AQAADwAAAGRycy9kb3ducmV2LnhtbE2PwU7DMBBE70j8g7VI3KidVg1RiNMDEkIgLg39gG2yJBHx&#10;OrKdtvw9Cxe4jDSa1czbandxkzpRiKNnC9nKgCJufTdyb+Hw/nRXgIoJucPJM1n4ogi7+vqqwrLz&#10;Z97TqUm9khKOJVoYUppLrWM7kMO48jOxZB8+OExiQ6+7gGcpd5NeG5NrhyPLwoAzPQ7UfjaLs7A/&#10;9M+hyYzf5C+4rHPevm7ettbe3mTmAVSiS/o7hh98QYdamI5+4S6qyYI8kn5VsiIzYo8W8sLcg64r&#10;/Z++/gZQSwMEFAAAAAgAh07iQNwerEEKAgAA9gMAAA4AAABkcnMvZTJvRG9jLnhtbK1TS27bMBDd&#10;F+gdCO5rSf4kjmA5i7hpF0VrIM0BxiQlEeAPJG3ZZ+k1uuqmx8k1OqTcpEm7yKJaCEPO8M28x8fV&#10;9VErchA+SGsaWk1KSoRhlkvTNfT+6+27JSUhguGgrBENPYlAr9dv36wGV4up7a3iwhMEMaEeXEP7&#10;GF1dFIH1QkOYWCcMJlvrNURc+q7gHgZE16qYluVFMVjPnbdMhIC7mzFJz4j+NYC2bSUTG8v2Wpg4&#10;onqhICKl0EsX6DpP27aCxS9tG0QkqqHINOY/NsF4l/7FegV158H1kp1HgNeM8IKTBmmw6SPUBiKQ&#10;vZd/QWnJvA22jRNmdTESyYogi6p8oc1dD05kLih1cI+ih/8Hyz4ftp5Ijk6YX1JiQOOVP3z7/vDj&#10;J6nms6TP4EKNZTdm68+r4LY+kT22XpNWSfcRj2f6SIgcGzqt5stpuaDk1NCLeTVbnIUWx0gY5mfL&#10;Ci+AYbaal1eXOVuMeAnX+RA/CKtJChqqpEkqQA2HTyHiDFj6uyRtK0OGhl4tptiQAVqyRStgqB3S&#10;CqbLZ4NVkt9KpdKJ4LvdjfLkAMkW+UtMEfdZWWqygdCPdRyj0S+9AP7ecBJPDtUy+ExomkALTokS&#10;+KpShHhQR5DqqRK8t8O/S7G1MjhBEnuUN0U7y094PXvnZdejElWeMmXQDnnes3WT3/5cZ6Sn57r+&#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kfYTXTAAAABQEAAA8AAAAAAAAAAQAgAAAAIgAAAGRy&#10;cy9kb3ducmV2LnhtbFBLAQIUABQAAAAIAIdO4kDcHqxBCgIAAPYDAAAOAAAAAAAAAAEAIAAAACIB&#10;AABkcnMvZTJvRG9jLnhtbFBLBQYAAAAABgAGAFkBAACeBQAAAAA=&#10;">
                        <v:fill on="f" focussize="0,0"/>
                        <v:stroke color="#000000" joinstyle="round" dashstyle="dash" endarrow="open"/>
                        <v:imagedata o:title=""/>
                        <o:lock v:ext="edit" aspectratio="f"/>
                      </v:line>
                      <v:shape id="自选图形 145" o:spid="_x0000_s1026" o:spt="32" type="#_x0000_t32" style="position:absolute;left:3127375;top:1136016;height:135255;width:3175;" filled="f" stroked="t" coordsize="21600,21600" o:gfxdata="UEsDBAoAAAAAAIdO4kAAAAAAAAAAAAAAAAAEAAAAZHJzL1BLAwQUAAAACACHTuJAttlXkNQAAAAF&#10;AQAADwAAAGRycy9kb3ducmV2LnhtbE2PzUrEQBCE74LvMLTgRdyZKLuGmMmCgngQJK4+wGym80My&#10;PSEz2cS3t/XiXgqKaqq+zverG8QJp9B50pBsFAikytuOGg1fny+3KYgQDVkzeEIN3xhgX1xe5Caz&#10;fqEPPB1iI7iEQmY0tDGOmZShatGZsPEjEme1n5yJbKdG2sksXO4GeafUTjrTES+0ZsTnFqv+MDsN&#10;5fa+7J9mtfjXuqz7Zovrzdu71tdXiXoEEXGN/8fwi8/oUDDT0c9kgxg08CPxTzlLE8X2qGGXqgeQ&#10;RS7P6YsfUEsDBBQAAAAIAIdO4kBhNPCSCgIAAPUDAAAOAAAAZHJzL2Uyb0RvYy54bWytU82O0zAQ&#10;viPxDpbvNE277ULVdA8tywXBSsADuI6TWPKfZrxNe+OGeAZuHHkH9m1Wgrdg7JQtlMseyCGxMzPf&#10;fN/n8fJqbw3bKUDtXcXL0Zgz5aSvtWsr/uH99bPnnGEUrhbGO1Xxg0J+tXr6ZNmHhZr4zptaASMQ&#10;h4s+VLyLMSyKAmWnrMCRD8pRsPFgRaQttEUNoid0a4rJeDwveg91AC8VIv3dDEF+RITHAPqm0VJt&#10;vLy1ysUBFZQRkSRhpwPyVWbbNErGt02DKjJTcVIa85ua0Hqb3sVqKRYtiNBpeaQgHkPhTJMV2lHT&#10;B6iNiILdgv4HymoJHn0TR9LbYhCSHSEV5fjMm3edCCprIasxPJiO/w9WvtndANM1TcIFHbwTlo78&#10;x6dvPz9+vv9yd//9KysvZsmlPuCCktfuBo47DDeQJO8bsOlLYti+4tNycjm9nHF2IMxyOh+X88Fl&#10;tY9M5oQUlSk8nU1mGb04wQTA+Ep5y9Ki4hhB6LaLa+8cnaaHMvssdq8xEhEq/F2QOBjH+oq/IFjq&#10;IGg6G5oKWtpACtG1uRa90fW1NiZVILTbtQG2E2lC8pPoEu5faanJRmA35OXQoKpTon7pahYPgZxz&#10;dGV4omBVzZlRdMPQDolRaHNKFAC+P8tMNUNr44hBcnzwOK22vj5k6/N/mobM8Ti5adz+3Ofq021d&#10;/Q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22VeQ1AAAAAUBAAAPAAAAAAAAAAEAIAAAACIAAABk&#10;cnMvZG93bnJldi54bWxQSwECFAAUAAAACACHTuJAYTTwkgoCAAD1AwAADgAAAAAAAAABACAAAAAj&#10;AQAAZHJzL2Uyb0RvYy54bWxQSwUGAAAAAAYABgBZAQAAnwUAAAAA&#10;">
                        <v:fill on="f" focussize="0,0"/>
                        <v:stroke color="#000000" joinstyle="round" startarrowlength="short" endarrow="open"/>
                        <v:imagedata o:title=""/>
                        <o:lock v:ext="edit" aspectratio="f"/>
                      </v:shape>
                      <v:shape id="自选图形 148" o:spid="_x0000_s1026" o:spt="32" type="#_x0000_t32" style="position:absolute;left:2152650;top:1027431;height:106045;width:1905;" filled="f" stroked="t" coordsize="21600,21600" o:gfxdata="UEsDBAoAAAAAAIdO4kAAAAAAAAAAAAAAAAAEAAAAZHJzL1BLAwQUAAAACACHTuJAg3885tQAAAAF&#10;AQAADwAAAGRycy9kb3ducmV2LnhtbE2PQUvDQBCF74L/YRnBi9jdFKwxZlNE8ODRtuB1mh2TaHY2&#10;ZDdN7a939GIvDx5veO+bcn30vTrQGLvAFrKFAUVcB9dxY2G3fbnNQcWE7LAPTBa+KcK6urwosXBh&#10;5jc6bFKjpIRjgRbalIZC61i35DEuwkAs2UcYPSaxY6PdiLOU+14vjVlpjx3LQosDPbdUf20mb4Hi&#10;dJeZpwff7F5P88378vQ5D1trr68y8wgq0TH9H8MvvqBDJUz7MLGLqrcgj6Q/lSzPjNi9hVVu7kFX&#10;pT6nr34AUEsDBBQAAAAIAIdO4kD6C4xQBQIAAPUDAAAOAAAAZHJzL2Uyb0RvYy54bWytU0uOEzEQ&#10;3SNxB8t70h+SMGmlM4uEYYMgEsMBHLe725J/cnnSyY4d4gzsWHIH5jYjMbeg7A4zMGyyoBfusqvq&#10;Vb3n8vLyoBXZCw/SmpoWk5wSYbhtpOlq+vH66sUFJRCYaZiyRtT0KIBerp4/Ww6uEqXtrWqEJwhi&#10;oBpcTfsQXJVlwHuhGUysEwadrfWaBdz6Lms8GxBdq6zM83k2WN84b7kAwNPN6KQnRH8OoG1bycXG&#10;8hstTBhRvVAsICXopQO6St22reDhfduCCETVFJmGtGIRtHdxzVZLVnWeuV7yUwvsnBaecNJMGiz6&#10;ALVhgZEbL/+B0pJ7C7YNE251NhJJiiCLIn+izYeeOZG4oNTgHkSH/wfL3+23nsgGJ2G6oMQwjVf+&#10;8/P3+09f7r7e3v34RorpRVRpcFBh8Nps/WkHbusj5UPrdfwjGXKoaVnMyvkM9T0iZl6+mr4sRpXF&#10;IRCOAcUin1HCk3ueT2fRmz3COA/hjbCaRKOmEDyTXR/W1hi8TeuLpDPbv4UwJv5OiD0oQ4aaLmZl&#10;rMBwOlucCjS1Q4ZgupQLVsnmSioVM8B3u7XyZM/ihKTv1NBfYbHIhkE/xiXXyKoXrHltGhKODpUz&#10;+GRobEGLhhIl8IVFCxtlVWBSnROJWiiDkkTFR42jtbPNMUmfznEakminyY3j9uc+ZT++1t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g3885tQAAAAFAQAADwAAAAAAAAABACAAAAAiAAAAZHJzL2Rv&#10;d25yZXYueG1sUEsBAhQAFAAAAAgAh07iQPoLjFAFAgAA9QMAAA4AAAAAAAAAAQAgAAAAIwEAAGRy&#10;cy9lMm9Eb2MueG1sUEsFBgAAAAAGAAYAWQEAAJoFAAAAAA==&#10;">
                        <v:fill on="f" focussize="0,0"/>
                        <v:stroke color="#000000" joinstyle="round"/>
                        <v:imagedata o:title=""/>
                        <o:lock v:ext="edit" aspectratio="f"/>
                      </v:shape>
                      <v:shape id="自选图形 149" o:spid="_x0000_s1026" o:spt="32" type="#_x0000_t32" style="position:absolute;left:4018915;top:1027431;height:95885;width:0;" filled="f" stroked="t" coordsize="21600,21600" o:gfxdata="UEsDBAoAAAAAAIdO4kAAAAAAAAAAAAAAAAAEAAAAZHJzL1BLAwQUAAAACACHTuJA0u9EB9EAAAAF&#10;AQAADwAAAGRycy9kb3ducmV2LnhtbE2PzU7DMBCE70i8g7VIXFBrp4cQhTg9IOXIgVLubrzEUeN1&#10;ars/eXsWLnAZaTSrmW+b7c1P4oIxjYE0FGsFAqkPdqRBw/6jW1UgUjZkzRQINSyYYNve3zWmtuFK&#10;73jZ5UFwCaXaaHA5z7WUqXfoTVqHGYmzrxC9yWzjIG00Vy73k9woVUpvRuIFZ2Z8ddgfd2evoVPq&#10;rQvxU27c/rQ8yVQu1Wy0fnwo1AuIjLf8dww/+IwOLTMdwplsEpMGfiT/KmdVodgeNJSVegbZNvI/&#10;ffsNUEsDBBQAAAAIAIdO4kByhhDcAgIAAPADAAAOAAAAZHJzL2Uyb0RvYy54bWytU82O0zAQviPx&#10;DpbvNElpoa2a7qFluSCoBDyAazuJJf/J423aGzfEM3DjyDuwb7MSvAVjJ+zCIqE9kIMz9sx8M9/n&#10;8friZDQ5ygDK2ZpWk5ISabkTyrY1ff/u8smCEojMCqadlTU9S6AXm8eP1r1fyanrnBYyEASxsOp9&#10;TbsY/aoogHfSMJg4Ly06GxcMi7gNbSEC6xHd6GJals+K3gXhg+MSAE93g5OOiOEhgK5pFJc7x6+M&#10;tHFADVKziJSgUx7oJnfbNJLHN00DMhJdU2Qa84pF0D6ktdis2aoNzHeKjy2wh7Rwj5NhymLRW6gd&#10;i4xcBfUXlFE8OHBNnHBnioFIVgRZVOU9bd52zMvMBaUGfys6/D9Y/vq4D0QJnIQ5amKZwSv//vHr&#10;jw+fbj5f33z7QqrZMqnUe1hh8Nbuw7gDvw+J8qkJJv2RDDnVdFZWi2U1p+SMmOX0+expNagsT5Fw&#10;DMAyHH3L+WIxT57iDsIHiC+lMyQZNYUYmGq7uHXW4k26UGWN2fEVxCHxV0Kqry3pE+wUa3OGk9ng&#10;RKBpPLID2+ZccFqJS6V1yoDQHrY6kCNL05G/saE/wlKRHYNuiMuugVEnmXhhBYlnj6pZfC40tWCk&#10;oERLfF1ghsDIlP5nYEoZGGmLiiSxB3mTdXDinFXP5zgIWbNxaNOk/b7P2XcPdfM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0u9EB9EAAAAFAQAADwAAAAAAAAABACAAAAAiAAAAZHJzL2Rvd25yZXYu&#10;eG1sUEsBAhQAFAAAAAgAh07iQHKGENwCAgAA8AMAAA4AAAAAAAAAAQAgAAAAIAEAAGRycy9lMm9E&#10;b2MueG1sUEsFBgAAAAAGAAYAWQEAAJQFAAAAAA==&#10;">
                        <v:fill on="f" focussize="0,0"/>
                        <v:stroke color="#000000" joinstyle="round" startarrowlength="short"/>
                        <v:imagedata o:title=""/>
                        <o:lock v:ext="edit" aspectratio="f"/>
                      </v:shape>
                      <v:shape id="自选图形 150" o:spid="_x0000_s1026" o:spt="32" type="#_x0000_t32" style="position:absolute;left:2148840;top:1127126;height:0;width:1878330;" filled="f" stroked="t" coordsize="21600,21600" o:gfxdata="UEsDBAoAAAAAAIdO4kAAAAAAAAAAAAAAAAAEAAAAZHJzL1BLAwQUAAAACACHTuJAg3885tQAAAAF&#10;AQAADwAAAGRycy9kb3ducmV2LnhtbE2PQUvDQBCF74L/YRnBi9jdFKwxZlNE8ODRtuB1mh2TaHY2&#10;ZDdN7a939GIvDx5veO+bcn30vTrQGLvAFrKFAUVcB9dxY2G3fbnNQcWE7LAPTBa+KcK6urwosXBh&#10;5jc6bFKjpIRjgRbalIZC61i35DEuwkAs2UcYPSaxY6PdiLOU+14vjVlpjx3LQosDPbdUf20mb4Hi&#10;dJeZpwff7F5P88378vQ5D1trr68y8wgq0TH9H8MvvqBDJUz7MLGLqrcgj6Q/lSzPjNi9hVVu7kFX&#10;pT6nr34AUEsDBBQAAAAIAIdO4kAc5KgKBAIAAPMDAAAOAAAAZHJzL2Uyb0RvYy54bWytU02O0zAU&#10;3iNxB8t7miYznQlV01m0DBsElYADuLaTWPKf/DxNu2OHOAM7ltwBbjMS3IJnp0xh2HRBFs6z/d7n&#10;7/v8vLjZG012MoBytqHlZEqJtNwJZbuGvn93+6ymBCKzgmlnZUMPEujN8umTxeDnsnK900IGgiAW&#10;5oNvaB+jnxcF8F4aBhPnpcXN1gXDIk5DV4jABkQ3uqim06ticEH44LgEwNX1uEmPiOEcQNe2isu1&#10;43dG2jiiBqlZREnQKw90mdm2reTxTduCjEQ3FJXGPOIhGG/TWCwXbN4F5nvFjxTYORQeaTJMWTz0&#10;AWrNIiN3Qf0DZRQPDlwbJ9yZYhSSHUEV5fSRN2975mXWglaDfzAd/h8sf73bBKIEdsKspMQyg1f+&#10;4+PXnx8+3X/+fv/tCyln2aXBwxyTV3YT0LM0A78JSfK+DSb9UQzZN7QqL+v6Ev09IGZZXZfV1eiy&#10;3EfCMaGsr+uLC0zgmJGxixOIDxBfSmdIChoKMTDV9XHlrMW7dKHMLrPdK4hIAwt/FyQG2pKhoc9n&#10;1QzBGfZmiz2BofGoD2yXa8FpJW6V1qkCQrdd6UB2LPVH/hJZxP0rLR2yZtCPeXlr1NRLJl5YQeLB&#10;o28WHwxNFIwUlGiJ7ytFucciU/qcTDxaW2RwcjhFWycO2fi8jr2QOR77NjXbn/NcfXqry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Dfzzm1AAAAAUBAAAPAAAAAAAAAAEAIAAAACIAAABkcnMvZG93&#10;bnJldi54bWxQSwECFAAUAAAACACHTuJAHOSoCgQCAADzAwAADgAAAAAAAAABACAAAAAjAQAAZHJz&#10;L2Uyb0RvYy54bWxQSwUGAAAAAAYABgBZAQAAmQUAAAAA&#10;">
                        <v:fill on="f" focussize="0,0"/>
                        <v:stroke color="#000000" joinstyle="round"/>
                        <v:imagedata o:title=""/>
                        <o:lock v:ext="edit" aspectratio="f"/>
                      </v:shape>
                      <v:line id="直线 154" o:spid="_x0000_s1026" o:spt="20" style="position:absolute;left:2158365;top:222250;flip:x;height:139700;width:0;" filled="f" stroked="t" coordsize="21600,21600" o:gfxdata="UEsDBAoAAAAAAIdO4kAAAAAAAAAAAAAAAAAEAAAAZHJzL1BLAwQUAAAACACHTuJAiR9hNdMAAAAF&#10;AQAADwAAAGRycy9kb3ducmV2LnhtbE2PwU7DMBBE70j8g7VI3KidVg1RiNMDEkIgLg39gG2yJBHx&#10;OrKdtvw9Cxe4jDSa1czbandxkzpRiKNnC9nKgCJufTdyb+Hw/nRXgIoJucPJM1n4ogi7+vqqwrLz&#10;Z97TqUm9khKOJVoYUppLrWM7kMO48jOxZB8+OExiQ6+7gGcpd5NeG5NrhyPLwoAzPQ7UfjaLs7A/&#10;9M+hyYzf5C+4rHPevm7ettbe3mTmAVSiS/o7hh98QYdamI5+4S6qyYI8kn5VsiIzYo8W8sLcg64r&#10;/Z++/gZQSwMEFAAAAAgAh07iQJmTzz8EAgAA8wMAAA4AAABkcnMvZTJvRG9jLnhtbK1TS27bMBDd&#10;F+gdCO5rWU6VJoLlLOKmXRStgbQHGPMjEeAPJG3ZZ+k1uuqmx8k1OqTcpE2yyKJcCEPN8M28x8fl&#10;1cFoshchKmc7Ws/mlAjLHFe27+i3rzdvLiiJCSwH7azo6FFEerV6/Wo5+lYs3OA0F4EgiI3t6Ds6&#10;pOTbqopsEAbizHlhMSldMJBwG/qKBxgR3ehqMZ+fV6ML3AfHRIz4dz0l6QkxvATQSamYWDu2M8Km&#10;CTUIDQkpxUH5SFdlWikFS1+kjCIR3VFkmsoXm2C8zd9qtYS2D+AHxU4jwEtGeMTJgLLY9B5qDQnI&#10;LqgnUEax4KKTacacqSYiRRFkUc8faXM7gBeFC0od/b3o8f/Bss/7TSCKoxOaBSUWDF753fcfdz9/&#10;kbp5m/UZfWyx7NpuwmkX/SZksgcZDJFa+Y94vNBHQuTQ0UXdXJydN5QcMcbVnIQWh0QY5lF9hqn6&#10;7PLdvKSqCSyD+hDTB+EMyUFHtbJZAmhh/ykmHABL/5Tk39qSsaOXzQK7MUA/SvQBhsYjp2j7cjY6&#10;rfiN0jqfiKHfXutA9pA9UVamibj/lOUma4jDVMcxmswyCODvLSfp6FEqi2+E5gmM4JRogU8qR4gH&#10;bQKlHyohBDc+X4qttcUJstKTtjnaOn7Eu9n5oPoBlajLlDmDXijznnybzfb3viA9vNXV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kfYTXTAAAABQEAAA8AAAAAAAAAAQAgAAAAIgAAAGRycy9kb3du&#10;cmV2LnhtbFBLAQIUABQAAAAIAIdO4kCZk88/BAIAAPMDAAAOAAAAAAAAAAEAIAAAACIBAABkcnMv&#10;ZTJvRG9jLnhtbFBLBQYAAAAABgAGAFkBAACYBQAAAAA=&#10;">
                        <v:fill on="f" focussize="0,0"/>
                        <v:stroke color="#000000" joinstyle="round" dashstyle="dash" endarrow="open"/>
                        <v:imagedata o:title=""/>
                        <o:lock v:ext="edit" aspectratio="f"/>
                      </v:line>
                      <v:shape id="自选图形 156" o:spid="_x0000_s1026" o:spt="32" type="#_x0000_t32" style="position:absolute;left:1529715;top:919481;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HihcoQLAgAA8QMAAA4AAABkcnMvZTJvRG9jLnhtbK1TzY7TMBC+&#10;I/EOlu80TdjubqOme2hZLggqAQ/g2k5iyX/yeJv2xg3xDNw48g7s26wEb8HYKVtYOOyBHJyxZ+ab&#10;+T6PF1d7o8lOBlDONrScTCmRljuhbNfQ9++un11SApFZwbSzsqEHCfRq+fTJYvC1rFzvtJCBIIiF&#10;evAN7WP0dVEA76VhMHFeWnS2LhgWcRu6QgQ2ILrRRTWdnheDC8IHxyUAnq5HJz0ihscAurZVXK4d&#10;vzHSxhE1SM0iUoJeeaDL3G3bSh7ftC3ISHRDkWnMKxZBe5vWYrlgdReY7xU/tsAe08IDToYpi0Xv&#10;odYsMnIT1F9QRvHgwLVxwp0pRiJZEWRRTh9o87ZnXmYuKDX4e9Hh/8Hy17tNIErgJMyeU2KZwSv/&#10;/vHrjw+f7j7f3n37QsrZeVJp8FBj8MpuwnEHfhMS5X0bTPojGbJPONX8opxRcmjovJyfXZajyHIf&#10;CUd/dTE/m6L8HP1Z/+IE4QPEl9IZkoyGQgxMdX1cOWvxJl0os8Zs9woiNoGJvxJSfW3JgCVnFdbm&#10;DCezxYlA03hkB7bLueC0EtdK65QBoduudCA7lqYjf6lXxP0jLBVZM+jHOIHWyKiXTLywgsSDR9Es&#10;vhaaOjBSUKIlPq5kIR6rI1P6FMlCcMO/Q7G0tthBUnvUN1lbJw5Z9nyOk5B7PE5tGrXf9zn79FKX&#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RIQX0wAAAAUBAAAPAAAAAAAAAAEAIAAAACIAAABk&#10;cnMvZG93bnJldi54bWxQSwECFAAUAAAACACHTuJAeKFyhAsCAADxAwAADgAAAAAAAAABACAAAAAi&#10;AQAAZHJzL2Uyb0RvYy54bWxQSwUGAAAAAAYABgBZAQAAnwUAAAAA&#10;">
                        <v:fill on="f" focussize="0,0"/>
                        <v:stroke color="#000000" joinstyle="round" dashstyle="dash" endarrow="open"/>
                        <v:imagedata o:title=""/>
                        <o:lock v:ext="edit" aspectratio="f"/>
                      </v:shape>
                      <v:rect id="矩形 158" o:spid="_x0000_s1026" o:spt="1" style="position:absolute;left:1824990;top:2193291;height:24130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M7WVN4sAgAAawQAAA4AAABkcnMvZTJvRG9jLnhtbK1US44TMRDd&#10;I3EHy3vS3fkMSZTOLCaEDYKRBg7guN1pS/5hOz8ug8SOQ3AcxDV4dof5wSILvOgu29Wv6r2q6sX1&#10;USuyFz5Ia2paDUpKhOG2kWZb008f16+mlITITMOUNaKmJxHo9fLli8XBzcXQdlY1whOAmDA/uJp2&#10;Mbp5UQTeCc3CwDphcNlar1nE1m+LxrMD0LUqhmV5VRysb5y3XISA01V/Sc+I/hJA27aSi5XlOy1M&#10;7FG9UCyCUuikC3SZs21bweOHtg0iElVTMI35iSCwN+lZLBdsvvXMdZKfU2CXpPCMk2bSIOg91IpF&#10;RnZe/gWlJfc22DYOuNVFTyQrAhZV+Uybu445kblA6uDuRQ//D5a/3996Iht0wmRMiWEaJf/19fvP&#10;H99INZkmfQ4uzOF25279eRdgJrLH1uv0Bg1yBMJ0OJ7NoOyppsNqNhrOql5fcYyEw+Hq9agqcc+T&#10;w7gawQZi8QDkfIhvhdUkGTX1KF9Wle3fhdi7/nFJcYNVsllLpfLGbzc3ypM9Q6nXeZ3Rn7gpQw41&#10;nU2GE+TB0L8t+gamdtAgmG2O9+SL8Bi4zOtfwCmxFQtdn0BG6NlrGYVH8mzeCda8MQ2JJweVDcaL&#10;pmS0aChRAtOYrOwZmVSXeEI7ZSBhqlFflWTF4+YImGRubHNCgTHv0LOz/gsiottB9fOOecRnhuO4&#10;ptCgN29iPx475+W2w1e5iDkCejCX6zwvqckf73MeD/+I5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lx6ua0wAAAAUBAAAPAAAAAAAAAAEAIAAAACIAAABkcnMvZG93bnJldi54bWxQSwECFAAUAAAA&#10;CACHTuJAztZU3iwCAABrBAAADgAAAAAAAAABACAAAAAiAQAAZHJzL2Uyb0RvYy54bWxQSwUGAAAA&#10;AAYABgBZAQAAwAUAAAAA&#10;">
                        <v:fill on="t" focussize="0,0"/>
                        <v:stroke color="#000000" joinstyle="miter"/>
                        <v:imagedata o:title=""/>
                        <o:lock v:ext="edit" aspectratio="f"/>
                        <v:textbox>
                          <w:txbxContent>
                            <w:p w14:paraId="48ABD3C1">
                              <w:pPr>
                                <w:spacing w:line="240" w:lineRule="auto"/>
                                <w:jc w:val="center"/>
                                <w:rPr>
                                  <w:rFonts w:hint="default" w:eastAsia="宋体"/>
                                  <w:sz w:val="18"/>
                                  <w:szCs w:val="18"/>
                                  <w:lang w:val="en-US" w:eastAsia="zh-CN"/>
                                </w:rPr>
                              </w:pPr>
                              <w:r>
                                <w:rPr>
                                  <w:rFonts w:hint="eastAsia" w:eastAsia="宋体"/>
                                  <w:sz w:val="18"/>
                                  <w:szCs w:val="18"/>
                                  <w:lang w:val="en-US" w:eastAsia="zh-CN"/>
                                </w:rPr>
                                <w:t>胎基烘干</w:t>
                              </w:r>
                            </w:p>
                          </w:txbxContent>
                        </v:textbox>
                      </v:rect>
                      <v:shape id="自选图形 160" o:spid="_x0000_s1026" o:spt="32" type="#_x0000_t32" style="position:absolute;left:661670;top:2313941;flip:y;height:1905;width:220345;" filled="f" stroked="t" coordsize="21600,21600" o:gfxdata="UEsDBAoAAAAAAIdO4kAAAAAAAAAAAAAAAAAEAAAAZHJzL1BLAwQUAAAACACHTuJA7neESdMAAAAF&#10;AQAADwAAAGRycy9kb3ducmV2LnhtbE2PwU7DMBBE70j8g7VI3KgdVJooxKmgKFckWoQ4uvE2ibDX&#10;Uey26d+zcIHLSKNZzbyt1rN34oRTHAJpyBYKBFIb7ECdhvddc1eAiMmQNS4QarhghHV9fVWZ0oYz&#10;veFpmzrBJRRLo6FPaSyljG2P3sRFGJE4O4TJm8R26qSdzJnLvZP3Sq2kNwPxQm9G3PTYfm2PXsPT&#10;8+bQ5DM9LDOZ2+bldflxcZ9a395k6hFEwjn9HcMPPqNDzUz7cCQbhdPAj6Rf5azIFNu9hlWhcpB1&#10;Jf/T199QSwMEFAAAAAgAh07iQC5sLOcQAgAA/gMAAA4AAABkcnMvZTJvRG9jLnhtbK1TS44TMRDd&#10;I3EHy3vSn0wCidKZRcKwQRCJz96x3WlL/qnsSSc7dogzsGPJHYbbjAS3oOwOExhYzIJetMp21at6&#10;z8+Ly4PRZC8hKGcbWo1KSqTlTii7a+i7t1dPnlESIrOCaWdlQ48y0Mvl40eL3s9l7TqnhQSCIDbM&#10;e9/QLkY/L4rAO2lYGDkvLR62DgyLuIRdIYD1iG50UZfltOgdCA+OyxBwdz0c0hMiPATQta3icu34&#10;tZE2DqggNYtIKXTKB7rM07at5PF12wYZiW4oMo35j00w3qZ/sVyw+Q6Y7xQ/jcAeMsI9ToYpi03v&#10;oNYsMnIN6i8oozi44No44s4UA5GsCLKoynvavOmYl5kLSh38nejh/8HyV/sNECXQCZMJJZYZvPLv&#10;H7/++PDp9vO325svpJpmlXof5pi8shtAzdIq+A0kyocWDGm18u8RJIuAtMihodNpNX2KQh8bWo+r&#10;8eyiGuSWh0g4ntd1Ob7AphwTqlk5SafFgJdwPYT4QjpDUtDQEIGpXRdXzlq8VgdDL7Z/GeJQ+Ksg&#10;FWtL+obOJnXCZ2jTFu2BofFINdhdnjM4rcSV0jpVBNhtVxrIniWr5O800B9pqcmahW7IExgNpDrJ&#10;xHMrSDx6VNDi06FpAiMFJVriS0tRdltkSp8zGYDr/52KWmiLkpzFTtHWiWO+g7yPtsiinSycfPf7&#10;Olefn+3y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53hEnTAAAABQEAAA8AAAAAAAAAAQAgAAAA&#10;IgAAAGRycy9kb3ducmV2LnhtbFBLAQIUABQAAAAIAIdO4kAubCznEAIAAP4DAAAOAAAAAAAAAAEA&#10;IAAAACIBAABkcnMvZTJvRG9jLnhtbFBLBQYAAAAABgAGAFkBAACkBQAAAAA=&#10;">
                        <v:fill on="f" focussize="0,0"/>
                        <v:stroke color="#000000" joinstyle="round" dashstyle="dash" endarrow="open"/>
                        <v:imagedata o:title=""/>
                        <o:lock v:ext="edit" aspectratio="f"/>
                      </v:shape>
                      <v:shape id="自选图形 161" o:spid="_x0000_s1026" o:spt="32" type="#_x0000_t32" style="position:absolute;left:1557655;top:2313941;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Icpg1YNAgAA8gMAAA4AAABkcnMvZTJvRG9jLnhtbK1TzY7TMBC+&#10;I/EOlu80TXfb3UZN99CyXBBUAh5gajuJJf/J9jbtjRviGbhx5B3Yt1kJ3mLHTtnCwmEP5OCMk5lv&#10;vu/zeHG114rshA/SmpqWozElwjDLpWlr+uH99YtLSkIEw0FZI2p6EIFeLZ8/W/SuEhPbWcWFJwhi&#10;QtW7mnYxuqooAuuEhjCyThj82VivIeLWtwX30CO6VsVkPJ4VvfXcectECPh1PfykR0T/FEDbNJKJ&#10;tWU3Wpg4oHqhIKKk0EkX6DKzbRrB4tumCSISVVNUGvOKTTDeprVYLqBqPbhOsiMFeAqFR5o0SINN&#10;H6DWEIHcePkXlJbM22CbOGJWF4OQ7AiqKMePvHnXgRNZC1od3IPp4f/Bsje7jSeS4yRMZ5QY0Hjk&#10;Pz59+/nx892X27vvX0k5K5NLvQsVJq/Mxh93wW18krxvvE5vFEP2CWd6MZtOKTnUdHJWns3Pcz1U&#10;Yh8Jw4TJxfx8jP4zTMgHUJwwnA/xlbCapKCmIXqQbRdX1hg8SuvLbDLsXoeILLDwV0EioAzpazqf&#10;TrA5AxzNBkcCQ+1QXjBtrg1WSX4tlUoVwbfblfJkB2k88pO0Iu4faanJGkI35HGMhrnpBPCXhpN4&#10;cOiawetCEwMtOCVK4O1KEeJBFUGqUyZ4b/t/p2JrZZBBsnswOEVbyw/Z9/wdRyFzPI5tmrXf97n6&#10;dFWX9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JEhBfTAAAABQEAAA8AAAAAAAAAAQAgAAAAIgAA&#10;AGRycy9kb3ducmV2LnhtbFBLAQIUABQAAAAIAIdO4kCHKYNWDQIAAPIDAAAOAAAAAAAAAAEAIAAA&#10;ACIBAABkcnMvZTJvRG9jLnhtbFBLBQYAAAAABgAGAFkBAAChBQAAAAA=&#10;">
                        <v:fill on="f" focussize="0,0"/>
                        <v:stroke color="#000000" joinstyle="round" dashstyle="dash" endarrow="open"/>
                        <v:imagedata o:title=""/>
                        <o:lock v:ext="edit" aspectratio="f"/>
                      </v:shape>
                      <v:shape id="文本框 165" o:spid="_x0000_s1026" o:spt="202" type="#_x0000_t202" style="position:absolute;left:3740150;top:4013202;height:228600;width:389255;"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IhtrCnuAQAAuQMAAA4AAABkcnMvZTJvRG9jLnhtbK1TzY7TMBC+&#10;I/EOlu80aZZ0S9R0JbYqFwRICw/gOk5iyX+M3SblAeANOHHhznP1ORg77S4slz2QgzMef56Z75vx&#10;6mbUihwEeGlNTeeznBJhuG2k6Wr66eP2xZISH5hpmLJG1PQoPL1ZP3+2GlwlCttb1QggGMT4anA1&#10;7UNwVZZ53gvN/Mw6YfCwtaBZwC10WQNswOhaZUWeL7LBQuPAcuE9ejfTIT1HhKcEtG0rudhYvtfC&#10;hCkqCMUCUvK9dJ6uU7VtK3h437ZeBKJqikxDWjEJ2ru4ZusVqzpgrpf8XAJ7SgmPOGkmDSa9D7Vh&#10;gZE9yH9CacnBetuGGbc6m4gkRZDFPH+kzV3PnEhcUGrv7kX3/y8sf3f4AEQ2OAnlNSWGaWz56fu3&#10;049fp59fyXxRRokG5ytE3jnEhvG1HRF+8Xt0RuZjCzr+kRPB86vrl/m8RJmPNUXrqsiLSWwxBsIj&#10;YPmqKEtKOAKKYrnIUzOyh0AOfHgjrCbRqClgL5PE7PDWBywKoRdIzOutks1WKpU20O1uFZADw75v&#10;0xez45W/YMpEsLHx2nQcPVmkO9GKVhh341mDnW2OKAG+Hiyot/CFkgFnp6b+856BoIQZju6ahot5&#10;G6Zh2zuQXY+3km4pA3Y0VXSevjgyf+5THQ8vbv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8QDT&#10;B9MAAAAFAQAADwAAAAAAAAABACAAAAAiAAAAZHJzL2Rvd25yZXYueG1sUEsBAhQAFAAAAAgAh07i&#10;QIhtrCnuAQAAuQMAAA4AAAAAAAAAAQAgAAAAIgEAAGRycy9lMm9Eb2MueG1sUEsFBgAAAAAGAAYA&#10;WQEAAIIFAAAAAA==&#10;">
                        <v:fill on="t" focussize="0,0"/>
                        <v:stroke on="f"/>
                        <v:imagedata o:title=""/>
                        <o:lock v:ext="edit" aspectratio="f"/>
                        <v:textbox>
                          <w:txbxContent>
                            <w:p w14:paraId="0E4E887D">
                              <w:pPr>
                                <w:rPr>
                                  <w:rFonts w:hint="default" w:eastAsia="宋体"/>
                                  <w:sz w:val="15"/>
                                  <w:szCs w:val="15"/>
                                  <w:lang w:val="en-US" w:eastAsia="zh-CN"/>
                                </w:rPr>
                              </w:pPr>
                            </w:p>
                          </w:txbxContent>
                        </v:textbox>
                      </v:shape>
                      <v:shape id="自选图形 176" o:spid="_x0000_s1026" o:spt="32" type="#_x0000_t32" style="position:absolute;left:1157605;top:1391921;flip:y;height:635;width:1586230;" filled="f" stroked="t" coordsize="21600,21600" o:gfxdata="UEsDBAoAAAAAAIdO4kAAAAAAAAAAAAAAAAAEAAAAZHJzL1BLAwQUAAAACACHTuJA7neESdMAAAAF&#10;AQAADwAAAGRycy9kb3ducmV2LnhtbE2PwU7DMBBE70j8g7VI3KgdVJooxKmgKFckWoQ4uvE2ibDX&#10;Uey26d+zcIHLSKNZzbyt1rN34oRTHAJpyBYKBFIb7ECdhvddc1eAiMmQNS4QarhghHV9fVWZ0oYz&#10;veFpmzrBJRRLo6FPaSyljG2P3sRFGJE4O4TJm8R26qSdzJnLvZP3Sq2kNwPxQm9G3PTYfm2PXsPT&#10;8+bQ5DM9LDOZ2+bldflxcZ9a395k6hFEwjn9HcMPPqNDzUz7cCQbhdPAj6Rf5azIFNu9hlWhcpB1&#10;Jf/T199QSwMEFAAAAAgAh07iQMXFVMoTAgAA/wMAAA4AAABkcnMvZTJvRG9jLnhtbK1TvW4TQRDu&#10;kXiH1fb4fLbOiU8+p7AJDYJI/PTj/blbaf+0u/HZHR3iGegoeQfyNpHgLZi9MwkEihRccZrZnflm&#10;vm9mVxcHo8lehKicbWg5mVIiLHNc2bah795ePjunJCawHLSzoqFHEenF+umTVe9rMXOd01wEgiA2&#10;1r1vaJeSr4sisk4YiBPnhcVL6YKBhG5oCx6gR3Sji9l0uih6F7gPjokY8XQ7XtITYngMoJNSMbF1&#10;7NoIm0bUIDQkpBQ75SNdD91KKVh6LWUUieiGItM0/LEI2rv8L9YrqNsAvlPs1AI8poUHnAwoi0Xv&#10;oLaQgFwH9ReUUSy46GSaMGeKkcigCLIopw+0edOBFwMXlDr6O9Hj/4Nlr/ZXgSiOm1Dh4C0YHPn3&#10;j19/fPh0+/nm9tsXUp4tskq9jzUGb+xVOHnRX4VM+SCDIVIr/x5BBhGQFjmgU1Zni2lFyRHt+bJc&#10;zspRb3FIhOWA6nwxm+MoGEYs5lW+LUbADOxDTC+EMyQbDY0pgGq7tHHW4lxdGIvB/mVMY+KvhJys&#10;LekbuqxmWJ8B7qnE/UDTeOQabTs0Gp1W/FJpnTNiaHcbHcge8q4M36mhP8JykS3EbozjaI2kOgH8&#10;ueUkHT1KaPHt0NyBEZwSLfCpZQv7hDqB0veREILr/x2KWmiLkmTtR7WztXP8OAxhOMe9GEQ77XBe&#10;vN/9Ifv+3a5/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53hEnTAAAABQEAAA8AAAAAAAAAAQAg&#10;AAAAIgAAAGRycy9kb3ducmV2LnhtbFBLAQIUABQAAAAIAIdO4kDFxVTKEwIAAP8DAAAOAAAAAAAA&#10;AAEAIAAAACIBAABkcnMvZTJvRG9jLnhtbFBLBQYAAAAABgAGAFkBAACnBQAAAAA=&#10;">
                        <v:fill on="f" focussize="0,0"/>
                        <v:stroke color="#000000" joinstyle="round" dashstyle="dash" endarrow="open"/>
                        <v:imagedata o:title=""/>
                        <o:lock v:ext="edit" aspectratio="f"/>
                      </v:shape>
                      <v:shape id="自选图形 177" o:spid="_x0000_s1026" o:spt="32" type="#_x0000_t32" style="position:absolute;left:1160145;top:1032511;height:353060;width:635;" filled="f" stroked="t" coordsize="21600,21600" o:gfxdata="UEsDBAoAAAAAAIdO4kAAAAAAAAAAAAAAAAAEAAAAZHJzL1BLAwQUAAAACACHTuJAH2Lvf9UAAAAF&#10;AQAADwAAAGRycy9kb3ducmV2LnhtbE2PS0/DMBCE70j8B2uRuFE7FUqjNE4PIIR4HGhA9Oom2zhq&#10;vI5s98G/Z+ECl5FGs5r5tlqd3SiOGOLgSUM2UyCQWt8N1Gv4eH+4KUDEZKgzoyfU8IURVvXlRWXK&#10;zp9ojccm9YJLKJZGg01pKqWMrUVn4sxPSJztfHAmsQ297II5cbkb5VypXDozEC9YM+GdxXbfHJyG&#10;27ddEzZPr/LlPn+eh0f7ubELp/X1VaaWIBKe098x/OAzOtTMtPUH6qIYNfAj6Vc5KzLFdqshL9QC&#10;ZF3J//T1N1BLAwQUAAAACACHTuJAdoXzswcCAADzAwAADgAAAGRycy9lMm9Eb2MueG1srVPNjtMw&#10;EL4j8Q6W7zRJS7ts1HQPLcsFQSXgAVzbSSz5Tx5v0964IZ6BG0fegX2bleAtGDtlF5ZLD+SQjOOZ&#10;b77v83h5dTCa7GUA5WxDq0lJibTcCWW7hn54f/3sBSUQmRVMOysbepRAr1ZPnywHX8up650WMhAE&#10;sVAPvqF9jL4uCuC9NAwmzkuLm60LhkVchq4QgQ2IbnQxLctFMbggfHBcAuDfzbhJT4jhHEDXtorL&#10;jeM3Rto4ogapWURJ0CsPdJXZtq3k8W3bgoxENxSVxvzGJhjv0rtYLVndBeZ7xU8U2DkUHmkyTFls&#10;eg+1YZGRm6D+gTKKBweujRPuTDEKyY6giqp85M27nnmZtaDV4O9Nh/8Hy9/st4EogZMwv6TEMoNH&#10;/uPTt58fP999ub37/pVUFxfJpcFDjclruw2nFfhtSJIPbTDpi2LIAXGqRVk9n1NyxLicTedVNbos&#10;D5FwTFjMcJPj7mw+Kxf5CIoHFB8gvpLOkBQ0FGJgquvj2lmLh+lClW1m+9cQkQcW/i5IFLQlQ0Mv&#10;59PUgeFwtjgUGBqPAsF2uRacVuJaaZ0qIHS7tQ5kz9KA5CexRdy/0lKTDYN+zBMYjZp6ycRLK0g8&#10;evTN4oWhiYGRghIt8X6lCPFYHZnS52RiZ22RQPJ7dDhFOyeO2fj8H2chUzzNbRq2P9e5+uGurn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2Lvf9UAAAAFAQAADwAAAAAAAAABACAAAAAiAAAAZHJz&#10;L2Rvd25yZXYueG1sUEsBAhQAFAAAAAgAh07iQHaF87MHAgAA8wMAAA4AAAAAAAAAAQAgAAAAJAEA&#10;AGRycy9lMm9Eb2MueG1sUEsFBgAAAAAGAAYAWQEAAJ0FAAAAAA==&#10;">
                        <v:fill on="f" focussize="0,0"/>
                        <v:stroke color="#000000" joinstyle="round" dashstyle="dash"/>
                        <v:imagedata o:title=""/>
                        <o:lock v:ext="edit" aspectratio="f"/>
                      </v:shape>
                      <v:shape id="文本框 178" o:spid="_x0000_s1026" o:spt="202" type="#_x0000_t202" style="position:absolute;left:1633220;top:1157606;height:222885;width:483235;"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BoyRPTsAQAAuQMAAA4AAABkcnMvZTJvRG9jLnhtbK1TS27bMBDd&#10;F+gdCO5r2XLtCIblAI3hboq2QNoD0BQlEeCvQ9qSe4D2Bl11033P5XNkSMlJm2yyiBbUcPj4OO9x&#10;uL7utSJHAV5aU9LZZEqJMNxW0jQl/fpl96agxAdmKqasESU9CU+vN69frTu3ErltraoEECQxftW5&#10;krYhuFWWed4KzfzEOmFwsbagWcApNFkFrEN2rbJ8Ol1mnYXKgeXCe8xuh0U6MsJzCG1dSy62lh+0&#10;MGFgBaFYQEm+lc7TTaq2rgUPn+rai0BUSVFpSCMegvE+jtlmzVYNMNdKPpbAnlPCI02aSYOH3lNt&#10;WWDkAPIJlZYcrLd1mHCrs0FIcgRVzKaPvLltmRNJC1rt3b3p/uVo+cfjZyCywk5YoieGabzy86+f&#10;599/z39+kNlVES3qnF8h8tYhNvTvbI/wS95jMirva9Dxj5pIXF/O53mOlCeMZ4ur5XQ5mC36QDgC&#10;3hbzfL6ghCMgz/OiWMT17IHIgQ/vhdUkBiUFvMtkMTt+8GGAXiDxXG+VrHZSqTSBZn+jgBwZ3vsu&#10;fSP7fzBlItjYuG1gjJksyh1kxSj0+370YG+rE1qArwcLai18p6TD3imp/3ZgIChhhmO6pOES3oSh&#10;2Q4OZNPiruRbOgFvNOkduy+2zL/zVMfDi9vc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EA0wfT&#10;AAAABQEAAA8AAAAAAAAAAQAgAAAAIgAAAGRycy9kb3ducmV2LnhtbFBLAQIUABQAAAAIAIdO4kAa&#10;MkT07AEAALkDAAAOAAAAAAAAAAEAIAAAACIBAABkcnMvZTJvRG9jLnhtbFBLBQYAAAAABgAGAFkB&#10;AACABQAAAAA=&#10;">
                        <v:fill on="t" focussize="0,0"/>
                        <v:stroke on="f"/>
                        <v:imagedata o:title=""/>
                        <o:lock v:ext="edit" aspectratio="f"/>
                        <v:textbox>
                          <w:txbxContent>
                            <w:p w14:paraId="69C96ED8">
                              <w:pPr>
                                <w:rPr>
                                  <w:rFonts w:hint="default" w:eastAsia="宋体"/>
                                  <w:sz w:val="15"/>
                                  <w:szCs w:val="15"/>
                                  <w:lang w:val="en-US" w:eastAsia="zh-CN"/>
                                </w:rPr>
                              </w:pPr>
                              <w:r>
                                <w:rPr>
                                  <w:rFonts w:hint="eastAsia" w:eastAsia="宋体"/>
                                  <w:sz w:val="15"/>
                                  <w:szCs w:val="15"/>
                                  <w:lang w:val="en-US" w:eastAsia="zh-CN"/>
                                </w:rPr>
                                <w:t>导热油</w:t>
                              </w:r>
                            </w:p>
                          </w:txbxContent>
                        </v:textbox>
                      </v:shape>
                      <v:shape id="文本框 200" o:spid="_x0000_s1026" o:spt="202" type="#_x0000_t202" style="position:absolute;left:4617085;top:800101;height:228600;width:508000;"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Ah/yVXrAQAAuAMAAA4AAABkcnMvZTJvRG9jLnhtbK1TwY7TMBC9&#10;I/EPlu80acWWKmq6EluVCwKkhQ9wHaexZHvM2G1SPgD+gBMX7nxXv4Ox0+7C7mUPm4Njz4zfzHsz&#10;Xl4P1rCDwqDB1Xw6KTlTTkKj3a7mXz5vXi04C1G4RhhwquZHFfj16uWLZe8rNYMOTKOQEYgLVe9r&#10;3sXoq6IIslNWhAl45cjZAloR6Yi7okHRE7o1xaws50UP2HgEqUIg63p08jMiPgUQ2lZLtQa5t8rF&#10;ERWVEZEohU77wFe52rZVMn5s26AiMzUnpjGvlIT227QWq6Wodih8p+W5BPGUEh5wskI7SnoHtRZR&#10;sD3qR1BWS4QAbZxIsMVIJCtCLKblA21uO+FV5kJSB38neng+WPnh8AmZbmgS5lPOnLDU8tPPH6df&#10;f06/vzNqWJKo96GiyFtPsXF4CwOFX+yBjIn50KJNf+LEyP96Pn1TLq44O9Z8URK3fEFUaohMkv+q&#10;JCt1QZJ/NlvMx0TFPY7HEN8psCxtao7UyqywOLwPkWqi0EtIShvA6GajjckH3G1vDLKDoLZv8pfK&#10;pSv/hRmXgh2ka6M7WYrEdmSVdnHYDmcJttAcSQF6PFRQB/iNs55Gp+bh616g4kw4Seaax8v2Jo6z&#10;tveodx3dyirkDNTQXNF5+NLE/HvOddw/uN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8QDTB9MA&#10;AAAFAQAADwAAAAAAAAABACAAAAAiAAAAZHJzL2Rvd25yZXYueG1sUEsBAhQAFAAAAAgAh07iQAh/&#10;yVXrAQAAuAMAAA4AAAAAAAAAAQAgAAAAIgEAAGRycy9lMm9Eb2MueG1sUEsFBgAAAAAGAAYAWQEA&#10;AH8FAAAAAA==&#10;">
                        <v:fill on="t" focussize="0,0"/>
                        <v:stroke on="f"/>
                        <v:imagedata o:title=""/>
                        <o:lock v:ext="edit" aspectratio="f"/>
                        <v:textbox>
                          <w:txbxContent>
                            <w:p w14:paraId="23EF9A54">
                              <w:pPr>
                                <w:rPr>
                                  <w:rFonts w:hint="default" w:eastAsia="宋体"/>
                                  <w:sz w:val="15"/>
                                  <w:szCs w:val="15"/>
                                  <w:lang w:val="en-US" w:eastAsia="zh-CN"/>
                                </w:rPr>
                              </w:pPr>
                              <w:r>
                                <w:rPr>
                                  <w:rFonts w:hint="eastAsia" w:eastAsia="宋体"/>
                                  <w:sz w:val="15"/>
                                  <w:szCs w:val="15"/>
                                  <w:lang w:val="en-US" w:eastAsia="zh-CN"/>
                                </w:rPr>
                                <w:t>S1</w:t>
                              </w:r>
                            </w:p>
                          </w:txbxContent>
                        </v:textbox>
                      </v:shape>
                      <v:shape id="自选图形 201" o:spid="_x0000_s1026" o:spt="32" type="#_x0000_t32" style="position:absolute;left:4375785;top:914401;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HqEVXULAgAA8QMAAA4AAABkcnMvZTJvRG9jLnhtbK1TzW4TMRC+&#10;I/EOlu9kk5A07SqbHhLKBUEl4AEmXu+uJf9p7GaTGzfEM3DjyDvQt6kEb8HYGxooHHpgD96xZ+ab&#10;+T6Pl5d7o9lOYlDOVnwyGnMmrXC1sm3F37+7enbOWYhga9DOyoofZOCXq6dPlr0v5dR1TtcSGYHY&#10;UPa+4l2MviyKIDppIIycl5acjUMDkbbYFjVCT+hGF9Px+KzoHdYenZAh0OlmcPIjIj4G0DWNEnLj&#10;xI2RNg6oKDVEohQ65QNf5W6bRor4pmmCjExXnJjGvFIRsrdpLVZLKFsE3ylxbAEe08IDTgaUpaL3&#10;UBuIwG5Q/QVllEAXXBNHwpliIJIVIRaT8QNt3nbgZeZCUgd/L3r4f7Di9e4amappEs6mnFkwdOXf&#10;P3798eHT3efbu29fGPWVVOp9KCl4ba/xuAv+GhPlfYMm/YkM21d89nwxX5zPOTtU/GIymw3pUMp9&#10;ZIL808XFbEzyC/Jn/YsThMcQX0pnWDIqHiKCaru4dtbSTTqcZI1h9ypEaoISfyWk+tqynkrOp1Rb&#10;AE1mQxNBpvHELtg25wanVX2ltE4ZAdvtWiPbQZqO/CWqhPtHWCqygdANcTVZw9h0EuoXtmbx4Ek0&#10;S6+Fpw6MrDnTkh5XsggPyghKnyIB0fX/DqXS2lIHSe1B32RtXX3IsudzmoTc43Fq06j9vs/Zp5e6&#10;+g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RIQX0wAAAAUBAAAPAAAAAAAAAAEAIAAAACIAAABk&#10;cnMvZG93bnJldi54bWxQSwECFAAUAAAACACHTuJAeoRVdQsCAADxAwAADgAAAAAAAAABACAAAAAi&#10;AQAAZHJzL2Uyb0RvYy54bWxQSwUGAAAAAAYABgBZAQAAnwUAAAAA&#10;">
                        <v:fill on="f" focussize="0,0"/>
                        <v:stroke color="#000000" joinstyle="round" dashstyle="dash" endarrow="open"/>
                        <v:imagedata o:title=""/>
                        <o:lock v:ext="edit" aspectratio="f"/>
                      </v:shape>
                      <w10:wrap type="none"/>
                      <w10:anchorlock/>
                    </v:group>
                  </w:pict>
                </mc:Fallback>
              </mc:AlternateContent>
            </w:r>
          </w:p>
          <w:p w14:paraId="1D606B63">
            <w:pPr>
              <w:spacing w:line="360" w:lineRule="auto"/>
              <w:ind w:left="0" w:leftChars="0" w:firstLine="0" w:firstLineChars="0"/>
              <w:jc w:val="center"/>
              <w:rPr>
                <w:rFonts w:hint="default" w:ascii="Times New Roman" w:hAnsi="Times New Roman" w:eastAsia="宋体" w:cs="Times New Roman"/>
                <w:color w:val="000000"/>
                <w:kern w:val="0"/>
                <w:sz w:val="24"/>
                <w:szCs w:val="24"/>
                <w:highlight w:val="none"/>
                <w:lang w:val="en-US" w:eastAsia="zh-CN" w:bidi="ar"/>
              </w:rPr>
            </w:pPr>
            <w:r>
              <w:rPr>
                <w:rStyle w:val="27"/>
                <w:rFonts w:hint="default" w:ascii="Times New Roman" w:hAnsi="Times New Roman" w:cs="Times New Roman"/>
                <w:b/>
                <w:bCs/>
                <w:highlight w:val="none"/>
                <w:lang w:val="en-US" w:eastAsia="zh-CN"/>
              </w:rPr>
              <w:t>图2-</w:t>
            </w:r>
            <w:r>
              <w:rPr>
                <w:rStyle w:val="27"/>
                <w:rFonts w:hint="eastAsia" w:ascii="Times New Roman" w:hAnsi="Times New Roman" w:cs="Times New Roman"/>
                <w:b/>
                <w:bCs/>
                <w:highlight w:val="none"/>
                <w:lang w:val="en-US" w:eastAsia="zh-CN"/>
              </w:rPr>
              <w:t>3</w:t>
            </w:r>
            <w:r>
              <w:rPr>
                <w:rStyle w:val="27"/>
                <w:rFonts w:hint="default" w:ascii="Times New Roman" w:hAnsi="Times New Roman" w:cs="Times New Roman"/>
                <w:b/>
                <w:bCs/>
                <w:highlight w:val="none"/>
                <w:lang w:val="en-US" w:eastAsia="zh-CN"/>
              </w:rPr>
              <w:t xml:space="preserve"> </w:t>
            </w:r>
            <w:r>
              <w:rPr>
                <w:rStyle w:val="27"/>
                <w:rFonts w:hint="eastAsia" w:ascii="Times New Roman" w:hAnsi="Times New Roman" w:cs="Times New Roman"/>
                <w:b/>
                <w:bCs/>
                <w:highlight w:val="none"/>
                <w:lang w:val="en-US" w:eastAsia="zh-CN"/>
              </w:rPr>
              <w:t xml:space="preserve">    </w:t>
            </w:r>
            <w:r>
              <w:rPr>
                <w:rStyle w:val="27"/>
                <w:rFonts w:hint="default" w:ascii="Times New Roman" w:hAnsi="Times New Roman" w:cs="Times New Roman"/>
                <w:b/>
                <w:bCs/>
                <w:highlight w:val="none"/>
                <w:lang w:val="en-US" w:eastAsia="zh-CN"/>
              </w:rPr>
              <w:t>本项目改性沥青防水卷材生产工艺流程及产污环节图</w:t>
            </w:r>
          </w:p>
          <w:p w14:paraId="5516561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工艺流程简述如下：</w:t>
            </w:r>
          </w:p>
          <w:p w14:paraId="25D9712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（1）</w:t>
            </w:r>
            <w:r>
              <w:rPr>
                <w:rFonts w:hint="default" w:ascii="Times New Roman" w:hAnsi="Times New Roman" w:eastAsia="宋体" w:cs="Times New Roman"/>
                <w:b w:val="0"/>
                <w:bCs w:val="0"/>
                <w:color w:val="000000"/>
                <w:kern w:val="0"/>
                <w:sz w:val="24"/>
                <w:szCs w:val="24"/>
                <w:highlight w:val="none"/>
                <w:lang w:val="en-US" w:eastAsia="zh-CN" w:bidi="ar"/>
              </w:rPr>
              <w:t>卸料：</w:t>
            </w:r>
            <w:r>
              <w:rPr>
                <w:rFonts w:hint="default" w:ascii="Times New Roman" w:hAnsi="Times New Roman" w:eastAsia="宋体" w:cs="Times New Roman"/>
                <w:color w:val="000000"/>
                <w:kern w:val="0"/>
                <w:sz w:val="24"/>
                <w:szCs w:val="24"/>
                <w:highlight w:val="none"/>
                <w:lang w:val="en-US" w:eastAsia="zh-CN" w:bidi="ar"/>
              </w:rPr>
              <w:t>沥青运输车辆通过沥青卸料泵，将沥青料泵入沥青储罐。项目沥青罐及其附属管道，采用导热油炉提供的热源来传热、保温</w:t>
            </w:r>
            <w:r>
              <w:rPr>
                <w:rFonts w:hint="eastAsia" w:ascii="Times New Roman" w:hAnsi="Times New Roman" w:eastAsia="宋体" w:cs="Times New Roman"/>
                <w:color w:val="000000"/>
                <w:kern w:val="0"/>
                <w:sz w:val="24"/>
                <w:szCs w:val="24"/>
                <w:highlight w:val="none"/>
                <w:lang w:val="en-US" w:eastAsia="zh-CN" w:bidi="ar"/>
              </w:rPr>
              <w:t>，温度保持在80</w:t>
            </w:r>
            <w:r>
              <w:rPr>
                <w:rFonts w:hint="default" w:ascii="Times New Roman" w:hAnsi="Times New Roman" w:eastAsia="宋体" w:cs="Times New Roman"/>
                <w:color w:val="000000"/>
                <w:kern w:val="0"/>
                <w:sz w:val="24"/>
                <w:szCs w:val="24"/>
                <w:highlight w:val="none"/>
                <w:lang w:val="en-US" w:eastAsia="zh-CN" w:bidi="ar"/>
              </w:rPr>
              <w:t>℃</w:t>
            </w:r>
            <w:r>
              <w:rPr>
                <w:rFonts w:hint="eastAsia" w:ascii="Times New Roman" w:hAnsi="Times New Roman" w:eastAsia="宋体" w:cs="Times New Roman"/>
                <w:color w:val="000000"/>
                <w:kern w:val="0"/>
                <w:sz w:val="24"/>
                <w:szCs w:val="24"/>
                <w:highlight w:val="none"/>
                <w:lang w:val="en-US" w:eastAsia="zh-CN" w:bidi="ar"/>
              </w:rPr>
              <w:t>-90</w:t>
            </w:r>
            <w:r>
              <w:rPr>
                <w:rFonts w:hint="default" w:ascii="Times New Roman" w:hAnsi="Times New Roman" w:eastAsia="宋体" w:cs="Times New Roman"/>
                <w:color w:val="000000"/>
                <w:kern w:val="0"/>
                <w:sz w:val="24"/>
                <w:szCs w:val="24"/>
                <w:highlight w:val="none"/>
                <w:lang w:val="en-US" w:eastAsia="zh-CN" w:bidi="ar"/>
              </w:rPr>
              <w:t>℃。</w:t>
            </w:r>
          </w:p>
          <w:p w14:paraId="6B920FA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（2）搅拌：</w:t>
            </w:r>
            <w:r>
              <w:rPr>
                <w:rFonts w:hint="default" w:ascii="Times New Roman" w:hAnsi="Times New Roman" w:eastAsia="宋体" w:cs="Times New Roman"/>
                <w:color w:val="000000"/>
                <w:kern w:val="0"/>
                <w:sz w:val="24"/>
                <w:szCs w:val="24"/>
                <w:highlight w:val="none"/>
                <w:lang w:val="en-US" w:eastAsia="zh-CN" w:bidi="ar"/>
              </w:rPr>
              <w:t>将沥青、C5树脂、</w:t>
            </w:r>
            <w:r>
              <w:rPr>
                <w:rFonts w:hint="eastAsia" w:ascii="Times New Roman" w:hAnsi="Times New Roman" w:eastAsia="宋体" w:cs="Times New Roman"/>
                <w:color w:val="000000"/>
                <w:kern w:val="0"/>
                <w:sz w:val="24"/>
                <w:szCs w:val="24"/>
                <w:highlight w:val="none"/>
                <w:lang w:val="en-US" w:eastAsia="zh-CN" w:bidi="ar"/>
              </w:rPr>
              <w:t>改性剂</w:t>
            </w:r>
            <w:r>
              <w:rPr>
                <w:rFonts w:hint="default" w:ascii="Times New Roman" w:hAnsi="Times New Roman" w:eastAsia="宋体" w:cs="Times New Roman"/>
                <w:color w:val="000000"/>
                <w:kern w:val="0"/>
                <w:sz w:val="24"/>
                <w:szCs w:val="24"/>
                <w:highlight w:val="none"/>
                <w:lang w:val="en-US" w:eastAsia="zh-CN" w:bidi="ar"/>
              </w:rPr>
              <w:t>按工艺配料单计量好输送至</w:t>
            </w:r>
            <w:r>
              <w:rPr>
                <w:rFonts w:hint="eastAsia" w:ascii="Times New Roman" w:hAnsi="Times New Roman" w:eastAsia="宋体" w:cs="Times New Roman"/>
                <w:color w:val="000000"/>
                <w:kern w:val="0"/>
                <w:sz w:val="24"/>
                <w:szCs w:val="24"/>
                <w:highlight w:val="none"/>
                <w:lang w:val="en-US" w:eastAsia="zh-CN" w:bidi="ar"/>
              </w:rPr>
              <w:t>配料罐</w:t>
            </w:r>
            <w:r>
              <w:rPr>
                <w:rFonts w:hint="default" w:ascii="Times New Roman" w:hAnsi="Times New Roman" w:eastAsia="宋体" w:cs="Times New Roman"/>
                <w:color w:val="000000"/>
                <w:kern w:val="0"/>
                <w:sz w:val="24"/>
                <w:szCs w:val="24"/>
                <w:highlight w:val="none"/>
                <w:lang w:val="en-US" w:eastAsia="zh-CN" w:bidi="ar"/>
              </w:rPr>
              <w:t>内，沥青采用密闭管道从沥青储罐输送至搅拌罐内，</w:t>
            </w:r>
            <w:r>
              <w:rPr>
                <w:rFonts w:hint="eastAsia" w:ascii="Times New Roman" w:hAnsi="Times New Roman" w:eastAsia="宋体" w:cs="Times New Roman"/>
                <w:color w:val="000000"/>
                <w:kern w:val="0"/>
                <w:sz w:val="24"/>
                <w:szCs w:val="24"/>
                <w:highlight w:val="none"/>
                <w:lang w:val="en-US" w:eastAsia="zh-CN" w:bidi="ar"/>
              </w:rPr>
              <w:t>改性剂</w:t>
            </w:r>
            <w:r>
              <w:rPr>
                <w:rFonts w:hint="default" w:ascii="Times New Roman" w:hAnsi="Times New Roman" w:eastAsia="宋体" w:cs="Times New Roman"/>
                <w:color w:val="000000"/>
                <w:kern w:val="0"/>
                <w:sz w:val="24"/>
                <w:szCs w:val="24"/>
                <w:highlight w:val="none"/>
                <w:lang w:val="en-US" w:eastAsia="zh-CN" w:bidi="ar"/>
              </w:rPr>
              <w:t>、C5树脂由人</w:t>
            </w:r>
            <w:r>
              <w:rPr>
                <w:rFonts w:hint="eastAsia" w:ascii="Times New Roman" w:hAnsi="Times New Roman" w:eastAsia="宋体" w:cs="Times New Roman"/>
                <w:color w:val="000000"/>
                <w:kern w:val="0"/>
                <w:sz w:val="24"/>
                <w:szCs w:val="24"/>
                <w:highlight w:val="none"/>
                <w:lang w:val="en-US" w:eastAsia="zh-CN" w:bidi="ar"/>
              </w:rPr>
              <w:t>工添加进</w:t>
            </w:r>
            <w:r>
              <w:rPr>
                <w:rFonts w:hint="eastAsia" w:cs="Times New Roman"/>
                <w:color w:val="000000"/>
                <w:kern w:val="0"/>
                <w:sz w:val="24"/>
                <w:szCs w:val="24"/>
                <w:highlight w:val="none"/>
                <w:lang w:val="en-US" w:eastAsia="zh-CN" w:bidi="ar"/>
              </w:rPr>
              <w:t>入</w:t>
            </w:r>
            <w:r>
              <w:rPr>
                <w:rFonts w:hint="eastAsia" w:ascii="Times New Roman" w:hAnsi="Times New Roman" w:eastAsia="宋体" w:cs="Times New Roman"/>
                <w:color w:val="000000"/>
                <w:kern w:val="0"/>
                <w:sz w:val="24"/>
                <w:szCs w:val="24"/>
                <w:highlight w:val="none"/>
                <w:lang w:val="en-US" w:eastAsia="zh-CN" w:bidi="ar"/>
              </w:rPr>
              <w:t>配料</w:t>
            </w:r>
            <w:r>
              <w:rPr>
                <w:rFonts w:hint="default" w:ascii="Times New Roman" w:hAnsi="Times New Roman" w:eastAsia="宋体" w:cs="Times New Roman"/>
                <w:color w:val="000000"/>
                <w:kern w:val="0"/>
                <w:sz w:val="24"/>
                <w:szCs w:val="24"/>
                <w:highlight w:val="none"/>
                <w:lang w:val="en-US" w:eastAsia="zh-CN" w:bidi="ar"/>
              </w:rPr>
              <w:t>罐内</w:t>
            </w:r>
            <w:r>
              <w:rPr>
                <w:rFonts w:hint="eastAsia" w:ascii="Times New Roman" w:hAnsi="Times New Roman" w:eastAsia="宋体" w:cs="Times New Roman"/>
                <w:color w:val="000000"/>
                <w:kern w:val="0"/>
                <w:sz w:val="24"/>
                <w:szCs w:val="24"/>
                <w:highlight w:val="none"/>
                <w:lang w:val="en-US" w:eastAsia="zh-CN" w:bidi="ar"/>
              </w:rPr>
              <w:t>该过程会产生投料废气G1-1</w:t>
            </w:r>
            <w:r>
              <w:rPr>
                <w:rFonts w:hint="default" w:ascii="Times New Roman" w:hAnsi="Times New Roman" w:eastAsia="宋体" w:cs="Times New Roman"/>
                <w:color w:val="000000"/>
                <w:kern w:val="0"/>
                <w:sz w:val="24"/>
                <w:szCs w:val="24"/>
                <w:highlight w:val="none"/>
                <w:lang w:val="en-US" w:eastAsia="zh-CN" w:bidi="ar"/>
              </w:rPr>
              <w:t>。进料完成后，沥青、C5树脂、</w:t>
            </w:r>
            <w:r>
              <w:rPr>
                <w:rFonts w:hint="eastAsia" w:ascii="Times New Roman" w:hAnsi="Times New Roman" w:eastAsia="宋体" w:cs="Times New Roman"/>
                <w:color w:val="000000"/>
                <w:kern w:val="0"/>
                <w:sz w:val="24"/>
                <w:szCs w:val="24"/>
                <w:highlight w:val="none"/>
                <w:lang w:val="en-US" w:eastAsia="zh-CN" w:bidi="ar"/>
              </w:rPr>
              <w:t>改性剂</w:t>
            </w:r>
            <w:r>
              <w:rPr>
                <w:rFonts w:hint="default" w:ascii="Times New Roman" w:hAnsi="Times New Roman" w:eastAsia="宋体" w:cs="Times New Roman"/>
                <w:color w:val="000000"/>
                <w:kern w:val="0"/>
                <w:sz w:val="24"/>
                <w:szCs w:val="24"/>
                <w:highlight w:val="none"/>
                <w:lang w:val="en-US" w:eastAsia="zh-CN" w:bidi="ar"/>
              </w:rPr>
              <w:t>在搅拌罐内进行密闭机械搅拌，使改性剂均匀混合在沥青相中，搅拌后均匀物料即为改性沥青。机械搅拌过程需要采用导热油炉系统进行加热，加热温度保持在120-180℃，该过程会产生搅拌沥青烟废气</w:t>
            </w:r>
            <w:r>
              <w:rPr>
                <w:rFonts w:hint="eastAsia" w:ascii="Times New Roman" w:hAnsi="Times New Roman" w:eastAsia="宋体" w:cs="Times New Roman"/>
                <w:color w:val="000000"/>
                <w:kern w:val="0"/>
                <w:sz w:val="24"/>
                <w:szCs w:val="24"/>
                <w:highlight w:val="none"/>
                <w:lang w:val="en-US" w:eastAsia="zh-CN" w:bidi="ar"/>
              </w:rPr>
              <w:t>G1-2</w:t>
            </w:r>
            <w:r>
              <w:rPr>
                <w:rFonts w:hint="default" w:ascii="Times New Roman" w:hAnsi="Times New Roman" w:eastAsia="宋体" w:cs="Times New Roman"/>
                <w:color w:val="000000"/>
                <w:kern w:val="0"/>
                <w:sz w:val="24"/>
                <w:szCs w:val="24"/>
                <w:highlight w:val="none"/>
                <w:lang w:val="en-US" w:eastAsia="zh-CN" w:bidi="ar"/>
              </w:rPr>
              <w:t>、噪声N。</w:t>
            </w:r>
          </w:p>
          <w:p w14:paraId="7C5CFA4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（3）研磨：</w:t>
            </w:r>
            <w:r>
              <w:rPr>
                <w:rFonts w:hint="default" w:ascii="Times New Roman" w:hAnsi="Times New Roman" w:eastAsia="宋体" w:cs="Times New Roman"/>
                <w:color w:val="000000"/>
                <w:kern w:val="0"/>
                <w:sz w:val="24"/>
                <w:szCs w:val="24"/>
                <w:highlight w:val="none"/>
                <w:lang w:val="en-US" w:eastAsia="zh-CN" w:bidi="ar"/>
              </w:rPr>
              <w:t>将搅拌好的改性沥青与</w:t>
            </w:r>
            <w:r>
              <w:rPr>
                <w:rFonts w:hint="eastAsia" w:ascii="Times New Roman" w:hAnsi="Times New Roman" w:eastAsia="宋体" w:cs="Times New Roman"/>
                <w:color w:val="000000"/>
                <w:kern w:val="0"/>
                <w:sz w:val="24"/>
                <w:szCs w:val="24"/>
                <w:highlight w:val="none"/>
                <w:lang w:val="en-US" w:eastAsia="zh-CN" w:bidi="ar"/>
              </w:rPr>
              <w:t>滑</w:t>
            </w:r>
            <w:r>
              <w:rPr>
                <w:rFonts w:hint="default" w:ascii="Times New Roman" w:hAnsi="Times New Roman" w:eastAsia="宋体" w:cs="Times New Roman"/>
                <w:color w:val="000000"/>
                <w:kern w:val="0"/>
                <w:sz w:val="24"/>
                <w:szCs w:val="24"/>
                <w:highlight w:val="none"/>
                <w:lang w:val="en-US" w:eastAsia="zh-CN" w:bidi="ar"/>
              </w:rPr>
              <w:t>石粉</w:t>
            </w:r>
            <w:r>
              <w:rPr>
                <w:rFonts w:hint="eastAsia" w:ascii="Times New Roman" w:hAnsi="Times New Roman" w:eastAsia="宋体" w:cs="Times New Roman"/>
                <w:color w:val="000000"/>
                <w:kern w:val="0"/>
                <w:sz w:val="24"/>
                <w:szCs w:val="24"/>
                <w:highlight w:val="none"/>
                <w:lang w:val="en-US" w:eastAsia="zh-CN" w:bidi="ar"/>
              </w:rPr>
              <w:t>与</w:t>
            </w:r>
            <w:r>
              <w:rPr>
                <w:rFonts w:hint="eastAsia" w:cs="Times New Roman"/>
                <w:color w:val="000000"/>
                <w:kern w:val="0"/>
                <w:sz w:val="24"/>
                <w:szCs w:val="24"/>
                <w:highlight w:val="none"/>
                <w:lang w:val="en-US" w:eastAsia="zh-CN" w:bidi="ar"/>
              </w:rPr>
              <w:t>粉煤灰</w:t>
            </w:r>
            <w:r>
              <w:rPr>
                <w:rFonts w:hint="default" w:ascii="Times New Roman" w:hAnsi="Times New Roman" w:eastAsia="宋体" w:cs="Times New Roman"/>
                <w:color w:val="000000"/>
                <w:kern w:val="0"/>
                <w:sz w:val="24"/>
                <w:szCs w:val="24"/>
                <w:highlight w:val="none"/>
                <w:lang w:val="en-US" w:eastAsia="zh-CN" w:bidi="ar"/>
              </w:rPr>
              <w:t>按照一定比例加入胶体磨内研磨，</w:t>
            </w:r>
            <w:r>
              <w:rPr>
                <w:rFonts w:hint="eastAsia" w:ascii="Times New Roman" w:hAnsi="Times New Roman" w:eastAsia="宋体" w:cs="Times New Roman"/>
                <w:color w:val="000000"/>
                <w:kern w:val="0"/>
                <w:sz w:val="24"/>
                <w:szCs w:val="24"/>
                <w:highlight w:val="none"/>
                <w:lang w:val="en-US" w:eastAsia="zh-CN" w:bidi="ar"/>
              </w:rPr>
              <w:t>滑</w:t>
            </w:r>
            <w:r>
              <w:rPr>
                <w:rFonts w:hint="default" w:ascii="Times New Roman" w:hAnsi="Times New Roman" w:eastAsia="宋体" w:cs="Times New Roman"/>
                <w:color w:val="000000"/>
                <w:kern w:val="0"/>
                <w:sz w:val="24"/>
                <w:szCs w:val="24"/>
                <w:highlight w:val="none"/>
                <w:lang w:val="en-US" w:eastAsia="zh-CN" w:bidi="ar"/>
              </w:rPr>
              <w:t>石粉</w:t>
            </w:r>
            <w:r>
              <w:rPr>
                <w:rFonts w:hint="eastAsia" w:ascii="Times New Roman" w:hAnsi="Times New Roman" w:eastAsia="宋体" w:cs="Times New Roman"/>
                <w:color w:val="000000"/>
                <w:kern w:val="0"/>
                <w:sz w:val="24"/>
                <w:szCs w:val="24"/>
                <w:highlight w:val="none"/>
                <w:lang w:val="en-US" w:eastAsia="zh-CN" w:bidi="ar"/>
              </w:rPr>
              <w:t>与粉煤灰</w:t>
            </w:r>
            <w:r>
              <w:rPr>
                <w:rFonts w:hint="default" w:ascii="Times New Roman" w:hAnsi="Times New Roman" w:eastAsia="宋体" w:cs="Times New Roman"/>
                <w:color w:val="000000"/>
                <w:kern w:val="0"/>
                <w:sz w:val="24"/>
                <w:szCs w:val="24"/>
                <w:highlight w:val="none"/>
                <w:lang w:val="en-US" w:eastAsia="zh-CN" w:bidi="ar"/>
              </w:rPr>
              <w:t>采用</w:t>
            </w:r>
            <w:r>
              <w:rPr>
                <w:rFonts w:hint="eastAsia" w:ascii="Times New Roman" w:hAnsi="Times New Roman" w:eastAsia="宋体" w:cs="Times New Roman"/>
                <w:color w:val="000000"/>
                <w:kern w:val="0"/>
                <w:sz w:val="24"/>
                <w:szCs w:val="24"/>
                <w:highlight w:val="none"/>
                <w:lang w:val="en-US" w:eastAsia="zh-CN" w:bidi="ar"/>
              </w:rPr>
              <w:t>管道</w:t>
            </w:r>
            <w:r>
              <w:rPr>
                <w:rFonts w:hint="default" w:ascii="Times New Roman" w:hAnsi="Times New Roman" w:eastAsia="宋体" w:cs="Times New Roman"/>
                <w:color w:val="000000"/>
                <w:kern w:val="0"/>
                <w:sz w:val="24"/>
                <w:szCs w:val="24"/>
                <w:highlight w:val="none"/>
                <w:lang w:val="en-US" w:eastAsia="zh-CN" w:bidi="ar"/>
              </w:rPr>
              <w:t>输送系统密闭输送至胶体磨内，该过程密闭，无粉尘外排。该过程会产生</w:t>
            </w:r>
            <w:r>
              <w:rPr>
                <w:rFonts w:hint="eastAsia" w:ascii="Times New Roman" w:hAnsi="Times New Roman" w:eastAsia="宋体" w:cs="Times New Roman"/>
                <w:color w:val="000000"/>
                <w:kern w:val="0"/>
                <w:sz w:val="24"/>
                <w:szCs w:val="24"/>
                <w:highlight w:val="none"/>
                <w:lang w:val="en-US" w:eastAsia="zh-CN" w:bidi="ar"/>
              </w:rPr>
              <w:t>研磨</w:t>
            </w:r>
            <w:r>
              <w:rPr>
                <w:rFonts w:hint="default" w:ascii="Times New Roman" w:hAnsi="Times New Roman" w:eastAsia="宋体" w:cs="Times New Roman"/>
                <w:color w:val="000000"/>
                <w:kern w:val="0"/>
                <w:sz w:val="24"/>
                <w:szCs w:val="24"/>
                <w:highlight w:val="none"/>
                <w:lang w:val="en-US" w:eastAsia="zh-CN" w:bidi="ar"/>
              </w:rPr>
              <w:t>废气</w:t>
            </w:r>
            <w:r>
              <w:rPr>
                <w:rFonts w:hint="eastAsia" w:ascii="Times New Roman" w:hAnsi="Times New Roman" w:eastAsia="宋体" w:cs="Times New Roman"/>
                <w:color w:val="000000"/>
                <w:kern w:val="0"/>
                <w:sz w:val="24"/>
                <w:szCs w:val="24"/>
                <w:highlight w:val="none"/>
                <w:lang w:val="en-US" w:eastAsia="zh-CN" w:bidi="ar"/>
              </w:rPr>
              <w:t>G1-2</w:t>
            </w:r>
            <w:r>
              <w:rPr>
                <w:rFonts w:hint="default" w:ascii="Times New Roman" w:hAnsi="Times New Roman" w:eastAsia="宋体" w:cs="Times New Roman"/>
                <w:color w:val="000000"/>
                <w:kern w:val="0"/>
                <w:sz w:val="24"/>
                <w:szCs w:val="24"/>
                <w:highlight w:val="none"/>
                <w:lang w:val="en-US" w:eastAsia="zh-CN" w:bidi="ar"/>
              </w:rPr>
              <w:t>、噪声N。</w:t>
            </w:r>
          </w:p>
          <w:p w14:paraId="123EAF6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（4）</w:t>
            </w:r>
            <w:r>
              <w:rPr>
                <w:rFonts w:hint="eastAsia" w:cs="Times New Roman"/>
                <w:b w:val="0"/>
                <w:bCs w:val="0"/>
                <w:color w:val="000000"/>
                <w:kern w:val="0"/>
                <w:sz w:val="24"/>
                <w:szCs w:val="24"/>
                <w:highlight w:val="none"/>
                <w:lang w:val="en-US" w:eastAsia="zh-CN" w:bidi="ar"/>
              </w:rPr>
              <w:t>涂油</w:t>
            </w:r>
            <w:r>
              <w:rPr>
                <w:rFonts w:hint="default" w:ascii="Times New Roman" w:hAnsi="Times New Roman" w:eastAsia="宋体" w:cs="Times New Roman"/>
                <w:b w:val="0"/>
                <w:bCs w:val="0"/>
                <w:color w:val="000000"/>
                <w:kern w:val="0"/>
                <w:sz w:val="24"/>
                <w:szCs w:val="24"/>
                <w:highlight w:val="none"/>
                <w:lang w:val="en-US" w:eastAsia="zh-CN" w:bidi="ar"/>
              </w:rPr>
              <w:t>：</w:t>
            </w:r>
            <w:r>
              <w:rPr>
                <w:rFonts w:hint="eastAsia" w:ascii="Times New Roman" w:hAnsi="Times New Roman" w:eastAsia="宋体" w:cs="Times New Roman"/>
                <w:b w:val="0"/>
                <w:bCs w:val="0"/>
                <w:color w:val="000000"/>
                <w:kern w:val="0"/>
                <w:sz w:val="24"/>
                <w:szCs w:val="24"/>
                <w:highlight w:val="none"/>
                <w:lang w:val="en-US" w:eastAsia="zh-CN" w:bidi="ar"/>
              </w:rPr>
              <w:t>将</w:t>
            </w:r>
            <w:r>
              <w:rPr>
                <w:rFonts w:hint="eastAsia" w:cs="Times New Roman"/>
                <w:b w:val="0"/>
                <w:bCs w:val="0"/>
                <w:color w:val="000000"/>
                <w:kern w:val="0"/>
                <w:sz w:val="24"/>
                <w:szCs w:val="24"/>
                <w:highlight w:val="none"/>
                <w:lang w:val="en-US" w:eastAsia="zh-CN" w:bidi="ar"/>
              </w:rPr>
              <w:t>胎体布</w:t>
            </w:r>
            <w:r>
              <w:rPr>
                <w:rFonts w:hint="eastAsia" w:ascii="Times New Roman" w:hAnsi="Times New Roman" w:eastAsia="宋体" w:cs="Times New Roman"/>
                <w:b w:val="0"/>
                <w:bCs w:val="0"/>
                <w:color w:val="000000"/>
                <w:kern w:val="0"/>
                <w:sz w:val="24"/>
                <w:szCs w:val="24"/>
                <w:highlight w:val="none"/>
                <w:lang w:val="en-US" w:eastAsia="zh-CN" w:bidi="ar"/>
              </w:rPr>
              <w:t>展平、</w:t>
            </w:r>
            <w:r>
              <w:rPr>
                <w:rFonts w:hint="default" w:ascii="Times New Roman" w:hAnsi="Times New Roman" w:eastAsia="宋体" w:cs="Times New Roman"/>
                <w:color w:val="000000"/>
                <w:kern w:val="0"/>
                <w:sz w:val="24"/>
                <w:szCs w:val="24"/>
                <w:highlight w:val="none"/>
                <w:lang w:val="en-US" w:eastAsia="zh-CN" w:bidi="ar"/>
              </w:rPr>
              <w:t>输送至</w:t>
            </w:r>
            <w:r>
              <w:rPr>
                <w:rFonts w:hint="eastAsia" w:cs="Times New Roman"/>
                <w:color w:val="000000"/>
                <w:kern w:val="0"/>
                <w:sz w:val="24"/>
                <w:szCs w:val="24"/>
                <w:highlight w:val="none"/>
                <w:lang w:val="en-US" w:eastAsia="zh-CN" w:bidi="ar"/>
              </w:rPr>
              <w:t>对辊</w:t>
            </w:r>
            <w:r>
              <w:rPr>
                <w:rFonts w:hint="eastAsia" w:ascii="Times New Roman" w:hAnsi="Times New Roman" w:eastAsia="宋体" w:cs="Times New Roman"/>
                <w:color w:val="000000"/>
                <w:kern w:val="0"/>
                <w:sz w:val="24"/>
                <w:szCs w:val="24"/>
                <w:highlight w:val="none"/>
                <w:lang w:val="en-US" w:eastAsia="zh-CN" w:bidi="ar"/>
              </w:rPr>
              <w:t>内</w:t>
            </w:r>
            <w:r>
              <w:rPr>
                <w:rFonts w:hint="default" w:ascii="Times New Roman" w:hAnsi="Times New Roman" w:eastAsia="宋体" w:cs="Times New Roman"/>
                <w:color w:val="000000"/>
                <w:kern w:val="0"/>
                <w:sz w:val="24"/>
                <w:szCs w:val="24"/>
                <w:highlight w:val="none"/>
                <w:lang w:val="en-US" w:eastAsia="zh-CN" w:bidi="ar"/>
              </w:rPr>
              <w:t>，保证适当的油位和温度（1</w:t>
            </w:r>
            <w:r>
              <w:rPr>
                <w:rFonts w:hint="eastAsia" w:cs="Times New Roman"/>
                <w:color w:val="000000"/>
                <w:kern w:val="0"/>
                <w:sz w:val="24"/>
                <w:szCs w:val="24"/>
                <w:highlight w:val="none"/>
                <w:lang w:val="en-US" w:eastAsia="zh-CN" w:bidi="ar"/>
              </w:rPr>
              <w:t>0</w:t>
            </w:r>
            <w:r>
              <w:rPr>
                <w:rFonts w:hint="default" w:ascii="Times New Roman" w:hAnsi="Times New Roman" w:eastAsia="宋体" w:cs="Times New Roman"/>
                <w:color w:val="000000"/>
                <w:kern w:val="0"/>
                <w:sz w:val="24"/>
                <w:szCs w:val="24"/>
                <w:highlight w:val="none"/>
                <w:lang w:val="en-US" w:eastAsia="zh-CN" w:bidi="ar"/>
              </w:rPr>
              <w:t>0℃-</w:t>
            </w:r>
            <w:r>
              <w:rPr>
                <w:rFonts w:hint="eastAsia" w:cs="Times New Roman"/>
                <w:color w:val="000000"/>
                <w:kern w:val="0"/>
                <w:sz w:val="24"/>
                <w:szCs w:val="24"/>
                <w:highlight w:val="none"/>
                <w:lang w:val="en-US" w:eastAsia="zh-CN" w:bidi="ar"/>
              </w:rPr>
              <w:t>11</w:t>
            </w:r>
            <w:r>
              <w:rPr>
                <w:rFonts w:hint="default" w:ascii="Times New Roman" w:hAnsi="Times New Roman" w:eastAsia="宋体" w:cs="Times New Roman"/>
                <w:color w:val="000000"/>
                <w:kern w:val="0"/>
                <w:sz w:val="24"/>
                <w:szCs w:val="24"/>
                <w:highlight w:val="none"/>
                <w:lang w:val="en-US" w:eastAsia="zh-CN" w:bidi="ar"/>
              </w:rPr>
              <w:t>0℃），调整挤压</w:t>
            </w:r>
            <w:r>
              <w:rPr>
                <w:rFonts w:hint="eastAsia" w:cs="Times New Roman"/>
                <w:color w:val="000000"/>
                <w:kern w:val="0"/>
                <w:sz w:val="24"/>
                <w:szCs w:val="24"/>
                <w:highlight w:val="none"/>
                <w:lang w:val="en-US" w:eastAsia="zh-CN" w:bidi="ar"/>
              </w:rPr>
              <w:t>辊</w:t>
            </w:r>
            <w:r>
              <w:rPr>
                <w:rFonts w:hint="default" w:ascii="Times New Roman" w:hAnsi="Times New Roman" w:eastAsia="宋体" w:cs="Times New Roman"/>
                <w:color w:val="000000"/>
                <w:kern w:val="0"/>
                <w:sz w:val="24"/>
                <w:szCs w:val="24"/>
                <w:highlight w:val="none"/>
                <w:lang w:val="en-US" w:eastAsia="zh-CN" w:bidi="ar"/>
              </w:rPr>
              <w:t>的气压（一般为0.4MPa）和适当的车速，以保证胎基浸透、挤干。后进行涂油，保持</w:t>
            </w:r>
            <w:r>
              <w:rPr>
                <w:rFonts w:hint="eastAsia" w:cs="Times New Roman"/>
                <w:color w:val="000000"/>
                <w:kern w:val="0"/>
                <w:sz w:val="24"/>
                <w:szCs w:val="24"/>
                <w:highlight w:val="none"/>
                <w:lang w:val="en-US" w:eastAsia="zh-CN" w:bidi="ar"/>
              </w:rPr>
              <w:t>对辊</w:t>
            </w:r>
            <w:r>
              <w:rPr>
                <w:rFonts w:hint="default" w:ascii="Times New Roman" w:hAnsi="Times New Roman" w:eastAsia="宋体" w:cs="Times New Roman"/>
                <w:color w:val="000000"/>
                <w:kern w:val="0"/>
                <w:sz w:val="24"/>
                <w:szCs w:val="24"/>
                <w:highlight w:val="none"/>
                <w:lang w:val="en-US" w:eastAsia="zh-CN" w:bidi="ar"/>
              </w:rPr>
              <w:t>在一定水平，温度控制范围为（1</w:t>
            </w:r>
            <w:r>
              <w:rPr>
                <w:rFonts w:hint="eastAsia" w:cs="Times New Roman"/>
                <w:color w:val="000000"/>
                <w:kern w:val="0"/>
                <w:sz w:val="24"/>
                <w:szCs w:val="24"/>
                <w:highlight w:val="none"/>
                <w:lang w:val="en-US" w:eastAsia="zh-CN" w:bidi="ar"/>
              </w:rPr>
              <w:t>0</w:t>
            </w:r>
            <w:r>
              <w:rPr>
                <w:rFonts w:hint="default" w:ascii="Times New Roman" w:hAnsi="Times New Roman" w:eastAsia="宋体" w:cs="Times New Roman"/>
                <w:color w:val="000000"/>
                <w:kern w:val="0"/>
                <w:sz w:val="24"/>
                <w:szCs w:val="24"/>
                <w:highlight w:val="none"/>
                <w:lang w:val="en-US" w:eastAsia="zh-CN" w:bidi="ar"/>
              </w:rPr>
              <w:t>0℃-1</w:t>
            </w:r>
            <w:r>
              <w:rPr>
                <w:rFonts w:hint="eastAsia" w:cs="Times New Roman"/>
                <w:color w:val="000000"/>
                <w:kern w:val="0"/>
                <w:sz w:val="24"/>
                <w:szCs w:val="24"/>
                <w:highlight w:val="none"/>
                <w:lang w:val="en-US" w:eastAsia="zh-CN" w:bidi="ar"/>
              </w:rPr>
              <w:t>1</w:t>
            </w:r>
            <w:r>
              <w:rPr>
                <w:rFonts w:hint="default" w:ascii="Times New Roman" w:hAnsi="Times New Roman" w:eastAsia="宋体" w:cs="Times New Roman"/>
                <w:color w:val="000000"/>
                <w:kern w:val="0"/>
                <w:sz w:val="24"/>
                <w:szCs w:val="24"/>
                <w:highlight w:val="none"/>
                <w:lang w:val="en-US" w:eastAsia="zh-CN" w:bidi="ar"/>
              </w:rPr>
              <w:t>0℃）。调整刮板和厚度控制器，使胎基两面涂油均匀，厚度达到标准要求，表面平整，控制厚度在规定的指标。此过程会产生</w:t>
            </w:r>
            <w:r>
              <w:rPr>
                <w:rFonts w:hint="eastAsia" w:ascii="Times New Roman" w:hAnsi="Times New Roman" w:eastAsia="宋体" w:cs="Times New Roman"/>
                <w:color w:val="000000"/>
                <w:kern w:val="0"/>
                <w:sz w:val="24"/>
                <w:szCs w:val="24"/>
                <w:highlight w:val="none"/>
                <w:lang w:val="en-US" w:eastAsia="zh-CN" w:bidi="ar"/>
              </w:rPr>
              <w:t>浸涂</w:t>
            </w:r>
            <w:r>
              <w:rPr>
                <w:rFonts w:hint="default" w:ascii="Times New Roman" w:hAnsi="Times New Roman" w:eastAsia="宋体" w:cs="Times New Roman"/>
                <w:color w:val="000000"/>
                <w:kern w:val="0"/>
                <w:sz w:val="24"/>
                <w:szCs w:val="24"/>
                <w:highlight w:val="none"/>
                <w:lang w:val="en-US" w:eastAsia="zh-CN" w:bidi="ar"/>
              </w:rPr>
              <w:t>废气</w:t>
            </w:r>
            <w:r>
              <w:rPr>
                <w:rFonts w:hint="eastAsia" w:ascii="Times New Roman" w:hAnsi="Times New Roman" w:eastAsia="宋体" w:cs="Times New Roman"/>
                <w:color w:val="000000"/>
                <w:kern w:val="0"/>
                <w:sz w:val="24"/>
                <w:szCs w:val="24"/>
                <w:highlight w:val="none"/>
                <w:lang w:val="en-US" w:eastAsia="zh-CN" w:bidi="ar"/>
              </w:rPr>
              <w:t>G1-2</w:t>
            </w:r>
            <w:r>
              <w:rPr>
                <w:rFonts w:hint="default" w:ascii="Times New Roman" w:hAnsi="Times New Roman" w:eastAsia="宋体" w:cs="Times New Roman"/>
                <w:color w:val="000000"/>
                <w:kern w:val="0"/>
                <w:sz w:val="24"/>
                <w:szCs w:val="24"/>
                <w:highlight w:val="none"/>
                <w:lang w:val="en-US" w:eastAsia="zh-CN" w:bidi="ar"/>
              </w:rPr>
              <w:t xml:space="preserve">、噪声N。 </w:t>
            </w:r>
          </w:p>
          <w:p w14:paraId="271F5A4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（5）覆膜：</w:t>
            </w:r>
            <w:r>
              <w:rPr>
                <w:rFonts w:hint="eastAsia" w:cs="Times New Roman"/>
                <w:color w:val="000000"/>
                <w:kern w:val="0"/>
                <w:sz w:val="24"/>
                <w:szCs w:val="24"/>
                <w:highlight w:val="none"/>
                <w:lang w:val="en-US" w:eastAsia="zh-CN" w:bidi="ar"/>
              </w:rPr>
              <w:t>挤压</w:t>
            </w:r>
            <w:r>
              <w:rPr>
                <w:rFonts w:hint="default" w:ascii="Times New Roman" w:hAnsi="Times New Roman" w:eastAsia="宋体" w:cs="Times New Roman"/>
                <w:color w:val="000000"/>
                <w:kern w:val="0"/>
                <w:sz w:val="24"/>
                <w:szCs w:val="24"/>
                <w:highlight w:val="none"/>
                <w:lang w:val="en-US" w:eastAsia="zh-CN" w:bidi="ar"/>
              </w:rPr>
              <w:t>后</w:t>
            </w:r>
            <w:r>
              <w:rPr>
                <w:rFonts w:hint="eastAsia" w:cs="Times New Roman"/>
                <w:color w:val="000000"/>
                <w:kern w:val="0"/>
                <w:sz w:val="24"/>
                <w:szCs w:val="24"/>
                <w:highlight w:val="none"/>
                <w:lang w:val="en-US" w:eastAsia="zh-CN" w:bidi="ar"/>
              </w:rPr>
              <w:t>胎体</w:t>
            </w:r>
            <w:r>
              <w:rPr>
                <w:rFonts w:hint="default" w:ascii="Times New Roman" w:hAnsi="Times New Roman" w:eastAsia="宋体" w:cs="Times New Roman"/>
                <w:color w:val="000000"/>
                <w:kern w:val="0"/>
                <w:sz w:val="24"/>
                <w:szCs w:val="24"/>
                <w:highlight w:val="none"/>
                <w:lang w:val="en-US" w:eastAsia="zh-CN" w:bidi="ar"/>
              </w:rPr>
              <w:t>牵引至覆膜装置，</w:t>
            </w:r>
            <w:r>
              <w:rPr>
                <w:rFonts w:hint="default" w:ascii="Times New Roman" w:hAnsi="Times New Roman" w:eastAsia="宋体" w:cs="Times New Roman"/>
                <w:sz w:val="24"/>
                <w:szCs w:val="24"/>
                <w:highlight w:val="none"/>
              </w:rPr>
              <w:t>覆盖上隔离材料（隔离材料为</w:t>
            </w:r>
            <w:r>
              <w:rPr>
                <w:rFonts w:hint="eastAsia" w:ascii="Times New Roman" w:hAnsi="Times New Roman" w:eastAsia="宋体" w:cs="Times New Roman"/>
                <w:sz w:val="24"/>
                <w:szCs w:val="24"/>
                <w:highlight w:val="none"/>
                <w:lang w:val="en-US" w:eastAsia="zh-CN"/>
              </w:rPr>
              <w:t>聚乙烯</w:t>
            </w:r>
            <w:r>
              <w:rPr>
                <w:rFonts w:hint="default" w:ascii="Times New Roman" w:hAnsi="Times New Roman" w:eastAsia="宋体" w:cs="Times New Roman"/>
                <w:sz w:val="24"/>
                <w:szCs w:val="24"/>
                <w:highlight w:val="none"/>
              </w:rPr>
              <w:t>膜），</w:t>
            </w:r>
            <w:r>
              <w:rPr>
                <w:rFonts w:hint="default" w:ascii="Times New Roman" w:hAnsi="Times New Roman" w:eastAsia="宋体" w:cs="Times New Roman"/>
                <w:color w:val="000000"/>
                <w:kern w:val="0"/>
                <w:sz w:val="24"/>
                <w:szCs w:val="24"/>
                <w:highlight w:val="none"/>
                <w:lang w:val="en-US" w:eastAsia="zh-CN" w:bidi="ar"/>
              </w:rPr>
              <w:t>聚乙烯膜受热会挥发产生覆膜有机废气G1-</w:t>
            </w:r>
            <w:r>
              <w:rPr>
                <w:rFonts w:hint="eastAsia" w:ascii="Times New Roman" w:hAnsi="Times New Roman" w:eastAsia="宋体" w:cs="Times New Roman"/>
                <w:color w:val="000000"/>
                <w:kern w:val="0"/>
                <w:sz w:val="24"/>
                <w:szCs w:val="24"/>
                <w:highlight w:val="none"/>
                <w:lang w:val="en-US" w:eastAsia="zh-CN" w:bidi="ar"/>
              </w:rPr>
              <w:t>3</w:t>
            </w:r>
            <w:r>
              <w:rPr>
                <w:rFonts w:hint="default" w:ascii="Times New Roman" w:hAnsi="Times New Roman" w:eastAsia="宋体" w:cs="Times New Roman"/>
                <w:color w:val="000000"/>
                <w:kern w:val="0"/>
                <w:sz w:val="24"/>
                <w:szCs w:val="24"/>
                <w:highlight w:val="none"/>
                <w:lang w:val="en-US" w:eastAsia="zh-CN" w:bidi="ar"/>
              </w:rPr>
              <w:t>、噪声N。</w:t>
            </w:r>
            <w:r>
              <w:rPr>
                <w:rFonts w:hint="eastAsia" w:cs="Times New Roman"/>
                <w:color w:val="000000"/>
                <w:kern w:val="0"/>
                <w:sz w:val="24"/>
                <w:szCs w:val="24"/>
                <w:highlight w:val="none"/>
                <w:lang w:val="en-US" w:eastAsia="zh-CN" w:bidi="ar"/>
              </w:rPr>
              <w:t>覆膜</w:t>
            </w:r>
            <w:r>
              <w:rPr>
                <w:rFonts w:hint="default" w:ascii="Times New Roman" w:hAnsi="Times New Roman" w:eastAsia="宋体" w:cs="Times New Roman"/>
                <w:sz w:val="24"/>
                <w:szCs w:val="24"/>
                <w:highlight w:val="none"/>
              </w:rPr>
              <w:t>时会产生粉尘</w:t>
            </w:r>
            <w:r>
              <w:rPr>
                <w:rFonts w:hint="eastAsia" w:ascii="Times New Roman" w:hAnsi="Times New Roman" w:eastAsia="宋体" w:cs="Times New Roman"/>
                <w:sz w:val="24"/>
                <w:szCs w:val="24"/>
                <w:highlight w:val="none"/>
                <w:lang w:val="en-US" w:eastAsia="zh-CN"/>
              </w:rPr>
              <w:t>G1-4</w:t>
            </w:r>
            <w:r>
              <w:rPr>
                <w:rFonts w:hint="default" w:ascii="Times New Roman" w:hAnsi="Times New Roman" w:eastAsia="宋体" w:cs="Times New Roman"/>
                <w:color w:val="000000"/>
                <w:kern w:val="0"/>
                <w:sz w:val="24"/>
                <w:szCs w:val="24"/>
                <w:highlight w:val="none"/>
                <w:lang w:val="en-US" w:eastAsia="zh-CN" w:bidi="ar"/>
              </w:rPr>
              <w:t>，</w:t>
            </w:r>
            <w:r>
              <w:rPr>
                <w:rFonts w:hint="eastAsia" w:ascii="Times New Roman" w:hAnsi="Times New Roman" w:eastAsia="宋体" w:cs="Times New Roman"/>
                <w:color w:val="000000"/>
                <w:kern w:val="0"/>
                <w:sz w:val="24"/>
                <w:szCs w:val="24"/>
                <w:highlight w:val="none"/>
                <w:lang w:val="en-US" w:eastAsia="zh-CN" w:bidi="ar"/>
              </w:rPr>
              <w:t>噪声N。</w:t>
            </w:r>
          </w:p>
          <w:p w14:paraId="15F9E8C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（6）冷却定型：</w:t>
            </w:r>
            <w:r>
              <w:rPr>
                <w:rFonts w:hint="default" w:ascii="Times New Roman" w:hAnsi="Times New Roman" w:eastAsia="宋体" w:cs="Times New Roman"/>
                <w:color w:val="000000"/>
                <w:kern w:val="0"/>
                <w:sz w:val="24"/>
                <w:szCs w:val="24"/>
                <w:highlight w:val="none"/>
                <w:lang w:val="en-US" w:eastAsia="zh-CN" w:bidi="ar"/>
              </w:rPr>
              <w:t xml:space="preserve">对覆膜后的卷材进行冷却定型，采用冷却水塔（冷却温度约为8-30℃），配套一座冷却水床，冷却水循环使用，定期补充损耗，不外排。此过程会产生噪声N。 </w:t>
            </w:r>
          </w:p>
          <w:p w14:paraId="29DE480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（7）收卷：</w:t>
            </w:r>
            <w:r>
              <w:rPr>
                <w:rFonts w:hint="default" w:ascii="Times New Roman" w:hAnsi="Times New Roman" w:eastAsia="宋体" w:cs="Times New Roman"/>
                <w:color w:val="000000"/>
                <w:kern w:val="0"/>
                <w:sz w:val="24"/>
                <w:szCs w:val="24"/>
                <w:highlight w:val="none"/>
                <w:lang w:val="en-US" w:eastAsia="zh-CN" w:bidi="ar"/>
              </w:rPr>
              <w:t xml:space="preserve">将成品卷材按需要长度裁剪并卷绕打包，该过程会产生噪声N。 </w:t>
            </w:r>
          </w:p>
          <w:p w14:paraId="2E61191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（8）包装入库</w:t>
            </w:r>
            <w:r>
              <w:rPr>
                <w:rFonts w:hint="default" w:ascii="Times New Roman" w:hAnsi="Times New Roman" w:eastAsia="宋体" w:cs="Times New Roman"/>
                <w:b/>
                <w:bCs/>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将收卷后的产品包装入库。</w:t>
            </w:r>
          </w:p>
          <w:p w14:paraId="1CF8DD6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4"/>
                <w:szCs w:val="24"/>
                <w:highlight w:val="none"/>
                <w:lang w:val="en-US" w:eastAsia="zh-CN"/>
              </w:rPr>
              <w:t>2.</w:t>
            </w:r>
            <w:r>
              <w:rPr>
                <w:rFonts w:hint="eastAsia"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 xml:space="preserve"> 本项目污染物产排情况</w:t>
            </w:r>
          </w:p>
          <w:p w14:paraId="42F2684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color w:val="000000"/>
                <w:kern w:val="0"/>
                <w:sz w:val="24"/>
                <w:szCs w:val="24"/>
                <w:highlight w:val="none"/>
                <w:lang w:val="en-US" w:eastAsia="zh-CN" w:bidi="ar"/>
              </w:rPr>
              <w:t>本项目产排污情况见下表</w:t>
            </w:r>
            <w:r>
              <w:rPr>
                <w:rFonts w:hint="eastAsia" w:ascii="Times New Roman" w:hAnsi="Times New Roman" w:eastAsia="宋体" w:cs="Times New Roman"/>
                <w:color w:val="000000"/>
                <w:kern w:val="0"/>
                <w:sz w:val="24"/>
                <w:szCs w:val="24"/>
                <w:highlight w:val="none"/>
                <w:lang w:val="en-US" w:eastAsia="zh-CN" w:bidi="ar"/>
              </w:rPr>
              <w:t>2-</w:t>
            </w:r>
            <w:r>
              <w:rPr>
                <w:rFonts w:hint="eastAsia" w:cs="Times New Roman"/>
                <w:color w:val="000000"/>
                <w:kern w:val="0"/>
                <w:sz w:val="24"/>
                <w:szCs w:val="24"/>
                <w:highlight w:val="none"/>
                <w:lang w:val="en-US" w:eastAsia="zh-CN" w:bidi="ar"/>
              </w:rPr>
              <w:t>9</w:t>
            </w:r>
            <w:r>
              <w:rPr>
                <w:rFonts w:hint="eastAsia" w:ascii="Times New Roman" w:hAnsi="Times New Roman" w:eastAsia="宋体" w:cs="Times New Roman"/>
                <w:color w:val="000000"/>
                <w:kern w:val="0"/>
                <w:sz w:val="24"/>
                <w:szCs w:val="24"/>
                <w:highlight w:val="none"/>
                <w:lang w:val="en-US" w:eastAsia="zh-CN" w:bidi="ar"/>
              </w:rPr>
              <w:t>。</w:t>
            </w:r>
          </w:p>
          <w:p w14:paraId="7344F9BD">
            <w:pPr>
              <w:jc w:val="center"/>
              <w:rPr>
                <w:rFonts w:hint="default" w:ascii="Times New Roman" w:hAnsi="Times New Roman" w:eastAsia="宋体" w:cs="Times New Roman"/>
                <w:b/>
                <w:bCs/>
                <w:highlight w:val="none"/>
                <w:lang w:val="en-US" w:eastAsia="zh-CN"/>
              </w:rPr>
            </w:pPr>
            <w:r>
              <w:rPr>
                <w:rFonts w:hint="default" w:ascii="Times New Roman" w:hAnsi="Times New Roman" w:eastAsia="宋体" w:cs="Times New Roman"/>
                <w:b/>
                <w:bCs/>
                <w:sz w:val="21"/>
                <w:szCs w:val="21"/>
                <w:highlight w:val="none"/>
              </w:rPr>
              <w:t>表</w:t>
            </w:r>
            <w:r>
              <w:rPr>
                <w:rFonts w:hint="default" w:ascii="Times New Roman" w:hAnsi="Times New Roman" w:eastAsia="宋体" w:cs="Times New Roman"/>
                <w:b/>
                <w:bCs/>
                <w:sz w:val="21"/>
                <w:szCs w:val="21"/>
                <w:highlight w:val="none"/>
                <w:lang w:val="en-US" w:eastAsia="zh-CN"/>
              </w:rPr>
              <w:t>2-</w:t>
            </w:r>
            <w:r>
              <w:rPr>
                <w:rFonts w:hint="eastAsia" w:cs="Times New Roman"/>
                <w:b/>
                <w:bCs/>
                <w:sz w:val="21"/>
                <w:szCs w:val="21"/>
                <w:highlight w:val="none"/>
                <w:lang w:val="en-US" w:eastAsia="zh-CN"/>
              </w:rPr>
              <w:t>9</w:t>
            </w:r>
            <w:r>
              <w:rPr>
                <w:rFonts w:hint="default" w:ascii="Times New Roman" w:hAnsi="Times New Roman" w:eastAsia="宋体" w:cs="Times New Roman"/>
                <w:b/>
                <w:bCs/>
                <w:sz w:val="21"/>
                <w:szCs w:val="21"/>
                <w:highlight w:val="none"/>
                <w:lang w:val="en-US" w:eastAsia="zh-CN"/>
              </w:rPr>
              <w:t xml:space="preserve"> </w:t>
            </w:r>
            <w:r>
              <w:rPr>
                <w:rFonts w:hint="eastAsia"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lang w:val="en-US" w:eastAsia="zh-CN"/>
              </w:rPr>
              <w:t>本项目产排污情况表</w:t>
            </w:r>
          </w:p>
          <w:tbl>
            <w:tblPr>
              <w:tblStyle w:val="20"/>
              <w:tblW w:w="4998"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87"/>
              <w:gridCol w:w="750"/>
              <w:gridCol w:w="1923"/>
              <w:gridCol w:w="2230"/>
              <w:gridCol w:w="2532"/>
            </w:tblGrid>
            <w:tr w14:paraId="62A530F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78" w:type="pct"/>
                  <w:tcBorders>
                    <w:bottom w:val="single" w:color="auto" w:sz="8" w:space="0"/>
                  </w:tcBorders>
                  <w:noWrap w:val="0"/>
                  <w:vAlign w:val="center"/>
                </w:tcPr>
                <w:p w14:paraId="74DE50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类别</w:t>
                  </w:r>
                </w:p>
              </w:tc>
              <w:tc>
                <w:tcPr>
                  <w:tcW w:w="456" w:type="pct"/>
                  <w:tcBorders>
                    <w:bottom w:val="single" w:color="auto" w:sz="8" w:space="0"/>
                  </w:tcBorders>
                  <w:noWrap w:val="0"/>
                  <w:vAlign w:val="center"/>
                </w:tcPr>
                <w:p w14:paraId="7AA3F4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编号</w:t>
                  </w:r>
                </w:p>
              </w:tc>
              <w:tc>
                <w:tcPr>
                  <w:tcW w:w="1169" w:type="pct"/>
                  <w:tcBorders>
                    <w:bottom w:val="single" w:color="auto" w:sz="8" w:space="0"/>
                  </w:tcBorders>
                  <w:noWrap w:val="0"/>
                  <w:vAlign w:val="center"/>
                </w:tcPr>
                <w:p w14:paraId="6F285D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污染物名称</w:t>
                  </w:r>
                </w:p>
              </w:tc>
              <w:tc>
                <w:tcPr>
                  <w:tcW w:w="1356" w:type="pct"/>
                  <w:tcBorders>
                    <w:bottom w:val="single" w:color="auto" w:sz="8" w:space="0"/>
                  </w:tcBorders>
                  <w:noWrap w:val="0"/>
                  <w:vAlign w:val="center"/>
                </w:tcPr>
                <w:p w14:paraId="173303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产污环节</w:t>
                  </w:r>
                </w:p>
              </w:tc>
              <w:tc>
                <w:tcPr>
                  <w:tcW w:w="1539" w:type="pct"/>
                  <w:tcBorders>
                    <w:bottom w:val="single" w:color="auto" w:sz="8" w:space="0"/>
                  </w:tcBorders>
                  <w:noWrap w:val="0"/>
                  <w:vAlign w:val="center"/>
                </w:tcPr>
                <w:p w14:paraId="402614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主要污染因子</w:t>
                  </w:r>
                </w:p>
              </w:tc>
            </w:tr>
            <w:tr w14:paraId="54E7372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78" w:type="pct"/>
                  <w:tcBorders>
                    <w:top w:val="single" w:color="auto" w:sz="8" w:space="0"/>
                    <w:bottom w:val="single" w:color="auto" w:sz="6" w:space="0"/>
                    <w:tl2br w:val="nil"/>
                    <w:tr2bl w:val="nil"/>
                  </w:tcBorders>
                  <w:noWrap w:val="0"/>
                  <w:vAlign w:val="center"/>
                </w:tcPr>
                <w:p w14:paraId="23B82B1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废水</w:t>
                  </w:r>
                </w:p>
              </w:tc>
              <w:tc>
                <w:tcPr>
                  <w:tcW w:w="456" w:type="pct"/>
                  <w:tcBorders>
                    <w:top w:val="single" w:color="auto" w:sz="8" w:space="0"/>
                    <w:bottom w:val="single" w:color="auto" w:sz="6" w:space="0"/>
                    <w:tl2br w:val="nil"/>
                    <w:tr2bl w:val="nil"/>
                  </w:tcBorders>
                  <w:noWrap w:val="0"/>
                  <w:vAlign w:val="center"/>
                </w:tcPr>
                <w:p w14:paraId="2CA8D4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W1</w:t>
                  </w:r>
                </w:p>
              </w:tc>
              <w:tc>
                <w:tcPr>
                  <w:tcW w:w="1169" w:type="pct"/>
                  <w:tcBorders>
                    <w:top w:val="single" w:color="auto" w:sz="8" w:space="0"/>
                    <w:bottom w:val="single" w:color="auto" w:sz="6" w:space="0"/>
                    <w:tl2br w:val="nil"/>
                    <w:tr2bl w:val="nil"/>
                  </w:tcBorders>
                  <w:noWrap w:val="0"/>
                  <w:vAlign w:val="center"/>
                </w:tcPr>
                <w:p w14:paraId="402DCC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生活污水</w:t>
                  </w:r>
                </w:p>
              </w:tc>
              <w:tc>
                <w:tcPr>
                  <w:tcW w:w="1356" w:type="pct"/>
                  <w:tcBorders>
                    <w:top w:val="single" w:color="auto" w:sz="8" w:space="0"/>
                    <w:bottom w:val="single" w:color="auto" w:sz="6" w:space="0"/>
                    <w:tl2br w:val="nil"/>
                    <w:tr2bl w:val="nil"/>
                  </w:tcBorders>
                  <w:noWrap w:val="0"/>
                  <w:vAlign w:val="center"/>
                </w:tcPr>
                <w:p w14:paraId="1DAA263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员工生活</w:t>
                  </w:r>
                </w:p>
              </w:tc>
              <w:tc>
                <w:tcPr>
                  <w:tcW w:w="1539" w:type="pct"/>
                  <w:tcBorders>
                    <w:top w:val="single" w:color="auto" w:sz="8" w:space="0"/>
                    <w:bottom w:val="single" w:color="auto" w:sz="6" w:space="0"/>
                    <w:tl2br w:val="nil"/>
                    <w:tr2bl w:val="nil"/>
                  </w:tcBorders>
                  <w:noWrap w:val="0"/>
                  <w:vAlign w:val="center"/>
                </w:tcPr>
                <w:p w14:paraId="743BF9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COD、SS、</w:t>
                  </w:r>
                  <w:r>
                    <w:rPr>
                      <w:rFonts w:hint="eastAsia" w:ascii="Times New Roman" w:hAnsi="Times New Roman" w:eastAsia="宋体" w:cs="Times New Roman"/>
                      <w:color w:val="000000"/>
                      <w:kern w:val="0"/>
                      <w:sz w:val="21"/>
                      <w:szCs w:val="21"/>
                      <w:highlight w:val="none"/>
                      <w:vertAlign w:val="baseline"/>
                      <w:lang w:val="en-US" w:eastAsia="zh-CN" w:bidi="ar"/>
                    </w:rPr>
                    <w:t>BOD</w:t>
                  </w:r>
                  <w:r>
                    <w:rPr>
                      <w:rFonts w:hint="eastAsia" w:ascii="Times New Roman" w:hAnsi="Times New Roman" w:eastAsia="宋体" w:cs="Times New Roman"/>
                      <w:color w:val="000000"/>
                      <w:kern w:val="0"/>
                      <w:sz w:val="21"/>
                      <w:szCs w:val="21"/>
                      <w:highlight w:val="none"/>
                      <w:vertAlign w:val="subscript"/>
                      <w:lang w:val="en-US" w:eastAsia="zh-CN" w:bidi="ar"/>
                    </w:rPr>
                    <w:t>5</w:t>
                  </w:r>
                  <w:r>
                    <w:rPr>
                      <w:rFonts w:hint="default" w:ascii="Times New Roman" w:hAnsi="Times New Roman" w:eastAsia="宋体" w:cs="Times New Roman"/>
                      <w:color w:val="000000"/>
                      <w:kern w:val="0"/>
                      <w:sz w:val="21"/>
                      <w:szCs w:val="21"/>
                      <w:highlight w:val="none"/>
                      <w:vertAlign w:val="baseline"/>
                      <w:lang w:val="en-US" w:eastAsia="zh-CN" w:bidi="ar"/>
                    </w:rPr>
                    <w:t>、NH</w:t>
                  </w:r>
                  <w:r>
                    <w:rPr>
                      <w:rFonts w:hint="default" w:ascii="Times New Roman" w:hAnsi="Times New Roman" w:eastAsia="宋体" w:cs="Times New Roman"/>
                      <w:color w:val="000000"/>
                      <w:kern w:val="0"/>
                      <w:sz w:val="21"/>
                      <w:szCs w:val="21"/>
                      <w:highlight w:val="none"/>
                      <w:vertAlign w:val="subscript"/>
                      <w:lang w:val="en-US" w:eastAsia="zh-CN" w:bidi="ar"/>
                    </w:rPr>
                    <w:t>3</w:t>
                  </w:r>
                  <w:r>
                    <w:rPr>
                      <w:rFonts w:hint="default" w:ascii="Times New Roman" w:hAnsi="Times New Roman" w:eastAsia="宋体" w:cs="Times New Roman"/>
                      <w:color w:val="000000"/>
                      <w:kern w:val="0"/>
                      <w:sz w:val="21"/>
                      <w:szCs w:val="21"/>
                      <w:highlight w:val="none"/>
                      <w:vertAlign w:val="baseline"/>
                      <w:lang w:val="en-US" w:eastAsia="zh-CN" w:bidi="ar"/>
                    </w:rPr>
                    <w:t>-N</w:t>
                  </w:r>
                </w:p>
              </w:tc>
            </w:tr>
            <w:tr w14:paraId="689C70A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52" w:hRule="atLeast"/>
                <w:jc w:val="center"/>
              </w:trPr>
              <w:tc>
                <w:tcPr>
                  <w:tcW w:w="478" w:type="pct"/>
                  <w:vMerge w:val="restart"/>
                  <w:tcBorders>
                    <w:top w:val="single" w:color="auto" w:sz="6" w:space="0"/>
                    <w:left w:val="nil"/>
                    <w:tl2br w:val="nil"/>
                    <w:tr2bl w:val="nil"/>
                  </w:tcBorders>
                  <w:noWrap w:val="0"/>
                  <w:vAlign w:val="center"/>
                </w:tcPr>
                <w:p w14:paraId="420C75D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废气</w:t>
                  </w:r>
                </w:p>
              </w:tc>
              <w:tc>
                <w:tcPr>
                  <w:tcW w:w="456" w:type="pct"/>
                  <w:tcBorders>
                    <w:top w:val="single" w:color="auto" w:sz="6" w:space="0"/>
                    <w:tl2br w:val="nil"/>
                    <w:tr2bl w:val="nil"/>
                  </w:tcBorders>
                  <w:noWrap w:val="0"/>
                  <w:vAlign w:val="center"/>
                </w:tcPr>
                <w:p w14:paraId="46F730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G1-</w:t>
                  </w:r>
                  <w:r>
                    <w:rPr>
                      <w:rFonts w:hint="eastAsia" w:cs="Times New Roman"/>
                      <w:color w:val="000000"/>
                      <w:kern w:val="0"/>
                      <w:sz w:val="21"/>
                      <w:szCs w:val="21"/>
                      <w:highlight w:val="none"/>
                      <w:vertAlign w:val="baseline"/>
                      <w:lang w:val="en-US" w:eastAsia="zh-CN" w:bidi="ar"/>
                    </w:rPr>
                    <w:t>1</w:t>
                  </w:r>
                </w:p>
              </w:tc>
              <w:tc>
                <w:tcPr>
                  <w:tcW w:w="1169" w:type="pct"/>
                  <w:tcBorders>
                    <w:top w:val="single" w:color="auto" w:sz="6" w:space="0"/>
                    <w:tl2br w:val="nil"/>
                    <w:tr2bl w:val="nil"/>
                  </w:tcBorders>
                  <w:noWrap w:val="0"/>
                  <w:vAlign w:val="center"/>
                </w:tcPr>
                <w:p w14:paraId="4C1ABD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搅拌、浸涂沥青烟废气</w:t>
                  </w:r>
                </w:p>
              </w:tc>
              <w:tc>
                <w:tcPr>
                  <w:tcW w:w="1356" w:type="pct"/>
                  <w:tcBorders>
                    <w:top w:val="single" w:color="auto" w:sz="6" w:space="0"/>
                    <w:tl2br w:val="nil"/>
                    <w:tr2bl w:val="nil"/>
                  </w:tcBorders>
                  <w:noWrap w:val="0"/>
                  <w:vAlign w:val="center"/>
                </w:tcPr>
                <w:p w14:paraId="7333CE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搅拌罐搅拌、改性沥青涂覆</w:t>
                  </w:r>
                </w:p>
              </w:tc>
              <w:tc>
                <w:tcPr>
                  <w:tcW w:w="1539" w:type="pct"/>
                  <w:tcBorders>
                    <w:top w:val="single" w:color="auto" w:sz="6" w:space="0"/>
                    <w:right w:val="nil"/>
                    <w:tl2br w:val="nil"/>
                    <w:tr2bl w:val="nil"/>
                  </w:tcBorders>
                  <w:noWrap w:val="0"/>
                  <w:vAlign w:val="center"/>
                </w:tcPr>
                <w:p w14:paraId="7BEA79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沥青烟、苯并[a]芘、非甲烷总烃</w:t>
                  </w:r>
                </w:p>
              </w:tc>
            </w:tr>
            <w:tr w14:paraId="4656D38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78" w:type="pct"/>
                  <w:vMerge w:val="continue"/>
                  <w:tcBorders>
                    <w:left w:val="nil"/>
                    <w:tl2br w:val="nil"/>
                    <w:tr2bl w:val="nil"/>
                  </w:tcBorders>
                  <w:noWrap w:val="0"/>
                  <w:vAlign w:val="center"/>
                </w:tcPr>
                <w:p w14:paraId="4F623F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456" w:type="pct"/>
                  <w:tcBorders>
                    <w:tl2br w:val="nil"/>
                    <w:tr2bl w:val="nil"/>
                  </w:tcBorders>
                  <w:noWrap w:val="0"/>
                  <w:vAlign w:val="center"/>
                </w:tcPr>
                <w:p w14:paraId="2F64640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G1-</w:t>
                  </w:r>
                  <w:r>
                    <w:rPr>
                      <w:rFonts w:hint="eastAsia" w:cs="Times New Roman"/>
                      <w:color w:val="000000"/>
                      <w:kern w:val="0"/>
                      <w:sz w:val="21"/>
                      <w:szCs w:val="21"/>
                      <w:highlight w:val="none"/>
                      <w:vertAlign w:val="baseline"/>
                      <w:lang w:val="en-US" w:eastAsia="zh-CN" w:bidi="ar"/>
                    </w:rPr>
                    <w:t>2</w:t>
                  </w:r>
                </w:p>
              </w:tc>
              <w:tc>
                <w:tcPr>
                  <w:tcW w:w="1169" w:type="pct"/>
                  <w:tcBorders>
                    <w:tl2br w:val="nil"/>
                    <w:tr2bl w:val="nil"/>
                  </w:tcBorders>
                  <w:noWrap w:val="0"/>
                  <w:vAlign w:val="center"/>
                </w:tcPr>
                <w:p w14:paraId="037231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覆膜废气</w:t>
                  </w:r>
                </w:p>
              </w:tc>
              <w:tc>
                <w:tcPr>
                  <w:tcW w:w="1356" w:type="pct"/>
                  <w:tcBorders>
                    <w:tl2br w:val="nil"/>
                    <w:tr2bl w:val="nil"/>
                  </w:tcBorders>
                  <w:noWrap w:val="0"/>
                  <w:vAlign w:val="center"/>
                </w:tcPr>
                <w:p w14:paraId="5287AE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覆膜</w:t>
                  </w:r>
                </w:p>
              </w:tc>
              <w:tc>
                <w:tcPr>
                  <w:tcW w:w="1539" w:type="pct"/>
                  <w:tcBorders>
                    <w:tl2br w:val="nil"/>
                    <w:tr2bl w:val="nil"/>
                  </w:tcBorders>
                  <w:noWrap w:val="0"/>
                  <w:vAlign w:val="center"/>
                </w:tcPr>
                <w:p w14:paraId="00389E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非甲烷总烃</w:t>
                  </w:r>
                </w:p>
              </w:tc>
            </w:tr>
            <w:tr w14:paraId="744205D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78" w:type="pct"/>
                  <w:vMerge w:val="continue"/>
                  <w:tcBorders>
                    <w:left w:val="nil"/>
                    <w:tl2br w:val="nil"/>
                    <w:tr2bl w:val="nil"/>
                  </w:tcBorders>
                  <w:noWrap w:val="0"/>
                  <w:vAlign w:val="center"/>
                </w:tcPr>
                <w:p w14:paraId="42013E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456" w:type="pct"/>
                  <w:tcBorders>
                    <w:tl2br w:val="nil"/>
                    <w:tr2bl w:val="nil"/>
                  </w:tcBorders>
                  <w:noWrap w:val="0"/>
                  <w:vAlign w:val="center"/>
                </w:tcPr>
                <w:p w14:paraId="5065B7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G1-</w:t>
                  </w:r>
                  <w:r>
                    <w:rPr>
                      <w:rFonts w:hint="eastAsia" w:cs="Times New Roman"/>
                      <w:color w:val="000000"/>
                      <w:kern w:val="0"/>
                      <w:sz w:val="21"/>
                      <w:szCs w:val="21"/>
                      <w:highlight w:val="none"/>
                      <w:vertAlign w:val="baseline"/>
                      <w:lang w:val="en-US" w:eastAsia="zh-CN" w:bidi="ar"/>
                    </w:rPr>
                    <w:t>3</w:t>
                  </w:r>
                </w:p>
              </w:tc>
              <w:tc>
                <w:tcPr>
                  <w:tcW w:w="1169" w:type="pct"/>
                  <w:tcBorders>
                    <w:tl2br w:val="nil"/>
                    <w:tr2bl w:val="nil"/>
                  </w:tcBorders>
                  <w:noWrap w:val="0"/>
                  <w:vAlign w:val="center"/>
                </w:tcPr>
                <w:p w14:paraId="4532D7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导热油炉燃烧废气</w:t>
                  </w:r>
                </w:p>
              </w:tc>
              <w:tc>
                <w:tcPr>
                  <w:tcW w:w="1356" w:type="pct"/>
                  <w:tcBorders>
                    <w:tl2br w:val="nil"/>
                    <w:tr2bl w:val="nil"/>
                  </w:tcBorders>
                  <w:noWrap w:val="0"/>
                  <w:vAlign w:val="center"/>
                </w:tcPr>
                <w:p w14:paraId="5287E1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导热油炉</w:t>
                  </w:r>
                </w:p>
              </w:tc>
              <w:tc>
                <w:tcPr>
                  <w:tcW w:w="1539" w:type="pct"/>
                  <w:tcBorders>
                    <w:tl2br w:val="nil"/>
                    <w:tr2bl w:val="nil"/>
                  </w:tcBorders>
                  <w:noWrap w:val="0"/>
                  <w:vAlign w:val="center"/>
                </w:tcPr>
                <w:p w14:paraId="6A09200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颗粒物、SO</w:t>
                  </w:r>
                  <w:r>
                    <w:rPr>
                      <w:rFonts w:hint="default" w:ascii="Times New Roman" w:hAnsi="Times New Roman" w:eastAsia="宋体" w:cs="Times New Roman"/>
                      <w:color w:val="000000"/>
                      <w:kern w:val="0"/>
                      <w:sz w:val="21"/>
                      <w:szCs w:val="21"/>
                      <w:highlight w:val="none"/>
                      <w:vertAlign w:val="subscript"/>
                      <w:lang w:val="en-US" w:eastAsia="zh-CN" w:bidi="ar"/>
                    </w:rPr>
                    <w:t>2</w:t>
                  </w:r>
                  <w:r>
                    <w:rPr>
                      <w:rFonts w:hint="default" w:ascii="Times New Roman" w:hAnsi="Times New Roman" w:eastAsia="宋体" w:cs="Times New Roman"/>
                      <w:color w:val="000000"/>
                      <w:kern w:val="0"/>
                      <w:sz w:val="21"/>
                      <w:szCs w:val="21"/>
                      <w:highlight w:val="none"/>
                      <w:vertAlign w:val="baseline"/>
                      <w:lang w:val="en-US" w:eastAsia="zh-CN" w:bidi="ar"/>
                    </w:rPr>
                    <w:t>、NO</w:t>
                  </w:r>
                  <w:r>
                    <w:rPr>
                      <w:rFonts w:hint="default" w:ascii="Times New Roman" w:hAnsi="Times New Roman" w:eastAsia="宋体" w:cs="Times New Roman"/>
                      <w:color w:val="000000"/>
                      <w:kern w:val="0"/>
                      <w:sz w:val="21"/>
                      <w:szCs w:val="21"/>
                      <w:highlight w:val="none"/>
                      <w:vertAlign w:val="subscript"/>
                      <w:lang w:val="en-US" w:eastAsia="zh-CN" w:bidi="ar"/>
                    </w:rPr>
                    <w:t>x</w:t>
                  </w:r>
                </w:p>
              </w:tc>
            </w:tr>
            <w:tr w14:paraId="3F29357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78" w:type="pct"/>
                  <w:vMerge w:val="restart"/>
                  <w:tcBorders>
                    <w:tl2br w:val="nil"/>
                    <w:tr2bl w:val="nil"/>
                  </w:tcBorders>
                  <w:noWrap w:val="0"/>
                  <w:vAlign w:val="center"/>
                </w:tcPr>
                <w:p w14:paraId="5511C8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固体废物</w:t>
                  </w:r>
                </w:p>
              </w:tc>
              <w:tc>
                <w:tcPr>
                  <w:tcW w:w="456" w:type="pct"/>
                  <w:tcBorders>
                    <w:tl2br w:val="nil"/>
                    <w:tr2bl w:val="nil"/>
                  </w:tcBorders>
                  <w:noWrap w:val="0"/>
                  <w:vAlign w:val="center"/>
                </w:tcPr>
                <w:p w14:paraId="1E6CEA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S1</w:t>
                  </w:r>
                </w:p>
              </w:tc>
              <w:tc>
                <w:tcPr>
                  <w:tcW w:w="1169" w:type="pct"/>
                  <w:tcBorders>
                    <w:tl2br w:val="nil"/>
                    <w:tr2bl w:val="nil"/>
                  </w:tcBorders>
                  <w:noWrap w:val="0"/>
                  <w:vAlign w:val="center"/>
                </w:tcPr>
                <w:p w14:paraId="5D86EC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废</w:t>
                  </w:r>
                  <w:r>
                    <w:rPr>
                      <w:rFonts w:hint="eastAsia" w:ascii="Times New Roman" w:hAnsi="Times New Roman" w:eastAsia="宋体" w:cs="Times New Roman"/>
                      <w:color w:val="000000"/>
                      <w:kern w:val="0"/>
                      <w:sz w:val="21"/>
                      <w:szCs w:val="21"/>
                      <w:highlight w:val="none"/>
                      <w:vertAlign w:val="baseline"/>
                      <w:lang w:val="en-US" w:eastAsia="zh-CN" w:bidi="ar"/>
                    </w:rPr>
                    <w:t>弃</w:t>
                  </w:r>
                  <w:r>
                    <w:rPr>
                      <w:rFonts w:hint="default" w:ascii="Times New Roman" w:hAnsi="Times New Roman" w:eastAsia="宋体" w:cs="Times New Roman"/>
                      <w:color w:val="000000"/>
                      <w:kern w:val="0"/>
                      <w:sz w:val="21"/>
                      <w:szCs w:val="21"/>
                      <w:highlight w:val="none"/>
                      <w:vertAlign w:val="baseline"/>
                      <w:lang w:val="en-US" w:eastAsia="zh-CN" w:bidi="ar"/>
                    </w:rPr>
                    <w:t>包装</w:t>
                  </w:r>
                </w:p>
              </w:tc>
              <w:tc>
                <w:tcPr>
                  <w:tcW w:w="1356" w:type="pct"/>
                  <w:tcBorders>
                    <w:tl2br w:val="nil"/>
                    <w:tr2bl w:val="nil"/>
                  </w:tcBorders>
                  <w:noWrap w:val="0"/>
                  <w:vAlign w:val="center"/>
                </w:tcPr>
                <w:p w14:paraId="712884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原辅料拆包</w:t>
                  </w:r>
                </w:p>
              </w:tc>
              <w:tc>
                <w:tcPr>
                  <w:tcW w:w="1539" w:type="pct"/>
                  <w:tcBorders>
                    <w:tl2br w:val="nil"/>
                    <w:tr2bl w:val="nil"/>
                  </w:tcBorders>
                  <w:noWrap w:val="0"/>
                  <w:vAlign w:val="center"/>
                </w:tcPr>
                <w:p w14:paraId="57957D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塑料、纸等</w:t>
                  </w:r>
                </w:p>
              </w:tc>
            </w:tr>
            <w:tr w14:paraId="66E1B6D3">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78" w:type="pct"/>
                  <w:vMerge w:val="continue"/>
                  <w:tcBorders>
                    <w:tl2br w:val="nil"/>
                    <w:tr2bl w:val="nil"/>
                  </w:tcBorders>
                  <w:noWrap w:val="0"/>
                  <w:vAlign w:val="center"/>
                </w:tcPr>
                <w:p w14:paraId="633B216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456" w:type="pct"/>
                  <w:tcBorders>
                    <w:tl2br w:val="nil"/>
                    <w:tr2bl w:val="nil"/>
                  </w:tcBorders>
                  <w:noWrap w:val="0"/>
                  <w:vAlign w:val="center"/>
                </w:tcPr>
                <w:p w14:paraId="729CAF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S</w:t>
                  </w:r>
                  <w:r>
                    <w:rPr>
                      <w:rFonts w:hint="eastAsia" w:cs="Times New Roman"/>
                      <w:color w:val="000000"/>
                      <w:kern w:val="0"/>
                      <w:sz w:val="21"/>
                      <w:szCs w:val="21"/>
                      <w:highlight w:val="none"/>
                      <w:vertAlign w:val="baseline"/>
                      <w:lang w:val="en-US" w:eastAsia="zh-CN" w:bidi="ar"/>
                    </w:rPr>
                    <w:t>2</w:t>
                  </w:r>
                </w:p>
              </w:tc>
              <w:tc>
                <w:tcPr>
                  <w:tcW w:w="1169" w:type="pct"/>
                  <w:tcBorders>
                    <w:tl2br w:val="nil"/>
                    <w:tr2bl w:val="nil"/>
                  </w:tcBorders>
                  <w:noWrap w:val="0"/>
                  <w:vAlign w:val="center"/>
                </w:tcPr>
                <w:p w14:paraId="3FFF4CA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cs="Times New Roman"/>
                      <w:color w:val="000000"/>
                      <w:kern w:val="0"/>
                      <w:sz w:val="21"/>
                      <w:szCs w:val="21"/>
                      <w:highlight w:val="none"/>
                      <w:vertAlign w:val="baseline"/>
                      <w:lang w:val="en-US" w:eastAsia="zh-CN" w:bidi="ar"/>
                    </w:rPr>
                    <w:t>含油污泥</w:t>
                  </w:r>
                </w:p>
              </w:tc>
              <w:tc>
                <w:tcPr>
                  <w:tcW w:w="1356" w:type="pct"/>
                  <w:tcBorders>
                    <w:tl2br w:val="nil"/>
                    <w:tr2bl w:val="nil"/>
                  </w:tcBorders>
                  <w:noWrap w:val="0"/>
                  <w:vAlign w:val="center"/>
                </w:tcPr>
                <w:p w14:paraId="1DEE40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废气处理</w:t>
                  </w:r>
                </w:p>
              </w:tc>
              <w:tc>
                <w:tcPr>
                  <w:tcW w:w="1539" w:type="pct"/>
                  <w:tcBorders>
                    <w:tl2br w:val="nil"/>
                    <w:tr2bl w:val="nil"/>
                  </w:tcBorders>
                  <w:noWrap w:val="0"/>
                  <w:vAlign w:val="center"/>
                </w:tcPr>
                <w:p w14:paraId="43ADE16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废沥青油</w:t>
                  </w:r>
                </w:p>
              </w:tc>
            </w:tr>
            <w:tr w14:paraId="7E5357D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78" w:type="pct"/>
                  <w:vMerge w:val="continue"/>
                  <w:tcBorders>
                    <w:tl2br w:val="nil"/>
                    <w:tr2bl w:val="nil"/>
                  </w:tcBorders>
                  <w:noWrap w:val="0"/>
                  <w:vAlign w:val="center"/>
                </w:tcPr>
                <w:p w14:paraId="1BA1E11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456" w:type="pct"/>
                  <w:tcBorders>
                    <w:tl2br w:val="nil"/>
                    <w:tr2bl w:val="nil"/>
                  </w:tcBorders>
                  <w:noWrap w:val="0"/>
                  <w:vAlign w:val="center"/>
                </w:tcPr>
                <w:p w14:paraId="294FBE4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S</w:t>
                  </w:r>
                  <w:r>
                    <w:rPr>
                      <w:rFonts w:hint="eastAsia" w:cs="Times New Roman"/>
                      <w:color w:val="000000"/>
                      <w:kern w:val="0"/>
                      <w:sz w:val="21"/>
                      <w:szCs w:val="21"/>
                      <w:highlight w:val="none"/>
                      <w:vertAlign w:val="baseline"/>
                      <w:lang w:val="en-US" w:eastAsia="zh-CN" w:bidi="ar"/>
                    </w:rPr>
                    <w:t>3</w:t>
                  </w:r>
                </w:p>
              </w:tc>
              <w:tc>
                <w:tcPr>
                  <w:tcW w:w="1169" w:type="pct"/>
                  <w:tcBorders>
                    <w:tl2br w:val="nil"/>
                    <w:tr2bl w:val="nil"/>
                  </w:tcBorders>
                  <w:noWrap w:val="0"/>
                  <w:vAlign w:val="center"/>
                </w:tcPr>
                <w:p w14:paraId="2D7B6A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废活性炭</w:t>
                  </w:r>
                </w:p>
              </w:tc>
              <w:tc>
                <w:tcPr>
                  <w:tcW w:w="1356" w:type="pct"/>
                  <w:tcBorders>
                    <w:tl2br w:val="nil"/>
                    <w:tr2bl w:val="nil"/>
                  </w:tcBorders>
                  <w:noWrap w:val="0"/>
                  <w:vAlign w:val="center"/>
                </w:tcPr>
                <w:p w14:paraId="60DEE9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废气处理</w:t>
                  </w:r>
                </w:p>
              </w:tc>
              <w:tc>
                <w:tcPr>
                  <w:tcW w:w="1539" w:type="pct"/>
                  <w:tcBorders>
                    <w:tl2br w:val="nil"/>
                    <w:tr2bl w:val="nil"/>
                  </w:tcBorders>
                  <w:noWrap w:val="0"/>
                  <w:vAlign w:val="center"/>
                </w:tcPr>
                <w:p w14:paraId="10DFD3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废活性炭</w:t>
                  </w:r>
                </w:p>
              </w:tc>
            </w:tr>
            <w:tr w14:paraId="527BF41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78" w:type="pct"/>
                  <w:vMerge w:val="continue"/>
                  <w:tcBorders>
                    <w:tl2br w:val="nil"/>
                    <w:tr2bl w:val="nil"/>
                  </w:tcBorders>
                  <w:noWrap w:val="0"/>
                  <w:vAlign w:val="center"/>
                </w:tcPr>
                <w:p w14:paraId="112CF8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456" w:type="pct"/>
                  <w:tcBorders>
                    <w:tl2br w:val="nil"/>
                    <w:tr2bl w:val="nil"/>
                  </w:tcBorders>
                  <w:noWrap w:val="0"/>
                  <w:vAlign w:val="center"/>
                </w:tcPr>
                <w:p w14:paraId="3A0A15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S</w:t>
                  </w:r>
                  <w:r>
                    <w:rPr>
                      <w:rFonts w:hint="eastAsia" w:cs="Times New Roman"/>
                      <w:color w:val="000000"/>
                      <w:kern w:val="0"/>
                      <w:sz w:val="21"/>
                      <w:szCs w:val="21"/>
                      <w:highlight w:val="none"/>
                      <w:vertAlign w:val="baseline"/>
                      <w:lang w:val="en-US" w:eastAsia="zh-CN" w:bidi="ar"/>
                    </w:rPr>
                    <w:t>4</w:t>
                  </w:r>
                </w:p>
              </w:tc>
              <w:tc>
                <w:tcPr>
                  <w:tcW w:w="1169" w:type="pct"/>
                  <w:tcBorders>
                    <w:tl2br w:val="nil"/>
                    <w:tr2bl w:val="nil"/>
                  </w:tcBorders>
                  <w:noWrap w:val="0"/>
                  <w:vAlign w:val="center"/>
                </w:tcPr>
                <w:p w14:paraId="1E90A6B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沉渣</w:t>
                  </w:r>
                </w:p>
              </w:tc>
              <w:tc>
                <w:tcPr>
                  <w:tcW w:w="1356" w:type="pct"/>
                  <w:tcBorders>
                    <w:tl2br w:val="nil"/>
                    <w:tr2bl w:val="nil"/>
                  </w:tcBorders>
                  <w:noWrap w:val="0"/>
                  <w:vAlign w:val="center"/>
                </w:tcPr>
                <w:p w14:paraId="0DBC42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设备清洗、冷却水循环</w:t>
                  </w:r>
                </w:p>
              </w:tc>
              <w:tc>
                <w:tcPr>
                  <w:tcW w:w="1539" w:type="pct"/>
                  <w:tcBorders>
                    <w:tl2br w:val="nil"/>
                    <w:tr2bl w:val="nil"/>
                  </w:tcBorders>
                  <w:noWrap w:val="0"/>
                  <w:vAlign w:val="center"/>
                </w:tcPr>
                <w:p w14:paraId="31D0AE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含有机溶剂废物</w:t>
                  </w:r>
                </w:p>
              </w:tc>
            </w:tr>
            <w:tr w14:paraId="75C22AC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78" w:type="pct"/>
                  <w:vMerge w:val="continue"/>
                  <w:tcBorders>
                    <w:tl2br w:val="nil"/>
                    <w:tr2bl w:val="nil"/>
                  </w:tcBorders>
                  <w:noWrap w:val="0"/>
                  <w:vAlign w:val="center"/>
                </w:tcPr>
                <w:p w14:paraId="2DE408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456" w:type="pct"/>
                  <w:tcBorders>
                    <w:tl2br w:val="nil"/>
                    <w:tr2bl w:val="nil"/>
                  </w:tcBorders>
                  <w:noWrap w:val="0"/>
                  <w:vAlign w:val="center"/>
                </w:tcPr>
                <w:p w14:paraId="7DF71C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S</w:t>
                  </w:r>
                  <w:r>
                    <w:rPr>
                      <w:rFonts w:hint="eastAsia" w:cs="Times New Roman"/>
                      <w:color w:val="000000"/>
                      <w:kern w:val="0"/>
                      <w:sz w:val="21"/>
                      <w:szCs w:val="21"/>
                      <w:highlight w:val="none"/>
                      <w:vertAlign w:val="baseline"/>
                      <w:lang w:val="en-US" w:eastAsia="zh-CN" w:bidi="ar"/>
                    </w:rPr>
                    <w:t>5</w:t>
                  </w:r>
                </w:p>
              </w:tc>
              <w:tc>
                <w:tcPr>
                  <w:tcW w:w="1169" w:type="pct"/>
                  <w:tcBorders>
                    <w:tl2br w:val="nil"/>
                    <w:tr2bl w:val="nil"/>
                  </w:tcBorders>
                  <w:noWrap w:val="0"/>
                  <w:vAlign w:val="center"/>
                </w:tcPr>
                <w:p w14:paraId="7B025E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废润滑油</w:t>
                  </w:r>
                </w:p>
              </w:tc>
              <w:tc>
                <w:tcPr>
                  <w:tcW w:w="1356" w:type="pct"/>
                  <w:tcBorders>
                    <w:tl2br w:val="nil"/>
                    <w:tr2bl w:val="nil"/>
                  </w:tcBorders>
                  <w:noWrap w:val="0"/>
                  <w:vAlign w:val="center"/>
                </w:tcPr>
                <w:p w14:paraId="1963FA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设备维护</w:t>
                  </w:r>
                </w:p>
              </w:tc>
              <w:tc>
                <w:tcPr>
                  <w:tcW w:w="1539" w:type="pct"/>
                  <w:tcBorders>
                    <w:tl2br w:val="nil"/>
                    <w:tr2bl w:val="nil"/>
                  </w:tcBorders>
                  <w:noWrap w:val="0"/>
                  <w:vAlign w:val="center"/>
                </w:tcPr>
                <w:p w14:paraId="709D5C6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废润滑油</w:t>
                  </w:r>
                </w:p>
              </w:tc>
            </w:tr>
            <w:tr w14:paraId="72C18A9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78" w:type="pct"/>
                  <w:vMerge w:val="continue"/>
                  <w:tcBorders>
                    <w:tl2br w:val="nil"/>
                    <w:tr2bl w:val="nil"/>
                  </w:tcBorders>
                  <w:noWrap w:val="0"/>
                  <w:vAlign w:val="center"/>
                </w:tcPr>
                <w:p w14:paraId="210089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456" w:type="pct"/>
                  <w:tcBorders>
                    <w:tl2br w:val="nil"/>
                    <w:tr2bl w:val="nil"/>
                  </w:tcBorders>
                  <w:noWrap w:val="0"/>
                  <w:vAlign w:val="center"/>
                </w:tcPr>
                <w:p w14:paraId="60DBE04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S</w:t>
                  </w:r>
                  <w:r>
                    <w:rPr>
                      <w:rFonts w:hint="eastAsia" w:cs="Times New Roman"/>
                      <w:color w:val="000000"/>
                      <w:kern w:val="0"/>
                      <w:sz w:val="21"/>
                      <w:szCs w:val="21"/>
                      <w:highlight w:val="none"/>
                      <w:vertAlign w:val="baseline"/>
                      <w:lang w:val="en-US" w:eastAsia="zh-CN" w:bidi="ar"/>
                    </w:rPr>
                    <w:t>6</w:t>
                  </w:r>
                </w:p>
              </w:tc>
              <w:tc>
                <w:tcPr>
                  <w:tcW w:w="1169" w:type="pct"/>
                  <w:tcBorders>
                    <w:tl2br w:val="nil"/>
                    <w:tr2bl w:val="nil"/>
                  </w:tcBorders>
                  <w:noWrap w:val="0"/>
                  <w:vAlign w:val="center"/>
                </w:tcPr>
                <w:p w14:paraId="2BB788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生活垃圾</w:t>
                  </w:r>
                </w:p>
              </w:tc>
              <w:tc>
                <w:tcPr>
                  <w:tcW w:w="1356" w:type="pct"/>
                  <w:tcBorders>
                    <w:tl2br w:val="nil"/>
                    <w:tr2bl w:val="nil"/>
                  </w:tcBorders>
                  <w:noWrap w:val="0"/>
                  <w:vAlign w:val="center"/>
                </w:tcPr>
                <w:p w14:paraId="67BDA3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员工生活</w:t>
                  </w:r>
                </w:p>
              </w:tc>
              <w:tc>
                <w:tcPr>
                  <w:tcW w:w="1539" w:type="pct"/>
                  <w:tcBorders>
                    <w:tl2br w:val="nil"/>
                    <w:tr2bl w:val="nil"/>
                  </w:tcBorders>
                  <w:noWrap w:val="0"/>
                  <w:vAlign w:val="center"/>
                </w:tcPr>
                <w:p w14:paraId="51542E0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生活垃圾</w:t>
                  </w:r>
                </w:p>
              </w:tc>
            </w:tr>
            <w:tr w14:paraId="5D47AAE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78" w:type="pct"/>
                  <w:vMerge w:val="continue"/>
                  <w:tcBorders>
                    <w:tl2br w:val="nil"/>
                    <w:tr2bl w:val="nil"/>
                  </w:tcBorders>
                  <w:noWrap w:val="0"/>
                  <w:vAlign w:val="center"/>
                </w:tcPr>
                <w:p w14:paraId="665E1B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456" w:type="pct"/>
                  <w:tcBorders>
                    <w:tl2br w:val="nil"/>
                    <w:tr2bl w:val="nil"/>
                  </w:tcBorders>
                  <w:noWrap w:val="0"/>
                  <w:vAlign w:val="center"/>
                </w:tcPr>
                <w:p w14:paraId="38BC45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S</w:t>
                  </w:r>
                  <w:r>
                    <w:rPr>
                      <w:rFonts w:hint="eastAsia" w:cs="Times New Roman"/>
                      <w:color w:val="000000"/>
                      <w:kern w:val="0"/>
                      <w:sz w:val="21"/>
                      <w:szCs w:val="21"/>
                      <w:highlight w:val="none"/>
                      <w:vertAlign w:val="baseline"/>
                      <w:lang w:val="en-US" w:eastAsia="zh-CN" w:bidi="ar"/>
                    </w:rPr>
                    <w:t>7</w:t>
                  </w:r>
                </w:p>
              </w:tc>
              <w:tc>
                <w:tcPr>
                  <w:tcW w:w="1169" w:type="pct"/>
                  <w:tcBorders>
                    <w:tl2br w:val="nil"/>
                    <w:tr2bl w:val="nil"/>
                  </w:tcBorders>
                  <w:noWrap w:val="0"/>
                  <w:vAlign w:val="center"/>
                </w:tcPr>
                <w:p w14:paraId="32721E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cs="Times New Roman"/>
                      <w:color w:val="000000"/>
                      <w:kern w:val="0"/>
                      <w:sz w:val="21"/>
                      <w:szCs w:val="21"/>
                      <w:highlight w:val="none"/>
                      <w:vertAlign w:val="baseline"/>
                      <w:lang w:val="en-US" w:eastAsia="zh-CN" w:bidi="ar"/>
                    </w:rPr>
                    <w:t>沥青沾染物</w:t>
                  </w:r>
                </w:p>
              </w:tc>
              <w:tc>
                <w:tcPr>
                  <w:tcW w:w="1356" w:type="pct"/>
                  <w:tcBorders>
                    <w:tl2br w:val="nil"/>
                    <w:tr2bl w:val="nil"/>
                  </w:tcBorders>
                  <w:noWrap w:val="0"/>
                  <w:vAlign w:val="center"/>
                </w:tcPr>
                <w:p w14:paraId="51763C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设备维护</w:t>
                  </w:r>
                </w:p>
              </w:tc>
              <w:tc>
                <w:tcPr>
                  <w:tcW w:w="1539" w:type="pct"/>
                  <w:tcBorders>
                    <w:tl2br w:val="nil"/>
                    <w:tr2bl w:val="nil"/>
                  </w:tcBorders>
                  <w:noWrap w:val="0"/>
                  <w:vAlign w:val="center"/>
                </w:tcPr>
                <w:p w14:paraId="50EB7C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cs="Times New Roman"/>
                      <w:color w:val="000000"/>
                      <w:kern w:val="0"/>
                      <w:sz w:val="21"/>
                      <w:szCs w:val="21"/>
                      <w:highlight w:val="none"/>
                      <w:vertAlign w:val="baseline"/>
                      <w:lang w:val="en-US" w:eastAsia="zh-CN" w:bidi="ar"/>
                    </w:rPr>
                    <w:t>废沥青油</w:t>
                  </w:r>
                </w:p>
              </w:tc>
            </w:tr>
            <w:tr w14:paraId="1CA9E69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78" w:type="pct"/>
                  <w:tcBorders>
                    <w:tl2br w:val="nil"/>
                    <w:tr2bl w:val="nil"/>
                  </w:tcBorders>
                  <w:noWrap w:val="0"/>
                  <w:vAlign w:val="center"/>
                </w:tcPr>
                <w:p w14:paraId="2CADCFF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噪声</w:t>
                  </w:r>
                </w:p>
              </w:tc>
              <w:tc>
                <w:tcPr>
                  <w:tcW w:w="456" w:type="pct"/>
                  <w:tcBorders>
                    <w:tl2br w:val="nil"/>
                    <w:tr2bl w:val="nil"/>
                  </w:tcBorders>
                  <w:noWrap w:val="0"/>
                  <w:vAlign w:val="center"/>
                </w:tcPr>
                <w:p w14:paraId="0D1424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N</w:t>
                  </w:r>
                </w:p>
              </w:tc>
              <w:tc>
                <w:tcPr>
                  <w:tcW w:w="1169" w:type="pct"/>
                  <w:tcBorders>
                    <w:tl2br w:val="nil"/>
                    <w:tr2bl w:val="nil"/>
                  </w:tcBorders>
                  <w:noWrap w:val="0"/>
                  <w:vAlign w:val="center"/>
                </w:tcPr>
                <w:p w14:paraId="4427BB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设备噪声</w:t>
                  </w:r>
                </w:p>
              </w:tc>
              <w:tc>
                <w:tcPr>
                  <w:tcW w:w="1356" w:type="pct"/>
                  <w:tcBorders>
                    <w:tl2br w:val="nil"/>
                    <w:tr2bl w:val="nil"/>
                  </w:tcBorders>
                  <w:noWrap w:val="0"/>
                  <w:vAlign w:val="center"/>
                </w:tcPr>
                <w:p w14:paraId="45B577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设备运行</w:t>
                  </w:r>
                </w:p>
              </w:tc>
              <w:tc>
                <w:tcPr>
                  <w:tcW w:w="1539" w:type="pct"/>
                  <w:tcBorders>
                    <w:tl2br w:val="nil"/>
                    <w:tr2bl w:val="nil"/>
                  </w:tcBorders>
                  <w:noWrap w:val="0"/>
                  <w:vAlign w:val="center"/>
                </w:tcPr>
                <w:p w14:paraId="3A446F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噪声</w:t>
                  </w:r>
                </w:p>
              </w:tc>
            </w:tr>
          </w:tbl>
          <w:p w14:paraId="79F1029E">
            <w:pPr>
              <w:numPr>
                <w:ilvl w:val="0"/>
                <w:numId w:val="0"/>
              </w:numPr>
              <w:adjustRightInd w:val="0"/>
              <w:snapToGrid w:val="0"/>
              <w:spacing w:line="360" w:lineRule="auto"/>
              <w:jc w:val="both"/>
              <w:rPr>
                <w:rFonts w:hint="default" w:ascii="Times New Roman" w:hAnsi="Times New Roman" w:eastAsia="宋体" w:cs="Times New Roman"/>
                <w:b/>
                <w:bCs/>
                <w:sz w:val="21"/>
                <w:szCs w:val="21"/>
                <w:highlight w:val="none"/>
                <w:lang w:val="en-US" w:eastAsia="zh-CN"/>
              </w:rPr>
            </w:pPr>
          </w:p>
        </w:tc>
      </w:tr>
      <w:tr w14:paraId="5B5E8A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2" w:type="pct"/>
            <w:noWrap w:val="0"/>
            <w:vAlign w:val="center"/>
          </w:tcPr>
          <w:p w14:paraId="61E3232E">
            <w:pPr>
              <w:pStyle w:val="18"/>
              <w:adjustRightInd w:val="0"/>
              <w:snapToGrid w:val="0"/>
              <w:spacing w:before="0" w:beforeAutospacing="0" w:after="0" w:afterAutospacing="0"/>
              <w:jc w:val="center"/>
              <w:rPr>
                <w:rFonts w:hint="default" w:ascii="Times New Roman" w:hAnsi="Times New Roman" w:cs="Times New Roman"/>
                <w:sz w:val="21"/>
                <w:szCs w:val="21"/>
                <w:highlight w:val="none"/>
              </w:rPr>
            </w:pPr>
            <w:r>
              <w:rPr>
                <w:rFonts w:hint="default" w:ascii="Times New Roman" w:hAnsi="Times New Roman" w:cs="Times New Roman"/>
                <w:bCs/>
                <w:kern w:val="2"/>
                <w:sz w:val="24"/>
                <w:szCs w:val="24"/>
                <w:highlight w:val="none"/>
              </w:rPr>
              <w:t>与项目有关的原有环境污染问题</w:t>
            </w:r>
          </w:p>
        </w:tc>
        <w:tc>
          <w:tcPr>
            <w:tcW w:w="4657" w:type="pct"/>
            <w:noWrap w:val="0"/>
            <w:vAlign w:val="center"/>
          </w:tcPr>
          <w:p w14:paraId="069669C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auto"/>
                <w:kern w:val="0"/>
                <w:sz w:val="24"/>
                <w:szCs w:val="24"/>
                <w:highlight w:val="none"/>
                <w:lang w:val="en-US" w:eastAsia="zh-CN" w:bidi="ar"/>
              </w:rPr>
            </w:pPr>
            <w:bookmarkStart w:id="2" w:name="_Toc27621"/>
            <w:r>
              <w:rPr>
                <w:rFonts w:hint="eastAsia" w:ascii="Times New Roman" w:hAnsi="Times New Roman" w:eastAsia="宋体" w:cs="Times New Roman"/>
                <w:b/>
                <w:bCs/>
                <w:color w:val="auto"/>
                <w:kern w:val="0"/>
                <w:sz w:val="24"/>
                <w:szCs w:val="24"/>
                <w:highlight w:val="none"/>
                <w:lang w:val="en-US" w:eastAsia="zh-CN" w:bidi="ar"/>
              </w:rPr>
              <w:t>1</w:t>
            </w:r>
            <w:r>
              <w:rPr>
                <w:rFonts w:hint="default" w:ascii="Times New Roman" w:hAnsi="Times New Roman" w:eastAsia="宋体" w:cs="Times New Roman"/>
                <w:b/>
                <w:bCs/>
                <w:color w:val="auto"/>
                <w:kern w:val="0"/>
                <w:sz w:val="24"/>
                <w:szCs w:val="24"/>
                <w:highlight w:val="none"/>
                <w:lang w:val="en-US" w:eastAsia="zh-CN" w:bidi="ar"/>
              </w:rPr>
              <w:t>.</w:t>
            </w:r>
            <w:r>
              <w:rPr>
                <w:rFonts w:hint="eastAsia" w:ascii="Times New Roman" w:hAnsi="Times New Roman" w:eastAsia="宋体" w:cs="Times New Roman"/>
                <w:b/>
                <w:bCs/>
                <w:color w:val="auto"/>
                <w:kern w:val="0"/>
                <w:sz w:val="24"/>
                <w:szCs w:val="24"/>
                <w:highlight w:val="none"/>
                <w:lang w:val="en-US" w:eastAsia="zh-CN" w:bidi="ar"/>
              </w:rPr>
              <w:t>原有工程环保手续履行情况</w:t>
            </w:r>
            <w:bookmarkEnd w:id="2"/>
          </w:p>
          <w:p w14:paraId="5365091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eastAsia" w:cs="Times New Roman"/>
                <w:sz w:val="24"/>
                <w:szCs w:val="24"/>
                <w:highlight w:val="none"/>
                <w:lang w:val="en-US" w:eastAsia="zh-CN"/>
              </w:rPr>
              <w:t>本项目于2014年1月委托新疆净源环境咨询有限公司编制完成了《昌吉市防水建材有限责任公司年产1000万m</w:t>
            </w:r>
            <w:r>
              <w:rPr>
                <w:rFonts w:hint="eastAsia" w:cs="Times New Roman"/>
                <w:sz w:val="24"/>
                <w:szCs w:val="24"/>
                <w:highlight w:val="none"/>
                <w:vertAlign w:val="superscript"/>
                <w:lang w:val="en-US" w:eastAsia="zh-CN"/>
              </w:rPr>
              <w:t>2</w:t>
            </w:r>
            <w:r>
              <w:rPr>
                <w:rFonts w:hint="eastAsia" w:cs="Times New Roman"/>
                <w:sz w:val="24"/>
                <w:szCs w:val="24"/>
                <w:highlight w:val="none"/>
                <w:lang w:val="en-US" w:eastAsia="zh-CN"/>
              </w:rPr>
              <w:t>防水卷材料项目环境影响报告表》，2014年1月13日取得本项目的批复，文号为（昌高环管字[2014]2号文件），于2019年11月4日获得了排污许可</w:t>
            </w:r>
            <w:r>
              <w:rPr>
                <w:rFonts w:hint="default" w:ascii="Times New Roman" w:hAnsi="Times New Roman" w:cs="Times New Roman"/>
                <w:sz w:val="24"/>
                <w:szCs w:val="24"/>
                <w:highlight w:val="none"/>
                <w:lang w:val="en-US" w:eastAsia="zh-CN"/>
              </w:rPr>
              <w:t>（91652302MA78GBPDXX002Q）</w:t>
            </w:r>
            <w:r>
              <w:rPr>
                <w:rFonts w:hint="eastAsia" w:ascii="Times New Roman" w:hAnsi="Times New Roman" w:eastAsia="宋体" w:cs="Times New Roman"/>
                <w:color w:val="000000"/>
                <w:kern w:val="0"/>
                <w:sz w:val="24"/>
                <w:szCs w:val="24"/>
                <w:highlight w:val="none"/>
                <w:lang w:val="en-US" w:eastAsia="zh-CN" w:bidi="ar"/>
              </w:rPr>
              <w:t>，2</w:t>
            </w:r>
            <w:r>
              <w:rPr>
                <w:rFonts w:hint="default" w:ascii="Times New Roman" w:hAnsi="Times New Roman" w:eastAsia="宋体" w:cs="Times New Roman"/>
                <w:color w:val="000000"/>
                <w:kern w:val="0"/>
                <w:sz w:val="24"/>
                <w:szCs w:val="24"/>
                <w:highlight w:val="none"/>
                <w:lang w:val="en-US" w:eastAsia="zh-CN" w:bidi="ar"/>
              </w:rPr>
              <w:t>0</w:t>
            </w:r>
            <w:r>
              <w:rPr>
                <w:rFonts w:hint="eastAsia" w:cs="Times New Roman"/>
                <w:color w:val="000000"/>
                <w:kern w:val="0"/>
                <w:sz w:val="24"/>
                <w:szCs w:val="24"/>
                <w:highlight w:val="none"/>
                <w:lang w:val="en-US" w:eastAsia="zh-CN" w:bidi="ar"/>
              </w:rPr>
              <w:t>17</w:t>
            </w:r>
            <w:r>
              <w:rPr>
                <w:rFonts w:hint="eastAsia" w:ascii="Times New Roman" w:hAnsi="Times New Roman" w:eastAsia="宋体" w:cs="Times New Roman"/>
                <w:color w:val="000000"/>
                <w:kern w:val="0"/>
                <w:sz w:val="24"/>
                <w:szCs w:val="24"/>
                <w:highlight w:val="none"/>
                <w:lang w:val="en-US" w:eastAsia="zh-CN" w:bidi="ar"/>
              </w:rPr>
              <w:t>年</w:t>
            </w:r>
            <w:r>
              <w:rPr>
                <w:rFonts w:hint="eastAsia" w:cs="Times New Roman"/>
                <w:color w:val="000000"/>
                <w:kern w:val="0"/>
                <w:sz w:val="24"/>
                <w:szCs w:val="24"/>
                <w:highlight w:val="none"/>
                <w:lang w:val="en-US" w:eastAsia="zh-CN" w:bidi="ar"/>
              </w:rPr>
              <w:t>11</w:t>
            </w:r>
            <w:r>
              <w:rPr>
                <w:rFonts w:hint="eastAsia" w:ascii="Times New Roman" w:hAnsi="Times New Roman" w:eastAsia="宋体" w:cs="Times New Roman"/>
                <w:color w:val="000000"/>
                <w:kern w:val="0"/>
                <w:sz w:val="24"/>
                <w:szCs w:val="24"/>
                <w:highlight w:val="none"/>
                <w:lang w:val="en-US" w:eastAsia="zh-CN" w:bidi="ar"/>
              </w:rPr>
              <w:t>月《新疆</w:t>
            </w:r>
            <w:r>
              <w:rPr>
                <w:rFonts w:hint="eastAsia" w:cs="Times New Roman"/>
                <w:color w:val="000000"/>
                <w:kern w:val="0"/>
                <w:sz w:val="24"/>
                <w:szCs w:val="24"/>
                <w:highlight w:val="none"/>
                <w:lang w:val="en-US" w:eastAsia="zh-CN" w:bidi="ar"/>
              </w:rPr>
              <w:t>天佳利美防水保温有限公司年产1000万m</w:t>
            </w:r>
            <w:r>
              <w:rPr>
                <w:rFonts w:hint="eastAsia" w:cs="Times New Roman"/>
                <w:color w:val="000000"/>
                <w:kern w:val="0"/>
                <w:sz w:val="24"/>
                <w:szCs w:val="24"/>
                <w:highlight w:val="none"/>
                <w:vertAlign w:val="superscript"/>
                <w:lang w:val="en-US" w:eastAsia="zh-CN" w:bidi="ar"/>
              </w:rPr>
              <w:t>2</w:t>
            </w:r>
            <w:r>
              <w:rPr>
                <w:rFonts w:hint="eastAsia" w:cs="Times New Roman"/>
                <w:color w:val="000000"/>
                <w:kern w:val="0"/>
                <w:sz w:val="24"/>
                <w:szCs w:val="24"/>
                <w:highlight w:val="none"/>
                <w:lang w:val="en-US" w:eastAsia="zh-CN" w:bidi="ar"/>
              </w:rPr>
              <w:t>防水卷材料项目</w:t>
            </w:r>
            <w:r>
              <w:rPr>
                <w:rFonts w:hint="eastAsia" w:ascii="Times New Roman" w:hAnsi="Times New Roman" w:eastAsia="宋体" w:cs="Times New Roman"/>
                <w:color w:val="000000"/>
                <w:kern w:val="0"/>
                <w:sz w:val="24"/>
                <w:szCs w:val="24"/>
                <w:highlight w:val="none"/>
                <w:lang w:val="en-US" w:eastAsia="zh-CN" w:bidi="ar"/>
              </w:rPr>
              <w:t>》已通过自主验收。</w:t>
            </w:r>
          </w:p>
          <w:p w14:paraId="7A976A47">
            <w:pPr>
              <w:pStyle w:val="2"/>
              <w:pageBreakBefore w:val="0"/>
              <w:tabs>
                <w:tab w:val="left" w:pos="312"/>
              </w:tabs>
              <w:kinsoku/>
              <w:wordWrap/>
              <w:overflowPunct/>
              <w:topLinePunct w:val="0"/>
              <w:autoSpaceDE/>
              <w:autoSpaceDN/>
              <w:bidi w:val="0"/>
              <w:adjustRightInd/>
              <w:snapToGrid/>
              <w:spacing w:line="360" w:lineRule="auto"/>
              <w:jc w:val="both"/>
              <w:textAlignment w:val="auto"/>
              <w:rPr>
                <w:rFonts w:hint="default" w:eastAsia="宋体"/>
                <w:b/>
                <w:bCs/>
                <w:sz w:val="24"/>
                <w:lang w:val="en-US" w:eastAsia="zh-CN"/>
              </w:rPr>
            </w:pPr>
            <w:bookmarkStart w:id="3" w:name="_Toc12466"/>
            <w:bookmarkStart w:id="4" w:name="_Hlk124261532"/>
            <w:r>
              <w:rPr>
                <w:rFonts w:hint="eastAsia"/>
                <w:b/>
                <w:bCs/>
                <w:sz w:val="24"/>
                <w:lang w:val="en-US" w:eastAsia="zh-CN"/>
              </w:rPr>
              <w:t>2.原有工程建设情况</w:t>
            </w:r>
          </w:p>
          <w:p w14:paraId="308805E0">
            <w:pPr>
              <w:tabs>
                <w:tab w:val="left" w:pos="3469"/>
              </w:tabs>
              <w:adjustRightInd w:val="0"/>
              <w:snapToGrid w:val="0"/>
              <w:spacing w:line="360" w:lineRule="auto"/>
              <w:ind w:firstLine="480" w:firstLineChars="200"/>
              <w:rPr>
                <w:rFonts w:hint="default" w:cs="Times New Roman"/>
                <w:sz w:val="24"/>
                <w:szCs w:val="24"/>
                <w:highlight w:val="none"/>
                <w:lang w:val="en-US" w:eastAsia="zh-CN"/>
              </w:rPr>
            </w:pPr>
            <w:r>
              <w:rPr>
                <w:rFonts w:hint="eastAsia" w:ascii="Times New Roman" w:hAnsi="Times New Roman" w:eastAsia="宋体" w:cs="Times New Roman"/>
                <w:kern w:val="0"/>
                <w:sz w:val="24"/>
              </w:rPr>
              <w:t>新疆</w:t>
            </w:r>
            <w:r>
              <w:rPr>
                <w:rFonts w:hint="eastAsia" w:cs="Times New Roman"/>
                <w:kern w:val="0"/>
                <w:sz w:val="24"/>
                <w:lang w:val="en-US" w:eastAsia="zh-CN"/>
              </w:rPr>
              <w:t>建疆创新防水新材料</w:t>
            </w:r>
            <w:r>
              <w:rPr>
                <w:rFonts w:hint="eastAsia" w:ascii="Times New Roman" w:hAnsi="Times New Roman" w:eastAsia="宋体" w:cs="Times New Roman"/>
                <w:kern w:val="0"/>
                <w:sz w:val="24"/>
              </w:rPr>
              <w:t>有限公司建设地点位于新疆昌吉州昌吉市高新技术产业开发区东四路与科荟路交叉口东南方向98米，根据《新疆</w:t>
            </w:r>
            <w:r>
              <w:rPr>
                <w:rFonts w:hint="eastAsia" w:ascii="Times New Roman" w:hAnsi="Times New Roman" w:eastAsia="宋体" w:cs="Times New Roman"/>
                <w:kern w:val="0"/>
                <w:sz w:val="24"/>
                <w:lang w:val="en-US" w:eastAsia="zh-CN"/>
              </w:rPr>
              <w:t>天</w:t>
            </w:r>
            <w:r>
              <w:rPr>
                <w:rFonts w:hint="eastAsia" w:cs="Times New Roman"/>
                <w:kern w:val="0"/>
                <w:sz w:val="24"/>
                <w:lang w:val="en-US" w:eastAsia="zh-CN"/>
              </w:rPr>
              <w:t>佳</w:t>
            </w:r>
            <w:r>
              <w:rPr>
                <w:rFonts w:hint="eastAsia" w:ascii="Times New Roman" w:hAnsi="Times New Roman" w:eastAsia="宋体" w:cs="Times New Roman"/>
                <w:kern w:val="0"/>
                <w:sz w:val="24"/>
                <w:lang w:val="en-US" w:eastAsia="zh-CN"/>
              </w:rPr>
              <w:t>利美防水保温</w:t>
            </w:r>
            <w:r>
              <w:rPr>
                <w:rFonts w:hint="eastAsia" w:ascii="Times New Roman" w:hAnsi="Times New Roman" w:eastAsia="宋体" w:cs="Times New Roman"/>
                <w:kern w:val="0"/>
                <w:sz w:val="24"/>
              </w:rPr>
              <w:t>有限公司年产</w:t>
            </w:r>
            <w:r>
              <w:rPr>
                <w:rFonts w:hint="eastAsia" w:ascii="Times New Roman" w:hAnsi="Times New Roman" w:eastAsia="宋体" w:cs="Times New Roman"/>
                <w:kern w:val="0"/>
                <w:sz w:val="24"/>
                <w:lang w:val="en-US" w:eastAsia="zh-CN"/>
              </w:rPr>
              <w:t>1000万m</w:t>
            </w:r>
            <w:r>
              <w:rPr>
                <w:rFonts w:hint="eastAsia" w:ascii="Times New Roman" w:hAnsi="Times New Roman" w:eastAsia="宋体" w:cs="Times New Roman"/>
                <w:kern w:val="0"/>
                <w:sz w:val="24"/>
                <w:vertAlign w:val="superscript"/>
                <w:lang w:val="en-US" w:eastAsia="zh-CN"/>
              </w:rPr>
              <w:t>2</w:t>
            </w:r>
            <w:r>
              <w:rPr>
                <w:rFonts w:hint="eastAsia" w:ascii="Times New Roman" w:hAnsi="Times New Roman" w:eastAsia="宋体" w:cs="Times New Roman"/>
                <w:kern w:val="0"/>
                <w:sz w:val="24"/>
                <w:lang w:val="en-US" w:eastAsia="zh-CN"/>
              </w:rPr>
              <w:t>防水卷材料</w:t>
            </w:r>
            <w:r>
              <w:rPr>
                <w:rFonts w:hint="eastAsia" w:ascii="Times New Roman" w:hAnsi="Times New Roman" w:eastAsia="宋体" w:cs="Times New Roman"/>
                <w:kern w:val="0"/>
                <w:sz w:val="24"/>
              </w:rPr>
              <w:t>项目》环评批复：项目扩建前主要产品</w:t>
            </w:r>
            <w:r>
              <w:rPr>
                <w:rFonts w:hint="eastAsia" w:ascii="Times New Roman" w:hAnsi="Times New Roman" w:eastAsia="宋体" w:cs="Times New Roman"/>
                <w:kern w:val="0"/>
                <w:sz w:val="24"/>
                <w:lang w:val="en-US" w:eastAsia="zh-CN"/>
              </w:rPr>
              <w:t>1000万m</w:t>
            </w:r>
            <w:r>
              <w:rPr>
                <w:rFonts w:hint="eastAsia" w:ascii="Times New Roman" w:hAnsi="Times New Roman" w:eastAsia="宋体" w:cs="Times New Roman"/>
                <w:kern w:val="0"/>
                <w:sz w:val="24"/>
                <w:vertAlign w:val="superscript"/>
                <w:lang w:val="en-US" w:eastAsia="zh-CN"/>
              </w:rPr>
              <w:t>2</w:t>
            </w:r>
            <w:r>
              <w:rPr>
                <w:rFonts w:hint="eastAsia" w:ascii="Times New Roman" w:hAnsi="Times New Roman" w:eastAsia="宋体" w:cs="Times New Roman"/>
                <w:kern w:val="0"/>
                <w:sz w:val="24"/>
                <w:lang w:val="en-US" w:eastAsia="zh-CN"/>
              </w:rPr>
              <w:t>防水卷材料项目。</w:t>
            </w:r>
            <w:r>
              <w:rPr>
                <w:rFonts w:hint="eastAsia" w:cs="Times New Roman"/>
                <w:sz w:val="24"/>
                <w:szCs w:val="24"/>
                <w:highlight w:val="none"/>
                <w:lang w:val="en-US" w:eastAsia="zh-CN"/>
              </w:rPr>
              <w:t>根据现场踏勘。本项目实际建设生产线为500万m</w:t>
            </w:r>
            <w:r>
              <w:rPr>
                <w:rFonts w:hint="eastAsia" w:cs="Times New Roman"/>
                <w:sz w:val="24"/>
                <w:szCs w:val="24"/>
                <w:highlight w:val="none"/>
                <w:vertAlign w:val="superscript"/>
                <w:lang w:val="en-US" w:eastAsia="zh-CN"/>
              </w:rPr>
              <w:t>2</w:t>
            </w:r>
            <w:r>
              <w:rPr>
                <w:rFonts w:hint="eastAsia" w:cs="Times New Roman"/>
                <w:sz w:val="24"/>
                <w:szCs w:val="24"/>
                <w:highlight w:val="none"/>
                <w:lang w:val="en-US" w:eastAsia="zh-CN"/>
              </w:rPr>
              <w:t>防水卷材材料项目、锅炉、办公楼、食堂等配套设施。</w:t>
            </w:r>
          </w:p>
          <w:p w14:paraId="3541E7DE">
            <w:pPr>
              <w:bidi w:val="0"/>
              <w:spacing w:line="360" w:lineRule="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2.</w:t>
            </w:r>
            <w:r>
              <w:rPr>
                <w:rFonts w:hint="eastAsia" w:cs="Times New Roman"/>
                <w:b/>
                <w:bCs/>
                <w:color w:val="auto"/>
                <w:sz w:val="24"/>
                <w:szCs w:val="24"/>
                <w:highlight w:val="none"/>
                <w:lang w:val="en-US" w:eastAsia="zh-CN"/>
              </w:rPr>
              <w:t>1</w:t>
            </w:r>
            <w:r>
              <w:rPr>
                <w:rFonts w:hint="eastAsia" w:ascii="Times New Roman" w:hAnsi="Times New Roman" w:eastAsia="宋体" w:cs="Times New Roman"/>
                <w:b/>
                <w:bCs/>
                <w:color w:val="auto"/>
                <w:sz w:val="24"/>
                <w:szCs w:val="24"/>
                <w:highlight w:val="none"/>
                <w:lang w:val="en-US" w:eastAsia="zh-CN"/>
              </w:rPr>
              <w:t>原有工程</w:t>
            </w:r>
            <w:r>
              <w:rPr>
                <w:rFonts w:hint="default" w:ascii="Times New Roman" w:hAnsi="Times New Roman" w:eastAsia="宋体" w:cs="Times New Roman"/>
                <w:b/>
                <w:bCs/>
                <w:color w:val="auto"/>
                <w:sz w:val="24"/>
                <w:szCs w:val="24"/>
                <w:highlight w:val="none"/>
                <w:lang w:val="en-US" w:eastAsia="zh-CN"/>
              </w:rPr>
              <w:t>生产设备</w:t>
            </w:r>
          </w:p>
          <w:p w14:paraId="66AACAFE">
            <w:pPr>
              <w:adjustRightInd/>
              <w:snapToGrid/>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原有工程</w:t>
            </w:r>
            <w:r>
              <w:rPr>
                <w:rFonts w:hint="default" w:ascii="Times New Roman" w:hAnsi="Times New Roman" w:eastAsia="宋体" w:cs="Times New Roman"/>
                <w:color w:val="auto"/>
                <w:sz w:val="24"/>
                <w:szCs w:val="24"/>
                <w:highlight w:val="none"/>
              </w:rPr>
              <w:t>主要设备一览表</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见表</w:t>
            </w:r>
            <w:r>
              <w:rPr>
                <w:rFonts w:hint="eastAsia" w:ascii="Times New Roman" w:hAnsi="Times New Roman" w:eastAsia="宋体" w:cs="Times New Roman"/>
                <w:color w:val="auto"/>
                <w:sz w:val="24"/>
                <w:szCs w:val="24"/>
                <w:highlight w:val="none"/>
                <w:lang w:val="en-US" w:eastAsia="zh-CN"/>
              </w:rPr>
              <w:t>2-</w:t>
            </w:r>
            <w:r>
              <w:rPr>
                <w:rFonts w:hint="eastAsia"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w:t>
            </w:r>
          </w:p>
          <w:p w14:paraId="2012C0F1">
            <w:pPr>
              <w:pStyle w:val="50"/>
              <w:widowControl/>
              <w:adjustRightInd/>
              <w:snapToGrid/>
              <w:spacing w:after="0" w:line="240" w:lineRule="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表</w:t>
            </w:r>
            <w:r>
              <w:rPr>
                <w:rFonts w:hint="eastAsia" w:ascii="Times New Roman" w:hAnsi="Times New Roman" w:eastAsia="宋体" w:cs="Times New Roman"/>
                <w:color w:val="auto"/>
                <w:sz w:val="21"/>
                <w:highlight w:val="none"/>
                <w:lang w:val="en-US" w:eastAsia="zh-CN"/>
              </w:rPr>
              <w:t>2-</w:t>
            </w:r>
            <w:r>
              <w:rPr>
                <w:rFonts w:hint="eastAsia" w:cs="Times New Roman"/>
                <w:color w:val="auto"/>
                <w:sz w:val="21"/>
                <w:highlight w:val="none"/>
                <w:lang w:val="en-US" w:eastAsia="zh-CN"/>
              </w:rPr>
              <w:t>10</w:t>
            </w:r>
            <w:r>
              <w:rPr>
                <w:rFonts w:hint="default" w:ascii="Times New Roman" w:hAnsi="Times New Roman" w:eastAsia="宋体" w:cs="Times New Roman"/>
                <w:color w:val="auto"/>
                <w:sz w:val="21"/>
                <w:highlight w:val="none"/>
              </w:rPr>
              <w:t xml:space="preserve">   项目主要</w:t>
            </w:r>
            <w:r>
              <w:rPr>
                <w:rFonts w:hint="eastAsia" w:cs="Times New Roman"/>
                <w:color w:val="auto"/>
                <w:sz w:val="21"/>
                <w:highlight w:val="none"/>
                <w:lang w:val="en-US" w:eastAsia="zh-CN"/>
              </w:rPr>
              <w:t>生产</w:t>
            </w:r>
            <w:r>
              <w:rPr>
                <w:rFonts w:hint="default" w:ascii="Times New Roman" w:hAnsi="Times New Roman" w:eastAsia="宋体" w:cs="Times New Roman"/>
                <w:color w:val="auto"/>
                <w:sz w:val="21"/>
                <w:highlight w:val="none"/>
              </w:rPr>
              <w:t>设备一览表</w:t>
            </w:r>
          </w:p>
          <w:tbl>
            <w:tblPr>
              <w:tblStyle w:val="20"/>
              <w:tblW w:w="8057"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436"/>
              <w:gridCol w:w="2984"/>
              <w:gridCol w:w="958"/>
              <w:gridCol w:w="1743"/>
              <w:gridCol w:w="936"/>
            </w:tblGrid>
            <w:tr w14:paraId="334AB82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8" w:hRule="atLeast"/>
              </w:trPr>
              <w:tc>
                <w:tcPr>
                  <w:tcW w:w="891" w:type="pct"/>
                  <w:tcBorders>
                    <w:bottom w:val="single" w:color="auto" w:sz="8" w:space="0"/>
                  </w:tcBorders>
                  <w:noWrap w:val="0"/>
                  <w:vAlign w:val="center"/>
                </w:tcPr>
                <w:p w14:paraId="3E57642D">
                  <w:pPr>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序号</w:t>
                  </w:r>
                </w:p>
              </w:tc>
              <w:tc>
                <w:tcPr>
                  <w:tcW w:w="1851" w:type="pct"/>
                  <w:tcBorders>
                    <w:bottom w:val="single" w:color="auto" w:sz="8" w:space="0"/>
                  </w:tcBorders>
                  <w:noWrap w:val="0"/>
                  <w:vAlign w:val="center"/>
                </w:tcPr>
                <w:p w14:paraId="21C9F176">
                  <w:pPr>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设备名称</w:t>
                  </w:r>
                </w:p>
              </w:tc>
              <w:tc>
                <w:tcPr>
                  <w:tcW w:w="594" w:type="pct"/>
                  <w:tcBorders>
                    <w:bottom w:val="single" w:color="auto" w:sz="8" w:space="0"/>
                  </w:tcBorders>
                  <w:noWrap w:val="0"/>
                  <w:vAlign w:val="center"/>
                </w:tcPr>
                <w:p w14:paraId="5058931A">
                  <w:pPr>
                    <w:jc w:val="center"/>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数量</w:t>
                  </w:r>
                </w:p>
              </w:tc>
              <w:tc>
                <w:tcPr>
                  <w:tcW w:w="1081" w:type="pct"/>
                  <w:tcBorders>
                    <w:bottom w:val="single" w:color="auto" w:sz="8" w:space="0"/>
                  </w:tcBorders>
                  <w:noWrap w:val="0"/>
                  <w:vAlign w:val="center"/>
                </w:tcPr>
                <w:p w14:paraId="5F1663A5">
                  <w:pPr>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型号</w:t>
                  </w:r>
                </w:p>
              </w:tc>
              <w:tc>
                <w:tcPr>
                  <w:tcW w:w="580" w:type="pct"/>
                  <w:tcBorders>
                    <w:bottom w:val="single" w:color="auto" w:sz="8" w:space="0"/>
                  </w:tcBorders>
                  <w:noWrap w:val="0"/>
                  <w:vAlign w:val="center"/>
                </w:tcPr>
                <w:p w14:paraId="0CBB3646">
                  <w:pPr>
                    <w:jc w:val="center"/>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备注</w:t>
                  </w:r>
                </w:p>
              </w:tc>
            </w:tr>
            <w:tr w14:paraId="04048FC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8" w:hRule="atLeast"/>
              </w:trPr>
              <w:tc>
                <w:tcPr>
                  <w:tcW w:w="891" w:type="pct"/>
                  <w:tcBorders>
                    <w:top w:val="single" w:color="auto" w:sz="8" w:space="0"/>
                    <w:tl2br w:val="nil"/>
                    <w:tr2bl w:val="nil"/>
                  </w:tcBorders>
                  <w:noWrap w:val="0"/>
                  <w:vAlign w:val="center"/>
                </w:tcPr>
                <w:p w14:paraId="3C8779E3">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851" w:type="pct"/>
                  <w:tcBorders>
                    <w:top w:val="single" w:color="auto" w:sz="8" w:space="0"/>
                    <w:tl2br w:val="nil"/>
                    <w:tr2bl w:val="nil"/>
                  </w:tcBorders>
                  <w:noWrap w:val="0"/>
                  <w:vAlign w:val="center"/>
                </w:tcPr>
                <w:p w14:paraId="473693EA">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展卷机</w:t>
                  </w:r>
                </w:p>
              </w:tc>
              <w:tc>
                <w:tcPr>
                  <w:tcW w:w="594" w:type="pct"/>
                  <w:tcBorders>
                    <w:top w:val="single" w:color="auto" w:sz="8" w:space="0"/>
                    <w:tl2br w:val="nil"/>
                    <w:tr2bl w:val="nil"/>
                  </w:tcBorders>
                  <w:noWrap w:val="0"/>
                  <w:vAlign w:val="center"/>
                </w:tcPr>
                <w:p w14:paraId="193DE9E3">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081" w:type="pct"/>
                  <w:tcBorders>
                    <w:top w:val="single" w:color="auto" w:sz="8" w:space="0"/>
                    <w:tl2br w:val="nil"/>
                    <w:tr2bl w:val="nil"/>
                  </w:tcBorders>
                  <w:noWrap w:val="0"/>
                  <w:vAlign w:val="center"/>
                </w:tcPr>
                <w:p w14:paraId="6374F65D">
                  <w:pPr>
                    <w:jc w:val="center"/>
                    <w:rPr>
                      <w:rFonts w:hint="eastAsia" w:ascii="Times New Roman" w:hAnsi="Times New Roman" w:eastAsia="宋体" w:cs="Times New Roman"/>
                      <w:sz w:val="21"/>
                      <w:szCs w:val="21"/>
                      <w:highlight w:val="none"/>
                      <w:lang w:eastAsia="zh-CN"/>
                    </w:rPr>
                  </w:pPr>
                  <w:r>
                    <w:rPr>
                      <w:rFonts w:hint="eastAsia" w:cs="Times New Roman"/>
                      <w:sz w:val="21"/>
                      <w:szCs w:val="21"/>
                      <w:highlight w:val="none"/>
                      <w:lang w:eastAsia="zh-CN"/>
                    </w:rPr>
                    <w:t>/</w:t>
                  </w:r>
                </w:p>
              </w:tc>
              <w:tc>
                <w:tcPr>
                  <w:tcW w:w="580" w:type="pct"/>
                  <w:tcBorders>
                    <w:top w:val="single" w:color="auto" w:sz="8" w:space="0"/>
                    <w:tl2br w:val="nil"/>
                    <w:tr2bl w:val="nil"/>
                  </w:tcBorders>
                  <w:noWrap w:val="0"/>
                  <w:vAlign w:val="center"/>
                </w:tcPr>
                <w:p w14:paraId="674CD7A4">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7AEB6E8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05F8CAC3">
                  <w:pPr>
                    <w:keepNext w:val="0"/>
                    <w:keepLines w:val="0"/>
                    <w:widowControl/>
                    <w:suppressLineNumbers w:val="0"/>
                    <w:jc w:val="center"/>
                    <w:textAlignment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851" w:type="pct"/>
                  <w:tcBorders>
                    <w:tl2br w:val="nil"/>
                    <w:tr2bl w:val="nil"/>
                  </w:tcBorders>
                  <w:noWrap w:val="0"/>
                  <w:vAlign w:val="center"/>
                </w:tcPr>
                <w:p w14:paraId="5896D64B">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胎基搭接机</w:t>
                  </w:r>
                </w:p>
              </w:tc>
              <w:tc>
                <w:tcPr>
                  <w:tcW w:w="594" w:type="pct"/>
                  <w:tcBorders>
                    <w:tl2br w:val="nil"/>
                    <w:tr2bl w:val="nil"/>
                  </w:tcBorders>
                  <w:noWrap w:val="0"/>
                  <w:vAlign w:val="center"/>
                </w:tcPr>
                <w:p w14:paraId="1B968B43">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081" w:type="pct"/>
                  <w:tcBorders>
                    <w:tl2br w:val="nil"/>
                    <w:tr2bl w:val="nil"/>
                  </w:tcBorders>
                  <w:noWrap w:val="0"/>
                  <w:vAlign w:val="center"/>
                </w:tcPr>
                <w:p w14:paraId="71633E67">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26A05FC7">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6475065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6EDF7B8D">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851" w:type="pct"/>
                  <w:tcBorders>
                    <w:tl2br w:val="nil"/>
                    <w:tr2bl w:val="nil"/>
                  </w:tcBorders>
                  <w:noWrap w:val="0"/>
                  <w:vAlign w:val="center"/>
                </w:tcPr>
                <w:p w14:paraId="3BEB0913">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胎基停留机</w:t>
                  </w:r>
                </w:p>
              </w:tc>
              <w:tc>
                <w:tcPr>
                  <w:tcW w:w="594" w:type="pct"/>
                  <w:tcBorders>
                    <w:tl2br w:val="nil"/>
                    <w:tr2bl w:val="nil"/>
                  </w:tcBorders>
                  <w:noWrap w:val="0"/>
                  <w:vAlign w:val="center"/>
                </w:tcPr>
                <w:p w14:paraId="56267BB0">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081" w:type="pct"/>
                  <w:tcBorders>
                    <w:tl2br w:val="nil"/>
                    <w:tr2bl w:val="nil"/>
                  </w:tcBorders>
                  <w:noWrap w:val="0"/>
                  <w:vAlign w:val="center"/>
                </w:tcPr>
                <w:p w14:paraId="295A8523">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30878643">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413C9B13">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33D009F0">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851" w:type="pct"/>
                  <w:tcBorders>
                    <w:tl2br w:val="nil"/>
                    <w:tr2bl w:val="nil"/>
                  </w:tcBorders>
                  <w:noWrap w:val="0"/>
                  <w:vAlign w:val="center"/>
                </w:tcPr>
                <w:p w14:paraId="7A6AE282">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胎基烘干牵引机</w:t>
                  </w:r>
                </w:p>
              </w:tc>
              <w:tc>
                <w:tcPr>
                  <w:tcW w:w="594" w:type="pct"/>
                  <w:tcBorders>
                    <w:tl2br w:val="nil"/>
                    <w:tr2bl w:val="nil"/>
                  </w:tcBorders>
                  <w:noWrap w:val="0"/>
                  <w:vAlign w:val="center"/>
                </w:tcPr>
                <w:p w14:paraId="4D62CC45">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081" w:type="pct"/>
                  <w:tcBorders>
                    <w:tl2br w:val="nil"/>
                    <w:tr2bl w:val="nil"/>
                  </w:tcBorders>
                  <w:noWrap w:val="0"/>
                  <w:vAlign w:val="center"/>
                </w:tcPr>
                <w:p w14:paraId="132298EF">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7D0A211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33BB0A4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7A79DABD">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851" w:type="pct"/>
                  <w:tcBorders>
                    <w:tl2br w:val="nil"/>
                    <w:tr2bl w:val="nil"/>
                  </w:tcBorders>
                  <w:noWrap w:val="0"/>
                  <w:vAlign w:val="center"/>
                </w:tcPr>
                <w:p w14:paraId="6413A132">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自</w:t>
                  </w:r>
                  <w:r>
                    <w:rPr>
                      <w:rFonts w:hint="default" w:ascii="Times New Roman" w:hAnsi="Times New Roman" w:cs="Times New Roman"/>
                      <w:sz w:val="21"/>
                      <w:szCs w:val="21"/>
                      <w:highlight w:val="none"/>
                    </w:rPr>
                    <w:t>动调偏机</w:t>
                  </w:r>
                </w:p>
              </w:tc>
              <w:tc>
                <w:tcPr>
                  <w:tcW w:w="594" w:type="pct"/>
                  <w:tcBorders>
                    <w:tl2br w:val="nil"/>
                    <w:tr2bl w:val="nil"/>
                  </w:tcBorders>
                  <w:noWrap w:val="0"/>
                  <w:vAlign w:val="center"/>
                </w:tcPr>
                <w:p w14:paraId="3B04091F">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081" w:type="pct"/>
                  <w:tcBorders>
                    <w:tl2br w:val="nil"/>
                    <w:tr2bl w:val="nil"/>
                  </w:tcBorders>
                  <w:noWrap w:val="0"/>
                  <w:vAlign w:val="center"/>
                </w:tcPr>
                <w:p w14:paraId="48A05BC2">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6142825F">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3BD6506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168C0838">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851" w:type="pct"/>
                  <w:tcBorders>
                    <w:tl2br w:val="nil"/>
                    <w:tr2bl w:val="nil"/>
                  </w:tcBorders>
                  <w:noWrap w:val="0"/>
                  <w:vAlign w:val="center"/>
                </w:tcPr>
                <w:p w14:paraId="265A836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覆膜装置</w:t>
                  </w:r>
                </w:p>
              </w:tc>
              <w:tc>
                <w:tcPr>
                  <w:tcW w:w="594" w:type="pct"/>
                  <w:tcBorders>
                    <w:tl2br w:val="nil"/>
                    <w:tr2bl w:val="nil"/>
                  </w:tcBorders>
                  <w:noWrap w:val="0"/>
                  <w:vAlign w:val="center"/>
                </w:tcPr>
                <w:p w14:paraId="0A998FFA">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081" w:type="pct"/>
                  <w:tcBorders>
                    <w:tl2br w:val="nil"/>
                    <w:tr2bl w:val="nil"/>
                  </w:tcBorders>
                  <w:noWrap w:val="0"/>
                  <w:vAlign w:val="center"/>
                </w:tcPr>
                <w:p w14:paraId="009B2437">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791195FA">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244FE0D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4C0A6D70">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851" w:type="pct"/>
                  <w:tcBorders>
                    <w:tl2br w:val="nil"/>
                    <w:tr2bl w:val="nil"/>
                  </w:tcBorders>
                  <w:noWrap w:val="0"/>
                  <w:vAlign w:val="center"/>
                </w:tcPr>
                <w:p w14:paraId="4B0BAC96">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覆边膜装置</w:t>
                  </w:r>
                </w:p>
              </w:tc>
              <w:tc>
                <w:tcPr>
                  <w:tcW w:w="594" w:type="pct"/>
                  <w:tcBorders>
                    <w:tl2br w:val="nil"/>
                    <w:tr2bl w:val="nil"/>
                  </w:tcBorders>
                  <w:noWrap w:val="0"/>
                  <w:vAlign w:val="center"/>
                </w:tcPr>
                <w:p w14:paraId="52771049">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w:t>
                  </w:r>
                </w:p>
              </w:tc>
              <w:tc>
                <w:tcPr>
                  <w:tcW w:w="1081" w:type="pct"/>
                  <w:tcBorders>
                    <w:tl2br w:val="nil"/>
                    <w:tr2bl w:val="nil"/>
                  </w:tcBorders>
                  <w:noWrap w:val="0"/>
                  <w:vAlign w:val="center"/>
                </w:tcPr>
                <w:p w14:paraId="48A29D62">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4325DD2D">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50DBEA9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891" w:type="pct"/>
                  <w:tcBorders>
                    <w:tl2br w:val="nil"/>
                    <w:tr2bl w:val="nil"/>
                  </w:tcBorders>
                  <w:noWrap w:val="0"/>
                  <w:vAlign w:val="center"/>
                </w:tcPr>
                <w:p w14:paraId="07BDEF0F">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1851" w:type="pct"/>
                  <w:tcBorders>
                    <w:tl2br w:val="nil"/>
                    <w:tr2bl w:val="nil"/>
                  </w:tcBorders>
                  <w:noWrap w:val="0"/>
                  <w:vAlign w:val="center"/>
                </w:tcPr>
                <w:p w14:paraId="7A7C661D">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水槽式和辊筒式冷</w:t>
                  </w:r>
                  <w:r>
                    <w:rPr>
                      <w:rFonts w:hint="eastAsia" w:cs="Times New Roman"/>
                      <w:sz w:val="21"/>
                      <w:szCs w:val="21"/>
                      <w:highlight w:val="none"/>
                      <w:lang w:val="en-US" w:eastAsia="zh-CN"/>
                    </w:rPr>
                    <w:t>却</w:t>
                  </w:r>
                  <w:r>
                    <w:rPr>
                      <w:rFonts w:hint="default" w:ascii="Times New Roman" w:hAnsi="Times New Roman" w:cs="Times New Roman"/>
                      <w:sz w:val="21"/>
                      <w:szCs w:val="21"/>
                      <w:highlight w:val="none"/>
                    </w:rPr>
                    <w:t>机</w:t>
                  </w:r>
                </w:p>
              </w:tc>
              <w:tc>
                <w:tcPr>
                  <w:tcW w:w="594" w:type="pct"/>
                  <w:tcBorders>
                    <w:tl2br w:val="nil"/>
                    <w:tr2bl w:val="nil"/>
                  </w:tcBorders>
                  <w:noWrap w:val="0"/>
                  <w:vAlign w:val="center"/>
                </w:tcPr>
                <w:p w14:paraId="5195D7BC">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081" w:type="pct"/>
                  <w:tcBorders>
                    <w:tl2br w:val="nil"/>
                    <w:tr2bl w:val="nil"/>
                  </w:tcBorders>
                  <w:noWrap w:val="0"/>
                  <w:vAlign w:val="center"/>
                </w:tcPr>
                <w:p w14:paraId="6423773F">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666F3172">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02BF4AE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4D48C26F">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851" w:type="pct"/>
                  <w:tcBorders>
                    <w:tl2br w:val="nil"/>
                    <w:tr2bl w:val="nil"/>
                  </w:tcBorders>
                  <w:noWrap w:val="0"/>
                  <w:vAlign w:val="center"/>
                </w:tcPr>
                <w:p w14:paraId="4D5232D4">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压纹装置</w:t>
                  </w:r>
                </w:p>
              </w:tc>
              <w:tc>
                <w:tcPr>
                  <w:tcW w:w="594" w:type="pct"/>
                  <w:tcBorders>
                    <w:tl2br w:val="nil"/>
                    <w:tr2bl w:val="nil"/>
                  </w:tcBorders>
                  <w:noWrap w:val="0"/>
                  <w:vAlign w:val="center"/>
                </w:tcPr>
                <w:p w14:paraId="68DA6639">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081" w:type="pct"/>
                  <w:tcBorders>
                    <w:tl2br w:val="nil"/>
                    <w:tr2bl w:val="nil"/>
                  </w:tcBorders>
                  <w:noWrap w:val="0"/>
                  <w:vAlign w:val="center"/>
                </w:tcPr>
                <w:p w14:paraId="2EBC9150">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137CBEF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2A6114E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49CC7AD2">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851" w:type="pct"/>
                  <w:tcBorders>
                    <w:tl2br w:val="nil"/>
                    <w:tr2bl w:val="nil"/>
                  </w:tcBorders>
                  <w:noWrap w:val="0"/>
                  <w:vAlign w:val="center"/>
                </w:tcPr>
                <w:p w14:paraId="6CCCA11D">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成品停留机</w:t>
                  </w:r>
                </w:p>
              </w:tc>
              <w:tc>
                <w:tcPr>
                  <w:tcW w:w="594" w:type="pct"/>
                  <w:tcBorders>
                    <w:tl2br w:val="nil"/>
                    <w:tr2bl w:val="nil"/>
                  </w:tcBorders>
                  <w:noWrap w:val="0"/>
                  <w:vAlign w:val="center"/>
                </w:tcPr>
                <w:p w14:paraId="2DBA9219">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081" w:type="pct"/>
                  <w:tcBorders>
                    <w:tl2br w:val="nil"/>
                    <w:tr2bl w:val="nil"/>
                  </w:tcBorders>
                  <w:noWrap w:val="0"/>
                  <w:vAlign w:val="center"/>
                </w:tcPr>
                <w:p w14:paraId="75FAAF2A">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387798A8">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6A3ECD7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13D61D48">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1851" w:type="pct"/>
                  <w:tcBorders>
                    <w:tl2br w:val="nil"/>
                    <w:tr2bl w:val="nil"/>
                  </w:tcBorders>
                  <w:noWrap w:val="0"/>
                  <w:vAlign w:val="center"/>
                </w:tcPr>
                <w:p w14:paraId="735FAF72">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缓冲装置</w:t>
                  </w:r>
                </w:p>
              </w:tc>
              <w:tc>
                <w:tcPr>
                  <w:tcW w:w="594" w:type="pct"/>
                  <w:tcBorders>
                    <w:tl2br w:val="nil"/>
                    <w:tr2bl w:val="nil"/>
                  </w:tcBorders>
                  <w:noWrap w:val="0"/>
                  <w:vAlign w:val="center"/>
                </w:tcPr>
                <w:p w14:paraId="4B89ADB3">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081" w:type="pct"/>
                  <w:tcBorders>
                    <w:tl2br w:val="nil"/>
                    <w:tr2bl w:val="nil"/>
                  </w:tcBorders>
                  <w:noWrap w:val="0"/>
                  <w:vAlign w:val="center"/>
                </w:tcPr>
                <w:p w14:paraId="6E45FC3D">
                  <w:pPr>
                    <w:jc w:val="center"/>
                    <w:rPr>
                      <w:rFonts w:hint="default" w:ascii="Times New Roman" w:hAnsi="Times New Roman" w:cs="Times New Roman"/>
                      <w:sz w:val="21"/>
                      <w:szCs w:val="21"/>
                      <w:highlight w:val="none"/>
                      <w:lang w:val="en-US"/>
                    </w:rPr>
                  </w:pPr>
                  <w:r>
                    <w:rPr>
                      <w:rFonts w:hint="eastAsia" w:cs="Times New Roman"/>
                      <w:sz w:val="21"/>
                      <w:szCs w:val="21"/>
                      <w:highlight w:val="none"/>
                      <w:lang w:eastAsia="zh-CN"/>
                    </w:rPr>
                    <w:t>/</w:t>
                  </w:r>
                </w:p>
              </w:tc>
              <w:tc>
                <w:tcPr>
                  <w:tcW w:w="580" w:type="pct"/>
                  <w:tcBorders>
                    <w:tl2br w:val="nil"/>
                    <w:tr2bl w:val="nil"/>
                  </w:tcBorders>
                  <w:noWrap w:val="0"/>
                  <w:vAlign w:val="center"/>
                </w:tcPr>
                <w:p w14:paraId="7425C823">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232408F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662F3335">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1851" w:type="pct"/>
                  <w:tcBorders>
                    <w:tl2br w:val="nil"/>
                    <w:tr2bl w:val="nil"/>
                  </w:tcBorders>
                  <w:noWrap w:val="0"/>
                  <w:vAlign w:val="center"/>
                </w:tcPr>
                <w:p w14:paraId="7DB1214D">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膜边卷齐装置</w:t>
                  </w:r>
                </w:p>
              </w:tc>
              <w:tc>
                <w:tcPr>
                  <w:tcW w:w="594" w:type="pct"/>
                  <w:tcBorders>
                    <w:tl2br w:val="nil"/>
                    <w:tr2bl w:val="nil"/>
                  </w:tcBorders>
                  <w:noWrap w:val="0"/>
                  <w:vAlign w:val="center"/>
                </w:tcPr>
                <w:p w14:paraId="309AFE5E">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081" w:type="pct"/>
                  <w:tcBorders>
                    <w:tl2br w:val="nil"/>
                    <w:tr2bl w:val="nil"/>
                  </w:tcBorders>
                  <w:noWrap w:val="0"/>
                  <w:vAlign w:val="center"/>
                </w:tcPr>
                <w:p w14:paraId="0A24A1EF">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5DA5B3FD">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1DF4291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064516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13</w:t>
                  </w:r>
                </w:p>
              </w:tc>
              <w:tc>
                <w:tcPr>
                  <w:tcW w:w="1851" w:type="pct"/>
                  <w:tcBorders>
                    <w:tl2br w:val="nil"/>
                    <w:tr2bl w:val="nil"/>
                  </w:tcBorders>
                  <w:noWrap w:val="0"/>
                  <w:vAlign w:val="center"/>
                </w:tcPr>
                <w:p w14:paraId="3B2BDEF4">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全自动卷毡机</w:t>
                  </w:r>
                </w:p>
              </w:tc>
              <w:tc>
                <w:tcPr>
                  <w:tcW w:w="594" w:type="pct"/>
                  <w:tcBorders>
                    <w:tl2br w:val="nil"/>
                    <w:tr2bl w:val="nil"/>
                  </w:tcBorders>
                  <w:noWrap w:val="0"/>
                  <w:vAlign w:val="center"/>
                </w:tcPr>
                <w:p w14:paraId="7474E26F">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2</w:t>
                  </w:r>
                </w:p>
              </w:tc>
              <w:tc>
                <w:tcPr>
                  <w:tcW w:w="1081" w:type="pct"/>
                  <w:tcBorders>
                    <w:tl2br w:val="nil"/>
                    <w:tr2bl w:val="nil"/>
                  </w:tcBorders>
                  <w:noWrap w:val="0"/>
                  <w:vAlign w:val="center"/>
                </w:tcPr>
                <w:p w14:paraId="496CF69F">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35EF7225">
                  <w:pPr>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111EA09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11B843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14</w:t>
                  </w:r>
                </w:p>
              </w:tc>
              <w:tc>
                <w:tcPr>
                  <w:tcW w:w="1851" w:type="pct"/>
                  <w:tcBorders>
                    <w:tl2br w:val="nil"/>
                    <w:tr2bl w:val="nil"/>
                  </w:tcBorders>
                  <w:noWrap w:val="0"/>
                  <w:vAlign w:val="center"/>
                </w:tcPr>
                <w:p w14:paraId="3255B580">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生产线平台</w:t>
                  </w:r>
                </w:p>
              </w:tc>
              <w:tc>
                <w:tcPr>
                  <w:tcW w:w="594" w:type="pct"/>
                  <w:tcBorders>
                    <w:tl2br w:val="nil"/>
                    <w:tr2bl w:val="nil"/>
                  </w:tcBorders>
                  <w:noWrap w:val="0"/>
                  <w:vAlign w:val="center"/>
                </w:tcPr>
                <w:p w14:paraId="605A1338">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1</w:t>
                  </w:r>
                </w:p>
              </w:tc>
              <w:tc>
                <w:tcPr>
                  <w:tcW w:w="1081" w:type="pct"/>
                  <w:tcBorders>
                    <w:tl2br w:val="nil"/>
                    <w:tr2bl w:val="nil"/>
                  </w:tcBorders>
                  <w:noWrap w:val="0"/>
                  <w:vAlign w:val="center"/>
                </w:tcPr>
                <w:p w14:paraId="3F57CFB4">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78351857">
                  <w:pPr>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6BA2D3E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5640B4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15</w:t>
                  </w:r>
                </w:p>
              </w:tc>
              <w:tc>
                <w:tcPr>
                  <w:tcW w:w="1851" w:type="pct"/>
                  <w:tcBorders>
                    <w:tl2br w:val="nil"/>
                    <w:tr2bl w:val="nil"/>
                  </w:tcBorders>
                  <w:noWrap w:val="0"/>
                  <w:vAlign w:val="center"/>
                </w:tcPr>
                <w:p w14:paraId="630042F8">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传动部分</w:t>
                  </w:r>
                </w:p>
              </w:tc>
              <w:tc>
                <w:tcPr>
                  <w:tcW w:w="594" w:type="pct"/>
                  <w:tcBorders>
                    <w:tl2br w:val="nil"/>
                    <w:tr2bl w:val="nil"/>
                  </w:tcBorders>
                  <w:noWrap w:val="0"/>
                  <w:vAlign w:val="center"/>
                </w:tcPr>
                <w:p w14:paraId="7CAA0A49">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1</w:t>
                  </w:r>
                </w:p>
              </w:tc>
              <w:tc>
                <w:tcPr>
                  <w:tcW w:w="1081" w:type="pct"/>
                  <w:tcBorders>
                    <w:tl2br w:val="nil"/>
                    <w:tr2bl w:val="nil"/>
                  </w:tcBorders>
                  <w:noWrap w:val="0"/>
                  <w:vAlign w:val="center"/>
                </w:tcPr>
                <w:p w14:paraId="1FCFB0F2">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6992A607">
                  <w:pPr>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6FEBD72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891" w:type="pct"/>
                  <w:tcBorders>
                    <w:tl2br w:val="nil"/>
                    <w:tr2bl w:val="nil"/>
                  </w:tcBorders>
                  <w:noWrap w:val="0"/>
                  <w:vAlign w:val="center"/>
                </w:tcPr>
                <w:p w14:paraId="0F7B22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16</w:t>
                  </w:r>
                </w:p>
              </w:tc>
              <w:tc>
                <w:tcPr>
                  <w:tcW w:w="1851" w:type="pct"/>
                  <w:tcBorders>
                    <w:tl2br w:val="nil"/>
                    <w:tr2bl w:val="nil"/>
                  </w:tcBorders>
                  <w:noWrap w:val="0"/>
                  <w:vAlign w:val="center"/>
                </w:tcPr>
                <w:p w14:paraId="44230AD0">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电气及控制柜组</w:t>
                  </w:r>
                </w:p>
              </w:tc>
              <w:tc>
                <w:tcPr>
                  <w:tcW w:w="594" w:type="pct"/>
                  <w:tcBorders>
                    <w:tl2br w:val="nil"/>
                    <w:tr2bl w:val="nil"/>
                  </w:tcBorders>
                  <w:noWrap w:val="0"/>
                  <w:vAlign w:val="center"/>
                </w:tcPr>
                <w:p w14:paraId="19385896">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1</w:t>
                  </w:r>
                </w:p>
              </w:tc>
              <w:tc>
                <w:tcPr>
                  <w:tcW w:w="1081" w:type="pct"/>
                  <w:tcBorders>
                    <w:tl2br w:val="nil"/>
                    <w:tr2bl w:val="nil"/>
                  </w:tcBorders>
                  <w:noWrap w:val="0"/>
                  <w:vAlign w:val="center"/>
                </w:tcPr>
                <w:p w14:paraId="0749E02A">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4F6352C9">
                  <w:pPr>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bl>
          <w:p w14:paraId="18B53E50">
            <w:pPr>
              <w:bidi w:val="0"/>
              <w:spacing w:line="360" w:lineRule="auto"/>
              <w:rPr>
                <w:rFonts w:hint="default"/>
                <w:b/>
                <w:bCs/>
                <w:color w:val="auto"/>
                <w:sz w:val="24"/>
                <w:szCs w:val="32"/>
                <w:highlight w:val="none"/>
              </w:rPr>
            </w:pPr>
            <w:r>
              <w:rPr>
                <w:rFonts w:hint="eastAsia"/>
                <w:b/>
                <w:bCs/>
                <w:color w:val="auto"/>
                <w:sz w:val="24"/>
                <w:szCs w:val="32"/>
                <w:highlight w:val="none"/>
                <w:lang w:val="en-US" w:eastAsia="zh-CN"/>
              </w:rPr>
              <w:t>2.2</w:t>
            </w:r>
            <w:r>
              <w:rPr>
                <w:rFonts w:hint="eastAsia"/>
                <w:b/>
                <w:color w:val="auto"/>
                <w:sz w:val="24"/>
                <w:highlight w:val="none"/>
                <w:lang w:val="en-US" w:eastAsia="zh-CN"/>
              </w:rPr>
              <w:t>原有工程</w:t>
            </w:r>
            <w:r>
              <w:rPr>
                <w:rFonts w:hint="default"/>
                <w:b/>
                <w:bCs/>
                <w:color w:val="auto"/>
                <w:sz w:val="24"/>
                <w:szCs w:val="32"/>
                <w:highlight w:val="none"/>
              </w:rPr>
              <w:t>原辅材料</w:t>
            </w:r>
            <w:r>
              <w:rPr>
                <w:rFonts w:hint="eastAsia"/>
                <w:b/>
                <w:bCs/>
                <w:color w:val="auto"/>
                <w:sz w:val="24"/>
                <w:szCs w:val="32"/>
                <w:highlight w:val="none"/>
                <w:lang w:val="en-US" w:eastAsia="zh-CN"/>
              </w:rPr>
              <w:t>及能源</w:t>
            </w:r>
            <w:r>
              <w:rPr>
                <w:rFonts w:hint="default"/>
                <w:b/>
                <w:bCs/>
                <w:color w:val="auto"/>
                <w:sz w:val="24"/>
                <w:szCs w:val="32"/>
                <w:highlight w:val="none"/>
              </w:rPr>
              <w:t>消耗</w:t>
            </w:r>
          </w:p>
          <w:p w14:paraId="4785EF62">
            <w:pPr>
              <w:adjustRightInd/>
              <w:snapToGrid/>
              <w:spacing w:after="0" w:line="360" w:lineRule="auto"/>
              <w:ind w:firstLine="480" w:firstLineChars="200"/>
              <w:rPr>
                <w:rFonts w:hint="default" w:ascii="Times New Roman" w:hAnsi="Times New Roman" w:eastAsia="宋体" w:cs="Times New Roman"/>
                <w:snapToGrid w:val="0"/>
                <w:color w:val="auto"/>
                <w:sz w:val="24"/>
                <w:szCs w:val="24"/>
                <w:highlight w:val="none"/>
              </w:rPr>
            </w:pPr>
            <w:r>
              <w:rPr>
                <w:rFonts w:hint="eastAsia" w:ascii="Times New Roman" w:hAnsi="Times New Roman" w:eastAsia="宋体" w:cs="Times New Roman"/>
                <w:snapToGrid w:val="0"/>
                <w:color w:val="auto"/>
                <w:sz w:val="24"/>
                <w:szCs w:val="24"/>
                <w:highlight w:val="none"/>
                <w:lang w:val="en-US" w:eastAsia="zh-CN"/>
              </w:rPr>
              <w:t>原有工程</w:t>
            </w:r>
            <w:r>
              <w:rPr>
                <w:rFonts w:hint="default" w:ascii="Times New Roman" w:hAnsi="Times New Roman" w:eastAsia="宋体" w:cs="Times New Roman"/>
                <w:snapToGrid w:val="0"/>
                <w:color w:val="auto"/>
                <w:sz w:val="24"/>
                <w:szCs w:val="24"/>
                <w:highlight w:val="none"/>
              </w:rPr>
              <w:t>运营期间原</w:t>
            </w:r>
            <w:r>
              <w:rPr>
                <w:rFonts w:hint="default" w:ascii="Times New Roman" w:hAnsi="Times New Roman" w:eastAsia="宋体" w:cs="Times New Roman"/>
                <w:snapToGrid w:val="0"/>
                <w:color w:val="auto"/>
                <w:sz w:val="24"/>
                <w:szCs w:val="24"/>
                <w:highlight w:val="none"/>
                <w:lang w:eastAsia="zh-CN"/>
              </w:rPr>
              <w:t>辅</w:t>
            </w:r>
            <w:r>
              <w:rPr>
                <w:rFonts w:hint="default" w:ascii="Times New Roman" w:hAnsi="Times New Roman" w:eastAsia="宋体" w:cs="Times New Roman"/>
                <w:snapToGrid w:val="0"/>
                <w:color w:val="auto"/>
                <w:sz w:val="24"/>
                <w:szCs w:val="24"/>
                <w:highlight w:val="none"/>
              </w:rPr>
              <w:t>料</w:t>
            </w:r>
            <w:r>
              <w:rPr>
                <w:rFonts w:hint="eastAsia" w:ascii="Times New Roman" w:hAnsi="Times New Roman" w:eastAsia="宋体" w:cs="Times New Roman"/>
                <w:snapToGrid w:val="0"/>
                <w:color w:val="auto"/>
                <w:sz w:val="24"/>
                <w:szCs w:val="24"/>
                <w:highlight w:val="none"/>
                <w:lang w:val="en-US" w:eastAsia="zh-CN"/>
              </w:rPr>
              <w:t>及能源</w:t>
            </w:r>
            <w:r>
              <w:rPr>
                <w:rFonts w:hint="default" w:ascii="Times New Roman" w:hAnsi="Times New Roman" w:eastAsia="宋体" w:cs="Times New Roman"/>
                <w:snapToGrid w:val="0"/>
                <w:color w:val="auto"/>
                <w:sz w:val="24"/>
                <w:szCs w:val="24"/>
                <w:highlight w:val="none"/>
              </w:rPr>
              <w:t>消耗</w:t>
            </w:r>
            <w:r>
              <w:rPr>
                <w:rFonts w:hint="eastAsia" w:ascii="Times New Roman" w:hAnsi="Times New Roman" w:eastAsia="宋体" w:cs="Times New Roman"/>
                <w:snapToGrid w:val="0"/>
                <w:color w:val="auto"/>
                <w:sz w:val="24"/>
                <w:szCs w:val="24"/>
                <w:highlight w:val="none"/>
                <w:lang w:val="en-US" w:eastAsia="zh-CN"/>
              </w:rPr>
              <w:t>情况</w:t>
            </w:r>
            <w:r>
              <w:rPr>
                <w:rFonts w:hint="eastAsia" w:ascii="Times New Roman" w:hAnsi="Times New Roman" w:eastAsia="宋体" w:cs="Times New Roman"/>
                <w:snapToGrid w:val="0"/>
                <w:color w:val="auto"/>
                <w:sz w:val="24"/>
                <w:szCs w:val="24"/>
                <w:highlight w:val="none"/>
                <w:lang w:eastAsia="zh-CN"/>
              </w:rPr>
              <w:t>，</w:t>
            </w:r>
            <w:r>
              <w:rPr>
                <w:rFonts w:hint="default" w:ascii="Times New Roman" w:hAnsi="Times New Roman" w:eastAsia="宋体" w:cs="Times New Roman"/>
                <w:snapToGrid w:val="0"/>
                <w:color w:val="auto"/>
                <w:sz w:val="24"/>
                <w:szCs w:val="24"/>
                <w:highlight w:val="none"/>
              </w:rPr>
              <w:t>见表</w:t>
            </w:r>
            <w:r>
              <w:rPr>
                <w:rFonts w:hint="eastAsia" w:ascii="Times New Roman" w:hAnsi="Times New Roman" w:eastAsia="宋体" w:cs="Times New Roman"/>
                <w:snapToGrid w:val="0"/>
                <w:color w:val="auto"/>
                <w:sz w:val="24"/>
                <w:szCs w:val="24"/>
                <w:highlight w:val="none"/>
                <w:lang w:val="en-US" w:eastAsia="zh-CN"/>
              </w:rPr>
              <w:t>2-</w:t>
            </w:r>
            <w:r>
              <w:rPr>
                <w:rFonts w:hint="eastAsia" w:cs="Times New Roman"/>
                <w:snapToGrid w:val="0"/>
                <w:color w:val="auto"/>
                <w:sz w:val="24"/>
                <w:szCs w:val="24"/>
                <w:highlight w:val="none"/>
                <w:lang w:val="en-US" w:eastAsia="zh-CN"/>
              </w:rPr>
              <w:t>11</w:t>
            </w:r>
            <w:r>
              <w:rPr>
                <w:rFonts w:hint="default" w:ascii="Times New Roman" w:hAnsi="Times New Roman" w:eastAsia="宋体" w:cs="Times New Roman"/>
                <w:snapToGrid w:val="0"/>
                <w:color w:val="auto"/>
                <w:sz w:val="24"/>
                <w:szCs w:val="24"/>
                <w:highlight w:val="none"/>
              </w:rPr>
              <w:t>。</w:t>
            </w:r>
          </w:p>
          <w:p w14:paraId="26F16BB4">
            <w:pPr>
              <w:pStyle w:val="50"/>
              <w:widowControl/>
              <w:adjustRightInd/>
              <w:snapToGrid/>
              <w:spacing w:after="0"/>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表</w:t>
            </w:r>
            <w:r>
              <w:rPr>
                <w:rFonts w:hint="eastAsia" w:ascii="Times New Roman" w:hAnsi="Times New Roman" w:eastAsia="宋体" w:cs="Times New Roman"/>
                <w:color w:val="auto"/>
                <w:sz w:val="21"/>
                <w:highlight w:val="none"/>
                <w:lang w:val="en-US" w:eastAsia="zh-CN"/>
              </w:rPr>
              <w:t>2-</w:t>
            </w:r>
            <w:r>
              <w:rPr>
                <w:rFonts w:hint="eastAsia" w:cs="Times New Roman"/>
                <w:color w:val="auto"/>
                <w:sz w:val="21"/>
                <w:highlight w:val="none"/>
                <w:lang w:val="en-US" w:eastAsia="zh-CN"/>
              </w:rPr>
              <w:t>11</w:t>
            </w:r>
            <w:r>
              <w:rPr>
                <w:rFonts w:hint="default" w:ascii="Times New Roman" w:hAnsi="Times New Roman" w:eastAsia="宋体" w:cs="Times New Roman"/>
                <w:color w:val="auto"/>
                <w:sz w:val="21"/>
                <w:highlight w:val="none"/>
              </w:rPr>
              <w:t xml:space="preserve">    原辅材料一览表</w:t>
            </w:r>
          </w:p>
          <w:tbl>
            <w:tblPr>
              <w:tblStyle w:val="19"/>
              <w:tblW w:w="4999"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48"/>
              <w:gridCol w:w="1640"/>
              <w:gridCol w:w="769"/>
              <w:gridCol w:w="1242"/>
              <w:gridCol w:w="1400"/>
              <w:gridCol w:w="1236"/>
              <w:gridCol w:w="1189"/>
            </w:tblGrid>
            <w:tr w14:paraId="0E7F9AB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5" w:hRule="atLeast"/>
                <w:jc w:val="center"/>
              </w:trPr>
              <w:tc>
                <w:tcPr>
                  <w:tcW w:w="454" w:type="pct"/>
                  <w:tcBorders>
                    <w:bottom w:val="single" w:color="auto" w:sz="8" w:space="0"/>
                  </w:tcBorders>
                  <w:noWrap w:val="0"/>
                  <w:vAlign w:val="center"/>
                </w:tcPr>
                <w:p w14:paraId="63C5D4F6">
                  <w:pPr>
                    <w:adjustRightInd w:val="0"/>
                    <w:snapToGrid w:val="0"/>
                    <w:jc w:val="center"/>
                    <w:rPr>
                      <w:rFonts w:ascii="Times New Roman" w:hAnsi="Times New Roman"/>
                      <w:b/>
                      <w:bCs/>
                      <w:szCs w:val="21"/>
                      <w:highlight w:val="none"/>
                    </w:rPr>
                  </w:pPr>
                  <w:r>
                    <w:rPr>
                      <w:rFonts w:ascii="Times New Roman" w:hAnsi="Times New Roman"/>
                      <w:b/>
                      <w:bCs/>
                      <w:szCs w:val="21"/>
                      <w:highlight w:val="none"/>
                    </w:rPr>
                    <w:t>序号</w:t>
                  </w:r>
                </w:p>
              </w:tc>
              <w:tc>
                <w:tcPr>
                  <w:tcW w:w="997" w:type="pct"/>
                  <w:tcBorders>
                    <w:bottom w:val="single" w:color="auto" w:sz="8" w:space="0"/>
                  </w:tcBorders>
                  <w:noWrap w:val="0"/>
                  <w:vAlign w:val="center"/>
                </w:tcPr>
                <w:p w14:paraId="63B22BDE">
                  <w:pPr>
                    <w:adjustRightInd w:val="0"/>
                    <w:snapToGrid w:val="0"/>
                    <w:jc w:val="center"/>
                    <w:rPr>
                      <w:rFonts w:ascii="Times New Roman" w:hAnsi="Times New Roman"/>
                      <w:b/>
                      <w:bCs/>
                      <w:szCs w:val="21"/>
                      <w:highlight w:val="none"/>
                    </w:rPr>
                  </w:pPr>
                  <w:r>
                    <w:rPr>
                      <w:rFonts w:ascii="Times New Roman" w:hAnsi="Times New Roman"/>
                      <w:b/>
                      <w:bCs/>
                      <w:szCs w:val="21"/>
                      <w:highlight w:val="none"/>
                    </w:rPr>
                    <w:t>名称</w:t>
                  </w:r>
                </w:p>
              </w:tc>
              <w:tc>
                <w:tcPr>
                  <w:tcW w:w="467" w:type="pct"/>
                  <w:tcBorders>
                    <w:bottom w:val="single" w:color="auto" w:sz="8" w:space="0"/>
                  </w:tcBorders>
                  <w:noWrap w:val="0"/>
                  <w:vAlign w:val="center"/>
                </w:tcPr>
                <w:p w14:paraId="7E1412E2">
                  <w:pPr>
                    <w:adjustRightInd w:val="0"/>
                    <w:snapToGrid w:val="0"/>
                    <w:jc w:val="center"/>
                    <w:rPr>
                      <w:rFonts w:ascii="Times New Roman" w:hAnsi="Times New Roman"/>
                      <w:b/>
                      <w:bCs/>
                      <w:szCs w:val="21"/>
                      <w:highlight w:val="none"/>
                    </w:rPr>
                  </w:pPr>
                  <w:r>
                    <w:rPr>
                      <w:rFonts w:ascii="Times New Roman" w:hAnsi="Times New Roman"/>
                      <w:b/>
                      <w:bCs/>
                      <w:szCs w:val="21"/>
                      <w:highlight w:val="none"/>
                    </w:rPr>
                    <w:t>单位</w:t>
                  </w:r>
                </w:p>
              </w:tc>
              <w:tc>
                <w:tcPr>
                  <w:tcW w:w="755" w:type="pct"/>
                  <w:tcBorders>
                    <w:bottom w:val="single" w:color="auto" w:sz="8" w:space="0"/>
                  </w:tcBorders>
                  <w:noWrap w:val="0"/>
                  <w:vAlign w:val="center"/>
                </w:tcPr>
                <w:p w14:paraId="176F873E">
                  <w:pPr>
                    <w:adjustRightInd w:val="0"/>
                    <w:snapToGrid w:val="0"/>
                    <w:jc w:val="center"/>
                    <w:rPr>
                      <w:rFonts w:ascii="Times New Roman" w:hAnsi="Times New Roman"/>
                      <w:b/>
                      <w:bCs/>
                      <w:szCs w:val="21"/>
                      <w:highlight w:val="none"/>
                    </w:rPr>
                  </w:pPr>
                  <w:r>
                    <w:rPr>
                      <w:rFonts w:ascii="Times New Roman" w:hAnsi="Times New Roman"/>
                      <w:b/>
                      <w:bCs/>
                      <w:szCs w:val="21"/>
                      <w:highlight w:val="none"/>
                    </w:rPr>
                    <w:t>采购量</w:t>
                  </w:r>
                </w:p>
              </w:tc>
              <w:tc>
                <w:tcPr>
                  <w:tcW w:w="851" w:type="pct"/>
                  <w:tcBorders>
                    <w:bottom w:val="single" w:color="auto" w:sz="8" w:space="0"/>
                  </w:tcBorders>
                  <w:noWrap w:val="0"/>
                  <w:vAlign w:val="center"/>
                </w:tcPr>
                <w:p w14:paraId="192A7D19">
                  <w:pPr>
                    <w:adjustRightInd w:val="0"/>
                    <w:snapToGrid w:val="0"/>
                    <w:jc w:val="center"/>
                    <w:rPr>
                      <w:rFonts w:ascii="Times New Roman" w:hAnsi="Times New Roman"/>
                      <w:b/>
                      <w:bCs/>
                      <w:szCs w:val="21"/>
                      <w:highlight w:val="none"/>
                    </w:rPr>
                  </w:pPr>
                  <w:r>
                    <w:rPr>
                      <w:rFonts w:ascii="Times New Roman" w:hAnsi="Times New Roman"/>
                      <w:b/>
                      <w:bCs/>
                      <w:szCs w:val="21"/>
                      <w:highlight w:val="none"/>
                    </w:rPr>
                    <w:t>原辅料来源</w:t>
                  </w:r>
                </w:p>
              </w:tc>
              <w:tc>
                <w:tcPr>
                  <w:tcW w:w="751" w:type="pct"/>
                  <w:tcBorders>
                    <w:bottom w:val="single" w:color="auto" w:sz="8" w:space="0"/>
                  </w:tcBorders>
                  <w:noWrap w:val="0"/>
                  <w:vAlign w:val="center"/>
                </w:tcPr>
                <w:p w14:paraId="47D4066B">
                  <w:pPr>
                    <w:adjustRightInd w:val="0"/>
                    <w:snapToGrid w:val="0"/>
                    <w:jc w:val="center"/>
                    <w:rPr>
                      <w:rFonts w:ascii="Times New Roman" w:hAnsi="Times New Roman"/>
                      <w:b/>
                      <w:bCs/>
                      <w:szCs w:val="21"/>
                      <w:highlight w:val="none"/>
                    </w:rPr>
                  </w:pPr>
                  <w:r>
                    <w:rPr>
                      <w:rFonts w:ascii="Times New Roman" w:hAnsi="Times New Roman"/>
                      <w:b/>
                      <w:bCs/>
                      <w:szCs w:val="21"/>
                      <w:highlight w:val="none"/>
                    </w:rPr>
                    <w:t>备注</w:t>
                  </w:r>
                </w:p>
              </w:tc>
              <w:tc>
                <w:tcPr>
                  <w:tcW w:w="722" w:type="pct"/>
                  <w:tcBorders>
                    <w:bottom w:val="single" w:color="auto" w:sz="8" w:space="0"/>
                  </w:tcBorders>
                  <w:noWrap w:val="0"/>
                  <w:vAlign w:val="center"/>
                </w:tcPr>
                <w:p w14:paraId="3FA13942">
                  <w:pPr>
                    <w:adjustRightInd w:val="0"/>
                    <w:snapToGrid w:val="0"/>
                    <w:jc w:val="center"/>
                    <w:rPr>
                      <w:rFonts w:ascii="Times New Roman" w:hAnsi="Times New Roman"/>
                      <w:b/>
                      <w:bCs/>
                      <w:szCs w:val="21"/>
                      <w:highlight w:val="none"/>
                    </w:rPr>
                  </w:pPr>
                  <w:r>
                    <w:rPr>
                      <w:rFonts w:hint="eastAsia"/>
                      <w:b/>
                      <w:bCs/>
                      <w:szCs w:val="21"/>
                      <w:highlight w:val="none"/>
                      <w:lang w:val="en-US" w:eastAsia="zh-CN"/>
                    </w:rPr>
                    <w:t>储存</w:t>
                  </w:r>
                  <w:r>
                    <w:rPr>
                      <w:rFonts w:hint="eastAsia" w:ascii="Times New Roman" w:hAnsi="Times New Roman"/>
                      <w:b/>
                      <w:bCs/>
                      <w:szCs w:val="21"/>
                      <w:highlight w:val="none"/>
                    </w:rPr>
                    <w:t>方式</w:t>
                  </w:r>
                </w:p>
              </w:tc>
            </w:tr>
            <w:tr w14:paraId="1C765F0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54" w:type="pct"/>
                  <w:tcBorders>
                    <w:top w:val="single" w:color="auto" w:sz="8" w:space="0"/>
                    <w:tl2br w:val="nil"/>
                    <w:tr2bl w:val="nil"/>
                  </w:tcBorders>
                  <w:noWrap w:val="0"/>
                  <w:vAlign w:val="center"/>
                </w:tcPr>
                <w:p w14:paraId="0C216F1D">
                  <w:pPr>
                    <w:adjustRightInd w:val="0"/>
                    <w:snapToGrid w:val="0"/>
                    <w:jc w:val="center"/>
                    <w:rPr>
                      <w:rFonts w:hint="eastAsia" w:ascii="Times New Roman" w:hAnsi="Times New Roman" w:eastAsia="宋体"/>
                      <w:szCs w:val="21"/>
                      <w:highlight w:val="none"/>
                      <w:lang w:val="en-US" w:eastAsia="zh-CN"/>
                    </w:rPr>
                  </w:pPr>
                  <w:r>
                    <w:rPr>
                      <w:rFonts w:hint="eastAsia" w:ascii="Times New Roman" w:hAnsi="Times New Roman"/>
                      <w:szCs w:val="21"/>
                      <w:highlight w:val="none"/>
                      <w:lang w:val="en-US" w:eastAsia="zh-CN"/>
                    </w:rPr>
                    <w:t>1</w:t>
                  </w:r>
                </w:p>
              </w:tc>
              <w:tc>
                <w:tcPr>
                  <w:tcW w:w="997" w:type="pct"/>
                  <w:tcBorders>
                    <w:top w:val="single" w:color="auto" w:sz="8" w:space="0"/>
                    <w:tl2br w:val="nil"/>
                    <w:tr2bl w:val="nil"/>
                  </w:tcBorders>
                  <w:noWrap w:val="0"/>
                  <w:vAlign w:val="center"/>
                </w:tcPr>
                <w:p w14:paraId="62FBB283">
                  <w:pPr>
                    <w:widowControl/>
                    <w:jc w:val="center"/>
                    <w:rPr>
                      <w:rFonts w:hint="default" w:ascii="Times New Roman" w:hAnsi="Times New Roman" w:eastAsia="宋体"/>
                      <w:szCs w:val="21"/>
                      <w:highlight w:val="none"/>
                      <w:lang w:val="en-US" w:eastAsia="zh-CN"/>
                    </w:rPr>
                  </w:pPr>
                  <w:r>
                    <w:rPr>
                      <w:rFonts w:hint="eastAsia"/>
                      <w:szCs w:val="21"/>
                      <w:highlight w:val="none"/>
                      <w:lang w:val="en-US" w:eastAsia="zh-CN"/>
                    </w:rPr>
                    <w:t>沥青</w:t>
                  </w:r>
                </w:p>
              </w:tc>
              <w:tc>
                <w:tcPr>
                  <w:tcW w:w="467" w:type="pct"/>
                  <w:tcBorders>
                    <w:top w:val="single" w:color="auto" w:sz="8" w:space="0"/>
                    <w:tl2br w:val="nil"/>
                    <w:tr2bl w:val="nil"/>
                  </w:tcBorders>
                  <w:noWrap w:val="0"/>
                  <w:vAlign w:val="center"/>
                </w:tcPr>
                <w:p w14:paraId="702DE6D6">
                  <w:pPr>
                    <w:adjustRightInd w:val="0"/>
                    <w:snapToGrid w:val="0"/>
                    <w:jc w:val="center"/>
                    <w:rPr>
                      <w:rFonts w:ascii="Times New Roman" w:hAnsi="Times New Roman"/>
                      <w:szCs w:val="21"/>
                      <w:highlight w:val="none"/>
                    </w:rPr>
                  </w:pPr>
                  <w:r>
                    <w:rPr>
                      <w:rFonts w:ascii="Times New Roman" w:hAnsi="Times New Roman"/>
                      <w:szCs w:val="21"/>
                      <w:highlight w:val="none"/>
                    </w:rPr>
                    <w:t>t/a</w:t>
                  </w:r>
                </w:p>
              </w:tc>
              <w:tc>
                <w:tcPr>
                  <w:tcW w:w="755" w:type="pct"/>
                  <w:tcBorders>
                    <w:top w:val="single" w:color="auto" w:sz="8" w:space="0"/>
                    <w:tl2br w:val="nil"/>
                    <w:tr2bl w:val="nil"/>
                  </w:tcBorders>
                  <w:noWrap w:val="0"/>
                  <w:vAlign w:val="center"/>
                </w:tcPr>
                <w:p w14:paraId="3C1E88FE">
                  <w:pPr>
                    <w:keepNext w:val="0"/>
                    <w:keepLines w:val="0"/>
                    <w:widowControl/>
                    <w:suppressLineNumbers w:val="0"/>
                    <w:jc w:val="center"/>
                    <w:textAlignment w:val="center"/>
                    <w:rPr>
                      <w:rFonts w:hint="default" w:ascii="Times New Roman" w:hAnsi="Times New Roman" w:eastAsia="宋体"/>
                      <w:szCs w:val="21"/>
                      <w:highlight w:val="none"/>
                      <w:lang w:val="en-US" w:eastAsia="zh-CN"/>
                    </w:rPr>
                  </w:pPr>
                  <w:r>
                    <w:rPr>
                      <w:rFonts w:hint="eastAsia"/>
                      <w:szCs w:val="21"/>
                      <w:highlight w:val="none"/>
                      <w:lang w:val="en-US" w:eastAsia="zh-CN"/>
                    </w:rPr>
                    <w:t>6000</w:t>
                  </w:r>
                </w:p>
              </w:tc>
              <w:tc>
                <w:tcPr>
                  <w:tcW w:w="851" w:type="pct"/>
                  <w:tcBorders>
                    <w:top w:val="single" w:color="auto" w:sz="8" w:space="0"/>
                    <w:tl2br w:val="nil"/>
                    <w:tr2bl w:val="nil"/>
                  </w:tcBorders>
                  <w:noWrap w:val="0"/>
                  <w:vAlign w:val="center"/>
                </w:tcPr>
                <w:p w14:paraId="72175033">
                  <w:pPr>
                    <w:widowControl/>
                    <w:jc w:val="center"/>
                    <w:rPr>
                      <w:rFonts w:hint="eastAsia" w:ascii="Times New Roman" w:hAnsi="Times New Roman" w:eastAsia="宋体"/>
                      <w:szCs w:val="21"/>
                      <w:highlight w:val="none"/>
                      <w:lang w:eastAsia="zh-CN"/>
                    </w:rPr>
                  </w:pPr>
                  <w:r>
                    <w:rPr>
                      <w:rFonts w:hint="eastAsia"/>
                      <w:color w:val="000000"/>
                      <w:kern w:val="0"/>
                      <w:szCs w:val="21"/>
                      <w:highlight w:val="none"/>
                      <w:lang w:val="en-US" w:eastAsia="zh-CN" w:bidi="ar"/>
                    </w:rPr>
                    <w:t>外购</w:t>
                  </w:r>
                </w:p>
              </w:tc>
              <w:tc>
                <w:tcPr>
                  <w:tcW w:w="751" w:type="pct"/>
                  <w:tcBorders>
                    <w:top w:val="single" w:color="auto" w:sz="8" w:space="0"/>
                    <w:tl2br w:val="nil"/>
                    <w:tr2bl w:val="nil"/>
                  </w:tcBorders>
                  <w:noWrap w:val="0"/>
                  <w:vAlign w:val="center"/>
                </w:tcPr>
                <w:p w14:paraId="2C69C7D5">
                  <w:pPr>
                    <w:adjustRightInd w:val="0"/>
                    <w:snapToGrid w:val="0"/>
                    <w:jc w:val="center"/>
                    <w:rPr>
                      <w:rFonts w:hint="eastAsia" w:ascii="Times New Roman" w:hAnsi="Times New Roman"/>
                      <w:szCs w:val="21"/>
                      <w:highlight w:val="none"/>
                      <w:lang w:eastAsia="zh-CN"/>
                    </w:rPr>
                  </w:pPr>
                  <w:r>
                    <w:rPr>
                      <w:rFonts w:hint="eastAsia" w:ascii="Times New Roman" w:hAnsi="Times New Roman"/>
                      <w:szCs w:val="21"/>
                      <w:highlight w:val="none"/>
                      <w:lang w:val="en-US" w:eastAsia="zh-CN"/>
                    </w:rPr>
                    <w:t>防水卷材</w:t>
                  </w:r>
                </w:p>
              </w:tc>
              <w:tc>
                <w:tcPr>
                  <w:tcW w:w="722" w:type="pct"/>
                  <w:tcBorders>
                    <w:top w:val="single" w:color="auto" w:sz="8" w:space="0"/>
                    <w:tl2br w:val="nil"/>
                    <w:tr2bl w:val="nil"/>
                  </w:tcBorders>
                  <w:noWrap w:val="0"/>
                  <w:vAlign w:val="center"/>
                </w:tcPr>
                <w:p w14:paraId="7E9DA248">
                  <w:pPr>
                    <w:adjustRightInd w:val="0"/>
                    <w:snapToGrid w:val="0"/>
                    <w:jc w:val="center"/>
                    <w:rPr>
                      <w:rFonts w:ascii="Times New Roman" w:hAnsi="Times New Roman"/>
                      <w:szCs w:val="21"/>
                      <w:highlight w:val="none"/>
                    </w:rPr>
                  </w:pPr>
                  <w:r>
                    <w:rPr>
                      <w:rFonts w:hint="eastAsia"/>
                      <w:szCs w:val="21"/>
                      <w:highlight w:val="none"/>
                      <w:lang w:val="en-US" w:eastAsia="zh-CN"/>
                    </w:rPr>
                    <w:t>罐装</w:t>
                  </w:r>
                </w:p>
              </w:tc>
            </w:tr>
            <w:tr w14:paraId="1EAD169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54" w:type="pct"/>
                  <w:tcBorders>
                    <w:tl2br w:val="nil"/>
                    <w:tr2bl w:val="nil"/>
                  </w:tcBorders>
                  <w:noWrap w:val="0"/>
                  <w:vAlign w:val="center"/>
                </w:tcPr>
                <w:p w14:paraId="0333963C">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2</w:t>
                  </w:r>
                </w:p>
              </w:tc>
              <w:tc>
                <w:tcPr>
                  <w:tcW w:w="997" w:type="pct"/>
                  <w:tcBorders>
                    <w:tl2br w:val="nil"/>
                    <w:tr2bl w:val="nil"/>
                  </w:tcBorders>
                  <w:noWrap w:val="0"/>
                  <w:vAlign w:val="center"/>
                </w:tcPr>
                <w:p w14:paraId="5F903DD1">
                  <w:pPr>
                    <w:widowControl/>
                    <w:jc w:val="center"/>
                    <w:rPr>
                      <w:rFonts w:hint="default" w:ascii="Times New Roman" w:hAnsi="Times New Roman" w:eastAsia="宋体"/>
                      <w:kern w:val="2"/>
                      <w:sz w:val="21"/>
                      <w:szCs w:val="21"/>
                      <w:highlight w:val="none"/>
                      <w:lang w:val="en-US" w:eastAsia="zh-CN" w:bidi="ar-SA"/>
                    </w:rPr>
                  </w:pPr>
                  <w:r>
                    <w:rPr>
                      <w:rFonts w:hint="eastAsia"/>
                      <w:kern w:val="2"/>
                      <w:sz w:val="21"/>
                      <w:szCs w:val="21"/>
                      <w:highlight w:val="none"/>
                      <w:lang w:val="en-US" w:eastAsia="zh-CN" w:bidi="ar-SA"/>
                    </w:rPr>
                    <w:t>SBS、SBR橡胶</w:t>
                  </w:r>
                </w:p>
              </w:tc>
              <w:tc>
                <w:tcPr>
                  <w:tcW w:w="467" w:type="pct"/>
                  <w:tcBorders>
                    <w:tl2br w:val="nil"/>
                    <w:tr2bl w:val="nil"/>
                  </w:tcBorders>
                  <w:noWrap w:val="0"/>
                  <w:vAlign w:val="center"/>
                </w:tcPr>
                <w:p w14:paraId="06F6AE9F">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755" w:type="pct"/>
                  <w:tcBorders>
                    <w:tl2br w:val="nil"/>
                    <w:tr2bl w:val="nil"/>
                  </w:tcBorders>
                  <w:noWrap w:val="0"/>
                  <w:vAlign w:val="center"/>
                </w:tcPr>
                <w:p w14:paraId="23EC4B06">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kern w:val="2"/>
                      <w:sz w:val="21"/>
                      <w:szCs w:val="21"/>
                      <w:highlight w:val="none"/>
                      <w:lang w:val="en-US" w:eastAsia="zh-CN" w:bidi="ar-SA"/>
                    </w:rPr>
                    <w:t>200</w:t>
                  </w:r>
                </w:p>
              </w:tc>
              <w:tc>
                <w:tcPr>
                  <w:tcW w:w="851" w:type="pct"/>
                  <w:tcBorders>
                    <w:tl2br w:val="nil"/>
                    <w:tr2bl w:val="nil"/>
                  </w:tcBorders>
                  <w:noWrap w:val="0"/>
                  <w:vAlign w:val="center"/>
                </w:tcPr>
                <w:p w14:paraId="78D5D86E">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751" w:type="pct"/>
                  <w:tcBorders>
                    <w:tl2br w:val="nil"/>
                    <w:tr2bl w:val="nil"/>
                  </w:tcBorders>
                  <w:noWrap w:val="0"/>
                  <w:vAlign w:val="center"/>
                </w:tcPr>
                <w:p w14:paraId="75447DD4">
                  <w:pPr>
                    <w:adjustRightInd w:val="0"/>
                    <w:snapToGrid w:val="0"/>
                    <w:jc w:val="center"/>
                    <w:rPr>
                      <w:rFonts w:hint="eastAsia" w:ascii="Times New Roman" w:hAnsi="Times New Roman"/>
                      <w:szCs w:val="21"/>
                      <w:highlight w:val="none"/>
                      <w:lang w:val="en-US" w:eastAsia="zh-CN"/>
                    </w:rPr>
                  </w:pPr>
                  <w:r>
                    <w:rPr>
                      <w:rFonts w:hint="eastAsia" w:ascii="Times New Roman" w:hAnsi="Times New Roman"/>
                      <w:szCs w:val="21"/>
                      <w:highlight w:val="none"/>
                      <w:lang w:val="en-US" w:eastAsia="zh-CN"/>
                    </w:rPr>
                    <w:t>防水卷材</w:t>
                  </w:r>
                </w:p>
              </w:tc>
              <w:tc>
                <w:tcPr>
                  <w:tcW w:w="722" w:type="pct"/>
                  <w:tcBorders>
                    <w:tl2br w:val="nil"/>
                    <w:tr2bl w:val="nil"/>
                  </w:tcBorders>
                  <w:noWrap w:val="0"/>
                  <w:vAlign w:val="center"/>
                </w:tcPr>
                <w:p w14:paraId="5D9359A0">
                  <w:pPr>
                    <w:adjustRightInd w:val="0"/>
                    <w:snapToGrid w:val="0"/>
                    <w:jc w:val="center"/>
                    <w:rPr>
                      <w:rFonts w:ascii="Times New Roman" w:hAnsi="Times New Roman"/>
                      <w:kern w:val="2"/>
                      <w:sz w:val="21"/>
                      <w:szCs w:val="21"/>
                      <w:highlight w:val="none"/>
                      <w:lang w:val="en-US" w:eastAsia="zh-CN" w:bidi="ar-SA"/>
                    </w:rPr>
                  </w:pPr>
                  <w:r>
                    <w:rPr>
                      <w:rFonts w:hint="eastAsia" w:ascii="Times New Roman" w:hAnsi="Times New Roman"/>
                      <w:szCs w:val="21"/>
                      <w:highlight w:val="none"/>
                    </w:rPr>
                    <w:t>袋装</w:t>
                  </w:r>
                </w:p>
              </w:tc>
            </w:tr>
            <w:tr w14:paraId="2402C37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48" w:hRule="atLeast"/>
                <w:jc w:val="center"/>
              </w:trPr>
              <w:tc>
                <w:tcPr>
                  <w:tcW w:w="454" w:type="pct"/>
                  <w:tcBorders>
                    <w:tl2br w:val="nil"/>
                    <w:tr2bl w:val="nil"/>
                  </w:tcBorders>
                  <w:noWrap w:val="0"/>
                  <w:vAlign w:val="center"/>
                </w:tcPr>
                <w:p w14:paraId="57A59E9B">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3</w:t>
                  </w:r>
                </w:p>
              </w:tc>
              <w:tc>
                <w:tcPr>
                  <w:tcW w:w="997" w:type="pct"/>
                  <w:tcBorders>
                    <w:tl2br w:val="nil"/>
                    <w:tr2bl w:val="nil"/>
                  </w:tcBorders>
                  <w:noWrap w:val="0"/>
                  <w:vAlign w:val="center"/>
                </w:tcPr>
                <w:p w14:paraId="09691857">
                  <w:pPr>
                    <w:widowControl/>
                    <w:jc w:val="center"/>
                    <w:rPr>
                      <w:rFonts w:hint="default" w:ascii="Times New Roman" w:hAnsi="Times New Roman" w:eastAsia="宋体"/>
                      <w:kern w:val="2"/>
                      <w:sz w:val="21"/>
                      <w:szCs w:val="21"/>
                      <w:highlight w:val="none"/>
                      <w:lang w:val="en-US" w:eastAsia="zh-CN" w:bidi="ar-SA"/>
                    </w:rPr>
                  </w:pPr>
                  <w:r>
                    <w:rPr>
                      <w:rFonts w:hint="eastAsia"/>
                      <w:kern w:val="2"/>
                      <w:sz w:val="21"/>
                      <w:szCs w:val="21"/>
                      <w:highlight w:val="none"/>
                      <w:lang w:val="en-US" w:eastAsia="zh-CN" w:bidi="ar-SA"/>
                    </w:rPr>
                    <w:t>PE膜</w:t>
                  </w:r>
                </w:p>
              </w:tc>
              <w:tc>
                <w:tcPr>
                  <w:tcW w:w="467" w:type="pct"/>
                  <w:tcBorders>
                    <w:tl2br w:val="nil"/>
                    <w:tr2bl w:val="nil"/>
                  </w:tcBorders>
                  <w:noWrap w:val="0"/>
                  <w:vAlign w:val="center"/>
                </w:tcPr>
                <w:p w14:paraId="55D34A5D">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755" w:type="pct"/>
                  <w:tcBorders>
                    <w:tl2br w:val="nil"/>
                    <w:tr2bl w:val="nil"/>
                  </w:tcBorders>
                  <w:noWrap w:val="0"/>
                  <w:vAlign w:val="center"/>
                </w:tcPr>
                <w:p w14:paraId="2D76E3D6">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kern w:val="2"/>
                      <w:sz w:val="21"/>
                      <w:szCs w:val="21"/>
                      <w:highlight w:val="none"/>
                      <w:lang w:val="en-US" w:eastAsia="zh-CN" w:bidi="ar-SA"/>
                    </w:rPr>
                    <w:t>180</w:t>
                  </w:r>
                </w:p>
              </w:tc>
              <w:tc>
                <w:tcPr>
                  <w:tcW w:w="851" w:type="pct"/>
                  <w:tcBorders>
                    <w:tl2br w:val="nil"/>
                    <w:tr2bl w:val="nil"/>
                  </w:tcBorders>
                  <w:noWrap w:val="0"/>
                  <w:vAlign w:val="center"/>
                </w:tcPr>
                <w:p w14:paraId="3142979E">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751" w:type="pct"/>
                  <w:tcBorders>
                    <w:tl2br w:val="nil"/>
                    <w:tr2bl w:val="nil"/>
                  </w:tcBorders>
                  <w:noWrap w:val="0"/>
                  <w:vAlign w:val="center"/>
                </w:tcPr>
                <w:p w14:paraId="20B05170">
                  <w:pPr>
                    <w:adjustRightInd w:val="0"/>
                    <w:snapToGrid w:val="0"/>
                    <w:jc w:val="center"/>
                    <w:rPr>
                      <w:rFonts w:hint="eastAsia" w:ascii="Times New Roman" w:hAnsi="Times New Roman"/>
                      <w:szCs w:val="21"/>
                      <w:highlight w:val="none"/>
                      <w:lang w:val="en-US" w:eastAsia="zh-CN"/>
                    </w:rPr>
                  </w:pPr>
                  <w:r>
                    <w:rPr>
                      <w:rFonts w:hint="eastAsia" w:ascii="Times New Roman" w:hAnsi="Times New Roman"/>
                      <w:szCs w:val="21"/>
                      <w:highlight w:val="none"/>
                      <w:lang w:val="en-US" w:eastAsia="zh-CN"/>
                    </w:rPr>
                    <w:t>防水卷材</w:t>
                  </w:r>
                </w:p>
              </w:tc>
              <w:tc>
                <w:tcPr>
                  <w:tcW w:w="722" w:type="pct"/>
                  <w:tcBorders>
                    <w:tl2br w:val="nil"/>
                    <w:tr2bl w:val="nil"/>
                  </w:tcBorders>
                  <w:noWrap w:val="0"/>
                  <w:vAlign w:val="center"/>
                </w:tcPr>
                <w:p w14:paraId="223FE564">
                  <w:pPr>
                    <w:adjustRightInd w:val="0"/>
                    <w:snapToGrid w:val="0"/>
                    <w:jc w:val="center"/>
                    <w:rPr>
                      <w:rFonts w:ascii="Times New Roman" w:hAnsi="Times New Roman"/>
                      <w:kern w:val="2"/>
                      <w:sz w:val="21"/>
                      <w:szCs w:val="21"/>
                      <w:highlight w:val="none"/>
                      <w:lang w:val="en-US" w:eastAsia="zh-CN" w:bidi="ar-SA"/>
                    </w:rPr>
                  </w:pPr>
                  <w:r>
                    <w:rPr>
                      <w:rFonts w:hint="eastAsia" w:ascii="Times New Roman" w:hAnsi="Times New Roman"/>
                      <w:szCs w:val="21"/>
                      <w:highlight w:val="none"/>
                    </w:rPr>
                    <w:t>袋装</w:t>
                  </w:r>
                </w:p>
              </w:tc>
            </w:tr>
            <w:tr w14:paraId="07A3BF1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54" w:type="pct"/>
                  <w:tcBorders>
                    <w:tl2br w:val="nil"/>
                    <w:tr2bl w:val="nil"/>
                  </w:tcBorders>
                  <w:noWrap w:val="0"/>
                  <w:vAlign w:val="center"/>
                </w:tcPr>
                <w:p w14:paraId="5722A710">
                  <w:pPr>
                    <w:adjustRightInd w:val="0"/>
                    <w:snapToGrid w:val="0"/>
                    <w:jc w:val="center"/>
                    <w:rPr>
                      <w:rFonts w:hint="eastAsia"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4</w:t>
                  </w:r>
                </w:p>
              </w:tc>
              <w:tc>
                <w:tcPr>
                  <w:tcW w:w="997" w:type="pct"/>
                  <w:tcBorders>
                    <w:tl2br w:val="nil"/>
                    <w:tr2bl w:val="nil"/>
                  </w:tcBorders>
                  <w:noWrap w:val="0"/>
                  <w:vAlign w:val="center"/>
                </w:tcPr>
                <w:p w14:paraId="2FEC1804">
                  <w:pPr>
                    <w:widowControl/>
                    <w:jc w:val="center"/>
                    <w:rPr>
                      <w:rFonts w:hint="default" w:ascii="Times New Roman" w:hAnsi="Times New Roman" w:eastAsia="宋体"/>
                      <w:color w:val="000000"/>
                      <w:kern w:val="0"/>
                      <w:szCs w:val="21"/>
                      <w:highlight w:val="none"/>
                      <w:lang w:val="en-US" w:eastAsia="zh-CN" w:bidi="ar"/>
                    </w:rPr>
                  </w:pPr>
                  <w:r>
                    <w:rPr>
                      <w:rFonts w:hint="eastAsia"/>
                      <w:color w:val="000000"/>
                      <w:kern w:val="0"/>
                      <w:szCs w:val="21"/>
                      <w:highlight w:val="none"/>
                      <w:lang w:val="en-US" w:eastAsia="zh-CN" w:bidi="ar"/>
                    </w:rPr>
                    <w:t>滑石粉</w:t>
                  </w:r>
                </w:p>
              </w:tc>
              <w:tc>
                <w:tcPr>
                  <w:tcW w:w="467" w:type="pct"/>
                  <w:tcBorders>
                    <w:tl2br w:val="nil"/>
                    <w:tr2bl w:val="nil"/>
                  </w:tcBorders>
                  <w:noWrap w:val="0"/>
                  <w:vAlign w:val="center"/>
                </w:tcPr>
                <w:p w14:paraId="454DAD2E">
                  <w:pPr>
                    <w:adjustRightInd w:val="0"/>
                    <w:snapToGrid w:val="0"/>
                    <w:jc w:val="center"/>
                    <w:rPr>
                      <w:rFonts w:ascii="Times New Roman" w:hAnsi="Times New Roman"/>
                      <w:szCs w:val="21"/>
                      <w:highlight w:val="none"/>
                    </w:rPr>
                  </w:pPr>
                  <w:r>
                    <w:rPr>
                      <w:rFonts w:ascii="Times New Roman" w:hAnsi="Times New Roman"/>
                      <w:szCs w:val="21"/>
                      <w:highlight w:val="none"/>
                    </w:rPr>
                    <w:t>t/a</w:t>
                  </w:r>
                </w:p>
              </w:tc>
              <w:tc>
                <w:tcPr>
                  <w:tcW w:w="755" w:type="pct"/>
                  <w:tcBorders>
                    <w:tl2br w:val="nil"/>
                    <w:tr2bl w:val="nil"/>
                  </w:tcBorders>
                  <w:noWrap w:val="0"/>
                  <w:vAlign w:val="center"/>
                </w:tcPr>
                <w:p w14:paraId="70C6B2DA">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kern w:val="2"/>
                      <w:sz w:val="21"/>
                      <w:szCs w:val="21"/>
                      <w:highlight w:val="none"/>
                      <w:lang w:val="en-US" w:eastAsia="zh-CN" w:bidi="ar-SA"/>
                    </w:rPr>
                    <w:t>3170</w:t>
                  </w:r>
                </w:p>
              </w:tc>
              <w:tc>
                <w:tcPr>
                  <w:tcW w:w="851" w:type="pct"/>
                  <w:tcBorders>
                    <w:tl2br w:val="nil"/>
                    <w:tr2bl w:val="nil"/>
                  </w:tcBorders>
                  <w:noWrap w:val="0"/>
                  <w:vAlign w:val="center"/>
                </w:tcPr>
                <w:p w14:paraId="2E5797B9">
                  <w:pPr>
                    <w:widowControl/>
                    <w:jc w:val="center"/>
                    <w:rPr>
                      <w:rFonts w:hint="default" w:ascii="Times New Roman" w:hAnsi="Times New Roman" w:eastAsia="宋体"/>
                      <w:color w:val="000000"/>
                      <w:kern w:val="0"/>
                      <w:szCs w:val="21"/>
                      <w:highlight w:val="none"/>
                      <w:lang w:val="en-US" w:eastAsia="zh-CN" w:bidi="ar"/>
                    </w:rPr>
                  </w:pPr>
                  <w:r>
                    <w:rPr>
                      <w:rFonts w:hint="eastAsia"/>
                      <w:color w:val="000000"/>
                      <w:kern w:val="0"/>
                      <w:szCs w:val="21"/>
                      <w:highlight w:val="none"/>
                      <w:lang w:val="en-US" w:eastAsia="zh-CN" w:bidi="ar"/>
                    </w:rPr>
                    <w:t>外购</w:t>
                  </w:r>
                </w:p>
              </w:tc>
              <w:tc>
                <w:tcPr>
                  <w:tcW w:w="751" w:type="pct"/>
                  <w:tcBorders>
                    <w:tl2br w:val="nil"/>
                    <w:tr2bl w:val="nil"/>
                  </w:tcBorders>
                  <w:noWrap w:val="0"/>
                  <w:vAlign w:val="center"/>
                </w:tcPr>
                <w:p w14:paraId="5508BF02">
                  <w:pPr>
                    <w:adjustRightInd w:val="0"/>
                    <w:snapToGrid w:val="0"/>
                    <w:jc w:val="center"/>
                    <w:rPr>
                      <w:rFonts w:hint="eastAsia" w:ascii="Times New Roman" w:hAnsi="Times New Roman"/>
                      <w:szCs w:val="21"/>
                      <w:highlight w:val="none"/>
                    </w:rPr>
                  </w:pPr>
                  <w:r>
                    <w:rPr>
                      <w:rFonts w:hint="eastAsia" w:ascii="Times New Roman" w:hAnsi="Times New Roman"/>
                      <w:szCs w:val="21"/>
                      <w:highlight w:val="none"/>
                      <w:lang w:val="en-US" w:eastAsia="zh-CN"/>
                    </w:rPr>
                    <w:t>防水卷材</w:t>
                  </w:r>
                </w:p>
              </w:tc>
              <w:tc>
                <w:tcPr>
                  <w:tcW w:w="722" w:type="pct"/>
                  <w:tcBorders>
                    <w:tl2br w:val="nil"/>
                    <w:tr2bl w:val="nil"/>
                  </w:tcBorders>
                  <w:noWrap w:val="0"/>
                  <w:vAlign w:val="center"/>
                </w:tcPr>
                <w:p w14:paraId="65BE0DAE">
                  <w:pPr>
                    <w:adjustRightInd w:val="0"/>
                    <w:snapToGrid w:val="0"/>
                    <w:jc w:val="center"/>
                    <w:rPr>
                      <w:rFonts w:hint="eastAsia" w:ascii="Times New Roman" w:hAnsi="Times New Roman"/>
                      <w:szCs w:val="21"/>
                      <w:highlight w:val="none"/>
                    </w:rPr>
                  </w:pPr>
                  <w:r>
                    <w:rPr>
                      <w:rFonts w:hint="eastAsia" w:ascii="Times New Roman" w:hAnsi="Times New Roman"/>
                      <w:szCs w:val="21"/>
                      <w:highlight w:val="none"/>
                    </w:rPr>
                    <w:t>袋装</w:t>
                  </w:r>
                </w:p>
              </w:tc>
            </w:tr>
            <w:tr w14:paraId="39957D0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54" w:type="pct"/>
                  <w:tcBorders>
                    <w:tl2br w:val="nil"/>
                    <w:tr2bl w:val="nil"/>
                  </w:tcBorders>
                  <w:noWrap w:val="0"/>
                  <w:vAlign w:val="center"/>
                </w:tcPr>
                <w:p w14:paraId="13381EC7">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5</w:t>
                  </w:r>
                </w:p>
              </w:tc>
              <w:tc>
                <w:tcPr>
                  <w:tcW w:w="997" w:type="pct"/>
                  <w:tcBorders>
                    <w:tl2br w:val="nil"/>
                    <w:tr2bl w:val="nil"/>
                  </w:tcBorders>
                  <w:noWrap w:val="0"/>
                  <w:vAlign w:val="center"/>
                </w:tcPr>
                <w:p w14:paraId="64B6881B">
                  <w:pPr>
                    <w:widowControl/>
                    <w:jc w:val="center"/>
                    <w:rPr>
                      <w:rFonts w:hint="default" w:ascii="Times New Roman" w:hAnsi="Times New Roman" w:eastAsia="宋体"/>
                      <w:kern w:val="2"/>
                      <w:sz w:val="21"/>
                      <w:szCs w:val="21"/>
                      <w:highlight w:val="none"/>
                      <w:lang w:val="en-US" w:eastAsia="zh-CN" w:bidi="ar-SA"/>
                    </w:rPr>
                  </w:pPr>
                  <w:r>
                    <w:rPr>
                      <w:rFonts w:hint="eastAsia"/>
                      <w:kern w:val="2"/>
                      <w:sz w:val="21"/>
                      <w:szCs w:val="21"/>
                      <w:highlight w:val="none"/>
                      <w:lang w:val="en-US" w:eastAsia="zh-CN" w:bidi="ar-SA"/>
                    </w:rPr>
                    <w:t>胶粉</w:t>
                  </w:r>
                </w:p>
              </w:tc>
              <w:tc>
                <w:tcPr>
                  <w:tcW w:w="467" w:type="pct"/>
                  <w:tcBorders>
                    <w:tl2br w:val="nil"/>
                    <w:tr2bl w:val="nil"/>
                  </w:tcBorders>
                  <w:noWrap w:val="0"/>
                  <w:vAlign w:val="center"/>
                </w:tcPr>
                <w:p w14:paraId="133AB2CB">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755" w:type="pct"/>
                  <w:tcBorders>
                    <w:tl2br w:val="nil"/>
                    <w:tr2bl w:val="nil"/>
                  </w:tcBorders>
                  <w:noWrap w:val="0"/>
                  <w:vAlign w:val="center"/>
                </w:tcPr>
                <w:p w14:paraId="04F0F505">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kern w:val="2"/>
                      <w:sz w:val="21"/>
                      <w:szCs w:val="21"/>
                      <w:highlight w:val="none"/>
                      <w:lang w:val="en-US" w:eastAsia="zh-CN" w:bidi="ar-SA"/>
                    </w:rPr>
                    <w:t>450</w:t>
                  </w:r>
                </w:p>
              </w:tc>
              <w:tc>
                <w:tcPr>
                  <w:tcW w:w="851" w:type="pct"/>
                  <w:tcBorders>
                    <w:tl2br w:val="nil"/>
                    <w:tr2bl w:val="nil"/>
                  </w:tcBorders>
                  <w:noWrap w:val="0"/>
                  <w:vAlign w:val="center"/>
                </w:tcPr>
                <w:p w14:paraId="6921BB74">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751" w:type="pct"/>
                  <w:tcBorders>
                    <w:tl2br w:val="nil"/>
                    <w:tr2bl w:val="nil"/>
                  </w:tcBorders>
                  <w:noWrap w:val="0"/>
                  <w:vAlign w:val="center"/>
                </w:tcPr>
                <w:p w14:paraId="466B033B">
                  <w:pPr>
                    <w:adjustRightInd w:val="0"/>
                    <w:snapToGrid w:val="0"/>
                    <w:jc w:val="center"/>
                    <w:rPr>
                      <w:rFonts w:hint="eastAsia" w:ascii="Times New Roman" w:hAnsi="Times New Roman"/>
                      <w:szCs w:val="21"/>
                      <w:highlight w:val="none"/>
                      <w:lang w:val="en-US" w:eastAsia="zh-CN"/>
                    </w:rPr>
                  </w:pPr>
                  <w:r>
                    <w:rPr>
                      <w:rFonts w:hint="eastAsia" w:ascii="Times New Roman" w:hAnsi="Times New Roman"/>
                      <w:szCs w:val="21"/>
                      <w:highlight w:val="none"/>
                      <w:lang w:val="en-US" w:eastAsia="zh-CN"/>
                    </w:rPr>
                    <w:t>防水卷材</w:t>
                  </w:r>
                </w:p>
              </w:tc>
              <w:tc>
                <w:tcPr>
                  <w:tcW w:w="722" w:type="pct"/>
                  <w:tcBorders>
                    <w:tl2br w:val="nil"/>
                    <w:tr2bl w:val="nil"/>
                  </w:tcBorders>
                  <w:noWrap w:val="0"/>
                  <w:vAlign w:val="center"/>
                </w:tcPr>
                <w:p w14:paraId="7F3EDB09">
                  <w:pPr>
                    <w:adjustRightInd w:val="0"/>
                    <w:snapToGrid w:val="0"/>
                    <w:jc w:val="center"/>
                    <w:rPr>
                      <w:rFonts w:ascii="Times New Roman" w:hAnsi="Times New Roman"/>
                      <w:kern w:val="2"/>
                      <w:sz w:val="21"/>
                      <w:szCs w:val="21"/>
                      <w:highlight w:val="none"/>
                      <w:lang w:val="en-US" w:eastAsia="zh-CN" w:bidi="ar-SA"/>
                    </w:rPr>
                  </w:pPr>
                  <w:r>
                    <w:rPr>
                      <w:rFonts w:hint="eastAsia" w:ascii="Times New Roman" w:hAnsi="Times New Roman"/>
                      <w:szCs w:val="21"/>
                      <w:highlight w:val="none"/>
                    </w:rPr>
                    <w:t>袋装</w:t>
                  </w:r>
                </w:p>
              </w:tc>
            </w:tr>
          </w:tbl>
          <w:p w14:paraId="661B166A">
            <w:pPr>
              <w:pStyle w:val="2"/>
              <w:pageBreakBefore w:val="0"/>
              <w:tabs>
                <w:tab w:val="left" w:pos="312"/>
              </w:tabs>
              <w:kinsoku/>
              <w:wordWrap/>
              <w:overflowPunct/>
              <w:topLinePunct w:val="0"/>
              <w:autoSpaceDE/>
              <w:autoSpaceDN/>
              <w:bidi w:val="0"/>
              <w:adjustRightInd/>
              <w:snapToGrid/>
              <w:spacing w:line="360" w:lineRule="auto"/>
              <w:jc w:val="both"/>
              <w:textAlignment w:val="auto"/>
              <w:rPr>
                <w:b/>
                <w:bCs/>
                <w:sz w:val="24"/>
              </w:rPr>
            </w:pPr>
            <w:r>
              <w:rPr>
                <w:rFonts w:hint="eastAsia"/>
                <w:b/>
                <w:bCs/>
                <w:sz w:val="24"/>
                <w:lang w:val="en-US" w:eastAsia="zh-CN"/>
              </w:rPr>
              <w:t>3</w:t>
            </w:r>
            <w:r>
              <w:rPr>
                <w:b/>
                <w:bCs/>
                <w:sz w:val="24"/>
              </w:rPr>
              <w:t>.</w:t>
            </w:r>
            <w:r>
              <w:rPr>
                <w:rFonts w:hint="eastAsia"/>
                <w:b/>
                <w:bCs/>
                <w:sz w:val="24"/>
              </w:rPr>
              <w:t>原有工程污染物排放情况</w:t>
            </w:r>
            <w:bookmarkEnd w:id="3"/>
          </w:p>
          <w:p w14:paraId="0F1523CE">
            <w:pPr>
              <w:pStyle w:val="3"/>
              <w:pageBreakBefore w:val="0"/>
              <w:kinsoku/>
              <w:wordWrap/>
              <w:overflowPunct/>
              <w:topLinePunct w:val="0"/>
              <w:autoSpaceDE/>
              <w:autoSpaceDN/>
              <w:bidi w:val="0"/>
              <w:adjustRightInd/>
              <w:snapToGrid/>
              <w:spacing w:line="360" w:lineRule="auto"/>
              <w:jc w:val="both"/>
              <w:textAlignment w:val="auto"/>
              <w:rPr>
                <w:sz w:val="24"/>
                <w:szCs w:val="24"/>
              </w:rPr>
            </w:pPr>
            <w:r>
              <w:rPr>
                <w:rFonts w:hint="eastAsia"/>
                <w:sz w:val="24"/>
                <w:szCs w:val="24"/>
                <w:lang w:val="en-US" w:eastAsia="zh-CN"/>
              </w:rPr>
              <w:t>3</w:t>
            </w:r>
            <w:r>
              <w:rPr>
                <w:sz w:val="24"/>
                <w:szCs w:val="24"/>
              </w:rPr>
              <w:t>.</w:t>
            </w:r>
            <w:r>
              <w:rPr>
                <w:rFonts w:hint="eastAsia"/>
                <w:sz w:val="24"/>
                <w:szCs w:val="24"/>
                <w:lang w:val="en-US" w:eastAsia="zh-CN"/>
              </w:rPr>
              <w:t>1</w:t>
            </w:r>
            <w:r>
              <w:rPr>
                <w:rFonts w:hint="eastAsia"/>
                <w:sz w:val="24"/>
                <w:szCs w:val="24"/>
              </w:rPr>
              <w:t>废</w:t>
            </w:r>
            <w:r>
              <w:rPr>
                <w:rFonts w:hint="eastAsia"/>
                <w:sz w:val="24"/>
                <w:szCs w:val="24"/>
                <w:lang w:val="en-US" w:eastAsia="zh-CN"/>
              </w:rPr>
              <w:t>气</w:t>
            </w:r>
            <w:r>
              <w:rPr>
                <w:rFonts w:hint="eastAsia"/>
                <w:sz w:val="24"/>
                <w:szCs w:val="24"/>
              </w:rPr>
              <w:t>污染物排放情况</w:t>
            </w:r>
          </w:p>
          <w:p w14:paraId="4C5BDAC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sz w:val="24"/>
                <w:szCs w:val="24"/>
                <w:highlight w:val="none"/>
                <w:lang w:val="en-US" w:eastAsia="zh-CN"/>
              </w:rPr>
            </w:pPr>
            <w:r>
              <w:rPr>
                <w:rFonts w:hint="eastAsia" w:cs="Times New Roman"/>
                <w:sz w:val="24"/>
                <w:szCs w:val="24"/>
                <w:highlight w:val="none"/>
                <w:lang w:val="en-US" w:eastAsia="zh-CN"/>
              </w:rPr>
              <w:t>原有项目的废气污染物主要为有组织废气和无组织废气，有组织废气有沥青防水卷材废气治理设施排气筒（DA001）沥青烟、苯并[a]芘、非甲烷总烃，以及导热油锅炉排气筒（DA002）二氧化硫、林格曼黑度、氮氧化物和颗粒物；无组织废气污染物为苯并[a]芘、非甲烷总烃及颗粒物。</w:t>
            </w:r>
          </w:p>
          <w:p w14:paraId="738DA46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根据</w:t>
            </w:r>
            <w:r>
              <w:rPr>
                <w:rFonts w:hint="eastAsia" w:ascii="Times New Roman" w:hAnsi="Times New Roman" w:eastAsia="宋体" w:cs="Times New Roman"/>
                <w:sz w:val="24"/>
                <w:szCs w:val="24"/>
                <w:highlight w:val="none"/>
                <w:lang w:val="en-US" w:eastAsia="zh-CN"/>
              </w:rPr>
              <w:t>企业</w:t>
            </w:r>
            <w:r>
              <w:rPr>
                <w:rFonts w:hint="default" w:ascii="Times New Roman" w:hAnsi="Times New Roman" w:eastAsia="宋体" w:cs="Times New Roman"/>
                <w:sz w:val="24"/>
                <w:szCs w:val="24"/>
                <w:highlight w:val="none"/>
                <w:lang w:val="en-US" w:eastAsia="zh-CN"/>
              </w:rPr>
              <w:t>的自行检测数据可以看出沥青烟的排放速率为</w:t>
            </w:r>
            <w:r>
              <w:rPr>
                <w:rFonts w:hint="eastAsia"/>
                <w:color w:val="auto"/>
                <w:sz w:val="24"/>
                <w:szCs w:val="24"/>
                <w:highlight w:val="none"/>
                <w:lang w:val="en-US" w:eastAsia="zh-CN"/>
              </w:rPr>
              <w:t>0.36</w:t>
            </w:r>
            <w:r>
              <w:rPr>
                <w:rFonts w:hint="default" w:ascii="Times New Roman" w:hAnsi="Times New Roman" w:eastAsia="宋体" w:cs="Times New Roman"/>
                <w:sz w:val="24"/>
                <w:szCs w:val="24"/>
                <w:highlight w:val="none"/>
                <w:lang w:val="en-US" w:eastAsia="zh-CN"/>
              </w:rPr>
              <w:t>kg/h，排放浓度为</w:t>
            </w:r>
            <w:r>
              <w:rPr>
                <w:rFonts w:hint="eastAsia"/>
                <w:color w:val="auto"/>
                <w:sz w:val="24"/>
                <w:szCs w:val="24"/>
                <w:highlight w:val="none"/>
                <w:lang w:val="en-US" w:eastAsia="zh-CN"/>
              </w:rPr>
              <w:t>37.47</w:t>
            </w:r>
            <w:r>
              <w:rPr>
                <w:rFonts w:hint="default" w:ascii="Times New Roman" w:hAnsi="Times New Roman" w:eastAsia="宋体" w:cs="Times New Roman"/>
                <w:sz w:val="24"/>
                <w:szCs w:val="24"/>
                <w:highlight w:val="none"/>
                <w:lang w:val="en-US" w:eastAsia="zh-CN"/>
              </w:rPr>
              <w:t>mg/m</w:t>
            </w:r>
            <w:r>
              <w:rPr>
                <w:rFonts w:hint="default" w:ascii="Times New Roman" w:hAnsi="Times New Roman" w:eastAsia="宋体" w:cs="Times New Roman"/>
                <w:sz w:val="24"/>
                <w:szCs w:val="24"/>
                <w:highlight w:val="none"/>
                <w:vertAlign w:val="superscript"/>
                <w:lang w:val="en-US" w:eastAsia="zh-CN"/>
              </w:rPr>
              <w:t>3</w:t>
            </w:r>
            <w:r>
              <w:rPr>
                <w:rFonts w:hint="default" w:ascii="Times New Roman" w:hAnsi="Times New Roman" w:eastAsia="宋体" w:cs="Times New Roman"/>
                <w:sz w:val="24"/>
                <w:szCs w:val="24"/>
                <w:highlight w:val="none"/>
                <w:lang w:val="en-US" w:eastAsia="zh-CN"/>
              </w:rPr>
              <w:t>；苯并</w:t>
            </w:r>
            <w:r>
              <w:rPr>
                <w:rFonts w:hint="eastAsia" w:cs="Times New Roman"/>
                <w:sz w:val="24"/>
                <w:szCs w:val="24"/>
                <w:highlight w:val="none"/>
                <w:lang w:val="en-US" w:eastAsia="zh-CN"/>
              </w:rPr>
              <w:t>[a]</w:t>
            </w:r>
            <w:r>
              <w:rPr>
                <w:rFonts w:hint="default" w:ascii="Times New Roman" w:hAnsi="Times New Roman" w:eastAsia="宋体" w:cs="Times New Roman"/>
                <w:sz w:val="24"/>
                <w:szCs w:val="24"/>
                <w:highlight w:val="none"/>
                <w:lang w:val="en-US" w:eastAsia="zh-CN"/>
              </w:rPr>
              <w:t>芘的排放速率为</w:t>
            </w:r>
            <w:r>
              <w:rPr>
                <w:rFonts w:hint="eastAsia" w:cs="Times New Roman"/>
                <w:color w:val="auto"/>
                <w:sz w:val="24"/>
                <w:szCs w:val="24"/>
                <w:highlight w:val="none"/>
                <w:lang w:val="en-US" w:eastAsia="zh-CN"/>
              </w:rPr>
              <w:t>9.99</w:t>
            </w:r>
            <w:r>
              <w:rPr>
                <w:rFonts w:hint="default"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1"/>
                <w:szCs w:val="21"/>
                <w:highlight w:val="none"/>
                <w:vertAlign w:val="superscript"/>
                <w:lang w:val="en-US" w:eastAsia="zh-CN"/>
              </w:rPr>
              <w:t>-</w:t>
            </w:r>
            <w:r>
              <w:rPr>
                <w:rFonts w:hint="eastAsia" w:cs="Times New Roman"/>
                <w:color w:val="auto"/>
                <w:sz w:val="21"/>
                <w:szCs w:val="21"/>
                <w:highlight w:val="none"/>
                <w:vertAlign w:val="superscript"/>
                <w:lang w:val="en-US" w:eastAsia="zh-CN"/>
              </w:rPr>
              <w:t>8</w:t>
            </w:r>
            <w:r>
              <w:rPr>
                <w:rFonts w:hint="default" w:ascii="Times New Roman" w:hAnsi="Times New Roman" w:eastAsia="宋体" w:cs="Times New Roman"/>
                <w:sz w:val="24"/>
                <w:szCs w:val="24"/>
                <w:highlight w:val="none"/>
                <w:lang w:val="en-US" w:eastAsia="zh-CN"/>
              </w:rPr>
              <w:t>kg/h，排放浓度</w:t>
            </w:r>
            <w:r>
              <w:rPr>
                <w:rFonts w:hint="eastAsia" w:cs="Times New Roman"/>
                <w:sz w:val="24"/>
                <w:szCs w:val="24"/>
                <w:highlight w:val="none"/>
                <w:lang w:val="en-US" w:eastAsia="zh-CN"/>
              </w:rPr>
              <w:t>未检出</w:t>
            </w:r>
            <w:r>
              <w:rPr>
                <w:rFonts w:hint="default" w:ascii="Times New Roman" w:hAnsi="Times New Roman" w:eastAsia="宋体" w:cs="Times New Roman"/>
                <w:sz w:val="24"/>
                <w:szCs w:val="24"/>
                <w:highlight w:val="none"/>
                <w:lang w:val="en-US" w:eastAsia="zh-CN"/>
              </w:rPr>
              <w:t>；非甲烷总烃的排放速率为1.</w:t>
            </w:r>
            <w:r>
              <w:rPr>
                <w:rFonts w:hint="eastAsia" w:cs="Times New Roman"/>
                <w:sz w:val="24"/>
                <w:szCs w:val="24"/>
                <w:highlight w:val="none"/>
                <w:lang w:val="en-US" w:eastAsia="zh-CN"/>
              </w:rPr>
              <w:t>46</w:t>
            </w:r>
            <w:r>
              <w:rPr>
                <w:rFonts w:hint="default" w:ascii="Times New Roman" w:hAnsi="Times New Roman" w:eastAsia="宋体" w:cs="Times New Roman"/>
                <w:sz w:val="24"/>
                <w:szCs w:val="24"/>
                <w:highlight w:val="none"/>
                <w:lang w:val="en-US" w:eastAsia="zh-CN"/>
              </w:rPr>
              <w:t>×10</w:t>
            </w:r>
            <w:r>
              <w:rPr>
                <w:rFonts w:hint="default" w:ascii="Times New Roman" w:hAnsi="Times New Roman" w:eastAsia="宋体" w:cs="Times New Roman"/>
                <w:sz w:val="24"/>
                <w:szCs w:val="24"/>
                <w:highlight w:val="none"/>
                <w:vertAlign w:val="superscript"/>
                <w:lang w:val="en-US" w:eastAsia="zh-CN"/>
              </w:rPr>
              <w:t>-2</w:t>
            </w:r>
            <w:r>
              <w:rPr>
                <w:rFonts w:hint="default" w:ascii="Times New Roman" w:hAnsi="Times New Roman" w:eastAsia="宋体" w:cs="Times New Roman"/>
                <w:sz w:val="24"/>
                <w:szCs w:val="24"/>
                <w:highlight w:val="none"/>
                <w:lang w:val="en-US" w:eastAsia="zh-CN"/>
              </w:rPr>
              <w:t>kg/h，排放浓度为1.</w:t>
            </w:r>
            <w:r>
              <w:rPr>
                <w:rFonts w:hint="eastAsia" w:cs="Times New Roman"/>
                <w:sz w:val="24"/>
                <w:szCs w:val="24"/>
                <w:highlight w:val="none"/>
                <w:lang w:val="en-US" w:eastAsia="zh-CN"/>
              </w:rPr>
              <w:t>33</w:t>
            </w:r>
            <w:r>
              <w:rPr>
                <w:rFonts w:hint="default" w:ascii="Times New Roman" w:hAnsi="Times New Roman" w:eastAsia="宋体" w:cs="Times New Roman"/>
                <w:sz w:val="24"/>
                <w:szCs w:val="24"/>
                <w:highlight w:val="none"/>
                <w:lang w:val="en-US" w:eastAsia="zh-CN"/>
              </w:rPr>
              <w:t>mg/m</w:t>
            </w:r>
            <w:r>
              <w:rPr>
                <w:rFonts w:hint="default"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；氮氧化物的排放速率为</w:t>
            </w:r>
            <w:r>
              <w:rPr>
                <w:rFonts w:hint="eastAsia" w:cs="Times New Roman"/>
                <w:sz w:val="24"/>
                <w:szCs w:val="24"/>
                <w:highlight w:val="none"/>
                <w:lang w:val="en-US" w:eastAsia="zh-CN"/>
              </w:rPr>
              <w:t>4.62</w:t>
            </w:r>
            <w:r>
              <w:rPr>
                <w:rFonts w:hint="eastAsia" w:ascii="Times New Roman" w:hAnsi="Times New Roman" w:eastAsia="宋体" w:cs="Times New Roman"/>
                <w:sz w:val="24"/>
                <w:szCs w:val="24"/>
                <w:highlight w:val="none"/>
                <w:lang w:val="en-US" w:eastAsia="zh-CN"/>
              </w:rPr>
              <w:t>×10</w:t>
            </w:r>
            <w:r>
              <w:rPr>
                <w:rFonts w:hint="eastAsia" w:ascii="Times New Roman" w:hAnsi="Times New Roman" w:eastAsia="宋体" w:cs="Times New Roman"/>
                <w:sz w:val="24"/>
                <w:szCs w:val="24"/>
                <w:highlight w:val="none"/>
                <w:vertAlign w:val="superscript"/>
                <w:lang w:val="en-US" w:eastAsia="zh-CN"/>
              </w:rPr>
              <w:t>-2</w:t>
            </w:r>
            <w:r>
              <w:rPr>
                <w:rFonts w:hint="eastAsia" w:ascii="Times New Roman" w:hAnsi="Times New Roman" w:eastAsia="宋体" w:cs="Times New Roman"/>
                <w:sz w:val="24"/>
                <w:szCs w:val="24"/>
                <w:highlight w:val="none"/>
                <w:lang w:val="en-US" w:eastAsia="zh-CN"/>
              </w:rPr>
              <w:t>kg/h，排放浓度为</w:t>
            </w:r>
            <w:r>
              <w:rPr>
                <w:rFonts w:hint="eastAsia" w:cs="Times New Roman"/>
                <w:sz w:val="24"/>
                <w:szCs w:val="24"/>
                <w:highlight w:val="none"/>
                <w:lang w:val="en-US" w:eastAsia="zh-CN"/>
              </w:rPr>
              <w:t>32.67</w:t>
            </w:r>
            <w:r>
              <w:rPr>
                <w:rFonts w:hint="eastAsia" w:ascii="Times New Roman" w:hAnsi="Times New Roman" w:eastAsia="宋体" w:cs="Times New Roman"/>
                <w:sz w:val="24"/>
                <w:szCs w:val="24"/>
                <w:highlight w:val="none"/>
                <w:lang w:val="en-US" w:eastAsia="zh-CN"/>
              </w:rPr>
              <w:t>mg/m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；SO</w:t>
            </w:r>
            <w:r>
              <w:rPr>
                <w:rFonts w:hint="eastAsia" w:ascii="Times New Roman" w:hAnsi="Times New Roman" w:eastAsia="宋体" w:cs="Times New Roman"/>
                <w:sz w:val="24"/>
                <w:szCs w:val="24"/>
                <w:highlight w:val="none"/>
                <w:vertAlign w:val="subscript"/>
                <w:lang w:val="en-US" w:eastAsia="zh-CN"/>
              </w:rPr>
              <w:t>2</w:t>
            </w:r>
            <w:r>
              <w:rPr>
                <w:rFonts w:hint="eastAsia" w:ascii="Times New Roman" w:hAnsi="Times New Roman" w:eastAsia="宋体" w:cs="Times New Roman"/>
                <w:sz w:val="24"/>
                <w:szCs w:val="24"/>
                <w:highlight w:val="none"/>
                <w:lang w:val="en-US" w:eastAsia="zh-CN"/>
              </w:rPr>
              <w:t>的排放速率为</w:t>
            </w:r>
            <w:r>
              <w:rPr>
                <w:rFonts w:hint="eastAsia" w:cs="Times New Roman"/>
                <w:sz w:val="24"/>
                <w:szCs w:val="24"/>
                <w:highlight w:val="none"/>
                <w:lang w:val="en-US" w:eastAsia="zh-CN"/>
              </w:rPr>
              <w:t>9.49</w:t>
            </w:r>
            <w:r>
              <w:rPr>
                <w:rFonts w:hint="eastAsia" w:ascii="Times New Roman" w:hAnsi="Times New Roman" w:eastAsia="宋体" w:cs="Times New Roman"/>
                <w:sz w:val="24"/>
                <w:szCs w:val="24"/>
                <w:highlight w:val="none"/>
                <w:lang w:val="en-US" w:eastAsia="zh-CN"/>
              </w:rPr>
              <w:t>×10</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kg/h，排放浓度低于仪器检测限值的2mg/m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；颗粒物的排放速率为</w:t>
            </w:r>
            <w:r>
              <w:rPr>
                <w:rFonts w:hint="eastAsia" w:cs="Times New Roman"/>
                <w:sz w:val="24"/>
                <w:szCs w:val="24"/>
                <w:highlight w:val="none"/>
                <w:lang w:val="en-US" w:eastAsia="zh-CN"/>
              </w:rPr>
              <w:t>3.97</w:t>
            </w:r>
            <w:r>
              <w:rPr>
                <w:rFonts w:hint="eastAsia" w:ascii="Times New Roman" w:hAnsi="Times New Roman" w:eastAsia="宋体" w:cs="Times New Roman"/>
                <w:sz w:val="24"/>
                <w:szCs w:val="24"/>
                <w:highlight w:val="none"/>
                <w:lang w:val="en-US" w:eastAsia="zh-CN"/>
              </w:rPr>
              <w:t>×10</w:t>
            </w:r>
            <w:r>
              <w:rPr>
                <w:rFonts w:hint="eastAsia" w:ascii="Times New Roman" w:hAnsi="Times New Roman" w:eastAsia="宋体" w:cs="Times New Roman"/>
                <w:sz w:val="21"/>
                <w:szCs w:val="21"/>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kg/h，排放浓度为</w:t>
            </w:r>
            <w:r>
              <w:rPr>
                <w:rFonts w:hint="eastAsia" w:cs="Times New Roman"/>
                <w:sz w:val="24"/>
                <w:szCs w:val="24"/>
                <w:highlight w:val="none"/>
                <w:lang w:val="en-US" w:eastAsia="zh-CN"/>
              </w:rPr>
              <w:t>4.7</w:t>
            </w:r>
            <w:r>
              <w:rPr>
                <w:rFonts w:hint="eastAsia" w:ascii="Times New Roman" w:hAnsi="Times New Roman" w:eastAsia="宋体" w:cs="Times New Roman"/>
                <w:sz w:val="24"/>
                <w:szCs w:val="24"/>
                <w:highlight w:val="none"/>
                <w:lang w:val="en-US" w:eastAsia="zh-CN"/>
              </w:rPr>
              <w:t>mg/m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。根据企业每年生产3840h，原有项目的沥青烟排放量为</w:t>
            </w:r>
            <w:r>
              <w:rPr>
                <w:rFonts w:hint="eastAsia" w:cs="Times New Roman"/>
                <w:sz w:val="24"/>
                <w:szCs w:val="24"/>
                <w:highlight w:val="none"/>
                <w:lang w:val="en-US" w:eastAsia="zh-CN"/>
              </w:rPr>
              <w:t>1.38</w:t>
            </w:r>
            <w:r>
              <w:rPr>
                <w:rFonts w:hint="eastAsia" w:ascii="Times New Roman" w:hAnsi="Times New Roman" w:eastAsia="宋体" w:cs="Times New Roman"/>
                <w:sz w:val="24"/>
                <w:szCs w:val="24"/>
                <w:highlight w:val="none"/>
                <w:lang w:val="en-US" w:eastAsia="zh-CN"/>
              </w:rPr>
              <w:t>t/a，</w:t>
            </w:r>
            <w:r>
              <w:rPr>
                <w:rFonts w:hint="default" w:ascii="Times New Roman" w:hAnsi="Times New Roman" w:eastAsia="宋体" w:cs="Times New Roman"/>
                <w:sz w:val="24"/>
                <w:szCs w:val="24"/>
                <w:highlight w:val="none"/>
                <w:lang w:val="en-US" w:eastAsia="zh-CN"/>
              </w:rPr>
              <w:t>苯并</w:t>
            </w:r>
            <w:r>
              <w:rPr>
                <w:rFonts w:hint="eastAsia" w:cs="Times New Roman"/>
                <w:sz w:val="24"/>
                <w:szCs w:val="24"/>
                <w:highlight w:val="none"/>
                <w:lang w:val="en-US" w:eastAsia="zh-CN"/>
              </w:rPr>
              <w:t>[a]</w:t>
            </w:r>
            <w:r>
              <w:rPr>
                <w:rFonts w:hint="default" w:ascii="Times New Roman" w:hAnsi="Times New Roman" w:eastAsia="宋体" w:cs="Times New Roman"/>
                <w:sz w:val="24"/>
                <w:szCs w:val="24"/>
                <w:highlight w:val="none"/>
                <w:lang w:val="en-US" w:eastAsia="zh-CN"/>
              </w:rPr>
              <w:t>芘</w:t>
            </w:r>
            <w:r>
              <w:rPr>
                <w:rFonts w:hint="eastAsia" w:ascii="Times New Roman" w:hAnsi="Times New Roman" w:eastAsia="宋体" w:cs="Times New Roman"/>
                <w:sz w:val="24"/>
                <w:szCs w:val="24"/>
                <w:highlight w:val="none"/>
                <w:lang w:val="en-US" w:eastAsia="zh-CN"/>
              </w:rPr>
              <w:t>的排放量为0.00</w:t>
            </w:r>
            <w:r>
              <w:rPr>
                <w:rFonts w:hint="eastAsia" w:cs="Times New Roman"/>
                <w:sz w:val="24"/>
                <w:szCs w:val="24"/>
                <w:highlight w:val="none"/>
                <w:lang w:val="en-US" w:eastAsia="zh-CN"/>
              </w:rPr>
              <w:t>0</w:t>
            </w:r>
            <w:r>
              <w:rPr>
                <w:rFonts w:hint="eastAsia" w:ascii="Times New Roman" w:hAnsi="Times New Roman" w:eastAsia="宋体" w:cs="Times New Roman"/>
                <w:sz w:val="24"/>
                <w:szCs w:val="24"/>
                <w:highlight w:val="none"/>
                <w:lang w:val="en-US" w:eastAsia="zh-CN"/>
              </w:rPr>
              <w:t>3</w:t>
            </w:r>
            <w:r>
              <w:rPr>
                <w:rFonts w:hint="eastAsia" w:cs="Times New Roman"/>
                <w:sz w:val="24"/>
                <w:szCs w:val="24"/>
                <w:highlight w:val="none"/>
                <w:lang w:val="en-US" w:eastAsia="zh-CN"/>
              </w:rPr>
              <w:t>8</w:t>
            </w:r>
            <w:r>
              <w:rPr>
                <w:rFonts w:hint="eastAsia" w:ascii="Times New Roman" w:hAnsi="Times New Roman" w:eastAsia="宋体" w:cs="Times New Roman"/>
                <w:sz w:val="24"/>
                <w:szCs w:val="24"/>
                <w:highlight w:val="none"/>
                <w:lang w:val="en-US" w:eastAsia="zh-CN"/>
              </w:rPr>
              <w:t>kg/a，非甲烷总烃的排放量为0.0</w:t>
            </w:r>
            <w:r>
              <w:rPr>
                <w:rFonts w:hint="eastAsia" w:cs="Times New Roman"/>
                <w:sz w:val="24"/>
                <w:szCs w:val="24"/>
                <w:highlight w:val="none"/>
                <w:lang w:val="en-US" w:eastAsia="zh-CN"/>
              </w:rPr>
              <w:t>56</w:t>
            </w:r>
            <w:r>
              <w:rPr>
                <w:rFonts w:hint="eastAsia" w:ascii="Times New Roman" w:hAnsi="Times New Roman" w:eastAsia="宋体" w:cs="Times New Roman"/>
                <w:sz w:val="24"/>
                <w:szCs w:val="24"/>
                <w:highlight w:val="none"/>
                <w:lang w:val="en-US" w:eastAsia="zh-CN"/>
              </w:rPr>
              <w:t>t/a，氮氧化物的排放量为0.</w:t>
            </w:r>
            <w:r>
              <w:rPr>
                <w:rFonts w:hint="eastAsia" w:cs="Times New Roman"/>
                <w:sz w:val="24"/>
                <w:szCs w:val="24"/>
                <w:highlight w:val="none"/>
                <w:lang w:val="en-US" w:eastAsia="zh-CN"/>
              </w:rPr>
              <w:t>177</w:t>
            </w:r>
            <w:r>
              <w:rPr>
                <w:rFonts w:hint="eastAsia" w:ascii="Times New Roman" w:hAnsi="Times New Roman" w:eastAsia="宋体" w:cs="Times New Roman"/>
                <w:sz w:val="24"/>
                <w:szCs w:val="24"/>
                <w:highlight w:val="none"/>
                <w:lang w:val="en-US" w:eastAsia="zh-CN"/>
              </w:rPr>
              <w:t>t/a，SO</w:t>
            </w:r>
            <w:r>
              <w:rPr>
                <w:rFonts w:hint="eastAsia" w:ascii="Times New Roman" w:hAnsi="Times New Roman" w:eastAsia="宋体" w:cs="Times New Roman"/>
                <w:sz w:val="24"/>
                <w:szCs w:val="24"/>
                <w:highlight w:val="none"/>
                <w:vertAlign w:val="subscript"/>
                <w:lang w:val="en-US" w:eastAsia="zh-CN"/>
              </w:rPr>
              <w:t>2</w:t>
            </w:r>
            <w:r>
              <w:rPr>
                <w:rFonts w:hint="eastAsia" w:ascii="Times New Roman" w:hAnsi="Times New Roman" w:eastAsia="宋体" w:cs="Times New Roman"/>
                <w:sz w:val="24"/>
                <w:szCs w:val="24"/>
                <w:highlight w:val="none"/>
                <w:lang w:val="en-US" w:eastAsia="zh-CN"/>
              </w:rPr>
              <w:t>的排放量为0.0</w:t>
            </w:r>
            <w:r>
              <w:rPr>
                <w:rFonts w:hint="eastAsia" w:cs="Times New Roman"/>
                <w:sz w:val="24"/>
                <w:szCs w:val="24"/>
                <w:highlight w:val="none"/>
                <w:lang w:val="en-US" w:eastAsia="zh-CN"/>
              </w:rPr>
              <w:t>04</w:t>
            </w:r>
            <w:r>
              <w:rPr>
                <w:rFonts w:hint="eastAsia" w:ascii="Times New Roman" w:hAnsi="Times New Roman" w:eastAsia="宋体" w:cs="Times New Roman"/>
                <w:sz w:val="24"/>
                <w:szCs w:val="24"/>
                <w:highlight w:val="none"/>
                <w:lang w:val="en-US" w:eastAsia="zh-CN"/>
              </w:rPr>
              <w:t>t/a，颗粒物的排放量为0.00</w:t>
            </w:r>
            <w:r>
              <w:rPr>
                <w:rFonts w:hint="eastAsia" w:cs="Times New Roman"/>
                <w:sz w:val="24"/>
                <w:szCs w:val="24"/>
                <w:highlight w:val="none"/>
                <w:lang w:val="en-US" w:eastAsia="zh-CN"/>
              </w:rPr>
              <w:t>15</w:t>
            </w:r>
            <w:r>
              <w:rPr>
                <w:rFonts w:hint="eastAsia" w:ascii="Times New Roman" w:hAnsi="Times New Roman" w:eastAsia="宋体" w:cs="Times New Roman"/>
                <w:sz w:val="24"/>
                <w:szCs w:val="24"/>
                <w:highlight w:val="none"/>
                <w:lang w:val="en-US" w:eastAsia="zh-CN"/>
              </w:rPr>
              <w:t>t/a，林格曼黑度＜1级。</w:t>
            </w:r>
          </w:p>
          <w:p w14:paraId="133CD83A">
            <w:pPr>
              <w:pStyle w:val="50"/>
              <w:widowControl/>
              <w:adjustRightInd/>
              <w:snapToGrid/>
              <w:spacing w:after="0"/>
              <w:rPr>
                <w:rFonts w:hint="eastAsia"/>
                <w:lang w:val="en-US" w:eastAsia="zh-CN"/>
              </w:rPr>
            </w:pPr>
            <w:r>
              <w:rPr>
                <w:rFonts w:hint="default" w:ascii="Times New Roman" w:hAnsi="Times New Roman" w:eastAsia="宋体" w:cs="Times New Roman"/>
                <w:color w:val="auto"/>
                <w:sz w:val="21"/>
                <w:highlight w:val="none"/>
              </w:rPr>
              <w:t>表</w:t>
            </w:r>
            <w:r>
              <w:rPr>
                <w:rFonts w:hint="eastAsia" w:ascii="Times New Roman" w:hAnsi="Times New Roman" w:eastAsia="宋体" w:cs="Times New Roman"/>
                <w:color w:val="auto"/>
                <w:sz w:val="21"/>
                <w:highlight w:val="none"/>
                <w:lang w:val="en-US" w:eastAsia="zh-CN"/>
              </w:rPr>
              <w:t>2-</w:t>
            </w:r>
            <w:r>
              <w:rPr>
                <w:rFonts w:hint="eastAsia" w:cs="Times New Roman"/>
                <w:color w:val="auto"/>
                <w:sz w:val="21"/>
                <w:highlight w:val="none"/>
                <w:lang w:val="en-US" w:eastAsia="zh-CN"/>
              </w:rPr>
              <w:t>12</w:t>
            </w:r>
            <w:r>
              <w:rPr>
                <w:rFonts w:hint="default" w:ascii="Times New Roman" w:hAnsi="Times New Roman" w:eastAsia="宋体" w:cs="Times New Roman"/>
                <w:color w:val="auto"/>
                <w:sz w:val="21"/>
                <w:highlight w:val="none"/>
              </w:rPr>
              <w:t xml:space="preserve">    </w:t>
            </w:r>
            <w:r>
              <w:rPr>
                <w:rFonts w:hint="eastAsia" w:ascii="Times New Roman" w:hAnsi="Times New Roman" w:eastAsia="宋体" w:cs="Times New Roman"/>
                <w:color w:val="auto"/>
                <w:sz w:val="21"/>
                <w:highlight w:val="none"/>
                <w:lang w:val="en-US" w:eastAsia="zh-CN"/>
              </w:rPr>
              <w:t>原有工程废气排放</w:t>
            </w:r>
            <w:r>
              <w:rPr>
                <w:rFonts w:hint="default" w:ascii="Times New Roman" w:hAnsi="Times New Roman" w:eastAsia="宋体" w:cs="Times New Roman"/>
                <w:color w:val="auto"/>
                <w:sz w:val="21"/>
                <w:highlight w:val="none"/>
              </w:rPr>
              <w:t>一览表</w:t>
            </w:r>
          </w:p>
          <w:tbl>
            <w:tblPr>
              <w:tblStyle w:val="19"/>
              <w:tblW w:w="8297"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41"/>
              <w:gridCol w:w="1413"/>
              <w:gridCol w:w="1577"/>
              <w:gridCol w:w="1376"/>
              <w:gridCol w:w="1371"/>
              <w:gridCol w:w="1619"/>
            </w:tblGrid>
            <w:tr w14:paraId="338A17D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567" w:type="pct"/>
                  <w:tcBorders>
                    <w:tl2br w:val="nil"/>
                    <w:tr2bl w:val="nil"/>
                  </w:tcBorders>
                  <w:noWrap w:val="0"/>
                  <w:vAlign w:val="center"/>
                </w:tcPr>
                <w:p w14:paraId="46C33F56">
                  <w:pPr>
                    <w:bidi w:val="0"/>
                    <w:jc w:val="center"/>
                    <w:rPr>
                      <w:rFonts w:hint="eastAsia"/>
                      <w:color w:val="auto"/>
                      <w:sz w:val="21"/>
                      <w:szCs w:val="21"/>
                      <w:highlight w:val="none"/>
                    </w:rPr>
                  </w:pPr>
                  <w:r>
                    <w:rPr>
                      <w:rFonts w:hint="eastAsia"/>
                      <w:color w:val="auto"/>
                      <w:sz w:val="21"/>
                      <w:szCs w:val="21"/>
                      <w:highlight w:val="none"/>
                      <w:lang w:val="en-US" w:eastAsia="zh-CN"/>
                    </w:rPr>
                    <w:t>工序</w:t>
                  </w:r>
                </w:p>
              </w:tc>
              <w:tc>
                <w:tcPr>
                  <w:tcW w:w="851" w:type="pct"/>
                  <w:tcBorders>
                    <w:tl2br w:val="nil"/>
                    <w:tr2bl w:val="nil"/>
                  </w:tcBorders>
                  <w:noWrap w:val="0"/>
                  <w:vAlign w:val="center"/>
                </w:tcPr>
                <w:p w14:paraId="294C2401">
                  <w:pPr>
                    <w:bidi w:val="0"/>
                    <w:jc w:val="center"/>
                    <w:rPr>
                      <w:rFonts w:hint="eastAsia"/>
                      <w:color w:val="auto"/>
                      <w:sz w:val="21"/>
                      <w:szCs w:val="21"/>
                      <w:highlight w:val="none"/>
                    </w:rPr>
                  </w:pPr>
                  <w:r>
                    <w:rPr>
                      <w:rFonts w:hint="eastAsia"/>
                      <w:color w:val="auto"/>
                      <w:sz w:val="21"/>
                      <w:szCs w:val="21"/>
                      <w:highlight w:val="none"/>
                      <w:lang w:val="en-US" w:eastAsia="zh-CN"/>
                    </w:rPr>
                    <w:t>污染因子</w:t>
                  </w:r>
                </w:p>
              </w:tc>
              <w:tc>
                <w:tcPr>
                  <w:tcW w:w="950" w:type="pct"/>
                  <w:tcBorders>
                    <w:tl2br w:val="nil"/>
                    <w:tr2bl w:val="nil"/>
                  </w:tcBorders>
                  <w:noWrap w:val="0"/>
                  <w:vAlign w:val="center"/>
                </w:tcPr>
                <w:p w14:paraId="706FD428">
                  <w:pPr>
                    <w:bidi w:val="0"/>
                    <w:jc w:val="center"/>
                    <w:rPr>
                      <w:rFonts w:hint="eastAsia"/>
                      <w:color w:val="auto"/>
                      <w:sz w:val="21"/>
                      <w:szCs w:val="21"/>
                      <w:highlight w:val="none"/>
                    </w:rPr>
                  </w:pPr>
                  <w:r>
                    <w:rPr>
                      <w:rFonts w:hint="eastAsia"/>
                      <w:color w:val="auto"/>
                      <w:sz w:val="21"/>
                      <w:szCs w:val="21"/>
                      <w:highlight w:val="none"/>
                      <w:lang w:val="en-US" w:eastAsia="zh-CN"/>
                    </w:rPr>
                    <w:t>控制措施</w:t>
                  </w:r>
                </w:p>
              </w:tc>
              <w:tc>
                <w:tcPr>
                  <w:tcW w:w="829" w:type="pct"/>
                  <w:tcBorders>
                    <w:tl2br w:val="nil"/>
                    <w:tr2bl w:val="nil"/>
                  </w:tcBorders>
                  <w:noWrap w:val="0"/>
                  <w:vAlign w:val="center"/>
                </w:tcPr>
                <w:p w14:paraId="48EB1348">
                  <w:pPr>
                    <w:bidi w:val="0"/>
                    <w:jc w:val="center"/>
                    <w:rPr>
                      <w:rFonts w:hint="eastAsia"/>
                      <w:color w:val="auto"/>
                      <w:sz w:val="21"/>
                      <w:szCs w:val="21"/>
                      <w:highlight w:val="none"/>
                    </w:rPr>
                  </w:pPr>
                  <w:r>
                    <w:rPr>
                      <w:rFonts w:hint="eastAsia"/>
                      <w:color w:val="auto"/>
                      <w:sz w:val="21"/>
                      <w:szCs w:val="21"/>
                      <w:highlight w:val="none"/>
                      <w:lang w:val="en-US" w:eastAsia="zh-CN"/>
                    </w:rPr>
                    <w:t>排放量</w:t>
                  </w:r>
                  <w:r>
                    <w:rPr>
                      <w:rFonts w:hint="default"/>
                      <w:color w:val="auto"/>
                      <w:sz w:val="21"/>
                      <w:szCs w:val="21"/>
                      <w:highlight w:val="none"/>
                      <w:lang w:val="en-US" w:eastAsia="zh-CN"/>
                    </w:rPr>
                    <w:t>t/a</w:t>
                  </w:r>
                </w:p>
              </w:tc>
              <w:tc>
                <w:tcPr>
                  <w:tcW w:w="826" w:type="pct"/>
                  <w:tcBorders>
                    <w:tl2br w:val="nil"/>
                    <w:tr2bl w:val="nil"/>
                  </w:tcBorders>
                  <w:noWrap w:val="0"/>
                  <w:vAlign w:val="center"/>
                </w:tcPr>
                <w:p w14:paraId="432FF290">
                  <w:pPr>
                    <w:bidi w:val="0"/>
                    <w:jc w:val="center"/>
                    <w:rPr>
                      <w:rFonts w:hint="eastAsia"/>
                      <w:color w:val="auto"/>
                      <w:sz w:val="21"/>
                      <w:szCs w:val="21"/>
                      <w:highlight w:val="none"/>
                    </w:rPr>
                  </w:pPr>
                  <w:r>
                    <w:rPr>
                      <w:rFonts w:hint="eastAsia"/>
                      <w:color w:val="auto"/>
                      <w:sz w:val="21"/>
                      <w:szCs w:val="21"/>
                      <w:highlight w:val="none"/>
                      <w:lang w:val="en-US" w:eastAsia="zh-CN"/>
                    </w:rPr>
                    <w:t>排放速率</w:t>
                  </w:r>
                  <w:r>
                    <w:rPr>
                      <w:rFonts w:hint="default"/>
                      <w:color w:val="auto"/>
                      <w:sz w:val="21"/>
                      <w:szCs w:val="21"/>
                      <w:highlight w:val="none"/>
                      <w:lang w:val="en-US" w:eastAsia="zh-CN"/>
                    </w:rPr>
                    <w:t>kg/h</w:t>
                  </w:r>
                </w:p>
              </w:tc>
              <w:tc>
                <w:tcPr>
                  <w:tcW w:w="975" w:type="pct"/>
                  <w:tcBorders>
                    <w:tl2br w:val="nil"/>
                    <w:tr2bl w:val="nil"/>
                  </w:tcBorders>
                  <w:noWrap w:val="0"/>
                  <w:vAlign w:val="center"/>
                </w:tcPr>
                <w:p w14:paraId="49E71514">
                  <w:pPr>
                    <w:bidi w:val="0"/>
                    <w:jc w:val="center"/>
                    <w:rPr>
                      <w:rFonts w:hint="eastAsia"/>
                      <w:color w:val="auto"/>
                      <w:sz w:val="21"/>
                      <w:szCs w:val="21"/>
                      <w:highlight w:val="none"/>
                    </w:rPr>
                  </w:pPr>
                  <w:r>
                    <w:rPr>
                      <w:rFonts w:hint="eastAsia"/>
                      <w:color w:val="auto"/>
                      <w:sz w:val="21"/>
                      <w:szCs w:val="21"/>
                      <w:highlight w:val="none"/>
                      <w:lang w:val="en-US" w:eastAsia="zh-CN"/>
                    </w:rPr>
                    <w:t>排放浓度mg/m3</w:t>
                  </w:r>
                </w:p>
              </w:tc>
            </w:tr>
            <w:tr w14:paraId="71F477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67" w:type="pct"/>
                  <w:vMerge w:val="restart"/>
                  <w:tcBorders>
                    <w:tl2br w:val="nil"/>
                    <w:tr2bl w:val="nil"/>
                  </w:tcBorders>
                  <w:noWrap w:val="0"/>
                  <w:vAlign w:val="center"/>
                </w:tcPr>
                <w:p w14:paraId="32EC8EE5">
                  <w:pPr>
                    <w:bidi w:val="0"/>
                    <w:jc w:val="center"/>
                    <w:rPr>
                      <w:rFonts w:hint="eastAsia"/>
                      <w:color w:val="auto"/>
                      <w:sz w:val="21"/>
                      <w:szCs w:val="21"/>
                      <w:highlight w:val="none"/>
                    </w:rPr>
                  </w:pPr>
                  <w:r>
                    <w:rPr>
                      <w:rFonts w:hint="eastAsia" w:ascii="Times New Roman" w:hAnsi="Times New Roman" w:eastAsia="宋体" w:cs="Times New Roman"/>
                      <w:color w:val="auto"/>
                      <w:sz w:val="21"/>
                      <w:szCs w:val="21"/>
                      <w:highlight w:val="none"/>
                      <w:lang w:val="en-US" w:eastAsia="zh-CN"/>
                    </w:rPr>
                    <w:t>沥青防水卷材废气</w:t>
                  </w:r>
                </w:p>
              </w:tc>
              <w:tc>
                <w:tcPr>
                  <w:tcW w:w="851" w:type="pct"/>
                  <w:tcBorders>
                    <w:tl2br w:val="nil"/>
                    <w:tr2bl w:val="nil"/>
                  </w:tcBorders>
                  <w:noWrap w:val="0"/>
                  <w:vAlign w:val="center"/>
                </w:tcPr>
                <w:p w14:paraId="66442D28">
                  <w:pPr>
                    <w:bidi w:val="0"/>
                    <w:jc w:val="center"/>
                    <w:rPr>
                      <w:rFonts w:hint="eastAsia"/>
                      <w:color w:val="auto"/>
                      <w:sz w:val="21"/>
                      <w:szCs w:val="21"/>
                      <w:highlight w:val="none"/>
                    </w:rPr>
                  </w:pPr>
                  <w:r>
                    <w:rPr>
                      <w:rFonts w:hint="eastAsia"/>
                      <w:color w:val="auto"/>
                      <w:sz w:val="21"/>
                      <w:szCs w:val="21"/>
                      <w:highlight w:val="none"/>
                      <w:lang w:val="en-US" w:eastAsia="zh-CN"/>
                    </w:rPr>
                    <w:t>沥青烟</w:t>
                  </w:r>
                </w:p>
              </w:tc>
              <w:tc>
                <w:tcPr>
                  <w:tcW w:w="950" w:type="pct"/>
                  <w:vMerge w:val="restart"/>
                  <w:tcBorders>
                    <w:tl2br w:val="nil"/>
                    <w:tr2bl w:val="nil"/>
                  </w:tcBorders>
                  <w:noWrap w:val="0"/>
                  <w:vAlign w:val="center"/>
                </w:tcPr>
                <w:p w14:paraId="235C1449">
                  <w:pPr>
                    <w:bidi w:val="0"/>
                    <w:jc w:val="center"/>
                    <w:rPr>
                      <w:rFonts w:hint="eastAsia"/>
                      <w:color w:val="auto"/>
                      <w:sz w:val="21"/>
                      <w:szCs w:val="21"/>
                      <w:highlight w:val="none"/>
                    </w:rPr>
                  </w:pPr>
                  <w:r>
                    <w:rPr>
                      <w:rFonts w:hint="eastAsia"/>
                      <w:color w:val="auto"/>
                      <w:sz w:val="21"/>
                      <w:szCs w:val="21"/>
                      <w:highlight w:val="none"/>
                      <w:lang w:val="en-US" w:eastAsia="zh-CN"/>
                    </w:rPr>
                    <w:t>水喷淋+电捕焦油器+UV光氧</w:t>
                  </w:r>
                  <w:r>
                    <w:rPr>
                      <w:rFonts w:hint="default"/>
                      <w:color w:val="auto"/>
                      <w:sz w:val="21"/>
                      <w:szCs w:val="21"/>
                      <w:highlight w:val="none"/>
                      <w:lang w:val="en-US" w:eastAsia="zh-CN"/>
                    </w:rPr>
                    <w:t>+</w:t>
                  </w:r>
                  <w:r>
                    <w:rPr>
                      <w:rFonts w:hint="eastAsia"/>
                      <w:color w:val="auto"/>
                      <w:sz w:val="21"/>
                      <w:szCs w:val="21"/>
                      <w:highlight w:val="none"/>
                      <w:lang w:val="en-US" w:eastAsia="zh-CN"/>
                    </w:rPr>
                    <w:t>20</w:t>
                  </w:r>
                  <w:r>
                    <w:rPr>
                      <w:rFonts w:hint="default"/>
                      <w:color w:val="auto"/>
                      <w:sz w:val="21"/>
                      <w:szCs w:val="21"/>
                      <w:highlight w:val="none"/>
                      <w:lang w:val="en-US" w:eastAsia="zh-CN"/>
                    </w:rPr>
                    <w:t>m</w:t>
                  </w:r>
                  <w:r>
                    <w:rPr>
                      <w:rFonts w:hint="eastAsia"/>
                      <w:color w:val="auto"/>
                      <w:sz w:val="21"/>
                      <w:szCs w:val="21"/>
                      <w:highlight w:val="none"/>
                      <w:lang w:val="en-US" w:eastAsia="zh-CN"/>
                    </w:rPr>
                    <w:t>排气筒排放</w:t>
                  </w:r>
                </w:p>
              </w:tc>
              <w:tc>
                <w:tcPr>
                  <w:tcW w:w="829" w:type="pct"/>
                  <w:tcBorders>
                    <w:tl2br w:val="nil"/>
                    <w:tr2bl w:val="nil"/>
                  </w:tcBorders>
                  <w:noWrap w:val="0"/>
                  <w:vAlign w:val="center"/>
                </w:tcPr>
                <w:p w14:paraId="678E2414">
                  <w:pPr>
                    <w:bidi w:val="0"/>
                    <w:jc w:val="center"/>
                    <w:rPr>
                      <w:rFonts w:hint="default"/>
                      <w:color w:val="auto"/>
                      <w:sz w:val="21"/>
                      <w:szCs w:val="21"/>
                      <w:highlight w:val="none"/>
                      <w:lang w:val="en-US"/>
                    </w:rPr>
                  </w:pPr>
                  <w:r>
                    <w:rPr>
                      <w:rFonts w:hint="eastAsia"/>
                      <w:color w:val="auto"/>
                      <w:sz w:val="21"/>
                      <w:szCs w:val="21"/>
                      <w:highlight w:val="none"/>
                      <w:lang w:val="en-US" w:eastAsia="zh-CN"/>
                    </w:rPr>
                    <w:t>1.38</w:t>
                  </w:r>
                </w:p>
              </w:tc>
              <w:tc>
                <w:tcPr>
                  <w:tcW w:w="826" w:type="pct"/>
                  <w:tcBorders>
                    <w:tl2br w:val="nil"/>
                    <w:tr2bl w:val="nil"/>
                  </w:tcBorders>
                  <w:noWrap w:val="0"/>
                  <w:vAlign w:val="center"/>
                </w:tcPr>
                <w:p w14:paraId="5E956B93">
                  <w:pPr>
                    <w:bidi w:val="0"/>
                    <w:jc w:val="center"/>
                    <w:rPr>
                      <w:rFonts w:hint="default"/>
                      <w:color w:val="auto"/>
                      <w:sz w:val="21"/>
                      <w:szCs w:val="21"/>
                      <w:highlight w:val="none"/>
                      <w:lang w:val="en-US"/>
                    </w:rPr>
                  </w:pPr>
                  <w:r>
                    <w:rPr>
                      <w:rFonts w:hint="eastAsia"/>
                      <w:color w:val="auto"/>
                      <w:sz w:val="21"/>
                      <w:szCs w:val="21"/>
                      <w:highlight w:val="none"/>
                      <w:lang w:val="en-US" w:eastAsia="zh-CN"/>
                    </w:rPr>
                    <w:t>0.36</w:t>
                  </w:r>
                </w:p>
              </w:tc>
              <w:tc>
                <w:tcPr>
                  <w:tcW w:w="975" w:type="pct"/>
                  <w:tcBorders>
                    <w:tl2br w:val="nil"/>
                    <w:tr2bl w:val="nil"/>
                  </w:tcBorders>
                  <w:noWrap w:val="0"/>
                  <w:vAlign w:val="center"/>
                </w:tcPr>
                <w:p w14:paraId="0B69728A">
                  <w:pPr>
                    <w:bidi w:val="0"/>
                    <w:jc w:val="center"/>
                    <w:rPr>
                      <w:rFonts w:hint="default"/>
                      <w:color w:val="auto"/>
                      <w:sz w:val="21"/>
                      <w:szCs w:val="21"/>
                      <w:highlight w:val="none"/>
                      <w:lang w:val="en-US"/>
                    </w:rPr>
                  </w:pPr>
                  <w:r>
                    <w:rPr>
                      <w:rFonts w:hint="eastAsia"/>
                      <w:color w:val="auto"/>
                      <w:sz w:val="21"/>
                      <w:szCs w:val="21"/>
                      <w:highlight w:val="none"/>
                      <w:lang w:val="en-US" w:eastAsia="zh-CN"/>
                    </w:rPr>
                    <w:t>37.47</w:t>
                  </w:r>
                </w:p>
              </w:tc>
            </w:tr>
            <w:tr w14:paraId="38ECB77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7" w:hRule="atLeast"/>
                <w:jc w:val="center"/>
              </w:trPr>
              <w:tc>
                <w:tcPr>
                  <w:tcW w:w="567" w:type="pct"/>
                  <w:vMerge w:val="continue"/>
                  <w:tcBorders>
                    <w:tl2br w:val="nil"/>
                    <w:tr2bl w:val="nil"/>
                  </w:tcBorders>
                  <w:noWrap w:val="0"/>
                  <w:vAlign w:val="center"/>
                </w:tcPr>
                <w:p w14:paraId="67627C60">
                  <w:pPr>
                    <w:bidi w:val="0"/>
                    <w:jc w:val="center"/>
                    <w:rPr>
                      <w:rFonts w:hint="eastAsia"/>
                      <w:color w:val="auto"/>
                      <w:sz w:val="21"/>
                      <w:szCs w:val="21"/>
                      <w:highlight w:val="none"/>
                    </w:rPr>
                  </w:pPr>
                </w:p>
              </w:tc>
              <w:tc>
                <w:tcPr>
                  <w:tcW w:w="851" w:type="pct"/>
                  <w:tcBorders>
                    <w:tl2br w:val="nil"/>
                    <w:tr2bl w:val="nil"/>
                  </w:tcBorders>
                  <w:noWrap w:val="0"/>
                  <w:vAlign w:val="center"/>
                </w:tcPr>
                <w:p w14:paraId="6FAF93C5">
                  <w:pPr>
                    <w:bidi w:val="0"/>
                    <w:jc w:val="center"/>
                    <w:rPr>
                      <w:rFonts w:hint="default"/>
                      <w:color w:val="auto"/>
                      <w:sz w:val="21"/>
                      <w:szCs w:val="21"/>
                      <w:highlight w:val="none"/>
                      <w:lang w:val="en-US" w:eastAsia="zh-CN"/>
                    </w:rPr>
                  </w:pPr>
                  <w:r>
                    <w:rPr>
                      <w:rFonts w:hint="eastAsia"/>
                      <w:color w:val="auto"/>
                      <w:sz w:val="21"/>
                      <w:szCs w:val="21"/>
                      <w:highlight w:val="none"/>
                      <w:lang w:val="en-US" w:eastAsia="zh-CN"/>
                    </w:rPr>
                    <w:t>非甲烷总烃</w:t>
                  </w:r>
                </w:p>
              </w:tc>
              <w:tc>
                <w:tcPr>
                  <w:tcW w:w="950" w:type="pct"/>
                  <w:vMerge w:val="continue"/>
                  <w:tcBorders>
                    <w:tl2br w:val="nil"/>
                    <w:tr2bl w:val="nil"/>
                  </w:tcBorders>
                  <w:noWrap w:val="0"/>
                  <w:vAlign w:val="center"/>
                </w:tcPr>
                <w:p w14:paraId="2A2F0768">
                  <w:pPr>
                    <w:bidi w:val="0"/>
                    <w:jc w:val="center"/>
                    <w:rPr>
                      <w:rFonts w:hint="eastAsia"/>
                      <w:color w:val="auto"/>
                      <w:sz w:val="21"/>
                      <w:szCs w:val="21"/>
                      <w:highlight w:val="none"/>
                    </w:rPr>
                  </w:pPr>
                </w:p>
              </w:tc>
              <w:tc>
                <w:tcPr>
                  <w:tcW w:w="829" w:type="pct"/>
                  <w:tcBorders>
                    <w:tl2br w:val="nil"/>
                    <w:tr2bl w:val="nil"/>
                  </w:tcBorders>
                  <w:noWrap w:val="0"/>
                  <w:vAlign w:val="center"/>
                </w:tcPr>
                <w:p w14:paraId="45216ABA">
                  <w:pPr>
                    <w:bidi w:val="0"/>
                    <w:jc w:val="center"/>
                    <w:rPr>
                      <w:rFonts w:hint="default"/>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w:t>
                  </w:r>
                  <w:r>
                    <w:rPr>
                      <w:rFonts w:hint="eastAsia" w:cs="Times New Roman"/>
                      <w:color w:val="auto"/>
                      <w:sz w:val="21"/>
                      <w:szCs w:val="21"/>
                      <w:highlight w:val="none"/>
                      <w:lang w:val="en-US" w:eastAsia="zh-CN"/>
                    </w:rPr>
                    <w:t>56</w:t>
                  </w:r>
                </w:p>
              </w:tc>
              <w:tc>
                <w:tcPr>
                  <w:tcW w:w="826" w:type="pct"/>
                  <w:tcBorders>
                    <w:tl2br w:val="nil"/>
                    <w:tr2bl w:val="nil"/>
                  </w:tcBorders>
                  <w:noWrap w:val="0"/>
                  <w:vAlign w:val="center"/>
                </w:tcPr>
                <w:p w14:paraId="4D26BA4F">
                  <w:pPr>
                    <w:bidi w:val="0"/>
                    <w:jc w:val="center"/>
                    <w:rPr>
                      <w:rFonts w:hint="eastAsia"/>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46</w:t>
                  </w:r>
                  <w:r>
                    <w:rPr>
                      <w:rFonts w:hint="default" w:ascii="Times New Roman" w:hAnsi="Times New Roman" w:eastAsia="宋体" w:cs="Times New Roman"/>
                      <w:color w:val="auto"/>
                      <w:sz w:val="21"/>
                      <w:szCs w:val="21"/>
                      <w:highlight w:val="none"/>
                      <w:lang w:val="en-US" w:eastAsia="zh-CN"/>
                    </w:rPr>
                    <w:t>×10</w:t>
                  </w:r>
                  <w:r>
                    <w:rPr>
                      <w:rFonts w:hint="default" w:ascii="Times New Roman" w:hAnsi="Times New Roman" w:eastAsia="宋体" w:cs="Times New Roman"/>
                      <w:color w:val="auto"/>
                      <w:sz w:val="21"/>
                      <w:szCs w:val="21"/>
                      <w:highlight w:val="none"/>
                      <w:vertAlign w:val="superscript"/>
                      <w:lang w:val="en-US" w:eastAsia="zh-CN"/>
                    </w:rPr>
                    <w:t>-2</w:t>
                  </w:r>
                </w:p>
              </w:tc>
              <w:tc>
                <w:tcPr>
                  <w:tcW w:w="975" w:type="pct"/>
                  <w:tcBorders>
                    <w:tl2br w:val="nil"/>
                    <w:tr2bl w:val="nil"/>
                  </w:tcBorders>
                  <w:noWrap w:val="0"/>
                  <w:vAlign w:val="center"/>
                </w:tcPr>
                <w:p w14:paraId="2E9A218D">
                  <w:pPr>
                    <w:bidi w:val="0"/>
                    <w:jc w:val="center"/>
                    <w:rPr>
                      <w:rFonts w:hint="default"/>
                      <w:color w:val="auto"/>
                      <w:sz w:val="21"/>
                      <w:szCs w:val="21"/>
                      <w:highlight w:val="none"/>
                      <w:lang w:val="en-US" w:eastAsia="zh-CN"/>
                    </w:rPr>
                  </w:pPr>
                  <w:r>
                    <w:rPr>
                      <w:rFonts w:hint="eastAsia"/>
                      <w:color w:val="auto"/>
                      <w:sz w:val="21"/>
                      <w:szCs w:val="21"/>
                      <w:highlight w:val="none"/>
                      <w:lang w:val="en-US" w:eastAsia="zh-CN"/>
                    </w:rPr>
                    <w:t>1.33</w:t>
                  </w:r>
                </w:p>
              </w:tc>
            </w:tr>
            <w:tr w14:paraId="6814BDC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567" w:type="pct"/>
                  <w:vMerge w:val="continue"/>
                  <w:tcBorders>
                    <w:tl2br w:val="nil"/>
                    <w:tr2bl w:val="nil"/>
                  </w:tcBorders>
                  <w:noWrap w:val="0"/>
                  <w:vAlign w:val="center"/>
                </w:tcPr>
                <w:p w14:paraId="5F06A459">
                  <w:pPr>
                    <w:bidi w:val="0"/>
                    <w:jc w:val="center"/>
                    <w:rPr>
                      <w:rFonts w:hint="eastAsia"/>
                      <w:color w:val="auto"/>
                      <w:sz w:val="21"/>
                      <w:szCs w:val="21"/>
                      <w:highlight w:val="none"/>
                    </w:rPr>
                  </w:pPr>
                </w:p>
              </w:tc>
              <w:tc>
                <w:tcPr>
                  <w:tcW w:w="851" w:type="pct"/>
                  <w:tcBorders>
                    <w:tl2br w:val="nil"/>
                    <w:tr2bl w:val="nil"/>
                  </w:tcBorders>
                  <w:noWrap w:val="0"/>
                  <w:vAlign w:val="center"/>
                </w:tcPr>
                <w:p w14:paraId="78D724E7">
                  <w:pPr>
                    <w:bidi w:val="0"/>
                    <w:jc w:val="center"/>
                    <w:rPr>
                      <w:rFonts w:hint="eastAsia"/>
                      <w:color w:val="auto"/>
                      <w:sz w:val="21"/>
                      <w:szCs w:val="21"/>
                      <w:highlight w:val="none"/>
                    </w:rPr>
                  </w:pPr>
                  <w:r>
                    <w:rPr>
                      <w:rFonts w:hint="eastAsia"/>
                      <w:color w:val="auto"/>
                      <w:sz w:val="21"/>
                      <w:szCs w:val="21"/>
                      <w:highlight w:val="none"/>
                      <w:lang w:val="en-US" w:eastAsia="zh-CN"/>
                    </w:rPr>
                    <w:t>苯并</w:t>
                  </w:r>
                  <w:r>
                    <w:rPr>
                      <w:rFonts w:hint="default"/>
                      <w:color w:val="auto"/>
                      <w:sz w:val="21"/>
                      <w:szCs w:val="21"/>
                      <w:highlight w:val="none"/>
                      <w:lang w:val="en-US" w:eastAsia="zh-CN"/>
                    </w:rPr>
                    <w:t>[a]</w:t>
                  </w:r>
                  <w:r>
                    <w:rPr>
                      <w:rFonts w:hint="eastAsia"/>
                      <w:color w:val="auto"/>
                      <w:sz w:val="21"/>
                      <w:szCs w:val="21"/>
                      <w:highlight w:val="none"/>
                      <w:lang w:val="en-US" w:eastAsia="zh-CN"/>
                    </w:rPr>
                    <w:t>芘</w:t>
                  </w:r>
                </w:p>
              </w:tc>
              <w:tc>
                <w:tcPr>
                  <w:tcW w:w="950" w:type="pct"/>
                  <w:vMerge w:val="continue"/>
                  <w:tcBorders>
                    <w:tl2br w:val="nil"/>
                    <w:tr2bl w:val="nil"/>
                  </w:tcBorders>
                  <w:noWrap w:val="0"/>
                  <w:vAlign w:val="center"/>
                </w:tcPr>
                <w:p w14:paraId="0B581BA0">
                  <w:pPr>
                    <w:bidi w:val="0"/>
                    <w:jc w:val="center"/>
                    <w:rPr>
                      <w:rFonts w:hint="eastAsia"/>
                      <w:color w:val="auto"/>
                      <w:sz w:val="21"/>
                      <w:szCs w:val="21"/>
                      <w:highlight w:val="none"/>
                    </w:rPr>
                  </w:pPr>
                </w:p>
              </w:tc>
              <w:tc>
                <w:tcPr>
                  <w:tcW w:w="829" w:type="pct"/>
                  <w:tcBorders>
                    <w:tl2br w:val="nil"/>
                    <w:tr2bl w:val="nil"/>
                  </w:tcBorders>
                  <w:noWrap/>
                  <w:vAlign w:val="center"/>
                </w:tcPr>
                <w:p w14:paraId="68E072FA">
                  <w:pPr>
                    <w:bidi w:val="0"/>
                    <w:jc w:val="center"/>
                    <w:rPr>
                      <w:rFonts w:hint="default"/>
                      <w:color w:val="auto"/>
                      <w:sz w:val="21"/>
                      <w:szCs w:val="21"/>
                      <w:highlight w:val="none"/>
                    </w:rPr>
                  </w:pPr>
                  <w:r>
                    <w:rPr>
                      <w:rFonts w:hint="eastAsia" w:cs="Times New Roman"/>
                      <w:color w:val="auto"/>
                      <w:sz w:val="21"/>
                      <w:szCs w:val="21"/>
                      <w:highlight w:val="none"/>
                      <w:lang w:val="en-US" w:eastAsia="zh-CN"/>
                    </w:rPr>
                    <w:t>0.38×10</w:t>
                  </w:r>
                  <w:r>
                    <w:rPr>
                      <w:rFonts w:hint="eastAsia"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kg</w:t>
                  </w:r>
                </w:p>
              </w:tc>
              <w:tc>
                <w:tcPr>
                  <w:tcW w:w="826" w:type="pct"/>
                  <w:tcBorders>
                    <w:tl2br w:val="nil"/>
                    <w:tr2bl w:val="nil"/>
                  </w:tcBorders>
                  <w:noWrap/>
                  <w:vAlign w:val="center"/>
                </w:tcPr>
                <w:p w14:paraId="09E18CE4">
                  <w:pPr>
                    <w:bidi w:val="0"/>
                    <w:jc w:val="center"/>
                    <w:rPr>
                      <w:rFonts w:hint="default"/>
                      <w:color w:val="auto"/>
                      <w:sz w:val="21"/>
                      <w:szCs w:val="21"/>
                      <w:highlight w:val="none"/>
                      <w:lang w:val="en-US"/>
                    </w:rPr>
                  </w:pPr>
                  <w:r>
                    <w:rPr>
                      <w:rFonts w:hint="eastAsia" w:cs="Times New Roman"/>
                      <w:color w:val="auto"/>
                      <w:sz w:val="21"/>
                      <w:szCs w:val="21"/>
                      <w:highlight w:val="none"/>
                      <w:lang w:val="en-US" w:eastAsia="zh-CN"/>
                    </w:rPr>
                    <w:t>9.99</w:t>
                  </w:r>
                  <w:r>
                    <w:rPr>
                      <w:rFonts w:hint="default" w:ascii="Times New Roman" w:hAnsi="Times New Roman" w:eastAsia="宋体" w:cs="Times New Roman"/>
                      <w:color w:val="auto"/>
                      <w:sz w:val="21"/>
                      <w:szCs w:val="21"/>
                      <w:highlight w:val="none"/>
                      <w:lang w:val="en-US" w:eastAsia="zh-CN"/>
                    </w:rPr>
                    <w:t>×10</w:t>
                  </w:r>
                  <w:r>
                    <w:rPr>
                      <w:rFonts w:hint="default" w:ascii="Times New Roman" w:hAnsi="Times New Roman" w:eastAsia="宋体" w:cs="Times New Roman"/>
                      <w:color w:val="auto"/>
                      <w:sz w:val="21"/>
                      <w:szCs w:val="21"/>
                      <w:highlight w:val="none"/>
                      <w:vertAlign w:val="superscript"/>
                      <w:lang w:val="en-US" w:eastAsia="zh-CN"/>
                    </w:rPr>
                    <w:t>-</w:t>
                  </w:r>
                  <w:r>
                    <w:rPr>
                      <w:rFonts w:hint="eastAsia" w:cs="Times New Roman"/>
                      <w:color w:val="auto"/>
                      <w:sz w:val="21"/>
                      <w:szCs w:val="21"/>
                      <w:highlight w:val="none"/>
                      <w:vertAlign w:val="superscript"/>
                      <w:lang w:val="en-US" w:eastAsia="zh-CN"/>
                    </w:rPr>
                    <w:t>8</w:t>
                  </w:r>
                </w:p>
              </w:tc>
              <w:tc>
                <w:tcPr>
                  <w:tcW w:w="975" w:type="pct"/>
                  <w:tcBorders>
                    <w:tl2br w:val="nil"/>
                    <w:tr2bl w:val="nil"/>
                  </w:tcBorders>
                  <w:noWrap/>
                  <w:vAlign w:val="center"/>
                </w:tcPr>
                <w:p w14:paraId="12128387">
                  <w:pPr>
                    <w:bidi w:val="0"/>
                    <w:jc w:val="center"/>
                    <w:rPr>
                      <w:rFonts w:hint="default"/>
                      <w:color w:val="auto"/>
                      <w:sz w:val="21"/>
                      <w:szCs w:val="21"/>
                      <w:highlight w:val="none"/>
                    </w:rPr>
                  </w:pPr>
                  <w:r>
                    <w:rPr>
                      <w:rFonts w:hint="eastAsia" w:cs="Times New Roman"/>
                      <w:sz w:val="21"/>
                      <w:szCs w:val="21"/>
                      <w:highlight w:val="none"/>
                      <w:lang w:val="en-US" w:eastAsia="zh-CN"/>
                    </w:rPr>
                    <w:t>未检出</w:t>
                  </w:r>
                </w:p>
              </w:tc>
            </w:tr>
            <w:tr w14:paraId="4C8B2E2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567" w:type="pct"/>
                  <w:vMerge w:val="restart"/>
                  <w:tcBorders>
                    <w:tl2br w:val="nil"/>
                    <w:tr2bl w:val="nil"/>
                  </w:tcBorders>
                  <w:noWrap w:val="0"/>
                  <w:vAlign w:val="center"/>
                </w:tcPr>
                <w:p w14:paraId="754C16E0">
                  <w:pPr>
                    <w:bidi w:val="0"/>
                    <w:jc w:val="center"/>
                    <w:rPr>
                      <w:rFonts w:hint="eastAsia"/>
                      <w:color w:val="auto"/>
                      <w:sz w:val="21"/>
                      <w:szCs w:val="21"/>
                      <w:highlight w:val="none"/>
                    </w:rPr>
                  </w:pPr>
                  <w:r>
                    <w:rPr>
                      <w:rFonts w:hint="eastAsia"/>
                      <w:color w:val="auto"/>
                      <w:sz w:val="21"/>
                      <w:szCs w:val="21"/>
                      <w:highlight w:val="none"/>
                      <w:lang w:val="en-US" w:eastAsia="zh-CN"/>
                    </w:rPr>
                    <w:t>导热油炉</w:t>
                  </w:r>
                </w:p>
              </w:tc>
              <w:tc>
                <w:tcPr>
                  <w:tcW w:w="851" w:type="pct"/>
                  <w:tcBorders>
                    <w:tl2br w:val="nil"/>
                    <w:tr2bl w:val="nil"/>
                  </w:tcBorders>
                  <w:noWrap w:val="0"/>
                  <w:vAlign w:val="center"/>
                </w:tcPr>
                <w:p w14:paraId="48E2258B">
                  <w:pPr>
                    <w:bidi w:val="0"/>
                    <w:jc w:val="center"/>
                    <w:rPr>
                      <w:rFonts w:hint="eastAsia"/>
                      <w:color w:val="auto"/>
                      <w:sz w:val="21"/>
                      <w:szCs w:val="21"/>
                      <w:highlight w:val="none"/>
                    </w:rPr>
                  </w:pPr>
                  <w:r>
                    <w:rPr>
                      <w:rFonts w:hint="eastAsia"/>
                      <w:color w:val="auto"/>
                      <w:sz w:val="21"/>
                      <w:szCs w:val="21"/>
                      <w:highlight w:val="none"/>
                      <w:lang w:val="en-US" w:eastAsia="zh-CN"/>
                    </w:rPr>
                    <w:t>颗粒物</w:t>
                  </w:r>
                </w:p>
              </w:tc>
              <w:tc>
                <w:tcPr>
                  <w:tcW w:w="950" w:type="pct"/>
                  <w:vMerge w:val="restart"/>
                  <w:tcBorders>
                    <w:tl2br w:val="nil"/>
                    <w:tr2bl w:val="nil"/>
                  </w:tcBorders>
                  <w:noWrap w:val="0"/>
                  <w:vAlign w:val="center"/>
                </w:tcPr>
                <w:p w14:paraId="249F9359">
                  <w:pPr>
                    <w:bidi w:val="0"/>
                    <w:jc w:val="center"/>
                    <w:rPr>
                      <w:rFonts w:hint="eastAsia"/>
                      <w:color w:val="auto"/>
                      <w:sz w:val="21"/>
                      <w:szCs w:val="21"/>
                      <w:highlight w:val="none"/>
                    </w:rPr>
                  </w:pPr>
                  <w:r>
                    <w:rPr>
                      <w:rFonts w:hint="eastAsia"/>
                      <w:color w:val="auto"/>
                      <w:sz w:val="21"/>
                      <w:szCs w:val="21"/>
                      <w:highlight w:val="none"/>
                      <w:lang w:val="en-US" w:eastAsia="zh-CN"/>
                    </w:rPr>
                    <w:t>低氮燃烧器+</w:t>
                  </w:r>
                  <w:r>
                    <w:rPr>
                      <w:rFonts w:hint="default"/>
                      <w:color w:val="auto"/>
                      <w:sz w:val="21"/>
                      <w:szCs w:val="21"/>
                      <w:highlight w:val="none"/>
                      <w:lang w:val="en-US" w:eastAsia="zh-CN"/>
                    </w:rPr>
                    <w:t>1</w:t>
                  </w:r>
                  <w:r>
                    <w:rPr>
                      <w:rFonts w:hint="eastAsia"/>
                      <w:color w:val="auto"/>
                      <w:sz w:val="21"/>
                      <w:szCs w:val="21"/>
                      <w:highlight w:val="none"/>
                      <w:lang w:val="en-US" w:eastAsia="zh-CN"/>
                    </w:rPr>
                    <w:t>2</w:t>
                  </w:r>
                  <w:r>
                    <w:rPr>
                      <w:rFonts w:hint="default"/>
                      <w:color w:val="auto"/>
                      <w:sz w:val="21"/>
                      <w:szCs w:val="21"/>
                      <w:highlight w:val="none"/>
                      <w:lang w:val="en-US" w:eastAsia="zh-CN"/>
                    </w:rPr>
                    <w:t>m</w:t>
                  </w:r>
                  <w:r>
                    <w:rPr>
                      <w:rFonts w:hint="eastAsia"/>
                      <w:color w:val="auto"/>
                      <w:sz w:val="21"/>
                      <w:szCs w:val="21"/>
                      <w:highlight w:val="none"/>
                      <w:lang w:val="en-US" w:eastAsia="zh-CN"/>
                    </w:rPr>
                    <w:t>排气筒排放</w:t>
                  </w:r>
                </w:p>
              </w:tc>
              <w:tc>
                <w:tcPr>
                  <w:tcW w:w="829" w:type="pct"/>
                  <w:tcBorders>
                    <w:tl2br w:val="nil"/>
                    <w:tr2bl w:val="nil"/>
                  </w:tcBorders>
                  <w:noWrap/>
                  <w:vAlign w:val="center"/>
                </w:tcPr>
                <w:p w14:paraId="60D7C0B4">
                  <w:pPr>
                    <w:bidi w:val="0"/>
                    <w:jc w:val="center"/>
                    <w:rPr>
                      <w:rFonts w:hint="default"/>
                      <w:color w:val="auto"/>
                      <w:sz w:val="21"/>
                      <w:szCs w:val="21"/>
                      <w:highlight w:val="none"/>
                      <w:lang w:val="en-US"/>
                    </w:rPr>
                  </w:pPr>
                  <w:r>
                    <w:rPr>
                      <w:rFonts w:hint="eastAsia" w:ascii="Times New Roman" w:hAnsi="Times New Roman" w:eastAsia="宋体" w:cs="Times New Roman"/>
                      <w:sz w:val="21"/>
                      <w:szCs w:val="21"/>
                      <w:highlight w:val="none"/>
                      <w:lang w:val="en-US" w:eastAsia="zh-CN"/>
                    </w:rPr>
                    <w:t>0.0</w:t>
                  </w:r>
                  <w:r>
                    <w:rPr>
                      <w:rFonts w:hint="eastAsia" w:cs="Times New Roman"/>
                      <w:sz w:val="21"/>
                      <w:szCs w:val="21"/>
                      <w:highlight w:val="none"/>
                      <w:lang w:val="en-US" w:eastAsia="zh-CN"/>
                    </w:rPr>
                    <w:t>15</w:t>
                  </w:r>
                </w:p>
              </w:tc>
              <w:tc>
                <w:tcPr>
                  <w:tcW w:w="826" w:type="pct"/>
                  <w:tcBorders>
                    <w:tl2br w:val="nil"/>
                    <w:tr2bl w:val="nil"/>
                  </w:tcBorders>
                  <w:noWrap/>
                  <w:vAlign w:val="center"/>
                </w:tcPr>
                <w:p w14:paraId="444EFBA0">
                  <w:pPr>
                    <w:bidi w:val="0"/>
                    <w:jc w:val="center"/>
                    <w:rPr>
                      <w:rFonts w:hint="default"/>
                      <w:color w:val="auto"/>
                      <w:sz w:val="21"/>
                      <w:szCs w:val="21"/>
                      <w:highlight w:val="none"/>
                    </w:rPr>
                  </w:pPr>
                  <w:r>
                    <w:rPr>
                      <w:rFonts w:hint="eastAsia" w:cs="Times New Roman"/>
                      <w:sz w:val="21"/>
                      <w:szCs w:val="21"/>
                      <w:highlight w:val="none"/>
                      <w:lang w:val="en-US" w:eastAsia="zh-CN"/>
                    </w:rPr>
                    <w:t>3.97</w:t>
                  </w:r>
                  <w:r>
                    <w:rPr>
                      <w:rFonts w:hint="eastAsia" w:ascii="Times New Roman" w:hAnsi="Times New Roman" w:eastAsia="宋体" w:cs="Times New Roman"/>
                      <w:sz w:val="21"/>
                      <w:szCs w:val="21"/>
                      <w:highlight w:val="none"/>
                      <w:lang w:val="en-US" w:eastAsia="zh-CN"/>
                    </w:rPr>
                    <w:t>×10</w:t>
                  </w:r>
                  <w:r>
                    <w:rPr>
                      <w:rFonts w:hint="eastAsia" w:ascii="Times New Roman" w:hAnsi="Times New Roman" w:eastAsia="宋体" w:cs="Times New Roman"/>
                      <w:sz w:val="21"/>
                      <w:szCs w:val="21"/>
                      <w:highlight w:val="none"/>
                      <w:vertAlign w:val="superscript"/>
                      <w:lang w:val="en-US" w:eastAsia="zh-CN"/>
                    </w:rPr>
                    <w:t>-3</w:t>
                  </w:r>
                </w:p>
              </w:tc>
              <w:tc>
                <w:tcPr>
                  <w:tcW w:w="975" w:type="pct"/>
                  <w:tcBorders>
                    <w:tl2br w:val="nil"/>
                    <w:tr2bl w:val="nil"/>
                  </w:tcBorders>
                  <w:noWrap w:val="0"/>
                  <w:vAlign w:val="center"/>
                </w:tcPr>
                <w:p w14:paraId="2714A604">
                  <w:pPr>
                    <w:bidi w:val="0"/>
                    <w:jc w:val="center"/>
                    <w:rPr>
                      <w:rFonts w:hint="default"/>
                      <w:color w:val="auto"/>
                      <w:sz w:val="21"/>
                      <w:szCs w:val="21"/>
                      <w:highlight w:val="none"/>
                      <w:lang w:val="en-US"/>
                    </w:rPr>
                  </w:pPr>
                  <w:r>
                    <w:rPr>
                      <w:rFonts w:hint="eastAsia"/>
                      <w:color w:val="auto"/>
                      <w:sz w:val="21"/>
                      <w:szCs w:val="21"/>
                      <w:highlight w:val="none"/>
                      <w:lang w:val="en-US" w:eastAsia="zh-CN"/>
                    </w:rPr>
                    <w:t>4.7</w:t>
                  </w:r>
                </w:p>
              </w:tc>
            </w:tr>
            <w:tr w14:paraId="20832A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567" w:type="pct"/>
                  <w:vMerge w:val="continue"/>
                  <w:tcBorders>
                    <w:tl2br w:val="nil"/>
                    <w:tr2bl w:val="nil"/>
                  </w:tcBorders>
                  <w:noWrap w:val="0"/>
                  <w:vAlign w:val="center"/>
                </w:tcPr>
                <w:p w14:paraId="5C04D71D">
                  <w:pPr>
                    <w:bidi w:val="0"/>
                    <w:jc w:val="center"/>
                    <w:rPr>
                      <w:rFonts w:hint="eastAsia"/>
                      <w:color w:val="auto"/>
                      <w:sz w:val="21"/>
                      <w:szCs w:val="21"/>
                      <w:highlight w:val="none"/>
                    </w:rPr>
                  </w:pPr>
                </w:p>
              </w:tc>
              <w:tc>
                <w:tcPr>
                  <w:tcW w:w="851" w:type="pct"/>
                  <w:tcBorders>
                    <w:tl2br w:val="nil"/>
                    <w:tr2bl w:val="nil"/>
                  </w:tcBorders>
                  <w:noWrap w:val="0"/>
                  <w:vAlign w:val="center"/>
                </w:tcPr>
                <w:p w14:paraId="0802982B">
                  <w:pPr>
                    <w:bidi w:val="0"/>
                    <w:jc w:val="center"/>
                    <w:rPr>
                      <w:rFonts w:hint="eastAsia"/>
                      <w:color w:val="auto"/>
                      <w:sz w:val="21"/>
                      <w:szCs w:val="21"/>
                      <w:highlight w:val="none"/>
                    </w:rPr>
                  </w:pPr>
                  <w:r>
                    <w:rPr>
                      <w:rFonts w:hint="eastAsia"/>
                      <w:color w:val="auto"/>
                      <w:sz w:val="21"/>
                      <w:szCs w:val="21"/>
                      <w:highlight w:val="none"/>
                      <w:lang w:val="en-US" w:eastAsia="zh-CN"/>
                    </w:rPr>
                    <w:t>二氧化硫</w:t>
                  </w:r>
                </w:p>
              </w:tc>
              <w:tc>
                <w:tcPr>
                  <w:tcW w:w="950" w:type="pct"/>
                  <w:vMerge w:val="continue"/>
                  <w:tcBorders>
                    <w:tl2br w:val="nil"/>
                    <w:tr2bl w:val="nil"/>
                  </w:tcBorders>
                  <w:noWrap w:val="0"/>
                  <w:vAlign w:val="center"/>
                </w:tcPr>
                <w:p w14:paraId="2675F8EA">
                  <w:pPr>
                    <w:bidi w:val="0"/>
                    <w:jc w:val="center"/>
                    <w:rPr>
                      <w:rFonts w:hint="eastAsia"/>
                      <w:color w:val="auto"/>
                      <w:sz w:val="21"/>
                      <w:szCs w:val="21"/>
                      <w:highlight w:val="none"/>
                    </w:rPr>
                  </w:pPr>
                </w:p>
              </w:tc>
              <w:tc>
                <w:tcPr>
                  <w:tcW w:w="829" w:type="pct"/>
                  <w:tcBorders>
                    <w:tl2br w:val="nil"/>
                    <w:tr2bl w:val="nil"/>
                  </w:tcBorders>
                  <w:noWrap/>
                  <w:vAlign w:val="center"/>
                </w:tcPr>
                <w:p w14:paraId="32FB2023">
                  <w:pPr>
                    <w:bidi w:val="0"/>
                    <w:jc w:val="center"/>
                    <w:rPr>
                      <w:rFonts w:hint="default"/>
                      <w:color w:val="auto"/>
                      <w:sz w:val="21"/>
                      <w:szCs w:val="21"/>
                      <w:highlight w:val="none"/>
                      <w:lang w:val="en-US"/>
                    </w:rPr>
                  </w:pPr>
                  <w:r>
                    <w:rPr>
                      <w:rFonts w:hint="eastAsia" w:cs="Times New Roman"/>
                      <w:sz w:val="21"/>
                      <w:szCs w:val="21"/>
                      <w:highlight w:val="none"/>
                      <w:lang w:val="en-US" w:eastAsia="zh-CN"/>
                    </w:rPr>
                    <w:t>0.004</w:t>
                  </w:r>
                </w:p>
              </w:tc>
              <w:tc>
                <w:tcPr>
                  <w:tcW w:w="826" w:type="pct"/>
                  <w:tcBorders>
                    <w:tl2br w:val="nil"/>
                    <w:tr2bl w:val="nil"/>
                  </w:tcBorders>
                  <w:noWrap/>
                  <w:vAlign w:val="center"/>
                </w:tcPr>
                <w:p w14:paraId="3222E25F">
                  <w:pPr>
                    <w:bidi w:val="0"/>
                    <w:jc w:val="center"/>
                    <w:rPr>
                      <w:rFonts w:hint="default"/>
                      <w:color w:val="auto"/>
                      <w:sz w:val="21"/>
                      <w:szCs w:val="21"/>
                      <w:highlight w:val="none"/>
                      <w:lang w:val="en-US"/>
                    </w:rPr>
                  </w:pPr>
                  <w:r>
                    <w:rPr>
                      <w:rFonts w:hint="eastAsia" w:cs="Times New Roman"/>
                      <w:sz w:val="21"/>
                      <w:szCs w:val="21"/>
                      <w:highlight w:val="none"/>
                      <w:lang w:val="en-US" w:eastAsia="zh-CN"/>
                    </w:rPr>
                    <w:t>9.49</w:t>
                  </w:r>
                  <w:r>
                    <w:rPr>
                      <w:rFonts w:hint="eastAsia" w:ascii="Times New Roman" w:hAnsi="Times New Roman" w:eastAsia="宋体" w:cs="Times New Roman"/>
                      <w:sz w:val="21"/>
                      <w:szCs w:val="21"/>
                      <w:highlight w:val="none"/>
                      <w:lang w:val="en-US" w:eastAsia="zh-CN"/>
                    </w:rPr>
                    <w:t>×10</w:t>
                  </w:r>
                  <w:r>
                    <w:rPr>
                      <w:rFonts w:hint="eastAsia" w:ascii="Times New Roman" w:hAnsi="Times New Roman" w:eastAsia="宋体" w:cs="Times New Roman"/>
                      <w:sz w:val="21"/>
                      <w:szCs w:val="21"/>
                      <w:highlight w:val="none"/>
                      <w:vertAlign w:val="superscript"/>
                      <w:lang w:val="en-US" w:eastAsia="zh-CN"/>
                    </w:rPr>
                    <w:t>-</w:t>
                  </w:r>
                  <w:r>
                    <w:rPr>
                      <w:rFonts w:hint="eastAsia" w:cs="Times New Roman"/>
                      <w:sz w:val="21"/>
                      <w:szCs w:val="21"/>
                      <w:highlight w:val="none"/>
                      <w:vertAlign w:val="superscript"/>
                      <w:lang w:val="en-US" w:eastAsia="zh-CN"/>
                    </w:rPr>
                    <w:t>4</w:t>
                  </w:r>
                </w:p>
              </w:tc>
              <w:tc>
                <w:tcPr>
                  <w:tcW w:w="975" w:type="pct"/>
                  <w:tcBorders>
                    <w:tl2br w:val="nil"/>
                    <w:tr2bl w:val="nil"/>
                  </w:tcBorders>
                  <w:noWrap w:val="0"/>
                  <w:vAlign w:val="center"/>
                </w:tcPr>
                <w:p w14:paraId="42E5F666">
                  <w:pPr>
                    <w:bidi w:val="0"/>
                    <w:jc w:val="center"/>
                    <w:rPr>
                      <w:rFonts w:hint="default"/>
                      <w:color w:val="auto"/>
                      <w:sz w:val="21"/>
                      <w:szCs w:val="21"/>
                      <w:highlight w:val="none"/>
                      <w:lang w:val="en-US"/>
                    </w:rPr>
                  </w:pPr>
                  <w:r>
                    <w:rPr>
                      <w:rFonts w:hint="eastAsia"/>
                      <w:color w:val="auto"/>
                      <w:sz w:val="21"/>
                      <w:szCs w:val="21"/>
                      <w:highlight w:val="none"/>
                      <w:lang w:val="en-US" w:eastAsia="zh-CN"/>
                    </w:rPr>
                    <w:t>未检出</w:t>
                  </w:r>
                </w:p>
              </w:tc>
            </w:tr>
            <w:tr w14:paraId="3DD2B73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567" w:type="pct"/>
                  <w:vMerge w:val="continue"/>
                  <w:tcBorders>
                    <w:tl2br w:val="nil"/>
                    <w:tr2bl w:val="nil"/>
                  </w:tcBorders>
                  <w:noWrap w:val="0"/>
                  <w:vAlign w:val="center"/>
                </w:tcPr>
                <w:p w14:paraId="67B20BCF">
                  <w:pPr>
                    <w:bidi w:val="0"/>
                    <w:jc w:val="center"/>
                    <w:rPr>
                      <w:rFonts w:hint="eastAsia"/>
                      <w:color w:val="auto"/>
                      <w:sz w:val="21"/>
                      <w:szCs w:val="21"/>
                      <w:highlight w:val="none"/>
                    </w:rPr>
                  </w:pPr>
                </w:p>
              </w:tc>
              <w:tc>
                <w:tcPr>
                  <w:tcW w:w="851" w:type="pct"/>
                  <w:tcBorders>
                    <w:tl2br w:val="nil"/>
                    <w:tr2bl w:val="nil"/>
                  </w:tcBorders>
                  <w:noWrap w:val="0"/>
                  <w:vAlign w:val="center"/>
                </w:tcPr>
                <w:p w14:paraId="19F1E914">
                  <w:pPr>
                    <w:bidi w:val="0"/>
                    <w:jc w:val="center"/>
                    <w:rPr>
                      <w:rFonts w:hint="eastAsia"/>
                      <w:color w:val="auto"/>
                      <w:sz w:val="21"/>
                      <w:szCs w:val="21"/>
                      <w:highlight w:val="none"/>
                    </w:rPr>
                  </w:pPr>
                  <w:r>
                    <w:rPr>
                      <w:rFonts w:hint="eastAsia"/>
                      <w:color w:val="auto"/>
                      <w:sz w:val="21"/>
                      <w:szCs w:val="21"/>
                      <w:highlight w:val="none"/>
                      <w:lang w:val="en-US" w:eastAsia="zh-CN"/>
                    </w:rPr>
                    <w:t>氮氧化物</w:t>
                  </w:r>
                </w:p>
              </w:tc>
              <w:tc>
                <w:tcPr>
                  <w:tcW w:w="950" w:type="pct"/>
                  <w:vMerge w:val="continue"/>
                  <w:tcBorders>
                    <w:tl2br w:val="nil"/>
                    <w:tr2bl w:val="nil"/>
                  </w:tcBorders>
                  <w:noWrap w:val="0"/>
                  <w:vAlign w:val="center"/>
                </w:tcPr>
                <w:p w14:paraId="2745A251">
                  <w:pPr>
                    <w:bidi w:val="0"/>
                    <w:jc w:val="center"/>
                    <w:rPr>
                      <w:rFonts w:hint="eastAsia"/>
                      <w:color w:val="auto"/>
                      <w:sz w:val="21"/>
                      <w:szCs w:val="21"/>
                      <w:highlight w:val="none"/>
                    </w:rPr>
                  </w:pPr>
                </w:p>
              </w:tc>
              <w:tc>
                <w:tcPr>
                  <w:tcW w:w="829" w:type="pct"/>
                  <w:tcBorders>
                    <w:tl2br w:val="nil"/>
                    <w:tr2bl w:val="nil"/>
                  </w:tcBorders>
                  <w:noWrap/>
                  <w:vAlign w:val="center"/>
                </w:tcPr>
                <w:p w14:paraId="7144BF30">
                  <w:pPr>
                    <w:bidi w:val="0"/>
                    <w:jc w:val="center"/>
                    <w:rPr>
                      <w:rFonts w:hint="default"/>
                      <w:color w:val="auto"/>
                      <w:sz w:val="21"/>
                      <w:szCs w:val="21"/>
                      <w:highlight w:val="none"/>
                      <w:lang w:val="en-US"/>
                    </w:rPr>
                  </w:pPr>
                  <w:r>
                    <w:rPr>
                      <w:rFonts w:hint="eastAsia"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177</w:t>
                  </w:r>
                </w:p>
              </w:tc>
              <w:tc>
                <w:tcPr>
                  <w:tcW w:w="826" w:type="pct"/>
                  <w:tcBorders>
                    <w:tl2br w:val="nil"/>
                    <w:tr2bl w:val="nil"/>
                  </w:tcBorders>
                  <w:noWrap/>
                  <w:vAlign w:val="center"/>
                </w:tcPr>
                <w:p w14:paraId="6031D5E2">
                  <w:pPr>
                    <w:bidi w:val="0"/>
                    <w:jc w:val="center"/>
                    <w:rPr>
                      <w:rFonts w:hint="default"/>
                      <w:color w:val="auto"/>
                      <w:sz w:val="21"/>
                      <w:szCs w:val="21"/>
                      <w:highlight w:val="none"/>
                    </w:rPr>
                  </w:pPr>
                  <w:r>
                    <w:rPr>
                      <w:rFonts w:hint="eastAsia" w:cs="Times New Roman"/>
                      <w:sz w:val="21"/>
                      <w:szCs w:val="21"/>
                      <w:highlight w:val="none"/>
                      <w:lang w:val="en-US" w:eastAsia="zh-CN"/>
                    </w:rPr>
                    <w:t>4.62</w:t>
                  </w:r>
                  <w:r>
                    <w:rPr>
                      <w:rFonts w:hint="eastAsia" w:ascii="Times New Roman" w:hAnsi="Times New Roman" w:eastAsia="宋体" w:cs="Times New Roman"/>
                      <w:sz w:val="21"/>
                      <w:szCs w:val="21"/>
                      <w:highlight w:val="none"/>
                      <w:lang w:val="en-US" w:eastAsia="zh-CN"/>
                    </w:rPr>
                    <w:t>×10</w:t>
                  </w:r>
                  <w:r>
                    <w:rPr>
                      <w:rFonts w:hint="eastAsia" w:ascii="Times New Roman" w:hAnsi="Times New Roman" w:eastAsia="宋体" w:cs="Times New Roman"/>
                      <w:sz w:val="21"/>
                      <w:szCs w:val="21"/>
                      <w:highlight w:val="none"/>
                      <w:vertAlign w:val="superscript"/>
                      <w:lang w:val="en-US" w:eastAsia="zh-CN"/>
                    </w:rPr>
                    <w:t>-2</w:t>
                  </w:r>
                </w:p>
              </w:tc>
              <w:tc>
                <w:tcPr>
                  <w:tcW w:w="975" w:type="pct"/>
                  <w:tcBorders>
                    <w:tl2br w:val="nil"/>
                    <w:tr2bl w:val="nil"/>
                  </w:tcBorders>
                  <w:noWrap w:val="0"/>
                  <w:vAlign w:val="center"/>
                </w:tcPr>
                <w:p w14:paraId="5E71050F">
                  <w:pPr>
                    <w:bidi w:val="0"/>
                    <w:jc w:val="center"/>
                    <w:rPr>
                      <w:rFonts w:hint="default"/>
                      <w:color w:val="auto"/>
                      <w:sz w:val="21"/>
                      <w:szCs w:val="21"/>
                      <w:highlight w:val="none"/>
                      <w:lang w:val="en-US"/>
                    </w:rPr>
                  </w:pPr>
                  <w:r>
                    <w:rPr>
                      <w:rFonts w:hint="eastAsia"/>
                      <w:color w:val="auto"/>
                      <w:sz w:val="21"/>
                      <w:szCs w:val="21"/>
                      <w:highlight w:val="none"/>
                      <w:lang w:val="en-US" w:eastAsia="zh-CN"/>
                    </w:rPr>
                    <w:t>32.67</w:t>
                  </w:r>
                </w:p>
              </w:tc>
            </w:tr>
          </w:tbl>
          <w:p w14:paraId="1ECDC7F3">
            <w:pPr>
              <w:pStyle w:val="3"/>
              <w:pageBreakBefore w:val="0"/>
              <w:kinsoku/>
              <w:wordWrap/>
              <w:overflowPunct/>
              <w:topLinePunct w:val="0"/>
              <w:autoSpaceDE/>
              <w:autoSpaceDN/>
              <w:bidi w:val="0"/>
              <w:adjustRightInd/>
              <w:snapToGrid/>
              <w:spacing w:line="360" w:lineRule="auto"/>
              <w:jc w:val="both"/>
              <w:textAlignment w:val="auto"/>
              <w:rPr>
                <w:sz w:val="24"/>
                <w:szCs w:val="24"/>
              </w:rPr>
            </w:pPr>
            <w:r>
              <w:rPr>
                <w:rFonts w:hint="eastAsia"/>
                <w:sz w:val="24"/>
                <w:szCs w:val="24"/>
                <w:lang w:val="en-US" w:eastAsia="zh-CN"/>
              </w:rPr>
              <w:t>3</w:t>
            </w:r>
            <w:r>
              <w:rPr>
                <w:sz w:val="24"/>
                <w:szCs w:val="24"/>
              </w:rPr>
              <w:t>.</w:t>
            </w:r>
            <w:r>
              <w:rPr>
                <w:rFonts w:hint="eastAsia"/>
                <w:sz w:val="24"/>
                <w:szCs w:val="24"/>
                <w:lang w:val="en-US" w:eastAsia="zh-CN"/>
              </w:rPr>
              <w:t>2</w:t>
            </w:r>
            <w:r>
              <w:rPr>
                <w:rFonts w:hint="eastAsia"/>
                <w:sz w:val="24"/>
                <w:szCs w:val="24"/>
              </w:rPr>
              <w:t>废水污染物排放情况</w:t>
            </w:r>
          </w:p>
          <w:p w14:paraId="7261347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lang w:val="en-US" w:eastAsia="zh-CN"/>
              </w:rPr>
            </w:pPr>
            <w:r>
              <w:rPr>
                <w:rFonts w:hint="eastAsia" w:cs="Times New Roman"/>
                <w:sz w:val="24"/>
                <w:szCs w:val="24"/>
                <w:highlight w:val="none"/>
                <w:lang w:val="en-US" w:eastAsia="zh-CN"/>
              </w:rPr>
              <w:t>原有项目废水污染物主要为生活污水和设备清洗废水，设备清洗废水循环使用，不外排，生活污水排入高新区海天污水处理厂。</w:t>
            </w:r>
          </w:p>
          <w:p w14:paraId="0B4945D9">
            <w:pPr>
              <w:pStyle w:val="3"/>
              <w:pageBreakBefore w:val="0"/>
              <w:kinsoku/>
              <w:wordWrap/>
              <w:overflowPunct/>
              <w:topLinePunct w:val="0"/>
              <w:autoSpaceDE/>
              <w:autoSpaceDN/>
              <w:bidi w:val="0"/>
              <w:adjustRightInd/>
              <w:snapToGrid/>
              <w:spacing w:line="360" w:lineRule="auto"/>
              <w:jc w:val="both"/>
              <w:textAlignment w:val="auto"/>
              <w:rPr>
                <w:sz w:val="24"/>
                <w:szCs w:val="24"/>
              </w:rPr>
            </w:pPr>
            <w:r>
              <w:rPr>
                <w:rFonts w:hint="eastAsia"/>
                <w:sz w:val="24"/>
                <w:szCs w:val="24"/>
                <w:lang w:val="en-US" w:eastAsia="zh-CN"/>
              </w:rPr>
              <w:t>3</w:t>
            </w:r>
            <w:r>
              <w:rPr>
                <w:sz w:val="24"/>
                <w:szCs w:val="24"/>
              </w:rPr>
              <w:t>.</w:t>
            </w:r>
            <w:r>
              <w:rPr>
                <w:rFonts w:hint="eastAsia"/>
                <w:sz w:val="24"/>
                <w:szCs w:val="24"/>
                <w:lang w:val="en-US" w:eastAsia="zh-CN"/>
              </w:rPr>
              <w:t>3</w:t>
            </w:r>
            <w:r>
              <w:rPr>
                <w:rFonts w:hint="eastAsia"/>
                <w:sz w:val="24"/>
                <w:szCs w:val="24"/>
              </w:rPr>
              <w:t>噪声</w:t>
            </w:r>
          </w:p>
          <w:p w14:paraId="15093D9F">
            <w:pPr>
              <w:pStyle w:val="17"/>
              <w:pageBreakBefore w:val="0"/>
              <w:kinsoku/>
              <w:wordWrap/>
              <w:overflowPunct/>
              <w:topLinePunct w:val="0"/>
              <w:autoSpaceDE/>
              <w:autoSpaceDN/>
              <w:bidi w:val="0"/>
              <w:adjustRightInd/>
              <w:snapToGrid/>
              <w:spacing w:line="360" w:lineRule="auto"/>
              <w:ind w:firstLine="480"/>
              <w:jc w:val="both"/>
              <w:textAlignment w:val="auto"/>
              <w:rPr>
                <w:rFonts w:hint="eastAsia"/>
                <w:bCs/>
                <w:sz w:val="24"/>
                <w:szCs w:val="24"/>
              </w:rPr>
            </w:pPr>
            <w:r>
              <w:rPr>
                <w:rFonts w:hint="eastAsia"/>
                <w:sz w:val="24"/>
                <w:szCs w:val="24"/>
              </w:rPr>
              <w:t>原有工程噪声源主要为机械</w:t>
            </w:r>
            <w:r>
              <w:rPr>
                <w:sz w:val="24"/>
                <w:szCs w:val="24"/>
                <w:lang w:val="zh-CN"/>
              </w:rPr>
              <w:t>设备</w:t>
            </w:r>
            <w:r>
              <w:rPr>
                <w:rFonts w:hint="eastAsia"/>
                <w:sz w:val="24"/>
                <w:szCs w:val="24"/>
                <w:lang w:val="zh-CN"/>
              </w:rPr>
              <w:t>和污水处理站设备噪声。</w:t>
            </w:r>
            <w:r>
              <w:rPr>
                <w:rFonts w:hint="eastAsia"/>
                <w:bCs/>
                <w:sz w:val="24"/>
                <w:szCs w:val="24"/>
              </w:rPr>
              <w:t>根据自行监测报告，昼间最大值为</w:t>
            </w:r>
            <w:r>
              <w:rPr>
                <w:rFonts w:hint="eastAsia"/>
                <w:sz w:val="24"/>
                <w:szCs w:val="24"/>
                <w:lang w:val="zh-CN" w:bidi="en-US"/>
              </w:rPr>
              <w:t>5</w:t>
            </w:r>
            <w:r>
              <w:rPr>
                <w:rFonts w:hint="eastAsia"/>
                <w:sz w:val="24"/>
                <w:szCs w:val="24"/>
                <w:lang w:val="en-US" w:eastAsia="zh-CN" w:bidi="en-US"/>
              </w:rPr>
              <w:t>2.2</w:t>
            </w:r>
            <w:r>
              <w:rPr>
                <w:rFonts w:hint="eastAsia"/>
                <w:bCs/>
                <w:sz w:val="24"/>
                <w:szCs w:val="24"/>
              </w:rPr>
              <w:t>dB(A)、</w:t>
            </w:r>
            <w:r>
              <w:rPr>
                <w:rFonts w:hint="eastAsia"/>
                <w:bCs/>
                <w:sz w:val="24"/>
                <w:szCs w:val="24"/>
                <w:lang w:val="en-US" w:eastAsia="zh-CN"/>
              </w:rPr>
              <w:t>企业</w:t>
            </w:r>
            <w:r>
              <w:rPr>
                <w:rFonts w:hint="eastAsia"/>
                <w:bCs/>
                <w:sz w:val="24"/>
                <w:szCs w:val="24"/>
              </w:rPr>
              <w:t>夜间</w:t>
            </w:r>
            <w:r>
              <w:rPr>
                <w:rFonts w:hint="eastAsia"/>
                <w:bCs/>
                <w:sz w:val="24"/>
                <w:szCs w:val="24"/>
                <w:lang w:val="en-US" w:eastAsia="zh-CN"/>
              </w:rPr>
              <w:t>不生产，无测量值</w:t>
            </w:r>
            <w:r>
              <w:rPr>
                <w:rFonts w:hint="eastAsia"/>
                <w:bCs/>
                <w:sz w:val="24"/>
                <w:szCs w:val="24"/>
              </w:rPr>
              <w:t>，原有项目昼间及夜间噪声值均满足《工业企业厂界环境噪声排放标准》（GB12348-2008）</w:t>
            </w:r>
            <w:r>
              <w:rPr>
                <w:rFonts w:hint="eastAsia"/>
                <w:bCs/>
                <w:sz w:val="24"/>
                <w:szCs w:val="24"/>
                <w:lang w:val="en-US" w:eastAsia="zh-CN"/>
              </w:rPr>
              <w:t>3</w:t>
            </w:r>
            <w:r>
              <w:rPr>
                <w:rFonts w:hint="eastAsia"/>
                <w:bCs/>
                <w:sz w:val="24"/>
                <w:szCs w:val="24"/>
              </w:rPr>
              <w:t>类区标准限值。</w:t>
            </w:r>
          </w:p>
          <w:p w14:paraId="4CD520CB">
            <w:pPr>
              <w:pStyle w:val="50"/>
              <w:widowControl/>
              <w:adjustRightInd/>
              <w:snapToGrid/>
              <w:spacing w:after="0"/>
              <w:rPr>
                <w:rFonts w:hint="eastAsia"/>
                <w:lang w:val="en-US" w:eastAsia="zh-CN"/>
              </w:rPr>
            </w:pPr>
            <w:r>
              <w:rPr>
                <w:rFonts w:hint="default" w:ascii="Times New Roman" w:hAnsi="Times New Roman" w:eastAsia="宋体" w:cs="Times New Roman"/>
                <w:color w:val="auto"/>
                <w:sz w:val="21"/>
                <w:highlight w:val="none"/>
              </w:rPr>
              <w:t>表</w:t>
            </w:r>
            <w:r>
              <w:rPr>
                <w:rFonts w:hint="eastAsia" w:ascii="Times New Roman" w:hAnsi="Times New Roman" w:eastAsia="宋体" w:cs="Times New Roman"/>
                <w:color w:val="auto"/>
                <w:sz w:val="21"/>
                <w:highlight w:val="none"/>
                <w:lang w:val="en-US" w:eastAsia="zh-CN"/>
              </w:rPr>
              <w:t>2-</w:t>
            </w:r>
            <w:r>
              <w:rPr>
                <w:rFonts w:hint="eastAsia" w:cs="Times New Roman"/>
                <w:color w:val="auto"/>
                <w:sz w:val="21"/>
                <w:highlight w:val="none"/>
                <w:lang w:val="en-US" w:eastAsia="zh-CN"/>
              </w:rPr>
              <w:t>13</w:t>
            </w:r>
            <w:r>
              <w:rPr>
                <w:rFonts w:hint="default" w:ascii="Times New Roman" w:hAnsi="Times New Roman" w:eastAsia="宋体" w:cs="Times New Roman"/>
                <w:color w:val="auto"/>
                <w:sz w:val="21"/>
                <w:highlight w:val="none"/>
              </w:rPr>
              <w:t xml:space="preserve">    </w:t>
            </w:r>
            <w:r>
              <w:rPr>
                <w:rFonts w:hint="eastAsia" w:ascii="Times New Roman" w:hAnsi="Times New Roman" w:eastAsia="宋体" w:cs="Times New Roman"/>
                <w:color w:val="auto"/>
                <w:sz w:val="21"/>
                <w:highlight w:val="none"/>
                <w:lang w:val="en-US" w:eastAsia="zh-CN"/>
              </w:rPr>
              <w:t>原有工程</w:t>
            </w:r>
            <w:r>
              <w:rPr>
                <w:rFonts w:hint="eastAsia" w:cs="Times New Roman"/>
                <w:color w:val="auto"/>
                <w:sz w:val="21"/>
                <w:highlight w:val="none"/>
                <w:lang w:val="en-US" w:eastAsia="zh-CN"/>
              </w:rPr>
              <w:t>噪声</w:t>
            </w:r>
            <w:r>
              <w:rPr>
                <w:rFonts w:hint="eastAsia" w:ascii="Times New Roman" w:hAnsi="Times New Roman" w:eastAsia="宋体" w:cs="Times New Roman"/>
                <w:color w:val="auto"/>
                <w:sz w:val="21"/>
                <w:highlight w:val="none"/>
                <w:lang w:val="en-US" w:eastAsia="zh-CN"/>
              </w:rPr>
              <w:t>排放</w:t>
            </w:r>
            <w:r>
              <w:rPr>
                <w:rFonts w:hint="default" w:ascii="Times New Roman" w:hAnsi="Times New Roman" w:eastAsia="宋体" w:cs="Times New Roman"/>
                <w:color w:val="auto"/>
                <w:sz w:val="21"/>
                <w:highlight w:val="none"/>
              </w:rPr>
              <w:t>一览表</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19"/>
              <w:gridCol w:w="2343"/>
              <w:gridCol w:w="2160"/>
              <w:gridCol w:w="2289"/>
            </w:tblGrid>
            <w:tr w14:paraId="0749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4" w:type="pct"/>
                  <w:vMerge w:val="restart"/>
                  <w:tcBorders>
                    <w:tl2br w:val="nil"/>
                    <w:tr2bl w:val="nil"/>
                  </w:tcBorders>
                  <w:shd w:val="clear" w:color="auto" w:fill="auto"/>
                  <w:vAlign w:val="center"/>
                </w:tcPr>
                <w:p w14:paraId="341F8E75">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序号</w:t>
                  </w:r>
                </w:p>
              </w:tc>
              <w:tc>
                <w:tcPr>
                  <w:tcW w:w="1426" w:type="pct"/>
                  <w:vMerge w:val="restart"/>
                  <w:tcBorders>
                    <w:tl2br w:val="nil"/>
                    <w:tr2bl w:val="nil"/>
                  </w:tcBorders>
                  <w:shd w:val="clear" w:color="auto" w:fill="auto"/>
                  <w:vAlign w:val="center"/>
                </w:tcPr>
                <w:p w14:paraId="69C473F7">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位置</w:t>
                  </w:r>
                </w:p>
              </w:tc>
              <w:tc>
                <w:tcPr>
                  <w:tcW w:w="2708" w:type="pct"/>
                  <w:gridSpan w:val="2"/>
                  <w:tcBorders>
                    <w:tl2br w:val="nil"/>
                    <w:tr2bl w:val="nil"/>
                  </w:tcBorders>
                  <w:shd w:val="clear" w:color="auto" w:fill="auto"/>
                  <w:vAlign w:val="center"/>
                </w:tcPr>
                <w:p w14:paraId="7D9AF81A">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背景值</w:t>
                  </w:r>
                </w:p>
              </w:tc>
            </w:tr>
            <w:tr w14:paraId="38E52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864" w:type="pct"/>
                  <w:vMerge w:val="continue"/>
                  <w:tcBorders>
                    <w:tl2br w:val="nil"/>
                    <w:tr2bl w:val="nil"/>
                  </w:tcBorders>
                  <w:shd w:val="clear" w:color="auto" w:fill="auto"/>
                  <w:vAlign w:val="center"/>
                </w:tcPr>
                <w:p w14:paraId="1AAAF518">
                  <w:pPr>
                    <w:pageBreakBefore w:val="0"/>
                    <w:bidi w:val="0"/>
                    <w:spacing w:line="240" w:lineRule="auto"/>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1426" w:type="pct"/>
                  <w:vMerge w:val="continue"/>
                  <w:tcBorders>
                    <w:tl2br w:val="nil"/>
                    <w:tr2bl w:val="nil"/>
                  </w:tcBorders>
                  <w:shd w:val="clear" w:color="auto" w:fill="auto"/>
                  <w:vAlign w:val="center"/>
                </w:tcPr>
                <w:p w14:paraId="016AE50A">
                  <w:pPr>
                    <w:pageBreakBefore w:val="0"/>
                    <w:bidi w:val="0"/>
                    <w:spacing w:line="240" w:lineRule="auto"/>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1315" w:type="pct"/>
                  <w:tcBorders>
                    <w:tl2br w:val="nil"/>
                    <w:tr2bl w:val="nil"/>
                  </w:tcBorders>
                  <w:shd w:val="clear" w:color="auto" w:fill="auto"/>
                  <w:vAlign w:val="center"/>
                </w:tcPr>
                <w:p w14:paraId="14D49282">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昼间</w:t>
                  </w:r>
                </w:p>
              </w:tc>
              <w:tc>
                <w:tcPr>
                  <w:tcW w:w="1393" w:type="pct"/>
                  <w:tcBorders>
                    <w:tl2br w:val="nil"/>
                    <w:tr2bl w:val="nil"/>
                  </w:tcBorders>
                  <w:shd w:val="clear" w:color="auto" w:fill="auto"/>
                  <w:vAlign w:val="center"/>
                </w:tcPr>
                <w:p w14:paraId="7F583A24">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夜间</w:t>
                  </w:r>
                </w:p>
              </w:tc>
            </w:tr>
            <w:tr w14:paraId="5590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864" w:type="pct"/>
                  <w:tcBorders>
                    <w:tl2br w:val="nil"/>
                    <w:tr2bl w:val="nil"/>
                  </w:tcBorders>
                  <w:shd w:val="clear" w:color="auto" w:fill="auto"/>
                  <w:vAlign w:val="center"/>
                </w:tcPr>
                <w:p w14:paraId="10D0E76D">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26" w:type="pct"/>
                  <w:tcBorders>
                    <w:tl2br w:val="nil"/>
                    <w:tr2bl w:val="nil"/>
                  </w:tcBorders>
                  <w:shd w:val="clear" w:color="auto" w:fill="auto"/>
                  <w:vAlign w:val="center"/>
                </w:tcPr>
                <w:p w14:paraId="20821444">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厂区边界东</w:t>
                  </w:r>
                </w:p>
              </w:tc>
              <w:tc>
                <w:tcPr>
                  <w:tcW w:w="1315" w:type="pct"/>
                  <w:tcBorders>
                    <w:tl2br w:val="nil"/>
                    <w:tr2bl w:val="nil"/>
                  </w:tcBorders>
                  <w:shd w:val="clear" w:color="auto" w:fill="auto"/>
                  <w:vAlign w:val="center"/>
                </w:tcPr>
                <w:p w14:paraId="0816A64E">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51</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1393" w:type="pct"/>
                  <w:tcBorders>
                    <w:tl2br w:val="nil"/>
                    <w:tr2bl w:val="nil"/>
                  </w:tcBorders>
                  <w:shd w:val="clear" w:color="auto" w:fill="auto"/>
                  <w:vAlign w:val="center"/>
                </w:tcPr>
                <w:p w14:paraId="3883C785">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566E5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864" w:type="pct"/>
                  <w:tcBorders>
                    <w:tl2br w:val="nil"/>
                    <w:tr2bl w:val="nil"/>
                  </w:tcBorders>
                  <w:shd w:val="clear" w:color="auto" w:fill="auto"/>
                  <w:vAlign w:val="center"/>
                </w:tcPr>
                <w:p w14:paraId="361FE2B8">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1426" w:type="pct"/>
                  <w:tcBorders>
                    <w:tl2br w:val="nil"/>
                    <w:tr2bl w:val="nil"/>
                  </w:tcBorders>
                  <w:shd w:val="clear" w:color="auto" w:fill="auto"/>
                  <w:vAlign w:val="center"/>
                </w:tcPr>
                <w:p w14:paraId="434D47E3">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厂区边界南</w:t>
                  </w:r>
                </w:p>
              </w:tc>
              <w:tc>
                <w:tcPr>
                  <w:tcW w:w="1315" w:type="pct"/>
                  <w:tcBorders>
                    <w:tl2br w:val="nil"/>
                    <w:tr2bl w:val="nil"/>
                  </w:tcBorders>
                  <w:shd w:val="clear" w:color="auto" w:fill="auto"/>
                  <w:vAlign w:val="center"/>
                </w:tcPr>
                <w:p w14:paraId="0AA77F4F">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w:t>
                  </w:r>
                </w:p>
              </w:tc>
              <w:tc>
                <w:tcPr>
                  <w:tcW w:w="1393" w:type="pct"/>
                  <w:tcBorders>
                    <w:tl2br w:val="nil"/>
                    <w:tr2bl w:val="nil"/>
                  </w:tcBorders>
                  <w:shd w:val="clear" w:color="auto" w:fill="auto"/>
                  <w:vAlign w:val="center"/>
                </w:tcPr>
                <w:p w14:paraId="4731E392">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28BC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864" w:type="pct"/>
                  <w:tcBorders>
                    <w:tl2br w:val="nil"/>
                    <w:tr2bl w:val="nil"/>
                  </w:tcBorders>
                  <w:shd w:val="clear" w:color="auto" w:fill="auto"/>
                  <w:vAlign w:val="center"/>
                </w:tcPr>
                <w:p w14:paraId="3A579BF2">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1426" w:type="pct"/>
                  <w:tcBorders>
                    <w:tl2br w:val="nil"/>
                    <w:tr2bl w:val="nil"/>
                  </w:tcBorders>
                  <w:shd w:val="clear" w:color="auto" w:fill="auto"/>
                  <w:vAlign w:val="center"/>
                </w:tcPr>
                <w:p w14:paraId="7845A5D9">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厂区边界西</w:t>
                  </w:r>
                </w:p>
              </w:tc>
              <w:tc>
                <w:tcPr>
                  <w:tcW w:w="1315" w:type="pct"/>
                  <w:tcBorders>
                    <w:tl2br w:val="nil"/>
                    <w:tr2bl w:val="nil"/>
                  </w:tcBorders>
                  <w:shd w:val="clear" w:color="auto" w:fill="auto"/>
                  <w:vAlign w:val="center"/>
                </w:tcPr>
                <w:p w14:paraId="018B7853">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51</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w:t>
                  </w:r>
                </w:p>
              </w:tc>
              <w:tc>
                <w:tcPr>
                  <w:tcW w:w="1393" w:type="pct"/>
                  <w:tcBorders>
                    <w:tl2br w:val="nil"/>
                    <w:tr2bl w:val="nil"/>
                  </w:tcBorders>
                  <w:shd w:val="clear" w:color="auto" w:fill="auto"/>
                  <w:vAlign w:val="center"/>
                </w:tcPr>
                <w:p w14:paraId="481A189E">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505C0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4" w:type="pct"/>
                  <w:tcBorders>
                    <w:tl2br w:val="nil"/>
                    <w:tr2bl w:val="nil"/>
                  </w:tcBorders>
                  <w:shd w:val="clear" w:color="auto" w:fill="auto"/>
                  <w:vAlign w:val="center"/>
                </w:tcPr>
                <w:p w14:paraId="4FB623FA">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1426" w:type="pct"/>
                  <w:tcBorders>
                    <w:tl2br w:val="nil"/>
                    <w:tr2bl w:val="nil"/>
                  </w:tcBorders>
                  <w:shd w:val="clear" w:color="auto" w:fill="auto"/>
                  <w:vAlign w:val="center"/>
                </w:tcPr>
                <w:p w14:paraId="3DB5CA0E">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厂区边界北</w:t>
                  </w:r>
                </w:p>
              </w:tc>
              <w:tc>
                <w:tcPr>
                  <w:tcW w:w="1315" w:type="pct"/>
                  <w:tcBorders>
                    <w:tl2br w:val="nil"/>
                    <w:tr2bl w:val="nil"/>
                  </w:tcBorders>
                  <w:shd w:val="clear" w:color="auto" w:fill="auto"/>
                  <w:vAlign w:val="center"/>
                </w:tcPr>
                <w:p w14:paraId="3314E353">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w:t>
                  </w:r>
                </w:p>
              </w:tc>
              <w:tc>
                <w:tcPr>
                  <w:tcW w:w="1393" w:type="pct"/>
                  <w:tcBorders>
                    <w:tl2br w:val="nil"/>
                    <w:tr2bl w:val="nil"/>
                  </w:tcBorders>
                  <w:shd w:val="clear" w:color="auto" w:fill="auto"/>
                  <w:vAlign w:val="center"/>
                </w:tcPr>
                <w:p w14:paraId="00AA737F">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bl>
          <w:p w14:paraId="1E8DC18C">
            <w:pPr>
              <w:pStyle w:val="3"/>
              <w:pageBreakBefore w:val="0"/>
              <w:kinsoku/>
              <w:wordWrap/>
              <w:overflowPunct/>
              <w:topLinePunct w:val="0"/>
              <w:autoSpaceDE/>
              <w:autoSpaceDN/>
              <w:bidi w:val="0"/>
              <w:adjustRightInd/>
              <w:snapToGrid/>
              <w:spacing w:line="360" w:lineRule="auto"/>
              <w:jc w:val="both"/>
              <w:textAlignment w:val="auto"/>
              <w:rPr>
                <w:sz w:val="24"/>
                <w:szCs w:val="24"/>
              </w:rPr>
            </w:pPr>
            <w:r>
              <w:rPr>
                <w:rFonts w:hint="eastAsia"/>
                <w:sz w:val="24"/>
                <w:szCs w:val="24"/>
                <w:lang w:val="en-US" w:eastAsia="zh-CN"/>
              </w:rPr>
              <w:t>3</w:t>
            </w:r>
            <w:r>
              <w:rPr>
                <w:sz w:val="24"/>
                <w:szCs w:val="24"/>
              </w:rPr>
              <w:t>.</w:t>
            </w:r>
            <w:r>
              <w:rPr>
                <w:rFonts w:hint="eastAsia"/>
                <w:sz w:val="24"/>
                <w:szCs w:val="24"/>
                <w:lang w:val="en-US" w:eastAsia="zh-CN"/>
              </w:rPr>
              <w:t>4</w:t>
            </w:r>
            <w:r>
              <w:rPr>
                <w:rFonts w:hint="eastAsia"/>
                <w:sz w:val="24"/>
                <w:szCs w:val="24"/>
              </w:rPr>
              <w:t>固废</w:t>
            </w:r>
          </w:p>
          <w:p w14:paraId="3F46E7F5">
            <w:pPr>
              <w:pStyle w:val="17"/>
              <w:pageBreakBefore w:val="0"/>
              <w:kinsoku/>
              <w:wordWrap/>
              <w:overflowPunct/>
              <w:topLinePunct w:val="0"/>
              <w:autoSpaceDE/>
              <w:autoSpaceDN/>
              <w:bidi w:val="0"/>
              <w:adjustRightInd/>
              <w:snapToGrid/>
              <w:spacing w:line="360" w:lineRule="auto"/>
              <w:ind w:firstLine="480"/>
              <w:jc w:val="both"/>
              <w:textAlignment w:val="auto"/>
              <w:rPr>
                <w:rFonts w:hint="eastAsia"/>
                <w:sz w:val="24"/>
                <w:szCs w:val="24"/>
              </w:rPr>
            </w:pPr>
            <w:r>
              <w:rPr>
                <w:rFonts w:hint="eastAsia"/>
                <w:sz w:val="24"/>
                <w:szCs w:val="24"/>
              </w:rPr>
              <w:t>原有工程固体废物主要为废包装物、生活垃圾。根据</w:t>
            </w:r>
            <w:r>
              <w:rPr>
                <w:rFonts w:hint="eastAsia"/>
                <w:bCs/>
                <w:sz w:val="24"/>
                <w:szCs w:val="24"/>
              </w:rPr>
              <w:t>2</w:t>
            </w:r>
            <w:r>
              <w:rPr>
                <w:bCs/>
                <w:sz w:val="24"/>
                <w:szCs w:val="24"/>
              </w:rPr>
              <w:t>0</w:t>
            </w:r>
            <w:r>
              <w:rPr>
                <w:rFonts w:hint="eastAsia"/>
                <w:bCs/>
                <w:sz w:val="24"/>
                <w:szCs w:val="24"/>
                <w:lang w:val="en-US" w:eastAsia="zh-CN"/>
              </w:rPr>
              <w:t>17</w:t>
            </w:r>
            <w:r>
              <w:rPr>
                <w:rFonts w:hint="eastAsia"/>
                <w:bCs/>
                <w:sz w:val="24"/>
                <w:szCs w:val="24"/>
              </w:rPr>
              <w:t>年</w:t>
            </w:r>
            <w:r>
              <w:rPr>
                <w:rFonts w:hint="eastAsia"/>
                <w:bCs/>
                <w:sz w:val="24"/>
                <w:szCs w:val="24"/>
                <w:lang w:val="en-US" w:eastAsia="zh-CN"/>
              </w:rPr>
              <w:t>11</w:t>
            </w:r>
            <w:r>
              <w:rPr>
                <w:rFonts w:hint="eastAsia"/>
                <w:bCs/>
                <w:sz w:val="24"/>
                <w:szCs w:val="24"/>
              </w:rPr>
              <w:t>月《新疆</w:t>
            </w:r>
            <w:r>
              <w:rPr>
                <w:rFonts w:hint="eastAsia"/>
                <w:bCs/>
                <w:sz w:val="24"/>
                <w:szCs w:val="24"/>
                <w:lang w:val="en-US" w:eastAsia="zh-CN"/>
              </w:rPr>
              <w:t>天佳利美防水保温有限公司年产1000万m</w:t>
            </w:r>
            <w:r>
              <w:rPr>
                <w:rFonts w:hint="eastAsia"/>
                <w:bCs/>
                <w:sz w:val="24"/>
                <w:szCs w:val="24"/>
                <w:vertAlign w:val="superscript"/>
                <w:lang w:val="en-US" w:eastAsia="zh-CN"/>
              </w:rPr>
              <w:t>2</w:t>
            </w:r>
            <w:r>
              <w:rPr>
                <w:rFonts w:hint="eastAsia"/>
                <w:bCs/>
                <w:sz w:val="24"/>
                <w:szCs w:val="24"/>
                <w:lang w:val="en-US" w:eastAsia="zh-CN"/>
              </w:rPr>
              <w:t>防水卷材料</w:t>
            </w:r>
            <w:r>
              <w:rPr>
                <w:rFonts w:hint="eastAsia"/>
                <w:bCs/>
                <w:sz w:val="24"/>
                <w:szCs w:val="24"/>
              </w:rPr>
              <w:t>项目》竣工环境保护验收报告表，</w:t>
            </w:r>
            <w:r>
              <w:rPr>
                <w:rFonts w:hint="eastAsia"/>
                <w:sz w:val="24"/>
                <w:szCs w:val="24"/>
              </w:rPr>
              <w:t>废包装物为</w:t>
            </w:r>
            <w:r>
              <w:rPr>
                <w:rFonts w:hint="eastAsia"/>
                <w:sz w:val="24"/>
                <w:szCs w:val="24"/>
                <w:lang w:val="en-US" w:eastAsia="zh-CN"/>
              </w:rPr>
              <w:t>4.4</w:t>
            </w:r>
            <w:r>
              <w:rPr>
                <w:sz w:val="24"/>
                <w:szCs w:val="24"/>
              </w:rPr>
              <w:t>t/a</w:t>
            </w:r>
            <w:r>
              <w:rPr>
                <w:rFonts w:hint="eastAsia"/>
                <w:sz w:val="24"/>
                <w:szCs w:val="24"/>
              </w:rPr>
              <w:t>，生活垃圾为</w:t>
            </w:r>
            <w:r>
              <w:rPr>
                <w:rFonts w:hint="eastAsia"/>
                <w:sz w:val="24"/>
                <w:szCs w:val="24"/>
                <w:lang w:val="en-US" w:eastAsia="zh-CN"/>
              </w:rPr>
              <w:t>1.8</w:t>
            </w:r>
            <w:r>
              <w:rPr>
                <w:sz w:val="24"/>
                <w:szCs w:val="24"/>
              </w:rPr>
              <w:t>t/a</w:t>
            </w:r>
            <w:r>
              <w:rPr>
                <w:rFonts w:hint="eastAsia"/>
                <w:sz w:val="24"/>
                <w:szCs w:val="24"/>
              </w:rPr>
              <w:t>。废包装物集中收集后外售，生活垃圾由环卫部门清运处理。</w:t>
            </w:r>
          </w:p>
          <w:p w14:paraId="649947E4">
            <w:pPr>
              <w:pStyle w:val="50"/>
              <w:widowControl/>
              <w:adjustRightInd/>
              <w:snapToGrid/>
              <w:spacing w:after="0"/>
              <w:rPr>
                <w:rFonts w:hint="eastAsia"/>
                <w:sz w:val="24"/>
                <w:szCs w:val="24"/>
              </w:rPr>
            </w:pPr>
            <w:r>
              <w:rPr>
                <w:rFonts w:hint="default" w:ascii="Times New Roman" w:hAnsi="Times New Roman" w:eastAsia="宋体" w:cs="Times New Roman"/>
                <w:color w:val="auto"/>
                <w:sz w:val="21"/>
                <w:highlight w:val="none"/>
              </w:rPr>
              <w:t>表</w:t>
            </w:r>
            <w:r>
              <w:rPr>
                <w:rFonts w:hint="eastAsia" w:ascii="Times New Roman" w:hAnsi="Times New Roman" w:eastAsia="宋体" w:cs="Times New Roman"/>
                <w:color w:val="auto"/>
                <w:sz w:val="21"/>
                <w:highlight w:val="none"/>
                <w:lang w:val="en-US" w:eastAsia="zh-CN"/>
              </w:rPr>
              <w:t>2-</w:t>
            </w:r>
            <w:r>
              <w:rPr>
                <w:rFonts w:hint="eastAsia" w:cs="Times New Roman"/>
                <w:color w:val="auto"/>
                <w:sz w:val="21"/>
                <w:highlight w:val="none"/>
                <w:lang w:val="en-US" w:eastAsia="zh-CN"/>
              </w:rPr>
              <w:t>14</w:t>
            </w:r>
            <w:r>
              <w:rPr>
                <w:rFonts w:hint="default" w:ascii="Times New Roman" w:hAnsi="Times New Roman" w:eastAsia="宋体" w:cs="Times New Roman"/>
                <w:color w:val="auto"/>
                <w:sz w:val="21"/>
                <w:highlight w:val="none"/>
              </w:rPr>
              <w:t xml:space="preserve">    </w:t>
            </w:r>
            <w:r>
              <w:rPr>
                <w:rFonts w:hint="eastAsia" w:ascii="Times New Roman" w:hAnsi="Times New Roman" w:eastAsia="宋体" w:cs="Times New Roman"/>
                <w:color w:val="auto"/>
                <w:sz w:val="21"/>
                <w:highlight w:val="none"/>
                <w:lang w:val="en-US" w:eastAsia="zh-CN"/>
              </w:rPr>
              <w:t>原有工程</w:t>
            </w:r>
            <w:r>
              <w:rPr>
                <w:rFonts w:hint="eastAsia" w:cs="Times New Roman"/>
                <w:color w:val="auto"/>
                <w:sz w:val="21"/>
                <w:highlight w:val="none"/>
                <w:lang w:val="en-US" w:eastAsia="zh-CN"/>
              </w:rPr>
              <w:t>固废</w:t>
            </w:r>
            <w:r>
              <w:rPr>
                <w:rFonts w:hint="eastAsia" w:ascii="Times New Roman" w:hAnsi="Times New Roman" w:eastAsia="宋体" w:cs="Times New Roman"/>
                <w:color w:val="auto"/>
                <w:sz w:val="21"/>
                <w:highlight w:val="none"/>
                <w:lang w:val="en-US" w:eastAsia="zh-CN"/>
              </w:rPr>
              <w:t>排放</w:t>
            </w:r>
            <w:r>
              <w:rPr>
                <w:rFonts w:hint="default" w:ascii="Times New Roman" w:hAnsi="Times New Roman" w:eastAsia="宋体" w:cs="Times New Roman"/>
                <w:color w:val="auto"/>
                <w:sz w:val="21"/>
                <w:highlight w:val="none"/>
              </w:rPr>
              <w:t>一览表</w:t>
            </w:r>
          </w:p>
          <w:tbl>
            <w:tblPr>
              <w:tblStyle w:val="19"/>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671"/>
              <w:gridCol w:w="1600"/>
              <w:gridCol w:w="1779"/>
              <w:gridCol w:w="3173"/>
            </w:tblGrid>
            <w:tr w14:paraId="15F84C1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988" w:type="pct"/>
                  <w:gridSpan w:val="2"/>
                  <w:tcBorders>
                    <w:bottom w:val="single" w:color="000000" w:sz="12" w:space="0"/>
                  </w:tcBorders>
                  <w:noWrap w:val="0"/>
                  <w:vAlign w:val="center"/>
                </w:tcPr>
                <w:p w14:paraId="7EFCD92B">
                  <w:pPr>
                    <w:widowControl/>
                    <w:kinsoku w:val="0"/>
                    <w:autoSpaceDE w:val="0"/>
                    <w:autoSpaceDN w:val="0"/>
                    <w:adjustRightInd w:val="0"/>
                    <w:snapToGrid w:val="0"/>
                    <w:jc w:val="center"/>
                    <w:textAlignment w:val="baseline"/>
                    <w:rPr>
                      <w:b/>
                      <w:bCs/>
                      <w:color w:val="auto"/>
                      <w:szCs w:val="21"/>
                      <w:highlight w:val="none"/>
                    </w:rPr>
                  </w:pPr>
                  <w:r>
                    <w:rPr>
                      <w:b/>
                      <w:bCs/>
                      <w:color w:val="auto"/>
                      <w:szCs w:val="21"/>
                      <w:highlight w:val="none"/>
                    </w:rPr>
                    <w:t>类别</w:t>
                  </w:r>
                </w:p>
              </w:tc>
              <w:tc>
                <w:tcPr>
                  <w:tcW w:w="1081" w:type="pct"/>
                  <w:tcBorders>
                    <w:bottom w:val="single" w:color="000000" w:sz="12" w:space="0"/>
                  </w:tcBorders>
                  <w:noWrap w:val="0"/>
                  <w:vAlign w:val="center"/>
                </w:tcPr>
                <w:p w14:paraId="56E34476">
                  <w:pPr>
                    <w:widowControl/>
                    <w:kinsoku w:val="0"/>
                    <w:autoSpaceDE w:val="0"/>
                    <w:autoSpaceDN w:val="0"/>
                    <w:adjustRightInd w:val="0"/>
                    <w:snapToGrid w:val="0"/>
                    <w:jc w:val="center"/>
                    <w:textAlignment w:val="baseline"/>
                    <w:rPr>
                      <w:rFonts w:hint="eastAsia"/>
                      <w:b/>
                      <w:bCs/>
                      <w:color w:val="auto"/>
                      <w:szCs w:val="21"/>
                      <w:highlight w:val="none"/>
                    </w:rPr>
                  </w:pPr>
                  <w:r>
                    <w:rPr>
                      <w:b/>
                      <w:bCs/>
                      <w:color w:val="auto"/>
                      <w:szCs w:val="21"/>
                      <w:highlight w:val="none"/>
                    </w:rPr>
                    <w:t>产生量</w:t>
                  </w:r>
                  <w:r>
                    <w:rPr>
                      <w:rFonts w:hint="eastAsia"/>
                      <w:b/>
                      <w:bCs/>
                      <w:color w:val="auto"/>
                      <w:szCs w:val="21"/>
                      <w:highlight w:val="none"/>
                    </w:rPr>
                    <w:t>（</w:t>
                  </w:r>
                  <w:r>
                    <w:rPr>
                      <w:rFonts w:eastAsia="Times New Roman"/>
                      <w:b/>
                      <w:bCs/>
                      <w:color w:val="auto"/>
                      <w:szCs w:val="21"/>
                      <w:highlight w:val="none"/>
                    </w:rPr>
                    <w:t>t/a</w:t>
                  </w:r>
                  <w:r>
                    <w:rPr>
                      <w:rFonts w:hint="eastAsia"/>
                      <w:b/>
                      <w:bCs/>
                      <w:color w:val="auto"/>
                      <w:szCs w:val="21"/>
                      <w:highlight w:val="none"/>
                    </w:rPr>
                    <w:t>）</w:t>
                  </w:r>
                </w:p>
              </w:tc>
              <w:tc>
                <w:tcPr>
                  <w:tcW w:w="1929" w:type="pct"/>
                  <w:tcBorders>
                    <w:bottom w:val="single" w:color="000000" w:sz="12" w:space="0"/>
                  </w:tcBorders>
                  <w:noWrap w:val="0"/>
                  <w:vAlign w:val="center"/>
                </w:tcPr>
                <w:p w14:paraId="53A43C2F">
                  <w:pPr>
                    <w:widowControl/>
                    <w:kinsoku w:val="0"/>
                    <w:autoSpaceDE w:val="0"/>
                    <w:autoSpaceDN w:val="0"/>
                    <w:adjustRightInd w:val="0"/>
                    <w:snapToGrid w:val="0"/>
                    <w:jc w:val="center"/>
                    <w:textAlignment w:val="baseline"/>
                    <w:rPr>
                      <w:b/>
                      <w:bCs/>
                      <w:color w:val="auto"/>
                      <w:szCs w:val="21"/>
                      <w:highlight w:val="none"/>
                    </w:rPr>
                  </w:pPr>
                  <w:r>
                    <w:rPr>
                      <w:b/>
                      <w:bCs/>
                      <w:color w:val="auto"/>
                      <w:szCs w:val="21"/>
                      <w:highlight w:val="none"/>
                    </w:rPr>
                    <w:t>去向</w:t>
                  </w:r>
                </w:p>
              </w:tc>
            </w:tr>
            <w:tr w14:paraId="004BAB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16" w:type="pct"/>
                  <w:tcBorders>
                    <w:top w:val="single" w:color="000000" w:sz="12" w:space="0"/>
                  </w:tcBorders>
                  <w:noWrap w:val="0"/>
                  <w:vAlign w:val="center"/>
                </w:tcPr>
                <w:p w14:paraId="5B631A27">
                  <w:pPr>
                    <w:widowControl/>
                    <w:kinsoku w:val="0"/>
                    <w:autoSpaceDE w:val="0"/>
                    <w:autoSpaceDN w:val="0"/>
                    <w:adjustRightInd w:val="0"/>
                    <w:snapToGrid w:val="0"/>
                    <w:jc w:val="center"/>
                    <w:textAlignment w:val="baseline"/>
                    <w:rPr>
                      <w:color w:val="auto"/>
                      <w:szCs w:val="21"/>
                      <w:highlight w:val="none"/>
                    </w:rPr>
                  </w:pPr>
                  <w:r>
                    <w:rPr>
                      <w:color w:val="auto"/>
                      <w:szCs w:val="21"/>
                      <w:highlight w:val="none"/>
                    </w:rPr>
                    <w:t>生活垃圾</w:t>
                  </w:r>
                </w:p>
              </w:tc>
              <w:tc>
                <w:tcPr>
                  <w:tcW w:w="972" w:type="pct"/>
                  <w:tcBorders>
                    <w:top w:val="single" w:color="000000" w:sz="12" w:space="0"/>
                  </w:tcBorders>
                  <w:noWrap w:val="0"/>
                  <w:vAlign w:val="center"/>
                </w:tcPr>
                <w:p w14:paraId="02A43172">
                  <w:pPr>
                    <w:widowControl/>
                    <w:kinsoku w:val="0"/>
                    <w:autoSpaceDE w:val="0"/>
                    <w:autoSpaceDN w:val="0"/>
                    <w:adjustRightInd w:val="0"/>
                    <w:snapToGrid w:val="0"/>
                    <w:jc w:val="center"/>
                    <w:textAlignment w:val="baseline"/>
                    <w:rPr>
                      <w:color w:val="auto"/>
                      <w:szCs w:val="21"/>
                      <w:highlight w:val="none"/>
                    </w:rPr>
                  </w:pPr>
                  <w:r>
                    <w:rPr>
                      <w:color w:val="auto"/>
                      <w:szCs w:val="21"/>
                      <w:highlight w:val="none"/>
                    </w:rPr>
                    <w:t>生活垃圾</w:t>
                  </w:r>
                </w:p>
              </w:tc>
              <w:tc>
                <w:tcPr>
                  <w:tcW w:w="1081" w:type="pct"/>
                  <w:tcBorders>
                    <w:top w:val="single" w:color="000000" w:sz="12" w:space="0"/>
                  </w:tcBorders>
                  <w:noWrap w:val="0"/>
                  <w:vAlign w:val="center"/>
                </w:tcPr>
                <w:p w14:paraId="541B89C7">
                  <w:pPr>
                    <w:widowControl/>
                    <w:kinsoku w:val="0"/>
                    <w:autoSpaceDE w:val="0"/>
                    <w:autoSpaceDN w:val="0"/>
                    <w:adjustRightInd w:val="0"/>
                    <w:snapToGrid w:val="0"/>
                    <w:jc w:val="center"/>
                    <w:textAlignment w:val="baseline"/>
                    <w:rPr>
                      <w:rFonts w:hint="default" w:eastAsia="宋体"/>
                      <w:color w:val="auto"/>
                      <w:szCs w:val="21"/>
                      <w:highlight w:val="none"/>
                      <w:lang w:val="en-US" w:eastAsia="zh-CN"/>
                    </w:rPr>
                  </w:pPr>
                  <w:r>
                    <w:rPr>
                      <w:rFonts w:hint="eastAsia" w:eastAsia="宋体"/>
                      <w:color w:val="auto"/>
                      <w:szCs w:val="21"/>
                      <w:highlight w:val="none"/>
                      <w:lang w:val="en-US" w:eastAsia="zh-CN"/>
                    </w:rPr>
                    <w:t>1.8</w:t>
                  </w:r>
                </w:p>
              </w:tc>
              <w:tc>
                <w:tcPr>
                  <w:tcW w:w="1929" w:type="pct"/>
                  <w:tcBorders>
                    <w:top w:val="single" w:color="000000" w:sz="12" w:space="0"/>
                  </w:tcBorders>
                  <w:noWrap w:val="0"/>
                  <w:vAlign w:val="center"/>
                </w:tcPr>
                <w:p w14:paraId="1DA89B32">
                  <w:pPr>
                    <w:widowControl/>
                    <w:kinsoku w:val="0"/>
                    <w:autoSpaceDE w:val="0"/>
                    <w:autoSpaceDN w:val="0"/>
                    <w:adjustRightInd w:val="0"/>
                    <w:snapToGrid w:val="0"/>
                    <w:jc w:val="center"/>
                    <w:textAlignment w:val="baseline"/>
                    <w:rPr>
                      <w:color w:val="auto"/>
                      <w:szCs w:val="21"/>
                      <w:highlight w:val="none"/>
                    </w:rPr>
                  </w:pPr>
                  <w:r>
                    <w:rPr>
                      <w:color w:val="auto"/>
                      <w:szCs w:val="21"/>
                      <w:highlight w:val="none"/>
                    </w:rPr>
                    <w:t>集中收集后由园区环卫部门统一清运处置</w:t>
                  </w:r>
                </w:p>
              </w:tc>
            </w:tr>
            <w:tr w14:paraId="2D82C4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16" w:type="pct"/>
                  <w:noWrap w:val="0"/>
                  <w:vAlign w:val="center"/>
                </w:tcPr>
                <w:p w14:paraId="0094B9E7">
                  <w:pPr>
                    <w:widowControl/>
                    <w:kinsoku w:val="0"/>
                    <w:autoSpaceDE w:val="0"/>
                    <w:autoSpaceDN w:val="0"/>
                    <w:adjustRightInd w:val="0"/>
                    <w:snapToGrid w:val="0"/>
                    <w:jc w:val="center"/>
                    <w:textAlignment w:val="baseline"/>
                    <w:rPr>
                      <w:color w:val="auto"/>
                      <w:szCs w:val="21"/>
                      <w:highlight w:val="none"/>
                    </w:rPr>
                  </w:pPr>
                  <w:r>
                    <w:rPr>
                      <w:color w:val="auto"/>
                      <w:szCs w:val="21"/>
                      <w:highlight w:val="none"/>
                    </w:rPr>
                    <w:t>一般工业固废</w:t>
                  </w:r>
                </w:p>
              </w:tc>
              <w:tc>
                <w:tcPr>
                  <w:tcW w:w="972" w:type="pct"/>
                  <w:noWrap w:val="0"/>
                  <w:vAlign w:val="center"/>
                </w:tcPr>
                <w:p w14:paraId="0CB40CD2">
                  <w:pPr>
                    <w:widowControl/>
                    <w:kinsoku w:val="0"/>
                    <w:autoSpaceDE w:val="0"/>
                    <w:autoSpaceDN w:val="0"/>
                    <w:adjustRightInd w:val="0"/>
                    <w:snapToGrid w:val="0"/>
                    <w:jc w:val="center"/>
                    <w:textAlignment w:val="baseline"/>
                    <w:rPr>
                      <w:rFonts w:hint="eastAsia" w:eastAsia="宋体"/>
                      <w:color w:val="auto"/>
                      <w:szCs w:val="21"/>
                      <w:highlight w:val="none"/>
                      <w:lang w:eastAsia="zh-CN"/>
                    </w:rPr>
                  </w:pPr>
                  <w:r>
                    <w:rPr>
                      <w:color w:val="auto"/>
                      <w:szCs w:val="21"/>
                      <w:highlight w:val="none"/>
                    </w:rPr>
                    <w:t>废</w:t>
                  </w:r>
                  <w:r>
                    <w:rPr>
                      <w:rFonts w:hint="eastAsia"/>
                      <w:color w:val="auto"/>
                      <w:szCs w:val="21"/>
                      <w:highlight w:val="none"/>
                      <w:lang w:val="en-US" w:eastAsia="zh-CN"/>
                    </w:rPr>
                    <w:t>包装</w:t>
                  </w:r>
                </w:p>
              </w:tc>
              <w:tc>
                <w:tcPr>
                  <w:tcW w:w="1081" w:type="pct"/>
                  <w:noWrap w:val="0"/>
                  <w:vAlign w:val="center"/>
                </w:tcPr>
                <w:p w14:paraId="5EBB9F94">
                  <w:pPr>
                    <w:widowControl/>
                    <w:kinsoku w:val="0"/>
                    <w:autoSpaceDE w:val="0"/>
                    <w:autoSpaceDN w:val="0"/>
                    <w:adjustRightInd w:val="0"/>
                    <w:snapToGrid w:val="0"/>
                    <w:jc w:val="center"/>
                    <w:textAlignment w:val="baseline"/>
                    <w:rPr>
                      <w:rFonts w:hint="default" w:eastAsia="宋体"/>
                      <w:color w:val="auto"/>
                      <w:szCs w:val="21"/>
                      <w:highlight w:val="none"/>
                      <w:lang w:val="en-US" w:eastAsia="zh-CN"/>
                    </w:rPr>
                  </w:pPr>
                  <w:r>
                    <w:rPr>
                      <w:rFonts w:hint="eastAsia" w:eastAsia="宋体"/>
                      <w:color w:val="auto"/>
                      <w:szCs w:val="21"/>
                      <w:highlight w:val="none"/>
                      <w:lang w:val="en-US" w:eastAsia="zh-CN"/>
                    </w:rPr>
                    <w:t>4.4</w:t>
                  </w:r>
                </w:p>
              </w:tc>
              <w:tc>
                <w:tcPr>
                  <w:tcW w:w="1929" w:type="pct"/>
                  <w:noWrap w:val="0"/>
                  <w:vAlign w:val="center"/>
                </w:tcPr>
                <w:p w14:paraId="07952016">
                  <w:pPr>
                    <w:widowControl/>
                    <w:kinsoku w:val="0"/>
                    <w:autoSpaceDE w:val="0"/>
                    <w:autoSpaceDN w:val="0"/>
                    <w:adjustRightInd w:val="0"/>
                    <w:snapToGrid w:val="0"/>
                    <w:jc w:val="center"/>
                    <w:textAlignment w:val="baseline"/>
                    <w:rPr>
                      <w:color w:val="auto"/>
                      <w:szCs w:val="21"/>
                      <w:highlight w:val="none"/>
                    </w:rPr>
                  </w:pPr>
                  <w:r>
                    <w:rPr>
                      <w:rFonts w:hint="eastAsia" w:ascii="Times New Roman" w:hAnsi="Times New Roman" w:eastAsia="宋体" w:cs="Times New Roman"/>
                      <w:color w:val="auto"/>
                      <w:sz w:val="21"/>
                      <w:szCs w:val="21"/>
                      <w:highlight w:val="none"/>
                      <w:lang w:val="en-US" w:eastAsia="zh-CN"/>
                    </w:rPr>
                    <w:t>供应商回收破碎后重新利用</w:t>
                  </w:r>
                </w:p>
              </w:tc>
            </w:tr>
            <w:tr w14:paraId="675591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16" w:type="pct"/>
                  <w:vMerge w:val="restart"/>
                  <w:noWrap w:val="0"/>
                  <w:vAlign w:val="center"/>
                </w:tcPr>
                <w:p w14:paraId="26DB7507">
                  <w:pPr>
                    <w:widowControl/>
                    <w:kinsoku w:val="0"/>
                    <w:autoSpaceDE w:val="0"/>
                    <w:autoSpaceDN w:val="0"/>
                    <w:adjustRightInd w:val="0"/>
                    <w:snapToGrid w:val="0"/>
                    <w:jc w:val="center"/>
                    <w:textAlignment w:val="baseline"/>
                    <w:rPr>
                      <w:color w:val="auto"/>
                      <w:szCs w:val="21"/>
                      <w:highlight w:val="none"/>
                    </w:rPr>
                  </w:pPr>
                  <w:r>
                    <w:rPr>
                      <w:color w:val="auto"/>
                      <w:szCs w:val="21"/>
                      <w:highlight w:val="none"/>
                    </w:rPr>
                    <w:t>危险废物</w:t>
                  </w:r>
                </w:p>
              </w:tc>
              <w:tc>
                <w:tcPr>
                  <w:tcW w:w="972" w:type="pct"/>
                  <w:noWrap w:val="0"/>
                  <w:vAlign w:val="center"/>
                </w:tcPr>
                <w:p w14:paraId="4872939B">
                  <w:pPr>
                    <w:widowControl/>
                    <w:kinsoku w:val="0"/>
                    <w:autoSpaceDE w:val="0"/>
                    <w:autoSpaceDN w:val="0"/>
                    <w:adjustRightInd w:val="0"/>
                    <w:snapToGrid w:val="0"/>
                    <w:jc w:val="center"/>
                    <w:textAlignment w:val="baseline"/>
                    <w:rPr>
                      <w:rFonts w:hint="eastAsia" w:eastAsia="宋体"/>
                      <w:color w:val="auto"/>
                      <w:szCs w:val="21"/>
                      <w:highlight w:val="none"/>
                      <w:lang w:eastAsia="zh-CN"/>
                    </w:rPr>
                  </w:pPr>
                  <w:r>
                    <w:rPr>
                      <w:color w:val="auto"/>
                      <w:szCs w:val="21"/>
                      <w:highlight w:val="none"/>
                    </w:rPr>
                    <w:t>废</w:t>
                  </w:r>
                  <w:r>
                    <w:rPr>
                      <w:rFonts w:hint="eastAsia"/>
                      <w:color w:val="auto"/>
                      <w:szCs w:val="21"/>
                      <w:highlight w:val="none"/>
                      <w:lang w:val="en-US" w:eastAsia="zh-CN"/>
                    </w:rPr>
                    <w:t>润滑油</w:t>
                  </w:r>
                </w:p>
              </w:tc>
              <w:tc>
                <w:tcPr>
                  <w:tcW w:w="1081" w:type="pct"/>
                  <w:noWrap w:val="0"/>
                  <w:vAlign w:val="center"/>
                </w:tcPr>
                <w:p w14:paraId="4463364F">
                  <w:pPr>
                    <w:widowControl/>
                    <w:kinsoku w:val="0"/>
                    <w:autoSpaceDE w:val="0"/>
                    <w:autoSpaceDN w:val="0"/>
                    <w:adjustRightInd w:val="0"/>
                    <w:snapToGrid w:val="0"/>
                    <w:jc w:val="center"/>
                    <w:textAlignment w:val="baseline"/>
                    <w:rPr>
                      <w:rFonts w:eastAsia="Times New Roman"/>
                      <w:color w:val="auto"/>
                      <w:szCs w:val="21"/>
                      <w:highlight w:val="none"/>
                    </w:rPr>
                  </w:pPr>
                  <w:r>
                    <w:rPr>
                      <w:rFonts w:eastAsia="Times New Roman"/>
                      <w:color w:val="auto"/>
                      <w:szCs w:val="21"/>
                      <w:highlight w:val="none"/>
                    </w:rPr>
                    <w:t>0.01</w:t>
                  </w:r>
                </w:p>
              </w:tc>
              <w:tc>
                <w:tcPr>
                  <w:tcW w:w="1929" w:type="pct"/>
                  <w:vMerge w:val="restart"/>
                  <w:noWrap w:val="0"/>
                  <w:vAlign w:val="center"/>
                </w:tcPr>
                <w:p w14:paraId="6E520255">
                  <w:pPr>
                    <w:widowControl/>
                    <w:kinsoku w:val="0"/>
                    <w:autoSpaceDE w:val="0"/>
                    <w:autoSpaceDN w:val="0"/>
                    <w:adjustRightInd w:val="0"/>
                    <w:snapToGrid w:val="0"/>
                    <w:jc w:val="center"/>
                    <w:textAlignment w:val="baseline"/>
                    <w:rPr>
                      <w:color w:val="auto"/>
                      <w:szCs w:val="21"/>
                      <w:highlight w:val="none"/>
                    </w:rPr>
                  </w:pPr>
                  <w:r>
                    <w:rPr>
                      <w:color w:val="auto"/>
                      <w:szCs w:val="21"/>
                      <w:highlight w:val="none"/>
                    </w:rPr>
                    <w:t>暂存于</w:t>
                  </w:r>
                  <w:r>
                    <w:rPr>
                      <w:rFonts w:hint="eastAsia"/>
                      <w:color w:val="auto"/>
                      <w:szCs w:val="21"/>
                      <w:highlight w:val="none"/>
                      <w:lang w:eastAsia="zh-CN"/>
                    </w:rPr>
                    <w:t>危废贮存库</w:t>
                  </w:r>
                  <w:r>
                    <w:rPr>
                      <w:color w:val="auto"/>
                      <w:szCs w:val="21"/>
                      <w:highlight w:val="none"/>
                    </w:rPr>
                    <w:t>，定期交由有资质单位统一处置</w:t>
                  </w:r>
                </w:p>
              </w:tc>
            </w:tr>
            <w:tr w14:paraId="0CA7C70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16" w:type="pct"/>
                  <w:vMerge w:val="continue"/>
                  <w:noWrap w:val="0"/>
                  <w:vAlign w:val="center"/>
                </w:tcPr>
                <w:p w14:paraId="3E3DBE56">
                  <w:pPr>
                    <w:widowControl/>
                    <w:kinsoku w:val="0"/>
                    <w:autoSpaceDE w:val="0"/>
                    <w:autoSpaceDN w:val="0"/>
                    <w:adjustRightInd w:val="0"/>
                    <w:snapToGrid w:val="0"/>
                    <w:jc w:val="center"/>
                    <w:textAlignment w:val="baseline"/>
                    <w:rPr>
                      <w:color w:val="auto"/>
                      <w:szCs w:val="21"/>
                      <w:highlight w:val="none"/>
                    </w:rPr>
                  </w:pPr>
                </w:p>
              </w:tc>
              <w:tc>
                <w:tcPr>
                  <w:tcW w:w="972" w:type="pct"/>
                  <w:noWrap w:val="0"/>
                  <w:vAlign w:val="center"/>
                </w:tcPr>
                <w:p w14:paraId="59A38F60">
                  <w:pPr>
                    <w:widowControl/>
                    <w:kinsoku w:val="0"/>
                    <w:autoSpaceDE w:val="0"/>
                    <w:autoSpaceDN w:val="0"/>
                    <w:adjustRightInd w:val="0"/>
                    <w:snapToGrid w:val="0"/>
                    <w:jc w:val="center"/>
                    <w:textAlignment w:val="baseline"/>
                    <w:rPr>
                      <w:color w:val="auto"/>
                      <w:szCs w:val="21"/>
                      <w:highlight w:val="none"/>
                    </w:rPr>
                  </w:pPr>
                  <w:r>
                    <w:rPr>
                      <w:color w:val="auto"/>
                      <w:szCs w:val="21"/>
                      <w:highlight w:val="none"/>
                    </w:rPr>
                    <w:t>废灯管</w:t>
                  </w:r>
                </w:p>
              </w:tc>
              <w:tc>
                <w:tcPr>
                  <w:tcW w:w="1081" w:type="pct"/>
                  <w:noWrap w:val="0"/>
                  <w:vAlign w:val="center"/>
                </w:tcPr>
                <w:p w14:paraId="53AA3CB0">
                  <w:pPr>
                    <w:widowControl/>
                    <w:kinsoku w:val="0"/>
                    <w:autoSpaceDE w:val="0"/>
                    <w:autoSpaceDN w:val="0"/>
                    <w:adjustRightInd w:val="0"/>
                    <w:snapToGrid w:val="0"/>
                    <w:jc w:val="center"/>
                    <w:textAlignment w:val="baseline"/>
                    <w:rPr>
                      <w:rFonts w:eastAsia="Times New Roman"/>
                      <w:color w:val="auto"/>
                      <w:szCs w:val="21"/>
                      <w:highlight w:val="none"/>
                    </w:rPr>
                  </w:pPr>
                  <w:r>
                    <w:rPr>
                      <w:rFonts w:eastAsia="Times New Roman"/>
                      <w:color w:val="auto"/>
                      <w:szCs w:val="21"/>
                      <w:highlight w:val="none"/>
                    </w:rPr>
                    <w:t>0.02</w:t>
                  </w:r>
                </w:p>
              </w:tc>
              <w:tc>
                <w:tcPr>
                  <w:tcW w:w="1929" w:type="pct"/>
                  <w:vMerge w:val="continue"/>
                  <w:noWrap w:val="0"/>
                  <w:vAlign w:val="center"/>
                </w:tcPr>
                <w:p w14:paraId="5BA00311">
                  <w:pPr>
                    <w:widowControl/>
                    <w:kinsoku w:val="0"/>
                    <w:autoSpaceDE w:val="0"/>
                    <w:autoSpaceDN w:val="0"/>
                    <w:adjustRightInd w:val="0"/>
                    <w:snapToGrid w:val="0"/>
                    <w:jc w:val="center"/>
                    <w:textAlignment w:val="baseline"/>
                    <w:rPr>
                      <w:color w:val="auto"/>
                      <w:szCs w:val="21"/>
                      <w:highlight w:val="none"/>
                    </w:rPr>
                  </w:pPr>
                </w:p>
              </w:tc>
            </w:tr>
            <w:bookmarkEnd w:id="4"/>
          </w:tbl>
          <w:p w14:paraId="575654B9">
            <w:pPr>
              <w:pStyle w:val="2"/>
              <w:pageBreakBefore w:val="0"/>
              <w:tabs>
                <w:tab w:val="left" w:pos="312"/>
              </w:tabs>
              <w:kinsoku/>
              <w:wordWrap/>
              <w:overflowPunct/>
              <w:topLinePunct w:val="0"/>
              <w:autoSpaceDE/>
              <w:autoSpaceDN/>
              <w:bidi w:val="0"/>
              <w:adjustRightInd/>
              <w:snapToGrid/>
              <w:spacing w:line="360" w:lineRule="auto"/>
              <w:jc w:val="both"/>
              <w:textAlignment w:val="auto"/>
              <w:rPr>
                <w:b/>
                <w:bCs/>
                <w:sz w:val="24"/>
                <w:szCs w:val="24"/>
              </w:rPr>
            </w:pPr>
            <w:r>
              <w:rPr>
                <w:rFonts w:hint="eastAsia"/>
                <w:b/>
                <w:bCs/>
                <w:sz w:val="24"/>
                <w:szCs w:val="24"/>
                <w:lang w:val="en-US" w:eastAsia="zh-CN"/>
              </w:rPr>
              <w:t>4</w:t>
            </w:r>
            <w:r>
              <w:rPr>
                <w:b/>
                <w:bCs/>
                <w:sz w:val="24"/>
                <w:szCs w:val="24"/>
              </w:rPr>
              <w:t>.</w:t>
            </w:r>
            <w:r>
              <w:rPr>
                <w:rFonts w:hint="eastAsia"/>
                <w:b/>
                <w:bCs/>
                <w:sz w:val="24"/>
                <w:szCs w:val="24"/>
              </w:rPr>
              <w:t>原有项目存在的主要环境问题及整改措施</w:t>
            </w:r>
          </w:p>
          <w:p w14:paraId="25FD3099">
            <w:pPr>
              <w:pStyle w:val="3"/>
              <w:pageBreakBefore w:val="0"/>
              <w:tabs>
                <w:tab w:val="left" w:pos="312"/>
              </w:tabs>
              <w:kinsoku/>
              <w:wordWrap/>
              <w:overflowPunct/>
              <w:topLinePunct w:val="0"/>
              <w:autoSpaceDE/>
              <w:autoSpaceDN/>
              <w:bidi w:val="0"/>
              <w:adjustRightInd/>
              <w:snapToGrid/>
              <w:spacing w:line="360" w:lineRule="auto"/>
              <w:jc w:val="both"/>
              <w:textAlignment w:val="auto"/>
              <w:rPr>
                <w:sz w:val="24"/>
                <w:szCs w:val="24"/>
              </w:rPr>
            </w:pPr>
            <w:bookmarkStart w:id="5" w:name="_Hlk124197719"/>
            <w:r>
              <w:rPr>
                <w:rFonts w:hint="eastAsia"/>
                <w:sz w:val="24"/>
                <w:szCs w:val="24"/>
                <w:lang w:val="en-US" w:eastAsia="zh-CN"/>
              </w:rPr>
              <w:t>4</w:t>
            </w:r>
            <w:r>
              <w:rPr>
                <w:sz w:val="24"/>
                <w:szCs w:val="24"/>
              </w:rPr>
              <w:t>.1</w:t>
            </w:r>
            <w:r>
              <w:rPr>
                <w:rFonts w:hint="eastAsia"/>
                <w:sz w:val="24"/>
                <w:szCs w:val="24"/>
              </w:rPr>
              <w:t>原有项目环境问题</w:t>
            </w:r>
          </w:p>
          <w:p w14:paraId="7D3E2CED">
            <w:pPr>
              <w:pStyle w:val="17"/>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sz w:val="24"/>
                <w:szCs w:val="24"/>
                <w:lang w:val="en-US"/>
              </w:rPr>
            </w:pPr>
            <w:r>
              <w:rPr>
                <w:rFonts w:hint="eastAsia" w:ascii="Times New Roman" w:hAnsi="Times New Roman" w:eastAsia="宋体" w:cs="Times New Roman"/>
                <w:b w:val="0"/>
                <w:kern w:val="2"/>
                <w:sz w:val="24"/>
                <w:szCs w:val="24"/>
                <w:lang w:val="en-US" w:eastAsia="zh-CN" w:bidi="ar-SA"/>
              </w:rPr>
              <w:t>1.</w:t>
            </w:r>
            <w:r>
              <w:rPr>
                <w:rFonts w:hint="eastAsia"/>
                <w:sz w:val="24"/>
                <w:szCs w:val="24"/>
              </w:rPr>
              <w:t>有组织废气沥青防水卷材废气治理设施</w:t>
            </w:r>
            <w:r>
              <w:rPr>
                <w:rFonts w:hint="eastAsia"/>
                <w:sz w:val="24"/>
                <w:szCs w:val="24"/>
                <w:lang w:val="en-US" w:eastAsia="zh-CN"/>
              </w:rPr>
              <w:t>为水喷淋+电捕焦油器+UV光氧，根据《国家污染防治技术指导目录》UV光氧不是非甲烷总烃的可行技术。</w:t>
            </w:r>
          </w:p>
          <w:p w14:paraId="2FC055B1">
            <w:pPr>
              <w:pStyle w:val="17"/>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sz w:val="24"/>
                <w:szCs w:val="24"/>
                <w:lang w:val="en-US" w:eastAsia="zh-CN"/>
              </w:rPr>
            </w:pPr>
            <w:r>
              <w:rPr>
                <w:rFonts w:hint="eastAsia"/>
                <w:sz w:val="24"/>
                <w:szCs w:val="24"/>
                <w:lang w:val="en-US" w:eastAsia="zh-CN"/>
              </w:rPr>
              <w:t>2.危废间设置不规范，现有位置在沉淀池上方，且标识标牌不规范、防渗措施没做。</w:t>
            </w:r>
          </w:p>
          <w:p w14:paraId="554E8E03">
            <w:pPr>
              <w:pStyle w:val="3"/>
              <w:pageBreakBefore w:val="0"/>
              <w:tabs>
                <w:tab w:val="left" w:pos="312"/>
              </w:tabs>
              <w:kinsoku/>
              <w:wordWrap/>
              <w:overflowPunct/>
              <w:topLinePunct w:val="0"/>
              <w:autoSpaceDE/>
              <w:autoSpaceDN/>
              <w:bidi w:val="0"/>
              <w:adjustRightInd/>
              <w:snapToGrid/>
              <w:spacing w:line="360" w:lineRule="auto"/>
              <w:jc w:val="both"/>
              <w:textAlignment w:val="auto"/>
              <w:rPr>
                <w:sz w:val="24"/>
                <w:szCs w:val="24"/>
              </w:rPr>
            </w:pPr>
            <w:r>
              <w:rPr>
                <w:rFonts w:hint="eastAsia"/>
                <w:sz w:val="24"/>
                <w:szCs w:val="24"/>
                <w:lang w:val="en-US" w:eastAsia="zh-CN"/>
              </w:rPr>
              <w:t>4</w:t>
            </w:r>
            <w:r>
              <w:rPr>
                <w:sz w:val="24"/>
                <w:szCs w:val="24"/>
              </w:rPr>
              <w:t>.2</w:t>
            </w:r>
            <w:r>
              <w:rPr>
                <w:rFonts w:hint="eastAsia"/>
                <w:sz w:val="24"/>
                <w:szCs w:val="24"/>
              </w:rPr>
              <w:t>整改措施</w:t>
            </w:r>
          </w:p>
          <w:bookmarkEnd w:id="5"/>
          <w:p w14:paraId="4B003839">
            <w:pPr>
              <w:pStyle w:val="49"/>
              <w:keepNext w:val="0"/>
              <w:keepLines w:val="0"/>
              <w:pageBreakBefore w:val="0"/>
              <w:numPr>
                <w:ilvl w:val="0"/>
                <w:numId w:val="0"/>
              </w:numPr>
              <w:kinsoku/>
              <w:wordWrap/>
              <w:overflowPunct/>
              <w:bidi w:val="0"/>
              <w:spacing w:line="360" w:lineRule="auto"/>
              <w:ind w:firstLine="480" w:firstLineChars="200"/>
              <w:textAlignment w:val="auto"/>
              <w:rPr>
                <w:rFonts w:hint="eastAsia"/>
                <w:b w:val="0"/>
                <w:sz w:val="24"/>
                <w:szCs w:val="24"/>
                <w:lang w:val="en-US" w:eastAsia="zh-CN"/>
              </w:rPr>
            </w:pPr>
            <w:r>
              <w:rPr>
                <w:rFonts w:hint="eastAsia" w:ascii="Times New Roman" w:hAnsi="Times New Roman" w:eastAsia="宋体" w:cs="宋体"/>
                <w:b w:val="0"/>
                <w:kern w:val="0"/>
                <w:sz w:val="24"/>
                <w:szCs w:val="24"/>
                <w:lang w:val="en-US" w:eastAsia="zh-CN" w:bidi="ar-SA"/>
              </w:rPr>
              <w:t>1.</w:t>
            </w:r>
            <w:r>
              <w:rPr>
                <w:rFonts w:hint="eastAsia"/>
                <w:b w:val="0"/>
                <w:sz w:val="24"/>
                <w:szCs w:val="24"/>
                <w:lang w:val="en-US" w:eastAsia="zh-CN"/>
              </w:rPr>
              <w:t>UV光氧更换为活性炭吸附，有组织废气沥青防水卷材废气治理设施为水喷淋+电捕焦油器+活性炭吸附。</w:t>
            </w:r>
          </w:p>
          <w:p w14:paraId="2C85EBF5">
            <w:pPr>
              <w:pStyle w:val="49"/>
              <w:keepNext w:val="0"/>
              <w:keepLines w:val="0"/>
              <w:pageBreakBefore w:val="0"/>
              <w:numPr>
                <w:ilvl w:val="0"/>
                <w:numId w:val="0"/>
              </w:numPr>
              <w:kinsoku/>
              <w:wordWrap/>
              <w:overflowPunct/>
              <w:bidi w:val="0"/>
              <w:spacing w:line="360" w:lineRule="auto"/>
              <w:ind w:firstLine="480" w:firstLineChars="200"/>
              <w:textAlignment w:val="auto"/>
              <w:rPr>
                <w:rFonts w:hint="default" w:ascii="Times New Roman" w:hAnsi="Times New Roman" w:cs="Times New Roman"/>
                <w:color w:val="000000" w:themeColor="text1"/>
                <w14:textFill>
                  <w14:solidFill>
                    <w14:schemeClr w14:val="tx1"/>
                  </w14:solidFill>
                </w14:textFill>
              </w:rPr>
            </w:pPr>
            <w:r>
              <w:rPr>
                <w:rFonts w:hint="eastAsia"/>
                <w:b w:val="0"/>
                <w:sz w:val="24"/>
                <w:szCs w:val="24"/>
                <w:lang w:val="en-US" w:eastAsia="zh-CN"/>
              </w:rPr>
              <w:t>2.</w:t>
            </w:r>
            <w:r>
              <w:rPr>
                <w:rFonts w:hint="eastAsia" w:cs="Times New Roman"/>
                <w:b w:val="0"/>
                <w:color w:val="auto"/>
                <w:kern w:val="2"/>
                <w:sz w:val="24"/>
                <w:szCs w:val="24"/>
                <w:highlight w:val="none"/>
                <w:lang w:val="en-US" w:eastAsia="zh-CN" w:bidi="ar-SA"/>
              </w:rPr>
              <w:t>根据</w:t>
            </w:r>
            <w:r>
              <w:rPr>
                <w:rFonts w:hint="default" w:ascii="Times New Roman" w:hAnsi="Times New Roman" w:eastAsia="宋体" w:cs="Times New Roman"/>
                <w:b w:val="0"/>
                <w:color w:val="auto"/>
                <w:kern w:val="2"/>
                <w:sz w:val="24"/>
                <w:szCs w:val="24"/>
                <w:highlight w:val="none"/>
                <w:lang w:val="en-US" w:eastAsia="zh-CN" w:bidi="ar-SA"/>
              </w:rPr>
              <w:t>《危险废物贮存污染控制标准》(GB18597-20</w:t>
            </w:r>
            <w:r>
              <w:rPr>
                <w:rFonts w:hint="eastAsia" w:cs="Times New Roman"/>
                <w:b w:val="0"/>
                <w:color w:val="auto"/>
                <w:kern w:val="2"/>
                <w:sz w:val="24"/>
                <w:szCs w:val="24"/>
                <w:highlight w:val="none"/>
                <w:lang w:val="en-US" w:eastAsia="zh-CN" w:bidi="ar-SA"/>
              </w:rPr>
              <w:t>23</w:t>
            </w:r>
            <w:r>
              <w:rPr>
                <w:rFonts w:hint="default" w:ascii="Times New Roman" w:hAnsi="Times New Roman" w:eastAsia="宋体" w:cs="Times New Roman"/>
                <w:b w:val="0"/>
                <w:color w:val="auto"/>
                <w:kern w:val="2"/>
                <w:sz w:val="24"/>
                <w:szCs w:val="24"/>
                <w:highlight w:val="none"/>
                <w:lang w:val="en-US" w:eastAsia="zh-CN" w:bidi="ar-SA"/>
              </w:rPr>
              <w:t>)，危废暂存间的设置要求包括独立密闭的结构、适当的防渗措施、标识和管理制度，以确保危险废物的安全存储和环境保护。暂存间外部应张贴危废贮存分区标志、危废识别标志和警告图标，内部墙上应张贴对应的标识牌和制度牌</w:t>
            </w:r>
            <w:r>
              <w:rPr>
                <w:rFonts w:hint="eastAsia"/>
                <w:b w:val="0"/>
                <w:sz w:val="24"/>
                <w:szCs w:val="24"/>
                <w:lang w:val="en-US" w:eastAsia="zh-CN"/>
              </w:rPr>
              <w:t>。</w:t>
            </w:r>
            <w:r>
              <w:rPr>
                <w:rFonts w:hint="eastAsia"/>
                <w:b w:val="0"/>
                <w:sz w:val="24"/>
                <w:szCs w:val="24"/>
                <w:lang w:val="en-US" w:eastAsia="zh-CN"/>
              </w:rPr>
              <w:br w:type="textWrapping"/>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现有</w:t>
            </w:r>
            <w:r>
              <w:rPr>
                <w:rFonts w:hint="default" w:ascii="Times New Roman" w:hAnsi="Times New Roman" w:cs="Times New Roman"/>
                <w:color w:val="000000" w:themeColor="text1"/>
                <w14:textFill>
                  <w14:solidFill>
                    <w14:schemeClr w14:val="tx1"/>
                  </w14:solidFill>
                </w14:textFill>
              </w:rPr>
              <w:t>项目“以新带老”整改措施</w:t>
            </w:r>
          </w:p>
          <w:p w14:paraId="18D0043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sz w:val="24"/>
                <w:szCs w:val="24"/>
                <w:highlight w:val="none"/>
                <w:lang w:val="en-US" w:eastAsia="zh-CN"/>
              </w:rPr>
              <w:t>根据</w:t>
            </w:r>
            <w:r>
              <w:rPr>
                <w:rFonts w:hint="default" w:ascii="Times New Roman" w:hAnsi="Times New Roman" w:eastAsia="宋体" w:cs="Times New Roman"/>
                <w:sz w:val="24"/>
                <w:szCs w:val="24"/>
                <w:highlight w:val="none"/>
                <w:lang w:val="en-US" w:eastAsia="zh-CN"/>
              </w:rPr>
              <w:t>2025年《国家污染防治技术指导目录》</w:t>
            </w:r>
            <w:r>
              <w:rPr>
                <w:rFonts w:hint="eastAsia" w:ascii="Times New Roman" w:hAnsi="Times New Roman" w:eastAsia="宋体" w:cs="Times New Roman"/>
                <w:sz w:val="24"/>
                <w:szCs w:val="24"/>
                <w:highlight w:val="none"/>
                <w:lang w:val="en-US" w:eastAsia="zh-CN"/>
              </w:rPr>
              <w:t>UV光氧为淘汰技术，现需要更换为活性炭吸附，根据翻阅资料，UV光氧的处理效率为20%，则未净化的排放量为0.0</w:t>
            </w:r>
            <w:r>
              <w:rPr>
                <w:rFonts w:hint="eastAsia" w:cs="Times New Roman"/>
                <w:sz w:val="24"/>
                <w:szCs w:val="24"/>
                <w:highlight w:val="none"/>
                <w:lang w:val="en-US" w:eastAsia="zh-CN"/>
              </w:rPr>
              <w:t>7</w:t>
            </w:r>
            <w:r>
              <w:rPr>
                <w:rFonts w:hint="eastAsia" w:ascii="Times New Roman" w:hAnsi="Times New Roman" w:eastAsia="宋体" w:cs="Times New Roman"/>
                <w:sz w:val="24"/>
                <w:szCs w:val="24"/>
                <w:highlight w:val="none"/>
                <w:lang w:val="en-US" w:eastAsia="zh-CN"/>
              </w:rPr>
              <w:t>t/a，现更换为活性炭吸附，活性炭吸附的处理能力为</w:t>
            </w:r>
            <w:r>
              <w:rPr>
                <w:rFonts w:hint="eastAsia" w:cs="Times New Roman"/>
                <w:sz w:val="24"/>
                <w:szCs w:val="24"/>
                <w:highlight w:val="none"/>
                <w:lang w:val="en-US" w:eastAsia="zh-CN"/>
              </w:rPr>
              <w:t>4</w:t>
            </w:r>
            <w:r>
              <w:rPr>
                <w:rFonts w:hint="eastAsia" w:ascii="Times New Roman" w:hAnsi="Times New Roman" w:eastAsia="宋体" w:cs="Times New Roman"/>
                <w:sz w:val="24"/>
                <w:szCs w:val="24"/>
                <w:highlight w:val="none"/>
                <w:lang w:val="en-US" w:eastAsia="zh-CN"/>
              </w:rPr>
              <w:t>0%，则处理后的非甲烷总烃的排放量为0.0</w:t>
            </w:r>
            <w:r>
              <w:rPr>
                <w:rFonts w:hint="eastAsia" w:cs="Times New Roman"/>
                <w:sz w:val="24"/>
                <w:szCs w:val="24"/>
                <w:highlight w:val="none"/>
                <w:lang w:val="en-US" w:eastAsia="zh-CN"/>
              </w:rPr>
              <w:t>42</w:t>
            </w:r>
            <w:r>
              <w:rPr>
                <w:rFonts w:hint="eastAsia" w:ascii="Times New Roman" w:hAnsi="Times New Roman" w:eastAsia="宋体" w:cs="Times New Roman"/>
                <w:sz w:val="24"/>
                <w:szCs w:val="24"/>
                <w:highlight w:val="none"/>
                <w:lang w:val="en-US" w:eastAsia="zh-CN"/>
              </w:rPr>
              <w:t>t/a，以新带老</w:t>
            </w:r>
            <w:r>
              <w:rPr>
                <w:rFonts w:hint="eastAsia" w:cs="Times New Roman"/>
                <w:sz w:val="24"/>
                <w:szCs w:val="24"/>
                <w:highlight w:val="none"/>
                <w:lang w:val="en-US" w:eastAsia="zh-CN"/>
              </w:rPr>
              <w:t>的</w:t>
            </w:r>
            <w:r>
              <w:rPr>
                <w:rFonts w:hint="eastAsia" w:ascii="Times New Roman" w:hAnsi="Times New Roman" w:eastAsia="宋体" w:cs="Times New Roman"/>
                <w:sz w:val="24"/>
                <w:szCs w:val="24"/>
                <w:highlight w:val="none"/>
                <w:lang w:val="en-US" w:eastAsia="zh-CN"/>
              </w:rPr>
              <w:t>削减量为0.0</w:t>
            </w:r>
            <w:r>
              <w:rPr>
                <w:rFonts w:hint="eastAsia" w:cs="Times New Roman"/>
                <w:sz w:val="24"/>
                <w:szCs w:val="24"/>
                <w:highlight w:val="none"/>
                <w:lang w:val="en-US" w:eastAsia="zh-CN"/>
              </w:rPr>
              <w:t>14</w:t>
            </w:r>
            <w:r>
              <w:rPr>
                <w:rFonts w:hint="eastAsia" w:ascii="Times New Roman" w:hAnsi="Times New Roman" w:eastAsia="宋体" w:cs="Times New Roman"/>
                <w:sz w:val="24"/>
                <w:szCs w:val="24"/>
                <w:highlight w:val="none"/>
                <w:lang w:val="en-US" w:eastAsia="zh-CN"/>
              </w:rPr>
              <w:t>t/a。</w:t>
            </w:r>
          </w:p>
        </w:tc>
      </w:tr>
    </w:tbl>
    <w:p w14:paraId="6C97DD8B">
      <w:pPr>
        <w:rPr>
          <w:rFonts w:hint="eastAsia" w:ascii="黑体" w:hAnsi="黑体" w:eastAsia="黑体"/>
          <w:snapToGrid w:val="0"/>
          <w:sz w:val="30"/>
          <w:szCs w:val="30"/>
          <w:highlight w:val="none"/>
        </w:rPr>
      </w:pPr>
      <w:r>
        <w:rPr>
          <w:rFonts w:hint="eastAsia" w:ascii="黑体" w:hAnsi="黑体" w:eastAsia="黑体"/>
          <w:snapToGrid w:val="0"/>
          <w:sz w:val="30"/>
          <w:szCs w:val="30"/>
          <w:highlight w:val="none"/>
        </w:rPr>
        <w:br w:type="page"/>
      </w:r>
    </w:p>
    <w:p w14:paraId="3302ACBC">
      <w:pPr>
        <w:pStyle w:val="18"/>
        <w:jc w:val="center"/>
        <w:outlineLvl w:val="0"/>
        <w:rPr>
          <w:rFonts w:ascii="黑体" w:hAnsi="黑体" w:eastAsia="黑体"/>
          <w:snapToGrid w:val="0"/>
          <w:sz w:val="30"/>
          <w:szCs w:val="30"/>
          <w:highlight w:val="none"/>
        </w:rPr>
      </w:pPr>
      <w:r>
        <w:rPr>
          <w:rFonts w:hint="eastAsia" w:ascii="黑体" w:hAnsi="黑体" w:eastAsia="黑体"/>
          <w:snapToGrid w:val="0"/>
          <w:sz w:val="30"/>
          <w:szCs w:val="30"/>
          <w:highlight w:val="none"/>
        </w:rPr>
        <w:t>三、区域环境质量现状、环境保护目标及评价标准</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90"/>
      </w:tblGrid>
      <w:tr w14:paraId="7F3E53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00" w:type="dxa"/>
            <w:noWrap w:val="0"/>
            <w:vAlign w:val="center"/>
          </w:tcPr>
          <w:p w14:paraId="0F68728C">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区域</w:t>
            </w:r>
          </w:p>
          <w:p w14:paraId="598C3CE2">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环境</w:t>
            </w:r>
          </w:p>
          <w:p w14:paraId="7042A82D">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质量</w:t>
            </w:r>
          </w:p>
          <w:p w14:paraId="124C8F00">
            <w:pPr>
              <w:adjustRightInd w:val="0"/>
              <w:snapToGrid w:val="0"/>
              <w:jc w:val="center"/>
              <w:rPr>
                <w:rFonts w:hint="default" w:ascii="Times New Roman" w:hAnsi="Times New Roman" w:cs="Times New Roman"/>
                <w:kern w:val="0"/>
                <w:szCs w:val="21"/>
                <w:highlight w:val="none"/>
              </w:rPr>
            </w:pPr>
            <w:r>
              <w:rPr>
                <w:rFonts w:hint="default" w:ascii="Times New Roman" w:hAnsi="Times New Roman" w:cs="Times New Roman"/>
                <w:kern w:val="0"/>
                <w:sz w:val="24"/>
                <w:szCs w:val="24"/>
                <w:highlight w:val="none"/>
              </w:rPr>
              <w:t>现状</w:t>
            </w:r>
          </w:p>
        </w:tc>
        <w:tc>
          <w:tcPr>
            <w:tcW w:w="8190" w:type="dxa"/>
            <w:noWrap w:val="0"/>
            <w:vAlign w:val="center"/>
          </w:tcPr>
          <w:p w14:paraId="6A867961">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jc w:val="both"/>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1 环境空气质量现状</w:t>
            </w:r>
          </w:p>
          <w:p w14:paraId="61C90B2D">
            <w:pPr>
              <w:keepNext w:val="0"/>
              <w:keepLines w:val="0"/>
              <w:pageBreakBefore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1.1 基本污染物环境质量现状评价</w:t>
            </w:r>
          </w:p>
          <w:p w14:paraId="562E76F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根据《建设项目环境影响报告表编制技术指南（污染影响类）》的要求，本次评价选取昌吉市监测站202</w:t>
            </w:r>
            <w:r>
              <w:rPr>
                <w:rFonts w:hint="eastAsia" w:cs="Times New Roman"/>
                <w:color w:val="000000"/>
                <w:kern w:val="0"/>
                <w:sz w:val="24"/>
                <w:szCs w:val="24"/>
                <w:highlight w:val="none"/>
                <w:lang w:val="en-US" w:eastAsia="zh-CN" w:bidi="ar"/>
              </w:rPr>
              <w:t>4</w:t>
            </w:r>
            <w:r>
              <w:rPr>
                <w:rFonts w:hint="default" w:ascii="Times New Roman" w:hAnsi="Times New Roman" w:eastAsia="宋体" w:cs="Times New Roman"/>
                <w:color w:val="000000"/>
                <w:kern w:val="0"/>
                <w:sz w:val="24"/>
                <w:szCs w:val="24"/>
                <w:highlight w:val="none"/>
                <w:lang w:val="en-US" w:eastAsia="zh-CN" w:bidi="ar"/>
              </w:rPr>
              <w:t>年的监测数据，作为本项目环境空气现状评价基本污染物SO</w:t>
            </w:r>
            <w:r>
              <w:rPr>
                <w:rFonts w:hint="default" w:ascii="Times New Roman" w:hAnsi="Times New Roman" w:eastAsia="宋体" w:cs="Times New Roman"/>
                <w:color w:val="000000"/>
                <w:kern w:val="0"/>
                <w:sz w:val="15"/>
                <w:szCs w:val="15"/>
                <w:highlight w:val="none"/>
                <w:lang w:val="en-US" w:eastAsia="zh-CN" w:bidi="ar"/>
              </w:rPr>
              <w:t>2</w:t>
            </w:r>
            <w:r>
              <w:rPr>
                <w:rFonts w:hint="default" w:ascii="Times New Roman" w:hAnsi="Times New Roman" w:eastAsia="宋体" w:cs="Times New Roman"/>
                <w:color w:val="000000"/>
                <w:kern w:val="0"/>
                <w:sz w:val="24"/>
                <w:szCs w:val="24"/>
                <w:highlight w:val="none"/>
                <w:lang w:val="en-US" w:eastAsia="zh-CN" w:bidi="ar"/>
              </w:rPr>
              <w:t>、NO</w:t>
            </w:r>
            <w:r>
              <w:rPr>
                <w:rFonts w:hint="default" w:ascii="Times New Roman" w:hAnsi="Times New Roman" w:eastAsia="宋体" w:cs="Times New Roman"/>
                <w:color w:val="000000"/>
                <w:kern w:val="0"/>
                <w:sz w:val="15"/>
                <w:szCs w:val="15"/>
                <w:highlight w:val="none"/>
                <w:lang w:val="en-US" w:eastAsia="zh-CN" w:bidi="ar"/>
              </w:rPr>
              <w:t>2</w:t>
            </w:r>
            <w:r>
              <w:rPr>
                <w:rFonts w:hint="default" w:ascii="Times New Roman" w:hAnsi="Times New Roman" w:eastAsia="宋体" w:cs="Times New Roman"/>
                <w:color w:val="000000"/>
                <w:kern w:val="0"/>
                <w:sz w:val="24"/>
                <w:szCs w:val="24"/>
                <w:highlight w:val="none"/>
                <w:lang w:val="en-US" w:eastAsia="zh-CN" w:bidi="ar"/>
              </w:rPr>
              <w:t>、CO、O</w:t>
            </w:r>
            <w:r>
              <w:rPr>
                <w:rFonts w:hint="default" w:ascii="Times New Roman" w:hAnsi="Times New Roman" w:eastAsia="宋体" w:cs="Times New Roman"/>
                <w:color w:val="000000"/>
                <w:kern w:val="0"/>
                <w:sz w:val="15"/>
                <w:szCs w:val="15"/>
                <w:highlight w:val="none"/>
                <w:lang w:val="en-US" w:eastAsia="zh-CN" w:bidi="ar"/>
              </w:rPr>
              <w:t>3</w:t>
            </w:r>
            <w:r>
              <w:rPr>
                <w:rFonts w:hint="default" w:ascii="Times New Roman" w:hAnsi="Times New Roman" w:eastAsia="宋体" w:cs="Times New Roman"/>
                <w:color w:val="000000"/>
                <w:kern w:val="0"/>
                <w:sz w:val="24"/>
                <w:szCs w:val="24"/>
                <w:highlight w:val="none"/>
                <w:lang w:val="en-US" w:eastAsia="zh-CN" w:bidi="ar"/>
              </w:rPr>
              <w:t>、PM</w:t>
            </w:r>
            <w:r>
              <w:rPr>
                <w:rFonts w:hint="default" w:ascii="Times New Roman" w:hAnsi="Times New Roman" w:eastAsia="宋体" w:cs="Times New Roman"/>
                <w:color w:val="000000"/>
                <w:kern w:val="0"/>
                <w:sz w:val="24"/>
                <w:szCs w:val="24"/>
                <w:highlight w:val="none"/>
                <w:vertAlign w:val="subscript"/>
                <w:lang w:val="en-US" w:eastAsia="zh-CN" w:bidi="ar"/>
              </w:rPr>
              <w:t>2.5、</w:t>
            </w:r>
            <w:r>
              <w:rPr>
                <w:rFonts w:hint="default" w:ascii="Times New Roman" w:hAnsi="Times New Roman" w:eastAsia="宋体" w:cs="Times New Roman"/>
                <w:color w:val="000000"/>
                <w:kern w:val="0"/>
                <w:sz w:val="24"/>
                <w:szCs w:val="24"/>
                <w:highlight w:val="none"/>
                <w:vertAlign w:val="baseline"/>
                <w:lang w:val="en-US" w:eastAsia="zh-CN" w:bidi="ar"/>
              </w:rPr>
              <w:t>PM</w:t>
            </w:r>
            <w:r>
              <w:rPr>
                <w:rFonts w:hint="default" w:ascii="Times New Roman" w:hAnsi="Times New Roman" w:eastAsia="宋体" w:cs="Times New Roman"/>
                <w:color w:val="000000"/>
                <w:kern w:val="0"/>
                <w:sz w:val="24"/>
                <w:szCs w:val="24"/>
                <w:highlight w:val="none"/>
                <w:vertAlign w:val="subscript"/>
                <w:lang w:val="en-US" w:eastAsia="zh-CN" w:bidi="ar"/>
              </w:rPr>
              <w:t>10</w:t>
            </w:r>
            <w:r>
              <w:rPr>
                <w:rFonts w:hint="default" w:ascii="Times New Roman" w:hAnsi="Times New Roman" w:eastAsia="宋体" w:cs="Times New Roman"/>
                <w:color w:val="000000"/>
                <w:kern w:val="0"/>
                <w:sz w:val="24"/>
                <w:szCs w:val="24"/>
                <w:highlight w:val="none"/>
                <w:lang w:val="en-US" w:eastAsia="zh-CN" w:bidi="ar"/>
              </w:rPr>
              <w:t>的数据来源。</w:t>
            </w:r>
          </w:p>
          <w:p w14:paraId="061AB1F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vertAlign w:val="baseline"/>
                <w:lang w:val="en-US" w:eastAsia="zh-CN" w:bidi="ar"/>
              </w:rPr>
            </w:pPr>
            <w:r>
              <w:rPr>
                <w:rFonts w:hint="default" w:ascii="Times New Roman" w:hAnsi="Times New Roman" w:eastAsia="宋体" w:cs="Times New Roman"/>
                <w:color w:val="000000"/>
                <w:kern w:val="0"/>
                <w:sz w:val="24"/>
                <w:szCs w:val="24"/>
                <w:highlight w:val="none"/>
                <w:lang w:val="en-US" w:eastAsia="zh-CN" w:bidi="ar"/>
              </w:rPr>
              <w:t>（1）评价标准</w:t>
            </w:r>
          </w:p>
          <w:p w14:paraId="50CC8C6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项目所在区域环境空气质量执行《环境空气质量标准》（GB3095-20</w:t>
            </w:r>
            <w:r>
              <w:rPr>
                <w:rFonts w:hint="eastAsia" w:cs="Times New Roman"/>
                <w:color w:val="000000"/>
                <w:kern w:val="0"/>
                <w:sz w:val="24"/>
                <w:szCs w:val="24"/>
                <w:highlight w:val="none"/>
                <w:lang w:val="en-US" w:eastAsia="zh-CN" w:bidi="ar"/>
              </w:rPr>
              <w:t>26</w:t>
            </w: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过渡阶段</w:t>
            </w:r>
            <w:r>
              <w:rPr>
                <w:rFonts w:hint="default" w:ascii="Times New Roman" w:hAnsi="Times New Roman" w:eastAsia="宋体" w:cs="Times New Roman"/>
                <w:color w:val="000000"/>
                <w:kern w:val="0"/>
                <w:sz w:val="24"/>
                <w:szCs w:val="24"/>
                <w:highlight w:val="none"/>
                <w:lang w:val="en-US" w:eastAsia="zh-CN" w:bidi="ar"/>
              </w:rPr>
              <w:t>二级标准。</w:t>
            </w:r>
          </w:p>
          <w:p w14:paraId="0FC69BB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highlight w:val="none"/>
                <w:lang w:val="en-US" w:eastAsia="zh-CN" w:bidi="ar"/>
              </w:rPr>
              <w:t>达标区判定</w:t>
            </w:r>
          </w:p>
          <w:p w14:paraId="4ADC674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区域环境空气质量现状评价结果见表 3-1。</w:t>
            </w:r>
          </w:p>
          <w:p w14:paraId="4314BF73">
            <w:pPr>
              <w:pStyle w:val="24"/>
              <w:spacing w:before="0" w:beforeLines="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表</w:t>
            </w:r>
            <w:r>
              <w:rPr>
                <w:rFonts w:hint="default" w:ascii="Times New Roman" w:hAnsi="Times New Roman" w:eastAsia="楷体" w:cs="Times New Roman"/>
                <w:sz w:val="21"/>
                <w:szCs w:val="21"/>
                <w:highlight w:val="none"/>
              </w:rPr>
              <w:t>3-</w:t>
            </w:r>
            <w:r>
              <w:rPr>
                <w:rFonts w:hint="default" w:ascii="Times New Roman" w:hAnsi="Times New Roman" w:eastAsia="楷体" w:cs="Times New Roman"/>
                <w:sz w:val="21"/>
                <w:szCs w:val="21"/>
                <w:highlight w:val="none"/>
                <w:lang w:val="en-US" w:eastAsia="zh-CN"/>
              </w:rPr>
              <w:t>1</w:t>
            </w:r>
            <w:r>
              <w:rPr>
                <w:rFonts w:hint="eastAsia" w:ascii="Times New Roman" w:hAnsi="Times New Roman" w:eastAsia="楷体" w:cs="Times New Roman"/>
                <w:sz w:val="21"/>
                <w:szCs w:val="21"/>
                <w:highlight w:val="none"/>
                <w:lang w:val="en-US" w:eastAsia="zh-CN"/>
              </w:rPr>
              <w:t xml:space="preserve">    </w:t>
            </w:r>
            <w:r>
              <w:rPr>
                <w:rFonts w:hint="default" w:ascii="Times New Roman" w:hAnsi="Times New Roman" w:eastAsia="楷体" w:cs="Times New Roman"/>
                <w:sz w:val="21"/>
                <w:szCs w:val="21"/>
                <w:highlight w:val="none"/>
                <w:lang w:val="en-US" w:eastAsia="zh-CN"/>
              </w:rPr>
              <w:t xml:space="preserve"> </w:t>
            </w:r>
            <w:r>
              <w:rPr>
                <w:rFonts w:hint="default" w:ascii="Times New Roman" w:hAnsi="Times New Roman" w:cs="Times New Roman"/>
                <w:sz w:val="21"/>
                <w:szCs w:val="21"/>
                <w:highlight w:val="none"/>
              </w:rPr>
              <w:t>区域空气质量现状评价结果一览表</w:t>
            </w:r>
          </w:p>
          <w:tbl>
            <w:tblPr>
              <w:tblStyle w:val="19"/>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287"/>
              <w:gridCol w:w="1153"/>
              <w:gridCol w:w="1179"/>
              <w:gridCol w:w="868"/>
              <w:gridCol w:w="710"/>
            </w:tblGrid>
            <w:tr w14:paraId="166A41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486" w:type="pct"/>
                  <w:tcBorders>
                    <w:top w:val="single" w:color="auto" w:sz="8" w:space="0"/>
                    <w:bottom w:val="single" w:color="auto" w:sz="8" w:space="0"/>
                  </w:tcBorders>
                  <w:noWrap w:val="0"/>
                  <w:vAlign w:val="center"/>
                </w:tcPr>
                <w:p w14:paraId="782F4C9E">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评价</w:t>
                  </w:r>
                </w:p>
                <w:p w14:paraId="230918DA">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因子</w:t>
                  </w:r>
                </w:p>
              </w:tc>
              <w:tc>
                <w:tcPr>
                  <w:tcW w:w="2060" w:type="pct"/>
                  <w:tcBorders>
                    <w:top w:val="single" w:color="auto" w:sz="8" w:space="0"/>
                    <w:bottom w:val="single" w:color="auto" w:sz="8" w:space="0"/>
                  </w:tcBorders>
                  <w:noWrap w:val="0"/>
                  <w:vAlign w:val="center"/>
                </w:tcPr>
                <w:p w14:paraId="2F0585F8">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平均时段</w:t>
                  </w:r>
                </w:p>
              </w:tc>
              <w:tc>
                <w:tcPr>
                  <w:tcW w:w="723" w:type="pct"/>
                  <w:tcBorders>
                    <w:top w:val="single" w:color="auto" w:sz="8" w:space="0"/>
                    <w:bottom w:val="single" w:color="auto" w:sz="8" w:space="0"/>
                  </w:tcBorders>
                  <w:noWrap w:val="0"/>
                  <w:vAlign w:val="center"/>
                </w:tcPr>
                <w:p w14:paraId="67B31C3E">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现状浓度</w:t>
                  </w:r>
                </w:p>
                <w:p w14:paraId="62817107">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Cs w:val="21"/>
                      <w:highlight w:val="none"/>
                      <w:vertAlign w:val="baseline"/>
                      <w:lang w:eastAsia="zh-CN"/>
                    </w:rPr>
                  </w:pPr>
                  <w:r>
                    <w:rPr>
                      <w:rFonts w:hint="default" w:ascii="Times New Roman" w:hAnsi="Times New Roman" w:cs="Times New Roman"/>
                      <w:b/>
                      <w:bCs/>
                      <w:szCs w:val="21"/>
                      <w:highlight w:val="none"/>
                      <w:lang w:eastAsia="zh-CN"/>
                    </w:rPr>
                    <w:t>（</w:t>
                  </w:r>
                  <w:r>
                    <w:rPr>
                      <w:rFonts w:hint="default" w:ascii="Times New Roman" w:hAnsi="Times New Roman" w:cs="Times New Roman"/>
                      <w:b/>
                      <w:bCs/>
                      <w:szCs w:val="21"/>
                      <w:highlight w:val="none"/>
                    </w:rPr>
                    <w:t>μg/m</w:t>
                  </w:r>
                  <w:r>
                    <w:rPr>
                      <w:rFonts w:hint="default" w:ascii="Times New Roman" w:hAnsi="Times New Roman" w:cs="Times New Roman"/>
                      <w:b/>
                      <w:bCs/>
                      <w:szCs w:val="21"/>
                      <w:highlight w:val="none"/>
                      <w:vertAlign w:val="superscript"/>
                    </w:rPr>
                    <w:t>3</w:t>
                  </w:r>
                  <w:r>
                    <w:rPr>
                      <w:rFonts w:hint="default" w:ascii="Times New Roman" w:hAnsi="Times New Roman" w:cs="Times New Roman"/>
                      <w:b/>
                      <w:bCs/>
                      <w:szCs w:val="21"/>
                      <w:highlight w:val="none"/>
                      <w:vertAlign w:val="baseline"/>
                      <w:lang w:eastAsia="zh-CN"/>
                    </w:rPr>
                    <w:t>）</w:t>
                  </w:r>
                </w:p>
              </w:tc>
              <w:tc>
                <w:tcPr>
                  <w:tcW w:w="739" w:type="pct"/>
                  <w:tcBorders>
                    <w:top w:val="single" w:color="auto" w:sz="8" w:space="0"/>
                    <w:bottom w:val="single" w:color="auto" w:sz="8" w:space="0"/>
                  </w:tcBorders>
                  <w:noWrap w:val="0"/>
                  <w:vAlign w:val="center"/>
                </w:tcPr>
                <w:p w14:paraId="06AD540F">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标准限值</w:t>
                  </w:r>
                </w:p>
                <w:p w14:paraId="23963F09">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Cs w:val="21"/>
                      <w:highlight w:val="none"/>
                      <w:vertAlign w:val="baseline"/>
                      <w:lang w:eastAsia="zh-CN"/>
                    </w:rPr>
                  </w:pPr>
                  <w:r>
                    <w:rPr>
                      <w:rFonts w:hint="default" w:ascii="Times New Roman" w:hAnsi="Times New Roman" w:cs="Times New Roman"/>
                      <w:b/>
                      <w:bCs/>
                      <w:szCs w:val="21"/>
                      <w:highlight w:val="none"/>
                      <w:lang w:eastAsia="zh-CN"/>
                    </w:rPr>
                    <w:t>（</w:t>
                  </w:r>
                  <w:r>
                    <w:rPr>
                      <w:rFonts w:hint="default" w:ascii="Times New Roman" w:hAnsi="Times New Roman" w:cs="Times New Roman"/>
                      <w:b/>
                      <w:bCs/>
                      <w:szCs w:val="21"/>
                      <w:highlight w:val="none"/>
                    </w:rPr>
                    <w:t>μg/m</w:t>
                  </w:r>
                  <w:r>
                    <w:rPr>
                      <w:rFonts w:hint="default" w:ascii="Times New Roman" w:hAnsi="Times New Roman" w:cs="Times New Roman"/>
                      <w:b/>
                      <w:bCs/>
                      <w:szCs w:val="21"/>
                      <w:highlight w:val="none"/>
                      <w:vertAlign w:val="superscript"/>
                    </w:rPr>
                    <w:t>3</w:t>
                  </w:r>
                  <w:r>
                    <w:rPr>
                      <w:rFonts w:hint="default" w:ascii="Times New Roman" w:hAnsi="Times New Roman" w:cs="Times New Roman"/>
                      <w:b/>
                      <w:bCs/>
                      <w:szCs w:val="21"/>
                      <w:highlight w:val="none"/>
                      <w:vertAlign w:val="baseline"/>
                      <w:lang w:eastAsia="zh-CN"/>
                    </w:rPr>
                    <w:t>）</w:t>
                  </w:r>
                </w:p>
              </w:tc>
              <w:tc>
                <w:tcPr>
                  <w:tcW w:w="544" w:type="pct"/>
                  <w:tcBorders>
                    <w:top w:val="single" w:color="auto" w:sz="8" w:space="0"/>
                    <w:bottom w:val="single" w:color="auto" w:sz="8" w:space="0"/>
                  </w:tcBorders>
                  <w:noWrap w:val="0"/>
                  <w:vAlign w:val="center"/>
                </w:tcPr>
                <w:p w14:paraId="6F055E1C">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Cs w:val="21"/>
                      <w:highlight w:val="none"/>
                      <w:lang w:eastAsia="zh-CN"/>
                    </w:rPr>
                  </w:pPr>
                  <w:r>
                    <w:rPr>
                      <w:rFonts w:hint="default" w:ascii="Times New Roman" w:hAnsi="Times New Roman" w:cs="Times New Roman"/>
                      <w:b/>
                      <w:bCs/>
                      <w:szCs w:val="21"/>
                      <w:highlight w:val="none"/>
                    </w:rPr>
                    <w:t>占标率</w:t>
                  </w:r>
                  <w:r>
                    <w:rPr>
                      <w:rFonts w:hint="default" w:ascii="Times New Roman" w:hAnsi="Times New Roman" w:cs="Times New Roman"/>
                      <w:b/>
                      <w:bCs/>
                      <w:szCs w:val="21"/>
                      <w:highlight w:val="none"/>
                      <w:lang w:eastAsia="zh-CN"/>
                    </w:rPr>
                    <w:t>（</w:t>
                  </w:r>
                  <w:r>
                    <w:rPr>
                      <w:rFonts w:hint="default" w:ascii="Times New Roman" w:hAnsi="Times New Roman" w:cs="Times New Roman"/>
                      <w:b/>
                      <w:bCs/>
                      <w:szCs w:val="21"/>
                      <w:highlight w:val="none"/>
                    </w:rPr>
                    <w:t>%</w:t>
                  </w:r>
                  <w:r>
                    <w:rPr>
                      <w:rFonts w:hint="default" w:ascii="Times New Roman" w:hAnsi="Times New Roman" w:cs="Times New Roman"/>
                      <w:b/>
                      <w:bCs/>
                      <w:szCs w:val="21"/>
                      <w:highlight w:val="none"/>
                      <w:lang w:eastAsia="zh-CN"/>
                    </w:rPr>
                    <w:t>）</w:t>
                  </w:r>
                </w:p>
              </w:tc>
              <w:tc>
                <w:tcPr>
                  <w:tcW w:w="445" w:type="pct"/>
                  <w:tcBorders>
                    <w:top w:val="single" w:color="auto" w:sz="8" w:space="0"/>
                    <w:bottom w:val="single" w:color="auto" w:sz="8" w:space="0"/>
                  </w:tcBorders>
                  <w:noWrap w:val="0"/>
                  <w:vAlign w:val="center"/>
                </w:tcPr>
                <w:p w14:paraId="7C5E5767">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达标</w:t>
                  </w:r>
                </w:p>
                <w:p w14:paraId="398760C1">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情况</w:t>
                  </w:r>
                </w:p>
              </w:tc>
            </w:tr>
            <w:tr w14:paraId="6E20B9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86" w:type="pct"/>
                  <w:tcBorders>
                    <w:top w:val="single" w:color="auto" w:sz="8" w:space="0"/>
                  </w:tcBorders>
                  <w:noWrap w:val="0"/>
                  <w:vAlign w:val="center"/>
                </w:tcPr>
                <w:p w14:paraId="2CA321DE">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szCs w:val="21"/>
                      <w:highlight w:val="none"/>
                    </w:rPr>
                    <w:t>SO</w:t>
                  </w:r>
                  <w:r>
                    <w:rPr>
                      <w:rFonts w:hint="default" w:ascii="Times New Roman" w:hAnsi="Times New Roman" w:cs="Times New Roman"/>
                      <w:szCs w:val="21"/>
                      <w:highlight w:val="none"/>
                      <w:vertAlign w:val="subscript"/>
                    </w:rPr>
                    <w:t>2</w:t>
                  </w:r>
                </w:p>
              </w:tc>
              <w:tc>
                <w:tcPr>
                  <w:tcW w:w="2060" w:type="pct"/>
                  <w:tcBorders>
                    <w:top w:val="single" w:color="auto" w:sz="8" w:space="0"/>
                  </w:tcBorders>
                  <w:noWrap w:val="0"/>
                  <w:vAlign w:val="center"/>
                </w:tcPr>
                <w:p w14:paraId="5021B5A5">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bCs/>
                      <w:szCs w:val="21"/>
                      <w:highlight w:val="none"/>
                    </w:rPr>
                    <w:t>年平均</w:t>
                  </w:r>
                </w:p>
              </w:tc>
              <w:tc>
                <w:tcPr>
                  <w:tcW w:w="723" w:type="pct"/>
                  <w:tcBorders>
                    <w:top w:val="single" w:color="auto" w:sz="8" w:space="0"/>
                  </w:tcBorders>
                  <w:noWrap w:val="0"/>
                  <w:vAlign w:val="center"/>
                </w:tcPr>
                <w:p w14:paraId="49F21526">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Cs/>
                      <w:szCs w:val="21"/>
                      <w:highlight w:val="none"/>
                      <w:lang w:val="en-US" w:eastAsia="zh-CN"/>
                    </w:rPr>
                  </w:pPr>
                  <w:r>
                    <w:rPr>
                      <w:rFonts w:hint="default" w:ascii="Times New Roman" w:hAnsi="Times New Roman" w:eastAsia="宋体" w:cs="Times New Roman"/>
                      <w:bCs/>
                      <w:szCs w:val="21"/>
                      <w:highlight w:val="none"/>
                      <w:lang w:val="en-US" w:eastAsia="zh-CN"/>
                    </w:rPr>
                    <w:t>7</w:t>
                  </w:r>
                </w:p>
              </w:tc>
              <w:tc>
                <w:tcPr>
                  <w:tcW w:w="739" w:type="pct"/>
                  <w:tcBorders>
                    <w:top w:val="single" w:color="auto" w:sz="8" w:space="0"/>
                  </w:tcBorders>
                  <w:noWrap w:val="0"/>
                  <w:vAlign w:val="center"/>
                </w:tcPr>
                <w:p w14:paraId="5C1B3E99">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60</w:t>
                  </w:r>
                </w:p>
              </w:tc>
              <w:tc>
                <w:tcPr>
                  <w:tcW w:w="544" w:type="pct"/>
                  <w:tcBorders>
                    <w:top w:val="single" w:color="auto" w:sz="8" w:space="0"/>
                  </w:tcBorders>
                  <w:noWrap w:val="0"/>
                  <w:vAlign w:val="center"/>
                </w:tcPr>
                <w:p w14:paraId="4D829E99">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11.67</w:t>
                  </w:r>
                </w:p>
              </w:tc>
              <w:tc>
                <w:tcPr>
                  <w:tcW w:w="445" w:type="pct"/>
                  <w:tcBorders>
                    <w:top w:val="single" w:color="auto" w:sz="8" w:space="0"/>
                  </w:tcBorders>
                  <w:noWrap w:val="0"/>
                  <w:vAlign w:val="center"/>
                </w:tcPr>
                <w:p w14:paraId="455E7367">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bCs/>
                      <w:szCs w:val="21"/>
                      <w:highlight w:val="none"/>
                    </w:rPr>
                    <w:t>达标</w:t>
                  </w:r>
                </w:p>
              </w:tc>
            </w:tr>
            <w:tr w14:paraId="0C1236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486" w:type="pct"/>
                  <w:noWrap w:val="0"/>
                  <w:vAlign w:val="center"/>
                </w:tcPr>
                <w:p w14:paraId="7F5DE561">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NO</w:t>
                  </w:r>
                  <w:r>
                    <w:rPr>
                      <w:rFonts w:hint="default" w:ascii="Times New Roman" w:hAnsi="Times New Roman" w:cs="Times New Roman"/>
                      <w:szCs w:val="21"/>
                      <w:highlight w:val="none"/>
                      <w:vertAlign w:val="subscript"/>
                    </w:rPr>
                    <w:t>2</w:t>
                  </w:r>
                </w:p>
              </w:tc>
              <w:tc>
                <w:tcPr>
                  <w:tcW w:w="2060" w:type="pct"/>
                  <w:noWrap w:val="0"/>
                  <w:vAlign w:val="center"/>
                </w:tcPr>
                <w:p w14:paraId="494D8E44">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bCs/>
                      <w:szCs w:val="21"/>
                      <w:highlight w:val="none"/>
                    </w:rPr>
                    <w:t>年平均</w:t>
                  </w:r>
                </w:p>
              </w:tc>
              <w:tc>
                <w:tcPr>
                  <w:tcW w:w="723" w:type="pct"/>
                  <w:noWrap w:val="0"/>
                  <w:vAlign w:val="center"/>
                </w:tcPr>
                <w:p w14:paraId="438D089E">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30</w:t>
                  </w:r>
                </w:p>
              </w:tc>
              <w:tc>
                <w:tcPr>
                  <w:tcW w:w="739" w:type="pct"/>
                  <w:noWrap w:val="0"/>
                  <w:vAlign w:val="center"/>
                </w:tcPr>
                <w:p w14:paraId="5822A75D">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40</w:t>
                  </w:r>
                </w:p>
              </w:tc>
              <w:tc>
                <w:tcPr>
                  <w:tcW w:w="544" w:type="pct"/>
                  <w:noWrap w:val="0"/>
                  <w:vAlign w:val="center"/>
                </w:tcPr>
                <w:p w14:paraId="631B8747">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75</w:t>
                  </w:r>
                </w:p>
              </w:tc>
              <w:tc>
                <w:tcPr>
                  <w:tcW w:w="445" w:type="pct"/>
                  <w:noWrap w:val="0"/>
                  <w:vAlign w:val="center"/>
                </w:tcPr>
                <w:p w14:paraId="1A0F0545">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bCs/>
                      <w:szCs w:val="21"/>
                      <w:highlight w:val="none"/>
                    </w:rPr>
                    <w:t>达标</w:t>
                  </w:r>
                </w:p>
              </w:tc>
            </w:tr>
            <w:tr w14:paraId="421ACD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486" w:type="pct"/>
                  <w:noWrap w:val="0"/>
                  <w:vAlign w:val="center"/>
                </w:tcPr>
                <w:p w14:paraId="2DF5160F">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CO</w:t>
                  </w:r>
                </w:p>
              </w:tc>
              <w:tc>
                <w:tcPr>
                  <w:tcW w:w="2060" w:type="pct"/>
                  <w:noWrap w:val="0"/>
                  <w:vAlign w:val="center"/>
                </w:tcPr>
                <w:p w14:paraId="190F933C">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szCs w:val="21"/>
                      <w:highlight w:val="none"/>
                    </w:rPr>
                    <w:t>24</w:t>
                  </w:r>
                  <w:r>
                    <w:rPr>
                      <w:rFonts w:hint="default" w:ascii="Times New Roman" w:hAnsi="Times New Roman" w:cs="Times New Roman"/>
                      <w:szCs w:val="21"/>
                      <w:highlight w:val="none"/>
                      <w:lang w:val="en-US" w:eastAsia="zh-CN"/>
                    </w:rPr>
                    <w:t>h</w:t>
                  </w:r>
                  <w:r>
                    <w:rPr>
                      <w:rFonts w:hint="default" w:ascii="Times New Roman" w:hAnsi="Times New Roman" w:cs="Times New Roman"/>
                      <w:szCs w:val="21"/>
                      <w:highlight w:val="none"/>
                    </w:rPr>
                    <w:t>平均第95百分位数</w:t>
                  </w:r>
                </w:p>
              </w:tc>
              <w:tc>
                <w:tcPr>
                  <w:tcW w:w="723" w:type="pct"/>
                  <w:noWrap w:val="0"/>
                  <w:vAlign w:val="center"/>
                </w:tcPr>
                <w:p w14:paraId="543B87A1">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18</w:t>
                  </w:r>
                  <w:r>
                    <w:rPr>
                      <w:rFonts w:hint="default" w:ascii="Times New Roman" w:hAnsi="Times New Roman" w:eastAsia="宋体" w:cs="Times New Roman"/>
                      <w:bCs/>
                      <w:szCs w:val="21"/>
                      <w:highlight w:val="none"/>
                      <w:lang w:val="en-US" w:eastAsia="zh-CN"/>
                    </w:rPr>
                    <w:t>00</w:t>
                  </w:r>
                </w:p>
              </w:tc>
              <w:tc>
                <w:tcPr>
                  <w:tcW w:w="739" w:type="pct"/>
                  <w:noWrap w:val="0"/>
                  <w:vAlign w:val="center"/>
                </w:tcPr>
                <w:p w14:paraId="517E7B9A">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4000</w:t>
                  </w:r>
                </w:p>
              </w:tc>
              <w:tc>
                <w:tcPr>
                  <w:tcW w:w="544" w:type="pct"/>
                  <w:noWrap w:val="0"/>
                  <w:vAlign w:val="center"/>
                </w:tcPr>
                <w:p w14:paraId="66B72509">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highlight w:val="none"/>
                      <w:lang w:val="en-US" w:eastAsia="zh-CN"/>
                    </w:rPr>
                  </w:pPr>
                  <w:r>
                    <w:rPr>
                      <w:rFonts w:hint="eastAsia" w:cs="Times New Roman"/>
                      <w:highlight w:val="none"/>
                      <w:lang w:val="en-US" w:eastAsia="zh-CN"/>
                    </w:rPr>
                    <w:t>4</w:t>
                  </w:r>
                  <w:r>
                    <w:rPr>
                      <w:rFonts w:hint="default" w:ascii="Times New Roman" w:hAnsi="Times New Roman" w:eastAsia="宋体" w:cs="Times New Roman"/>
                      <w:highlight w:val="none"/>
                      <w:lang w:val="en-US" w:eastAsia="zh-CN"/>
                    </w:rPr>
                    <w:t>5</w:t>
                  </w:r>
                </w:p>
              </w:tc>
              <w:tc>
                <w:tcPr>
                  <w:tcW w:w="445" w:type="pct"/>
                  <w:noWrap w:val="0"/>
                  <w:vAlign w:val="center"/>
                </w:tcPr>
                <w:p w14:paraId="42CCE42F">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bCs/>
                      <w:szCs w:val="21"/>
                      <w:highlight w:val="none"/>
                    </w:rPr>
                    <w:t>达标</w:t>
                  </w:r>
                </w:p>
              </w:tc>
            </w:tr>
            <w:tr w14:paraId="0CBC8C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86" w:type="pct"/>
                  <w:noWrap w:val="0"/>
                  <w:vAlign w:val="center"/>
                </w:tcPr>
                <w:p w14:paraId="4B08070D">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O</w:t>
                  </w:r>
                  <w:r>
                    <w:rPr>
                      <w:rFonts w:hint="default" w:ascii="Times New Roman" w:hAnsi="Times New Roman" w:cs="Times New Roman"/>
                      <w:szCs w:val="21"/>
                      <w:highlight w:val="none"/>
                      <w:vertAlign w:val="subscript"/>
                    </w:rPr>
                    <w:t>3</w:t>
                  </w:r>
                </w:p>
              </w:tc>
              <w:tc>
                <w:tcPr>
                  <w:tcW w:w="2060" w:type="pct"/>
                  <w:noWrap w:val="0"/>
                  <w:vAlign w:val="center"/>
                </w:tcPr>
                <w:p w14:paraId="65D4B30F">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szCs w:val="21"/>
                      <w:highlight w:val="none"/>
                    </w:rPr>
                    <w:t>日最大8小时平均第90百分位数</w:t>
                  </w:r>
                </w:p>
              </w:tc>
              <w:tc>
                <w:tcPr>
                  <w:tcW w:w="723" w:type="pct"/>
                  <w:noWrap w:val="0"/>
                  <w:vAlign w:val="center"/>
                </w:tcPr>
                <w:p w14:paraId="1CFDE7AB">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Cs/>
                      <w:szCs w:val="21"/>
                      <w:highlight w:val="none"/>
                      <w:lang w:val="en-US" w:eastAsia="zh-CN"/>
                    </w:rPr>
                  </w:pPr>
                  <w:r>
                    <w:rPr>
                      <w:rFonts w:hint="default" w:ascii="Times New Roman" w:hAnsi="Times New Roman" w:eastAsia="宋体" w:cs="Times New Roman"/>
                      <w:bCs/>
                      <w:szCs w:val="21"/>
                      <w:highlight w:val="none"/>
                      <w:lang w:val="en-US" w:eastAsia="zh-CN"/>
                    </w:rPr>
                    <w:t>1</w:t>
                  </w:r>
                  <w:r>
                    <w:rPr>
                      <w:rFonts w:hint="eastAsia" w:cs="Times New Roman"/>
                      <w:bCs/>
                      <w:szCs w:val="21"/>
                      <w:highlight w:val="none"/>
                      <w:lang w:val="en-US" w:eastAsia="zh-CN"/>
                    </w:rPr>
                    <w:t>34</w:t>
                  </w:r>
                </w:p>
              </w:tc>
              <w:tc>
                <w:tcPr>
                  <w:tcW w:w="739" w:type="pct"/>
                  <w:noWrap w:val="0"/>
                  <w:vAlign w:val="center"/>
                </w:tcPr>
                <w:p w14:paraId="704B7366">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160</w:t>
                  </w:r>
                </w:p>
              </w:tc>
              <w:tc>
                <w:tcPr>
                  <w:tcW w:w="544" w:type="pct"/>
                  <w:noWrap w:val="0"/>
                  <w:vAlign w:val="center"/>
                </w:tcPr>
                <w:p w14:paraId="28A98049">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83.75</w:t>
                  </w:r>
                </w:p>
              </w:tc>
              <w:tc>
                <w:tcPr>
                  <w:tcW w:w="445" w:type="pct"/>
                  <w:noWrap w:val="0"/>
                  <w:vAlign w:val="center"/>
                </w:tcPr>
                <w:p w14:paraId="34916546">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bCs/>
                      <w:szCs w:val="21"/>
                      <w:highlight w:val="none"/>
                    </w:rPr>
                    <w:t>达标</w:t>
                  </w:r>
                </w:p>
              </w:tc>
            </w:tr>
            <w:tr w14:paraId="177A30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6" w:type="pct"/>
                  <w:noWrap w:val="0"/>
                  <w:vAlign w:val="center"/>
                </w:tcPr>
                <w:p w14:paraId="0F312C8F">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PM</w:t>
                  </w:r>
                  <w:r>
                    <w:rPr>
                      <w:rFonts w:hint="default" w:ascii="Times New Roman" w:hAnsi="Times New Roman" w:cs="Times New Roman"/>
                      <w:szCs w:val="21"/>
                      <w:highlight w:val="none"/>
                      <w:vertAlign w:val="subscript"/>
                    </w:rPr>
                    <w:t>10</w:t>
                  </w:r>
                </w:p>
              </w:tc>
              <w:tc>
                <w:tcPr>
                  <w:tcW w:w="2060" w:type="pct"/>
                  <w:noWrap w:val="0"/>
                  <w:vAlign w:val="center"/>
                </w:tcPr>
                <w:p w14:paraId="142F0E05">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bCs/>
                      <w:szCs w:val="21"/>
                      <w:highlight w:val="none"/>
                    </w:rPr>
                    <w:t>年平均</w:t>
                  </w:r>
                </w:p>
              </w:tc>
              <w:tc>
                <w:tcPr>
                  <w:tcW w:w="723" w:type="pct"/>
                  <w:noWrap w:val="0"/>
                  <w:vAlign w:val="center"/>
                </w:tcPr>
                <w:p w14:paraId="234C275D">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70</w:t>
                  </w:r>
                </w:p>
              </w:tc>
              <w:tc>
                <w:tcPr>
                  <w:tcW w:w="739" w:type="pct"/>
                  <w:noWrap w:val="0"/>
                  <w:vAlign w:val="center"/>
                </w:tcPr>
                <w:p w14:paraId="3E086606">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60</w:t>
                  </w:r>
                </w:p>
              </w:tc>
              <w:tc>
                <w:tcPr>
                  <w:tcW w:w="544" w:type="pct"/>
                  <w:noWrap w:val="0"/>
                  <w:vAlign w:val="center"/>
                </w:tcPr>
                <w:p w14:paraId="79674BC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116.67</w:t>
                  </w:r>
                </w:p>
              </w:tc>
              <w:tc>
                <w:tcPr>
                  <w:tcW w:w="445" w:type="pct"/>
                  <w:noWrap w:val="0"/>
                  <w:vAlign w:val="center"/>
                </w:tcPr>
                <w:p w14:paraId="5A4B374B">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szCs w:val="21"/>
                      <w:highlight w:val="none"/>
                    </w:rPr>
                  </w:pPr>
                  <w:r>
                    <w:rPr>
                      <w:rFonts w:hint="default" w:ascii="Times New Roman" w:hAnsi="Times New Roman" w:cs="Times New Roman"/>
                      <w:bCs/>
                      <w:szCs w:val="21"/>
                      <w:highlight w:val="none"/>
                      <w:lang w:val="en-US" w:eastAsia="zh-CN"/>
                    </w:rPr>
                    <w:t>超</w:t>
                  </w:r>
                  <w:r>
                    <w:rPr>
                      <w:rFonts w:hint="default" w:ascii="Times New Roman" w:hAnsi="Times New Roman" w:cs="Times New Roman"/>
                      <w:bCs/>
                      <w:szCs w:val="21"/>
                      <w:highlight w:val="none"/>
                    </w:rPr>
                    <w:t>标</w:t>
                  </w:r>
                </w:p>
              </w:tc>
            </w:tr>
            <w:tr w14:paraId="4B028F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86" w:type="pct"/>
                  <w:tcBorders>
                    <w:bottom w:val="single" w:color="auto" w:sz="8" w:space="0"/>
                  </w:tcBorders>
                  <w:noWrap w:val="0"/>
                  <w:vAlign w:val="center"/>
                </w:tcPr>
                <w:p w14:paraId="4FEE0B92">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PM</w:t>
                  </w:r>
                  <w:r>
                    <w:rPr>
                      <w:rFonts w:hint="default" w:ascii="Times New Roman" w:hAnsi="Times New Roman" w:cs="Times New Roman"/>
                      <w:szCs w:val="21"/>
                      <w:highlight w:val="none"/>
                      <w:vertAlign w:val="subscript"/>
                    </w:rPr>
                    <w:t>2.5</w:t>
                  </w:r>
                </w:p>
              </w:tc>
              <w:tc>
                <w:tcPr>
                  <w:tcW w:w="2060" w:type="pct"/>
                  <w:tcBorders>
                    <w:bottom w:val="single" w:color="auto" w:sz="8" w:space="0"/>
                  </w:tcBorders>
                  <w:noWrap w:val="0"/>
                  <w:vAlign w:val="center"/>
                </w:tcPr>
                <w:p w14:paraId="2D6DB97A">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bCs/>
                      <w:szCs w:val="21"/>
                      <w:highlight w:val="none"/>
                    </w:rPr>
                    <w:t>年平均</w:t>
                  </w:r>
                </w:p>
              </w:tc>
              <w:tc>
                <w:tcPr>
                  <w:tcW w:w="723" w:type="pct"/>
                  <w:tcBorders>
                    <w:bottom w:val="single" w:color="auto" w:sz="8" w:space="0"/>
                  </w:tcBorders>
                  <w:noWrap w:val="0"/>
                  <w:vAlign w:val="center"/>
                </w:tcPr>
                <w:p w14:paraId="55B85EA8">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40</w:t>
                  </w:r>
                </w:p>
              </w:tc>
              <w:tc>
                <w:tcPr>
                  <w:tcW w:w="739" w:type="pct"/>
                  <w:tcBorders>
                    <w:bottom w:val="single" w:color="auto" w:sz="8" w:space="0"/>
                  </w:tcBorders>
                  <w:noWrap w:val="0"/>
                  <w:vAlign w:val="center"/>
                </w:tcPr>
                <w:p w14:paraId="0CDB77E4">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30</w:t>
                  </w:r>
                </w:p>
              </w:tc>
              <w:tc>
                <w:tcPr>
                  <w:tcW w:w="544" w:type="pct"/>
                  <w:tcBorders>
                    <w:bottom w:val="single" w:color="auto" w:sz="8" w:space="0"/>
                  </w:tcBorders>
                  <w:noWrap w:val="0"/>
                  <w:vAlign w:val="center"/>
                </w:tcPr>
                <w:p w14:paraId="6374767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133.33</w:t>
                  </w:r>
                </w:p>
              </w:tc>
              <w:tc>
                <w:tcPr>
                  <w:tcW w:w="445" w:type="pct"/>
                  <w:tcBorders>
                    <w:bottom w:val="single" w:color="auto" w:sz="8" w:space="0"/>
                  </w:tcBorders>
                  <w:noWrap w:val="0"/>
                  <w:vAlign w:val="center"/>
                </w:tcPr>
                <w:p w14:paraId="7AD6AC95">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lang w:val="en-US" w:eastAsia="zh-CN"/>
                    </w:rPr>
                    <w:t>超标</w:t>
                  </w:r>
                </w:p>
              </w:tc>
            </w:tr>
          </w:tbl>
          <w:p w14:paraId="2DEFB730">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ind w:firstLine="480" w:firstLineChars="200"/>
              <w:jc w:val="both"/>
              <w:textAlignment w:val="auto"/>
              <w:rPr>
                <w:rFonts w:hint="default" w:ascii="Times New Roman" w:hAnsi="Times New Roman" w:cs="Times New Roman"/>
                <w:highlight w:val="none"/>
              </w:rPr>
            </w:pPr>
            <w:r>
              <w:rPr>
                <w:rFonts w:hint="default" w:ascii="Times New Roman" w:hAnsi="Times New Roman" w:eastAsia="宋体" w:cs="Times New Roman"/>
                <w:color w:val="000000"/>
                <w:kern w:val="0"/>
                <w:sz w:val="24"/>
                <w:szCs w:val="24"/>
                <w:highlight w:val="none"/>
                <w:lang w:val="en-US" w:eastAsia="zh-CN" w:bidi="ar"/>
              </w:rPr>
              <w:t>由上表知，本项目所在区域 SO</w:t>
            </w:r>
            <w:r>
              <w:rPr>
                <w:rFonts w:hint="default" w:ascii="Times New Roman" w:hAnsi="Times New Roman" w:eastAsia="宋体" w:cs="Times New Roman"/>
                <w:color w:val="000000"/>
                <w:kern w:val="0"/>
                <w:sz w:val="15"/>
                <w:szCs w:val="15"/>
                <w:highlight w:val="none"/>
                <w:lang w:val="en-US" w:eastAsia="zh-CN" w:bidi="ar"/>
              </w:rPr>
              <w:t>2</w:t>
            </w:r>
            <w:r>
              <w:rPr>
                <w:rFonts w:hint="default" w:ascii="Times New Roman" w:hAnsi="Times New Roman" w:eastAsia="宋体" w:cs="Times New Roman"/>
                <w:color w:val="000000"/>
                <w:kern w:val="0"/>
                <w:sz w:val="24"/>
                <w:szCs w:val="24"/>
                <w:highlight w:val="none"/>
                <w:lang w:val="en-US" w:eastAsia="zh-CN" w:bidi="ar"/>
              </w:rPr>
              <w:t>、NO</w:t>
            </w:r>
            <w:r>
              <w:rPr>
                <w:rFonts w:hint="default" w:ascii="Times New Roman" w:hAnsi="Times New Roman" w:eastAsia="宋体" w:cs="Times New Roman"/>
                <w:color w:val="000000"/>
                <w:kern w:val="0"/>
                <w:sz w:val="15"/>
                <w:szCs w:val="15"/>
                <w:highlight w:val="none"/>
                <w:lang w:val="en-US" w:eastAsia="zh-CN" w:bidi="ar"/>
              </w:rPr>
              <w:t>2</w:t>
            </w:r>
            <w:r>
              <w:rPr>
                <w:rFonts w:hint="default" w:ascii="Times New Roman" w:hAnsi="Times New Roman" w:eastAsia="宋体" w:cs="Times New Roman"/>
                <w:color w:val="000000"/>
                <w:kern w:val="0"/>
                <w:sz w:val="24"/>
                <w:szCs w:val="24"/>
                <w:highlight w:val="none"/>
                <w:lang w:val="en-US" w:eastAsia="zh-CN" w:bidi="ar"/>
              </w:rPr>
              <w:t>、CO、O</w:t>
            </w:r>
            <w:r>
              <w:rPr>
                <w:rFonts w:hint="default" w:ascii="Times New Roman" w:hAnsi="Times New Roman" w:eastAsia="宋体" w:cs="Times New Roman"/>
                <w:color w:val="000000"/>
                <w:kern w:val="0"/>
                <w:sz w:val="15"/>
                <w:szCs w:val="15"/>
                <w:highlight w:val="none"/>
                <w:lang w:val="en-US" w:eastAsia="zh-CN" w:bidi="ar"/>
              </w:rPr>
              <w:t>3</w:t>
            </w:r>
            <w:r>
              <w:rPr>
                <w:rFonts w:hint="default" w:ascii="Times New Roman" w:hAnsi="Times New Roman" w:eastAsia="宋体" w:cs="Times New Roman"/>
                <w:color w:val="000000"/>
                <w:kern w:val="0"/>
                <w:sz w:val="24"/>
                <w:szCs w:val="24"/>
                <w:highlight w:val="none"/>
                <w:lang w:val="en-US" w:eastAsia="zh-CN" w:bidi="ar"/>
              </w:rPr>
              <w:t>的浓度均可满足《环境空气质量标准》（GB3095-20</w:t>
            </w:r>
            <w:r>
              <w:rPr>
                <w:rFonts w:hint="eastAsia" w:cs="Times New Roman"/>
                <w:color w:val="000000"/>
                <w:kern w:val="0"/>
                <w:sz w:val="24"/>
                <w:szCs w:val="24"/>
                <w:highlight w:val="none"/>
                <w:lang w:val="en-US" w:eastAsia="zh-CN" w:bidi="ar"/>
              </w:rPr>
              <w:t>26</w:t>
            </w: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过渡阶段</w:t>
            </w:r>
            <w:r>
              <w:rPr>
                <w:rFonts w:hint="default" w:ascii="Times New Roman" w:hAnsi="Times New Roman" w:eastAsia="宋体" w:cs="Times New Roman"/>
                <w:color w:val="000000"/>
                <w:kern w:val="0"/>
                <w:sz w:val="24"/>
                <w:szCs w:val="24"/>
                <w:highlight w:val="none"/>
                <w:lang w:val="en-US" w:eastAsia="zh-CN" w:bidi="ar"/>
              </w:rPr>
              <w:t>二级浓度限值，PM</w:t>
            </w:r>
            <w:r>
              <w:rPr>
                <w:rFonts w:hint="default" w:ascii="Times New Roman" w:hAnsi="Times New Roman" w:eastAsia="宋体" w:cs="Times New Roman"/>
                <w:color w:val="000000"/>
                <w:kern w:val="0"/>
                <w:sz w:val="15"/>
                <w:szCs w:val="15"/>
                <w:highlight w:val="none"/>
                <w:lang w:val="en-US" w:eastAsia="zh-CN" w:bidi="ar"/>
              </w:rPr>
              <w:t>10</w:t>
            </w:r>
            <w:r>
              <w:rPr>
                <w:rFonts w:hint="default" w:ascii="Times New Roman" w:hAnsi="Times New Roman" w:eastAsia="宋体" w:cs="Times New Roman"/>
                <w:color w:val="000000"/>
                <w:kern w:val="0"/>
                <w:sz w:val="24"/>
                <w:szCs w:val="24"/>
                <w:highlight w:val="none"/>
                <w:lang w:val="en-US" w:eastAsia="zh-CN" w:bidi="ar"/>
              </w:rPr>
              <w:t>、PM</w:t>
            </w:r>
            <w:r>
              <w:rPr>
                <w:rFonts w:hint="default" w:ascii="Times New Roman" w:hAnsi="Times New Roman" w:eastAsia="宋体" w:cs="Times New Roman"/>
                <w:color w:val="000000"/>
                <w:kern w:val="0"/>
                <w:sz w:val="15"/>
                <w:szCs w:val="15"/>
                <w:highlight w:val="none"/>
                <w:lang w:val="en-US" w:eastAsia="zh-CN" w:bidi="ar"/>
              </w:rPr>
              <w:t>2.5</w:t>
            </w:r>
            <w:r>
              <w:rPr>
                <w:rFonts w:hint="default" w:ascii="Times New Roman" w:hAnsi="Times New Roman" w:eastAsia="宋体" w:cs="Times New Roman"/>
                <w:color w:val="000000"/>
                <w:kern w:val="0"/>
                <w:sz w:val="24"/>
                <w:szCs w:val="24"/>
                <w:highlight w:val="none"/>
                <w:lang w:val="en-US" w:eastAsia="zh-CN" w:bidi="ar"/>
              </w:rPr>
              <w:t>浓度超过《环境空气质量标准》（GB3095-20</w:t>
            </w:r>
            <w:r>
              <w:rPr>
                <w:rFonts w:hint="eastAsia" w:cs="Times New Roman"/>
                <w:color w:val="000000"/>
                <w:kern w:val="0"/>
                <w:sz w:val="24"/>
                <w:szCs w:val="24"/>
                <w:highlight w:val="none"/>
                <w:lang w:val="en-US" w:eastAsia="zh-CN" w:bidi="ar"/>
              </w:rPr>
              <w:t>26</w:t>
            </w: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过渡阶段</w:t>
            </w:r>
            <w:r>
              <w:rPr>
                <w:rFonts w:hint="default" w:ascii="Times New Roman" w:hAnsi="Times New Roman" w:eastAsia="宋体" w:cs="Times New Roman"/>
                <w:color w:val="000000"/>
                <w:kern w:val="0"/>
                <w:sz w:val="24"/>
                <w:szCs w:val="24"/>
                <w:highlight w:val="none"/>
                <w:lang w:val="en-US" w:eastAsia="zh-CN" w:bidi="ar"/>
              </w:rPr>
              <w:t>二级浓度限值。故项目所在区域为不达标区。</w:t>
            </w:r>
          </w:p>
          <w:p w14:paraId="3FA02D0E">
            <w:pPr>
              <w:keepNext w:val="0"/>
              <w:keepLines w:val="0"/>
              <w:pageBreakBefore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1.2 补充监测污染物</w:t>
            </w:r>
          </w:p>
          <w:p w14:paraId="174E4BB5">
            <w:pPr>
              <w:widowControl/>
              <w:spacing w:line="520" w:lineRule="exact"/>
              <w:ind w:firstLine="480" w:firstLineChars="200"/>
              <w:rPr>
                <w:rFonts w:hint="eastAsia" w:cs="Times New Roman"/>
                <w:kern w:val="0"/>
                <w:sz w:val="24"/>
                <w:szCs w:val="24"/>
                <w:highlight w:val="none"/>
                <w:lang w:val="en-US" w:eastAsia="zh-CN"/>
              </w:rPr>
            </w:pPr>
            <w:r>
              <w:rPr>
                <w:rFonts w:hint="eastAsia"/>
                <w:color w:val="auto"/>
                <w:sz w:val="24"/>
              </w:rPr>
              <w:t>本项目</w:t>
            </w:r>
            <w:r>
              <w:rPr>
                <w:color w:val="auto"/>
                <w:sz w:val="24"/>
              </w:rPr>
              <w:t>特征污染物为</w:t>
            </w:r>
            <w:r>
              <w:rPr>
                <w:rFonts w:hint="eastAsia"/>
                <w:color w:val="auto"/>
                <w:sz w:val="24"/>
              </w:rPr>
              <w:t>TSP</w:t>
            </w:r>
            <w:r>
              <w:rPr>
                <w:rFonts w:hint="eastAsia"/>
                <w:color w:val="auto"/>
                <w:sz w:val="24"/>
                <w:lang w:val="en-US" w:eastAsia="zh-CN"/>
              </w:rPr>
              <w:t>和苯并芘</w:t>
            </w:r>
            <w:r>
              <w:rPr>
                <w:rFonts w:hint="eastAsia"/>
                <w:color w:val="auto"/>
                <w:sz w:val="24"/>
              </w:rPr>
              <w:t>，</w:t>
            </w:r>
            <w:r>
              <w:rPr>
                <w:color w:val="auto"/>
                <w:sz w:val="24"/>
              </w:rPr>
              <w:t>为了解本项目所在区域的环境质量现状，本次环评</w:t>
            </w:r>
            <w:r>
              <w:rPr>
                <w:rFonts w:hint="eastAsia"/>
                <w:color w:val="auto"/>
                <w:sz w:val="24"/>
              </w:rPr>
              <w:t>引用新疆东方雨虹建筑材料有限公司“年产1500万平方米改性沥青防水卷材和5000吨非固化沥青涂料项目”环评现状监测数据，监测时间为202</w:t>
            </w:r>
            <w:r>
              <w:rPr>
                <w:rFonts w:hint="eastAsia"/>
                <w:color w:val="auto"/>
                <w:sz w:val="24"/>
                <w:lang w:val="en-US" w:eastAsia="zh-CN"/>
              </w:rPr>
              <w:t>5</w:t>
            </w:r>
            <w:r>
              <w:rPr>
                <w:rFonts w:hint="eastAsia"/>
                <w:color w:val="auto"/>
                <w:sz w:val="24"/>
              </w:rPr>
              <w:t>年</w:t>
            </w:r>
            <w:r>
              <w:rPr>
                <w:rFonts w:hint="eastAsia"/>
                <w:color w:val="auto"/>
                <w:sz w:val="24"/>
                <w:lang w:val="en-US" w:eastAsia="zh-CN"/>
              </w:rPr>
              <w:t>6</w:t>
            </w:r>
            <w:r>
              <w:rPr>
                <w:rFonts w:hint="eastAsia"/>
                <w:color w:val="auto"/>
                <w:sz w:val="24"/>
              </w:rPr>
              <w:t>月，监测点位于本项目的</w:t>
            </w:r>
            <w:r>
              <w:rPr>
                <w:rFonts w:hint="eastAsia"/>
                <w:color w:val="auto"/>
                <w:sz w:val="24"/>
                <w:lang w:val="en-US" w:eastAsia="zh-CN"/>
              </w:rPr>
              <w:t>东南</w:t>
            </w:r>
            <w:r>
              <w:rPr>
                <w:rFonts w:hint="eastAsia"/>
                <w:color w:val="auto"/>
                <w:sz w:val="24"/>
              </w:rPr>
              <w:t>侧，直线距离约为</w:t>
            </w:r>
            <w:r>
              <w:rPr>
                <w:rFonts w:hint="eastAsia"/>
                <w:color w:val="auto"/>
                <w:sz w:val="24"/>
                <w:lang w:val="en-US" w:eastAsia="zh-CN"/>
              </w:rPr>
              <w:t>1200</w:t>
            </w:r>
            <w:r>
              <w:rPr>
                <w:rFonts w:hint="eastAsia"/>
                <w:color w:val="auto"/>
                <w:sz w:val="24"/>
              </w:rPr>
              <w:t>m。</w:t>
            </w:r>
            <w:r>
              <w:rPr>
                <w:rFonts w:hint="eastAsia"/>
                <w:color w:val="auto"/>
                <w:sz w:val="24"/>
                <w:lang w:val="en-US" w:eastAsia="zh-CN"/>
              </w:rPr>
              <w:t>均在新疆昌吉州昌吉市高新技术产业开发区，且属于同一规划片区，周边环境、地理位置与气象条件相似，</w:t>
            </w:r>
            <w:r>
              <w:rPr>
                <w:rFonts w:hint="eastAsia"/>
                <w:color w:val="auto"/>
                <w:sz w:val="24"/>
              </w:rPr>
              <w:t>根据</w:t>
            </w:r>
            <w:r>
              <w:rPr>
                <w:color w:val="auto"/>
                <w:sz w:val="24"/>
                <w:szCs w:val="21"/>
              </w:rPr>
              <w:t>《</w:t>
            </w:r>
            <w:r>
              <w:rPr>
                <w:rFonts w:hint="eastAsia"/>
                <w:color w:val="auto"/>
                <w:sz w:val="24"/>
                <w:szCs w:val="21"/>
              </w:rPr>
              <w:t>建设项目环境影响报告表编制技术指南</w:t>
            </w:r>
            <w:r>
              <w:rPr>
                <w:color w:val="auto"/>
                <w:sz w:val="24"/>
                <w:szCs w:val="21"/>
              </w:rPr>
              <w:t>》</w:t>
            </w:r>
            <w:r>
              <w:rPr>
                <w:rFonts w:hint="eastAsia"/>
                <w:color w:val="auto"/>
                <w:sz w:val="24"/>
                <w:szCs w:val="21"/>
              </w:rPr>
              <w:t>（污染影响类）中区域环境质量现状内容：“排放国家、地方环境空气质量标准中有标准限值要求的特征污染物时，引用建设项目周围5千米范围内近3年的现有监测数据”，故本项目可引用</w:t>
            </w:r>
            <w:r>
              <w:rPr>
                <w:rFonts w:hint="eastAsia"/>
                <w:color w:val="auto"/>
                <w:sz w:val="24"/>
              </w:rPr>
              <w:t>“年产1500万平方米改性沥青防水卷材和5000吨非固化沥青涂料项目”环评现状监测数据有效可行，监测报告见附件。</w:t>
            </w:r>
          </w:p>
          <w:p w14:paraId="38FC5281">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eastAsia" w:cs="Times New Roman"/>
                <w:kern w:val="0"/>
                <w:sz w:val="24"/>
                <w:szCs w:val="24"/>
                <w:highlight w:val="none"/>
                <w:lang w:val="en-US" w:eastAsia="zh-CN"/>
              </w:rPr>
              <w:t>（1）监测布点</w:t>
            </w:r>
          </w:p>
          <w:p w14:paraId="645FF169">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根据《建设项目环境影响报告表编制技术指南（污染影响类）（试行）》，结合项目区域主导风向，考虑区域功能以及对周边环境的影响</w:t>
            </w:r>
            <w:r>
              <w:rPr>
                <w:rFonts w:hint="eastAsia" w:cs="Times New Roman"/>
                <w:kern w:val="0"/>
                <w:sz w:val="24"/>
                <w:szCs w:val="24"/>
                <w:highlight w:val="none"/>
                <w:lang w:val="en-US" w:eastAsia="zh-CN"/>
              </w:rPr>
              <w:t>，在本项目区下风向布设1个监测点。</w:t>
            </w:r>
          </w:p>
          <w:p w14:paraId="3D6C8F46">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本项目监测点方位及距离见表</w:t>
            </w:r>
            <w:r>
              <w:rPr>
                <w:rFonts w:hint="eastAsia" w:cs="Times New Roman"/>
                <w:kern w:val="0"/>
                <w:sz w:val="24"/>
                <w:szCs w:val="24"/>
                <w:highlight w:val="none"/>
                <w:lang w:val="en-US" w:eastAsia="zh-CN"/>
              </w:rPr>
              <w:t>3-2</w:t>
            </w:r>
            <w:r>
              <w:rPr>
                <w:rFonts w:hint="default" w:ascii="Times New Roman" w:hAnsi="Times New Roman" w:eastAsia="宋体" w:cs="Times New Roman"/>
                <w:kern w:val="0"/>
                <w:sz w:val="24"/>
                <w:szCs w:val="24"/>
                <w:highlight w:val="none"/>
                <w:lang w:val="en-US" w:eastAsia="zh-CN"/>
              </w:rPr>
              <w:t>，具体位置见图</w:t>
            </w:r>
            <w:r>
              <w:rPr>
                <w:rFonts w:hint="eastAsia" w:cs="Times New Roman"/>
                <w:kern w:val="0"/>
                <w:sz w:val="24"/>
                <w:szCs w:val="24"/>
                <w:highlight w:val="none"/>
                <w:lang w:val="en-US" w:eastAsia="zh-CN"/>
              </w:rPr>
              <w:t>8</w:t>
            </w:r>
            <w:r>
              <w:rPr>
                <w:rFonts w:hint="default" w:ascii="Times New Roman" w:hAnsi="Times New Roman" w:eastAsia="宋体" w:cs="Times New Roman"/>
                <w:kern w:val="0"/>
                <w:sz w:val="24"/>
                <w:szCs w:val="24"/>
                <w:highlight w:val="none"/>
                <w:lang w:val="en-US" w:eastAsia="zh-CN"/>
              </w:rPr>
              <w:t>。</w:t>
            </w:r>
          </w:p>
          <w:p w14:paraId="0DAAE6CA">
            <w:pPr>
              <w:wordWrap w:val="0"/>
              <w:overflowPunct w:val="0"/>
              <w:spacing w:line="240" w:lineRule="auto"/>
              <w:ind w:firstLine="0" w:firstLineChars="0"/>
              <w:jc w:val="center"/>
              <w:rPr>
                <w:b/>
                <w:bCs/>
                <w:color w:val="auto"/>
                <w:szCs w:val="21"/>
                <w:highlight w:val="none"/>
              </w:rPr>
            </w:pPr>
            <w:r>
              <w:rPr>
                <w:b/>
                <w:bCs/>
                <w:color w:val="auto"/>
                <w:szCs w:val="21"/>
                <w:highlight w:val="none"/>
              </w:rPr>
              <w:t>表</w:t>
            </w:r>
            <w:r>
              <w:rPr>
                <w:rFonts w:hint="eastAsia"/>
                <w:b/>
                <w:bCs/>
                <w:color w:val="auto"/>
                <w:szCs w:val="21"/>
                <w:highlight w:val="none"/>
                <w:lang w:val="en-US" w:eastAsia="zh-CN"/>
              </w:rPr>
              <w:t xml:space="preserve">3-2 </w:t>
            </w:r>
            <w:r>
              <w:rPr>
                <w:b/>
                <w:bCs/>
                <w:color w:val="auto"/>
                <w:szCs w:val="21"/>
                <w:highlight w:val="none"/>
              </w:rPr>
              <w:t xml:space="preserve">   特征污染物监测点位基本信息</w:t>
            </w:r>
          </w:p>
          <w:tbl>
            <w:tblPr>
              <w:tblStyle w:val="19"/>
              <w:tblW w:w="4998"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44"/>
              <w:gridCol w:w="1362"/>
              <w:gridCol w:w="2360"/>
              <w:gridCol w:w="1073"/>
              <w:gridCol w:w="1432"/>
            </w:tblGrid>
            <w:tr w14:paraId="2680409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4" w:type="pct"/>
                  <w:vAlign w:val="center"/>
                </w:tcPr>
                <w:p w14:paraId="366233D2">
                  <w:pPr>
                    <w:keepNext w:val="0"/>
                    <w:keepLines w:val="0"/>
                    <w:pageBreakBefore w:val="0"/>
                    <w:kinsoku/>
                    <w:wordWrap/>
                    <w:overflowPunct/>
                    <w:topLinePunct w:val="0"/>
                    <w:autoSpaceDE w:val="0"/>
                    <w:autoSpaceDN w:val="0"/>
                    <w:bidi w:val="0"/>
                    <w:adjustRightInd w:val="0"/>
                    <w:spacing w:beforeAutospacing="0" w:afterAutospacing="0" w:line="240" w:lineRule="auto"/>
                    <w:jc w:val="center"/>
                    <w:textAlignment w:val="auto"/>
                    <w:rPr>
                      <w:rFonts w:hint="eastAsia" w:eastAsia="宋体"/>
                      <w:b/>
                      <w:color w:val="auto"/>
                      <w:sz w:val="21"/>
                      <w:szCs w:val="21"/>
                      <w:highlight w:val="none"/>
                      <w:lang w:val="en-US" w:eastAsia="zh-CN"/>
                    </w:rPr>
                  </w:pPr>
                  <w:r>
                    <w:rPr>
                      <w:b/>
                      <w:color w:val="auto"/>
                      <w:sz w:val="21"/>
                      <w:szCs w:val="21"/>
                      <w:highlight w:val="none"/>
                    </w:rPr>
                    <w:t>监测点</w:t>
                  </w:r>
                  <w:r>
                    <w:rPr>
                      <w:rFonts w:hint="eastAsia"/>
                      <w:b/>
                      <w:color w:val="auto"/>
                      <w:sz w:val="21"/>
                      <w:szCs w:val="21"/>
                      <w:highlight w:val="none"/>
                      <w:lang w:val="en-US" w:eastAsia="zh-CN"/>
                    </w:rPr>
                    <w:t>名称</w:t>
                  </w:r>
                </w:p>
              </w:tc>
              <w:tc>
                <w:tcPr>
                  <w:tcW w:w="854" w:type="pct"/>
                  <w:vAlign w:val="center"/>
                </w:tcPr>
                <w:p w14:paraId="0FB69362">
                  <w:pPr>
                    <w:keepNext w:val="0"/>
                    <w:keepLines w:val="0"/>
                    <w:pageBreakBefore w:val="0"/>
                    <w:kinsoku/>
                    <w:wordWrap/>
                    <w:overflowPunct/>
                    <w:topLinePunct w:val="0"/>
                    <w:autoSpaceDE w:val="0"/>
                    <w:autoSpaceDN w:val="0"/>
                    <w:bidi w:val="0"/>
                    <w:adjustRightInd w:val="0"/>
                    <w:spacing w:beforeAutospacing="0" w:afterAutospacing="0" w:line="240" w:lineRule="auto"/>
                    <w:jc w:val="center"/>
                    <w:textAlignment w:val="auto"/>
                    <w:rPr>
                      <w:b/>
                      <w:color w:val="auto"/>
                      <w:sz w:val="21"/>
                      <w:szCs w:val="21"/>
                      <w:highlight w:val="none"/>
                    </w:rPr>
                  </w:pPr>
                  <w:r>
                    <w:rPr>
                      <w:b/>
                      <w:color w:val="auto"/>
                      <w:sz w:val="21"/>
                      <w:szCs w:val="21"/>
                      <w:highlight w:val="none"/>
                    </w:rPr>
                    <w:t>监测因子</w:t>
                  </w:r>
                </w:p>
              </w:tc>
              <w:tc>
                <w:tcPr>
                  <w:tcW w:w="1480" w:type="pct"/>
                  <w:vAlign w:val="center"/>
                </w:tcPr>
                <w:p w14:paraId="03A9BA3D">
                  <w:pPr>
                    <w:keepNext w:val="0"/>
                    <w:keepLines w:val="0"/>
                    <w:pageBreakBefore w:val="0"/>
                    <w:kinsoku/>
                    <w:wordWrap/>
                    <w:overflowPunct/>
                    <w:topLinePunct w:val="0"/>
                    <w:autoSpaceDE w:val="0"/>
                    <w:autoSpaceDN w:val="0"/>
                    <w:bidi w:val="0"/>
                    <w:adjustRightInd w:val="0"/>
                    <w:spacing w:beforeAutospacing="0" w:afterAutospacing="0" w:line="240" w:lineRule="auto"/>
                    <w:jc w:val="center"/>
                    <w:textAlignment w:val="auto"/>
                    <w:rPr>
                      <w:b/>
                      <w:color w:val="auto"/>
                      <w:sz w:val="21"/>
                      <w:szCs w:val="21"/>
                      <w:highlight w:val="none"/>
                    </w:rPr>
                  </w:pPr>
                  <w:r>
                    <w:rPr>
                      <w:b/>
                      <w:color w:val="auto"/>
                      <w:sz w:val="21"/>
                      <w:szCs w:val="21"/>
                      <w:highlight w:val="none"/>
                    </w:rPr>
                    <w:t>监测时段</w:t>
                  </w:r>
                </w:p>
              </w:tc>
              <w:tc>
                <w:tcPr>
                  <w:tcW w:w="673" w:type="pct"/>
                  <w:vAlign w:val="center"/>
                </w:tcPr>
                <w:p w14:paraId="009101ED">
                  <w:pPr>
                    <w:keepNext w:val="0"/>
                    <w:keepLines w:val="0"/>
                    <w:pageBreakBefore w:val="0"/>
                    <w:kinsoku/>
                    <w:wordWrap/>
                    <w:overflowPunct/>
                    <w:topLinePunct w:val="0"/>
                    <w:autoSpaceDE w:val="0"/>
                    <w:autoSpaceDN w:val="0"/>
                    <w:bidi w:val="0"/>
                    <w:adjustRightInd w:val="0"/>
                    <w:spacing w:beforeAutospacing="0" w:afterAutospacing="0" w:line="240" w:lineRule="auto"/>
                    <w:jc w:val="center"/>
                    <w:textAlignment w:val="auto"/>
                    <w:rPr>
                      <w:b/>
                      <w:color w:val="auto"/>
                      <w:sz w:val="21"/>
                      <w:szCs w:val="21"/>
                      <w:highlight w:val="none"/>
                    </w:rPr>
                  </w:pPr>
                  <w:r>
                    <w:rPr>
                      <w:b/>
                      <w:color w:val="auto"/>
                      <w:sz w:val="21"/>
                      <w:szCs w:val="21"/>
                      <w:highlight w:val="none"/>
                    </w:rPr>
                    <w:t>相对方位</w:t>
                  </w:r>
                </w:p>
              </w:tc>
              <w:tc>
                <w:tcPr>
                  <w:tcW w:w="898" w:type="pct"/>
                  <w:vAlign w:val="center"/>
                </w:tcPr>
                <w:p w14:paraId="3E8E923B">
                  <w:pPr>
                    <w:keepNext w:val="0"/>
                    <w:keepLines w:val="0"/>
                    <w:pageBreakBefore w:val="0"/>
                    <w:kinsoku/>
                    <w:wordWrap/>
                    <w:overflowPunct/>
                    <w:topLinePunct w:val="0"/>
                    <w:autoSpaceDE w:val="0"/>
                    <w:autoSpaceDN w:val="0"/>
                    <w:bidi w:val="0"/>
                    <w:adjustRightInd w:val="0"/>
                    <w:spacing w:beforeAutospacing="0" w:afterAutospacing="0" w:line="240" w:lineRule="auto"/>
                    <w:jc w:val="center"/>
                    <w:textAlignment w:val="auto"/>
                    <w:rPr>
                      <w:b/>
                      <w:color w:val="auto"/>
                      <w:sz w:val="21"/>
                      <w:szCs w:val="21"/>
                      <w:highlight w:val="none"/>
                    </w:rPr>
                  </w:pPr>
                  <w:r>
                    <w:rPr>
                      <w:rFonts w:hint="eastAsia"/>
                      <w:b/>
                      <w:color w:val="auto"/>
                      <w:sz w:val="21"/>
                      <w:szCs w:val="21"/>
                      <w:highlight w:val="none"/>
                    </w:rPr>
                    <w:t>相对距离</w:t>
                  </w:r>
                </w:p>
              </w:tc>
            </w:tr>
            <w:tr w14:paraId="3AA721E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4" w:type="pct"/>
                  <w:vMerge w:val="restart"/>
                  <w:vAlign w:val="center"/>
                </w:tcPr>
                <w:p w14:paraId="6CB723F5">
                  <w:pPr>
                    <w:pStyle w:val="26"/>
                    <w:keepNext w:val="0"/>
                    <w:keepLines w:val="0"/>
                    <w:pageBreakBefore w:val="0"/>
                    <w:kinsoku/>
                    <w:wordWrap/>
                    <w:overflowPunct/>
                    <w:topLinePunct w:val="0"/>
                    <w:bidi w:val="0"/>
                    <w:spacing w:before="0" w:beforeLines="0" w:beforeAutospacing="0" w:after="0" w:afterLines="0" w:afterAutospacing="0" w:line="240" w:lineRule="auto"/>
                    <w:jc w:val="center"/>
                    <w:textAlignment w:val="auto"/>
                    <w:rPr>
                      <w:rFonts w:hint="default" w:ascii="Times New Roman" w:eastAsia="宋体"/>
                      <w:color w:val="auto"/>
                      <w:sz w:val="21"/>
                      <w:szCs w:val="21"/>
                      <w:highlight w:val="none"/>
                      <w:lang w:val="en-US" w:eastAsia="zh-CN"/>
                    </w:rPr>
                  </w:pPr>
                  <w:r>
                    <w:rPr>
                      <w:rFonts w:hint="eastAsia" w:ascii="Times New Roman"/>
                      <w:color w:val="auto"/>
                      <w:sz w:val="21"/>
                      <w:szCs w:val="21"/>
                      <w:highlight w:val="none"/>
                      <w:lang w:val="en-US" w:eastAsia="zh-CN"/>
                    </w:rPr>
                    <w:t>项目区下风向</w:t>
                  </w:r>
                </w:p>
              </w:tc>
              <w:tc>
                <w:tcPr>
                  <w:tcW w:w="854" w:type="pct"/>
                  <w:vAlign w:val="center"/>
                </w:tcPr>
                <w:p w14:paraId="4FAF84D1">
                  <w:pPr>
                    <w:keepNext w:val="0"/>
                    <w:keepLines w:val="0"/>
                    <w:pageBreakBefore w:val="0"/>
                    <w:kinsoku/>
                    <w:wordWrap/>
                    <w:overflowPunct/>
                    <w:topLinePunct w:val="0"/>
                    <w:bidi w:val="0"/>
                    <w:snapToGrid w:val="0"/>
                    <w:spacing w:beforeAutospacing="0" w:afterAutospacing="0" w:line="240" w:lineRule="auto"/>
                    <w:jc w:val="center"/>
                    <w:textAlignment w:val="auto"/>
                    <w:rPr>
                      <w:color w:val="auto"/>
                      <w:sz w:val="21"/>
                      <w:szCs w:val="21"/>
                      <w:highlight w:val="none"/>
                    </w:rPr>
                  </w:pPr>
                  <w:r>
                    <w:rPr>
                      <w:rFonts w:hint="eastAsia"/>
                      <w:color w:val="auto"/>
                      <w:sz w:val="21"/>
                      <w:szCs w:val="21"/>
                      <w:highlight w:val="none"/>
                    </w:rPr>
                    <w:t>TSP</w:t>
                  </w:r>
                </w:p>
              </w:tc>
              <w:tc>
                <w:tcPr>
                  <w:tcW w:w="1480" w:type="pct"/>
                  <w:vAlign w:val="center"/>
                </w:tcPr>
                <w:p w14:paraId="3B3C0AF5">
                  <w:pPr>
                    <w:keepNext w:val="0"/>
                    <w:keepLines w:val="0"/>
                    <w:pageBreakBefore w:val="0"/>
                    <w:kinsoku/>
                    <w:wordWrap/>
                    <w:overflowPunct/>
                    <w:topLinePunct w:val="0"/>
                    <w:bidi w:val="0"/>
                    <w:snapToGrid w:val="0"/>
                    <w:spacing w:beforeAutospacing="0" w:afterAutospacing="0" w:line="240" w:lineRule="auto"/>
                    <w:jc w:val="center"/>
                    <w:textAlignment w:val="auto"/>
                    <w:rPr>
                      <w:color w:val="auto"/>
                      <w:sz w:val="21"/>
                      <w:szCs w:val="21"/>
                      <w:highlight w:val="none"/>
                    </w:rPr>
                  </w:pPr>
                  <w:r>
                    <w:rPr>
                      <w:rFonts w:hint="eastAsia"/>
                      <w:color w:val="auto"/>
                      <w:sz w:val="21"/>
                      <w:szCs w:val="21"/>
                      <w:highlight w:val="none"/>
                    </w:rPr>
                    <w:t>连续3天，</w:t>
                  </w:r>
                  <w:r>
                    <w:rPr>
                      <w:color w:val="auto"/>
                      <w:sz w:val="21"/>
                      <w:szCs w:val="21"/>
                      <w:highlight w:val="none"/>
                    </w:rPr>
                    <w:t>每天</w:t>
                  </w:r>
                  <w:r>
                    <w:rPr>
                      <w:rFonts w:hint="eastAsia"/>
                      <w:color w:val="auto"/>
                      <w:sz w:val="21"/>
                      <w:szCs w:val="21"/>
                      <w:highlight w:val="none"/>
                    </w:rPr>
                    <w:t>1</w:t>
                  </w:r>
                  <w:r>
                    <w:rPr>
                      <w:color w:val="auto"/>
                      <w:sz w:val="21"/>
                      <w:szCs w:val="21"/>
                      <w:highlight w:val="none"/>
                    </w:rPr>
                    <w:t>次</w:t>
                  </w:r>
                </w:p>
              </w:tc>
              <w:tc>
                <w:tcPr>
                  <w:tcW w:w="673" w:type="pct"/>
                  <w:vAlign w:val="center"/>
                </w:tcPr>
                <w:p w14:paraId="75689713">
                  <w:pPr>
                    <w:pStyle w:val="17"/>
                    <w:keepNext w:val="0"/>
                    <w:keepLines w:val="0"/>
                    <w:pageBreakBefore w:val="0"/>
                    <w:kinsoku/>
                    <w:wordWrap/>
                    <w:overflowPunct/>
                    <w:topLinePunct w:val="0"/>
                    <w:bidi w:val="0"/>
                    <w:spacing w:beforeAutospacing="0" w:after="0" w:afterAutospacing="0" w:line="240" w:lineRule="auto"/>
                    <w:ind w:left="0" w:leftChars="0" w:firstLine="0" w:firstLineChars="0"/>
                    <w:jc w:val="center"/>
                    <w:textAlignment w:val="auto"/>
                    <w:rPr>
                      <w:rFonts w:hint="default"/>
                      <w:b w:val="0"/>
                      <w:bCs w:val="0"/>
                      <w:color w:val="auto"/>
                      <w:sz w:val="21"/>
                      <w:szCs w:val="21"/>
                      <w:highlight w:val="none"/>
                      <w:lang w:val="en-US"/>
                    </w:rPr>
                  </w:pPr>
                  <w:r>
                    <w:rPr>
                      <w:rFonts w:hint="eastAsia"/>
                      <w:b w:val="0"/>
                      <w:bCs w:val="0"/>
                      <w:color w:val="auto"/>
                      <w:sz w:val="21"/>
                      <w:szCs w:val="21"/>
                      <w:highlight w:val="none"/>
                      <w:lang w:val="en-US" w:eastAsia="zh-CN"/>
                    </w:rPr>
                    <w:t>ES</w:t>
                  </w:r>
                </w:p>
              </w:tc>
              <w:tc>
                <w:tcPr>
                  <w:tcW w:w="898" w:type="pct"/>
                  <w:vAlign w:val="center"/>
                </w:tcPr>
                <w:p w14:paraId="27CFEE5C">
                  <w:pPr>
                    <w:pStyle w:val="17"/>
                    <w:keepNext w:val="0"/>
                    <w:keepLines w:val="0"/>
                    <w:pageBreakBefore w:val="0"/>
                    <w:kinsoku/>
                    <w:wordWrap/>
                    <w:overflowPunct/>
                    <w:topLinePunct w:val="0"/>
                    <w:bidi w:val="0"/>
                    <w:spacing w:beforeAutospacing="0" w:after="0" w:afterAutospacing="0" w:line="240" w:lineRule="auto"/>
                    <w:ind w:left="0" w:leftChars="0" w:firstLine="0" w:firstLineChars="0"/>
                    <w:jc w:val="center"/>
                    <w:textAlignment w:val="auto"/>
                    <w:rPr>
                      <w:rFonts w:hint="default"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1200m</w:t>
                  </w:r>
                </w:p>
              </w:tc>
            </w:tr>
            <w:tr w14:paraId="32F1BDC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4" w:type="pct"/>
                  <w:vMerge w:val="continue"/>
                  <w:vAlign w:val="center"/>
                </w:tcPr>
                <w:p w14:paraId="2494ACBA">
                  <w:pPr>
                    <w:pStyle w:val="26"/>
                    <w:keepNext w:val="0"/>
                    <w:keepLines w:val="0"/>
                    <w:pageBreakBefore w:val="0"/>
                    <w:kinsoku/>
                    <w:wordWrap/>
                    <w:overflowPunct/>
                    <w:topLinePunct w:val="0"/>
                    <w:bidi w:val="0"/>
                    <w:spacing w:before="0" w:beforeLines="0" w:beforeAutospacing="0" w:after="0" w:afterLines="0" w:afterAutospacing="0" w:line="240" w:lineRule="auto"/>
                    <w:jc w:val="center"/>
                    <w:textAlignment w:val="auto"/>
                    <w:rPr>
                      <w:rFonts w:hint="eastAsia" w:ascii="Times New Roman"/>
                      <w:color w:val="auto"/>
                      <w:sz w:val="21"/>
                      <w:szCs w:val="21"/>
                      <w:highlight w:val="none"/>
                      <w:lang w:val="en-US" w:eastAsia="zh-CN"/>
                    </w:rPr>
                  </w:pPr>
                </w:p>
              </w:tc>
              <w:tc>
                <w:tcPr>
                  <w:tcW w:w="854" w:type="pct"/>
                  <w:vAlign w:val="center"/>
                </w:tcPr>
                <w:p w14:paraId="5E02298C">
                  <w:pPr>
                    <w:keepNext w:val="0"/>
                    <w:keepLines w:val="0"/>
                    <w:pageBreakBefore w:val="0"/>
                    <w:kinsoku/>
                    <w:wordWrap/>
                    <w:overflowPunct/>
                    <w:topLinePunct w:val="0"/>
                    <w:bidi w:val="0"/>
                    <w:snapToGrid w:val="0"/>
                    <w:spacing w:beforeAutospacing="0" w:afterAutospacing="0" w:line="240" w:lineRule="auto"/>
                    <w:jc w:val="center"/>
                    <w:textAlignment w:val="auto"/>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苯并[a]芘</w:t>
                  </w:r>
                </w:p>
              </w:tc>
              <w:tc>
                <w:tcPr>
                  <w:tcW w:w="1480" w:type="pct"/>
                  <w:vAlign w:val="center"/>
                </w:tcPr>
                <w:p w14:paraId="4854C484">
                  <w:pPr>
                    <w:keepNext w:val="0"/>
                    <w:keepLines w:val="0"/>
                    <w:pageBreakBefore w:val="0"/>
                    <w:kinsoku/>
                    <w:wordWrap/>
                    <w:overflowPunct/>
                    <w:topLinePunct w:val="0"/>
                    <w:bidi w:val="0"/>
                    <w:snapToGrid w:val="0"/>
                    <w:spacing w:beforeAutospacing="0" w:afterAutospacing="0"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连续3天，每天1次</w:t>
                  </w:r>
                </w:p>
              </w:tc>
              <w:tc>
                <w:tcPr>
                  <w:tcW w:w="673" w:type="pct"/>
                  <w:shd w:val="clear" w:color="auto" w:fill="auto"/>
                  <w:vAlign w:val="center"/>
                </w:tcPr>
                <w:p w14:paraId="6948EDE6">
                  <w:pPr>
                    <w:pStyle w:val="17"/>
                    <w:keepNext w:val="0"/>
                    <w:keepLines w:val="0"/>
                    <w:pageBreakBefore w:val="0"/>
                    <w:kinsoku/>
                    <w:wordWrap/>
                    <w:overflowPunct/>
                    <w:topLinePunct w:val="0"/>
                    <w:bidi w:val="0"/>
                    <w:spacing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sz w:val="21"/>
                      <w:szCs w:val="21"/>
                      <w:highlight w:val="none"/>
                      <w:lang w:val="en-US" w:eastAsia="zh-CN"/>
                    </w:rPr>
                    <w:t>ES</w:t>
                  </w:r>
                </w:p>
              </w:tc>
              <w:tc>
                <w:tcPr>
                  <w:tcW w:w="898" w:type="pct"/>
                  <w:shd w:val="clear" w:color="auto" w:fill="auto"/>
                  <w:vAlign w:val="center"/>
                </w:tcPr>
                <w:p w14:paraId="3FC9E2BF">
                  <w:pPr>
                    <w:pStyle w:val="17"/>
                    <w:keepNext w:val="0"/>
                    <w:keepLines w:val="0"/>
                    <w:pageBreakBefore w:val="0"/>
                    <w:kinsoku/>
                    <w:wordWrap/>
                    <w:overflowPunct/>
                    <w:topLinePunct w:val="0"/>
                    <w:bidi w:val="0"/>
                    <w:spacing w:beforeAutospacing="0" w:after="0" w:afterAutospacing="0" w:line="240" w:lineRule="auto"/>
                    <w:ind w:left="0" w:leftChars="0"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sz w:val="21"/>
                      <w:szCs w:val="21"/>
                      <w:highlight w:val="none"/>
                      <w:lang w:val="en-US" w:eastAsia="zh-CN"/>
                    </w:rPr>
                    <w:t>1200m</w:t>
                  </w:r>
                </w:p>
              </w:tc>
            </w:tr>
          </w:tbl>
          <w:p w14:paraId="560C7A70">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eastAsia" w:cs="Times New Roman"/>
                <w:kern w:val="0"/>
                <w:sz w:val="24"/>
                <w:szCs w:val="24"/>
                <w:highlight w:val="none"/>
                <w:lang w:val="en-US" w:eastAsia="zh-CN"/>
              </w:rPr>
              <w:t>（2）</w:t>
            </w:r>
            <w:r>
              <w:rPr>
                <w:rFonts w:hint="default" w:ascii="Times New Roman" w:hAnsi="Times New Roman" w:eastAsia="宋体" w:cs="Times New Roman"/>
                <w:kern w:val="0"/>
                <w:sz w:val="24"/>
                <w:szCs w:val="24"/>
                <w:highlight w:val="none"/>
                <w:lang w:val="en-US" w:eastAsia="zh-CN"/>
              </w:rPr>
              <w:t>监测时间及频率及监测单位</w:t>
            </w:r>
          </w:p>
          <w:p w14:paraId="49561DAA">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监测因子：TSP、苯并[a]芘；</w:t>
            </w:r>
          </w:p>
          <w:p w14:paraId="5015068F">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监测时间：202</w:t>
            </w:r>
            <w:r>
              <w:rPr>
                <w:rFonts w:hint="eastAsia" w:cs="Times New Roman"/>
                <w:kern w:val="0"/>
                <w:sz w:val="24"/>
                <w:szCs w:val="24"/>
                <w:highlight w:val="none"/>
                <w:lang w:val="en-US" w:eastAsia="zh-CN"/>
              </w:rPr>
              <w:t>5</w:t>
            </w:r>
            <w:r>
              <w:rPr>
                <w:rFonts w:hint="default" w:ascii="Times New Roman" w:hAnsi="Times New Roman" w:eastAsia="宋体" w:cs="Times New Roman"/>
                <w:kern w:val="0"/>
                <w:sz w:val="24"/>
                <w:szCs w:val="24"/>
                <w:highlight w:val="none"/>
                <w:lang w:val="en-US" w:eastAsia="zh-CN"/>
              </w:rPr>
              <w:t>年</w:t>
            </w:r>
            <w:r>
              <w:rPr>
                <w:rFonts w:hint="eastAsia" w:cs="Times New Roman"/>
                <w:kern w:val="0"/>
                <w:sz w:val="24"/>
                <w:szCs w:val="24"/>
                <w:highlight w:val="none"/>
                <w:lang w:val="en-US" w:eastAsia="zh-CN"/>
              </w:rPr>
              <w:t>6</w:t>
            </w:r>
            <w:r>
              <w:rPr>
                <w:rFonts w:hint="default" w:ascii="Times New Roman" w:hAnsi="Times New Roman" w:eastAsia="宋体" w:cs="Times New Roman"/>
                <w:kern w:val="0"/>
                <w:sz w:val="24"/>
                <w:szCs w:val="24"/>
                <w:highlight w:val="none"/>
                <w:lang w:val="en-US" w:eastAsia="zh-CN"/>
              </w:rPr>
              <w:t>月1</w:t>
            </w:r>
            <w:r>
              <w:rPr>
                <w:rFonts w:hint="eastAsia" w:cs="Times New Roman"/>
                <w:kern w:val="0"/>
                <w:sz w:val="24"/>
                <w:szCs w:val="24"/>
                <w:highlight w:val="none"/>
                <w:lang w:val="en-US" w:eastAsia="zh-CN"/>
              </w:rPr>
              <w:t>0</w:t>
            </w:r>
            <w:r>
              <w:rPr>
                <w:rFonts w:hint="default" w:ascii="Times New Roman" w:hAnsi="Times New Roman" w:eastAsia="宋体" w:cs="Times New Roman"/>
                <w:kern w:val="0"/>
                <w:sz w:val="24"/>
                <w:szCs w:val="24"/>
                <w:highlight w:val="none"/>
                <w:lang w:val="en-US" w:eastAsia="zh-CN"/>
              </w:rPr>
              <w:t>日至</w:t>
            </w:r>
            <w:r>
              <w:rPr>
                <w:rFonts w:hint="eastAsia" w:cs="Times New Roman"/>
                <w:kern w:val="0"/>
                <w:sz w:val="24"/>
                <w:szCs w:val="24"/>
                <w:highlight w:val="none"/>
                <w:lang w:val="en-US" w:eastAsia="zh-CN"/>
              </w:rPr>
              <w:t>12</w:t>
            </w:r>
            <w:r>
              <w:rPr>
                <w:rFonts w:hint="default" w:ascii="Times New Roman" w:hAnsi="Times New Roman" w:eastAsia="宋体" w:cs="Times New Roman"/>
                <w:kern w:val="0"/>
                <w:sz w:val="24"/>
                <w:szCs w:val="24"/>
                <w:highlight w:val="none"/>
                <w:lang w:val="en-US" w:eastAsia="zh-CN"/>
              </w:rPr>
              <w:t>日；</w:t>
            </w:r>
          </w:p>
          <w:p w14:paraId="0354C58D">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监测频率：TSP</w:t>
            </w:r>
            <w:r>
              <w:rPr>
                <w:rFonts w:hint="eastAsia" w:cs="Times New Roman"/>
                <w:kern w:val="0"/>
                <w:sz w:val="24"/>
                <w:szCs w:val="24"/>
                <w:highlight w:val="none"/>
                <w:lang w:val="en-US" w:eastAsia="zh-CN"/>
              </w:rPr>
              <w:t>、</w:t>
            </w:r>
            <w:r>
              <w:rPr>
                <w:rFonts w:hint="default" w:ascii="Times New Roman" w:hAnsi="Times New Roman" w:eastAsia="宋体" w:cs="Times New Roman"/>
                <w:kern w:val="0"/>
                <w:sz w:val="24"/>
                <w:szCs w:val="24"/>
                <w:highlight w:val="none"/>
                <w:lang w:val="en-US" w:eastAsia="zh-CN"/>
              </w:rPr>
              <w:t>苯并[a]芘</w:t>
            </w:r>
            <w:r>
              <w:rPr>
                <w:rFonts w:hint="eastAsia" w:cs="Times New Roman"/>
                <w:kern w:val="0"/>
                <w:sz w:val="24"/>
                <w:szCs w:val="24"/>
                <w:highlight w:val="none"/>
                <w:lang w:val="en-US" w:eastAsia="zh-CN"/>
              </w:rPr>
              <w:t>均</w:t>
            </w:r>
            <w:r>
              <w:rPr>
                <w:rFonts w:hint="default" w:ascii="Times New Roman" w:hAnsi="Times New Roman" w:eastAsia="宋体" w:cs="Times New Roman"/>
                <w:kern w:val="0"/>
                <w:sz w:val="24"/>
                <w:szCs w:val="24"/>
                <w:highlight w:val="none"/>
                <w:lang w:val="en-US" w:eastAsia="zh-CN"/>
              </w:rPr>
              <w:t>每日监测1次，连续3天。</w:t>
            </w:r>
          </w:p>
          <w:p w14:paraId="28BBD4E0">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eastAsia" w:cs="Times New Roman"/>
                <w:kern w:val="0"/>
                <w:sz w:val="24"/>
                <w:szCs w:val="24"/>
                <w:highlight w:val="none"/>
                <w:lang w:val="en-US" w:eastAsia="zh-CN"/>
              </w:rPr>
              <w:t>（3）</w:t>
            </w:r>
            <w:r>
              <w:rPr>
                <w:rFonts w:hint="default" w:ascii="Times New Roman" w:hAnsi="Times New Roman" w:eastAsia="宋体" w:cs="Times New Roman"/>
                <w:kern w:val="0"/>
                <w:sz w:val="24"/>
                <w:szCs w:val="24"/>
                <w:highlight w:val="none"/>
                <w:lang w:val="en-US" w:eastAsia="zh-CN"/>
              </w:rPr>
              <w:t>评价标准</w:t>
            </w:r>
          </w:p>
          <w:p w14:paraId="1602A503">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eastAsia" w:cs="Times New Roman"/>
                <w:kern w:val="0"/>
                <w:sz w:val="24"/>
                <w:szCs w:val="24"/>
                <w:highlight w:val="none"/>
                <w:lang w:val="en-US" w:eastAsia="zh-CN"/>
              </w:rPr>
              <w:t>TSP和</w:t>
            </w:r>
            <w:r>
              <w:rPr>
                <w:rFonts w:hint="default" w:ascii="Times New Roman" w:hAnsi="Times New Roman" w:eastAsia="宋体" w:cs="Times New Roman"/>
                <w:kern w:val="0"/>
                <w:sz w:val="24"/>
                <w:szCs w:val="24"/>
                <w:highlight w:val="none"/>
                <w:lang w:val="en-US" w:eastAsia="zh-CN"/>
              </w:rPr>
              <w:t>苯并[a]芘</w:t>
            </w:r>
            <w:r>
              <w:rPr>
                <w:rFonts w:hint="eastAsia" w:cs="Times New Roman"/>
                <w:kern w:val="0"/>
                <w:sz w:val="24"/>
                <w:szCs w:val="24"/>
                <w:highlight w:val="none"/>
                <w:lang w:val="en-US" w:eastAsia="zh-CN"/>
              </w:rPr>
              <w:t>均</w:t>
            </w:r>
            <w:r>
              <w:rPr>
                <w:rFonts w:hint="default" w:ascii="Times New Roman" w:hAnsi="Times New Roman" w:eastAsia="宋体" w:cs="Times New Roman"/>
                <w:kern w:val="0"/>
                <w:sz w:val="24"/>
                <w:szCs w:val="24"/>
                <w:highlight w:val="none"/>
                <w:lang w:val="en-US" w:eastAsia="zh-CN"/>
              </w:rPr>
              <w:t>执行《环境空气质量标准》（GB3095-2012）中二级标准。</w:t>
            </w:r>
          </w:p>
          <w:p w14:paraId="5EB3E20C">
            <w:pPr>
              <w:wordWrap w:val="0"/>
              <w:overflowPunct w:val="0"/>
              <w:spacing w:line="240" w:lineRule="auto"/>
              <w:ind w:firstLine="0" w:firstLineChars="0"/>
              <w:jc w:val="center"/>
              <w:rPr>
                <w:b/>
                <w:bCs/>
                <w:color w:val="auto"/>
                <w:szCs w:val="21"/>
                <w:highlight w:val="none"/>
              </w:rPr>
            </w:pPr>
            <w:r>
              <w:rPr>
                <w:b/>
                <w:bCs/>
                <w:color w:val="auto"/>
                <w:szCs w:val="21"/>
                <w:highlight w:val="none"/>
              </w:rPr>
              <w:t>表</w:t>
            </w:r>
            <w:r>
              <w:rPr>
                <w:rFonts w:hint="eastAsia"/>
                <w:b/>
                <w:bCs/>
                <w:color w:val="auto"/>
                <w:szCs w:val="21"/>
                <w:highlight w:val="none"/>
                <w:lang w:val="en-US" w:eastAsia="zh-CN"/>
              </w:rPr>
              <w:t xml:space="preserve">3-3 </w:t>
            </w:r>
            <w:r>
              <w:rPr>
                <w:b/>
                <w:bCs/>
                <w:color w:val="auto"/>
                <w:szCs w:val="21"/>
                <w:highlight w:val="none"/>
              </w:rPr>
              <w:t xml:space="preserve">   特征污染物浓度限值</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2646"/>
              <w:gridCol w:w="2685"/>
            </w:tblGrid>
            <w:tr w14:paraId="322B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2633" w:type="dxa"/>
                  <w:vAlign w:val="center"/>
                </w:tcPr>
                <w:p w14:paraId="23EEE420">
                  <w:pPr>
                    <w:jc w:val="center"/>
                    <w:rPr>
                      <w:b/>
                      <w:bCs/>
                      <w:color w:val="auto"/>
                      <w:szCs w:val="21"/>
                      <w:highlight w:val="none"/>
                    </w:rPr>
                  </w:pPr>
                  <w:r>
                    <w:rPr>
                      <w:b/>
                      <w:bCs/>
                      <w:color w:val="auto"/>
                      <w:szCs w:val="21"/>
                      <w:highlight w:val="none"/>
                    </w:rPr>
                    <w:t>污染物名称</w:t>
                  </w:r>
                </w:p>
              </w:tc>
              <w:tc>
                <w:tcPr>
                  <w:tcW w:w="2646" w:type="dxa"/>
                  <w:vAlign w:val="center"/>
                </w:tcPr>
                <w:p w14:paraId="45DD5966">
                  <w:pPr>
                    <w:jc w:val="center"/>
                    <w:rPr>
                      <w:b/>
                      <w:bCs/>
                      <w:color w:val="auto"/>
                      <w:szCs w:val="21"/>
                      <w:highlight w:val="none"/>
                    </w:rPr>
                  </w:pPr>
                  <w:r>
                    <w:rPr>
                      <w:rFonts w:hint="eastAsia"/>
                      <w:b/>
                      <w:bCs/>
                      <w:color w:val="auto"/>
                      <w:szCs w:val="21"/>
                      <w:highlight w:val="none"/>
                    </w:rPr>
                    <w:t>平均时间</w:t>
                  </w:r>
                </w:p>
              </w:tc>
              <w:tc>
                <w:tcPr>
                  <w:tcW w:w="2685" w:type="dxa"/>
                  <w:vAlign w:val="center"/>
                </w:tcPr>
                <w:p w14:paraId="651F4127">
                  <w:pPr>
                    <w:jc w:val="center"/>
                    <w:rPr>
                      <w:b/>
                      <w:bCs/>
                      <w:color w:val="auto"/>
                      <w:szCs w:val="21"/>
                      <w:highlight w:val="none"/>
                    </w:rPr>
                  </w:pPr>
                  <w:r>
                    <w:rPr>
                      <w:b/>
                      <w:bCs/>
                      <w:color w:val="auto"/>
                      <w:szCs w:val="21"/>
                      <w:highlight w:val="none"/>
                    </w:rPr>
                    <w:t>标准值（μg/m</w:t>
                  </w:r>
                  <w:r>
                    <w:rPr>
                      <w:b/>
                      <w:bCs/>
                      <w:color w:val="auto"/>
                      <w:szCs w:val="21"/>
                      <w:highlight w:val="none"/>
                      <w:vertAlign w:val="superscript"/>
                    </w:rPr>
                    <w:t>3</w:t>
                  </w:r>
                  <w:r>
                    <w:rPr>
                      <w:b/>
                      <w:bCs/>
                      <w:color w:val="auto"/>
                      <w:szCs w:val="21"/>
                      <w:highlight w:val="none"/>
                    </w:rPr>
                    <w:t>）</w:t>
                  </w:r>
                </w:p>
              </w:tc>
            </w:tr>
            <w:tr w14:paraId="1D4C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3" w:type="dxa"/>
                  <w:vAlign w:val="center"/>
                </w:tcPr>
                <w:p w14:paraId="78EF864C">
                  <w:pPr>
                    <w:jc w:val="center"/>
                    <w:rPr>
                      <w:color w:val="auto"/>
                      <w:szCs w:val="21"/>
                      <w:highlight w:val="none"/>
                    </w:rPr>
                  </w:pPr>
                  <w:r>
                    <w:rPr>
                      <w:rFonts w:hint="eastAsia"/>
                      <w:color w:val="auto"/>
                      <w:szCs w:val="21"/>
                      <w:highlight w:val="none"/>
                    </w:rPr>
                    <w:t>TSP</w:t>
                  </w:r>
                </w:p>
              </w:tc>
              <w:tc>
                <w:tcPr>
                  <w:tcW w:w="2646" w:type="dxa"/>
                  <w:vAlign w:val="center"/>
                </w:tcPr>
                <w:p w14:paraId="04C98AEA">
                  <w:pPr>
                    <w:jc w:val="center"/>
                    <w:rPr>
                      <w:color w:val="auto"/>
                      <w:szCs w:val="21"/>
                      <w:highlight w:val="none"/>
                    </w:rPr>
                  </w:pPr>
                  <w:r>
                    <w:rPr>
                      <w:rFonts w:hint="eastAsia"/>
                      <w:color w:val="auto"/>
                      <w:szCs w:val="21"/>
                      <w:highlight w:val="none"/>
                    </w:rPr>
                    <w:t>24小时平均</w:t>
                  </w:r>
                </w:p>
              </w:tc>
              <w:tc>
                <w:tcPr>
                  <w:tcW w:w="2685" w:type="dxa"/>
                  <w:vAlign w:val="center"/>
                </w:tcPr>
                <w:p w14:paraId="17235DAE">
                  <w:pPr>
                    <w:jc w:val="center"/>
                    <w:rPr>
                      <w:color w:val="auto"/>
                      <w:szCs w:val="21"/>
                      <w:highlight w:val="none"/>
                    </w:rPr>
                  </w:pPr>
                  <w:r>
                    <w:rPr>
                      <w:rFonts w:hint="eastAsia"/>
                      <w:color w:val="auto"/>
                      <w:szCs w:val="21"/>
                      <w:highlight w:val="none"/>
                    </w:rPr>
                    <w:t>300</w:t>
                  </w:r>
                </w:p>
              </w:tc>
            </w:tr>
            <w:tr w14:paraId="2BE9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33" w:type="dxa"/>
                  <w:vAlign w:val="center"/>
                </w:tcPr>
                <w:p w14:paraId="611BE1C2">
                  <w:pPr>
                    <w:jc w:val="center"/>
                    <w:rPr>
                      <w:rFonts w:hint="eastAsia" w:eastAsia="宋体"/>
                      <w:color w:val="auto"/>
                      <w:szCs w:val="21"/>
                      <w:highlight w:val="none"/>
                      <w:lang w:val="en-US" w:eastAsia="zh-CN"/>
                    </w:rPr>
                  </w:pPr>
                  <w:r>
                    <w:rPr>
                      <w:rFonts w:hint="eastAsia" w:eastAsia="宋体"/>
                      <w:color w:val="auto"/>
                      <w:szCs w:val="21"/>
                      <w:highlight w:val="none"/>
                      <w:lang w:val="en-US" w:eastAsia="zh-CN"/>
                    </w:rPr>
                    <w:t>苯并[a]芘</w:t>
                  </w:r>
                </w:p>
              </w:tc>
              <w:tc>
                <w:tcPr>
                  <w:tcW w:w="2646" w:type="dxa"/>
                  <w:vAlign w:val="center"/>
                </w:tcPr>
                <w:p w14:paraId="284F87E0">
                  <w:pPr>
                    <w:jc w:val="center"/>
                    <w:rPr>
                      <w:rFonts w:hint="default" w:eastAsia="宋体"/>
                      <w:color w:val="auto"/>
                      <w:szCs w:val="21"/>
                      <w:highlight w:val="none"/>
                      <w:lang w:val="en-US" w:eastAsia="zh-CN"/>
                    </w:rPr>
                  </w:pPr>
                  <w:r>
                    <w:rPr>
                      <w:rFonts w:hint="eastAsia"/>
                      <w:color w:val="auto"/>
                      <w:szCs w:val="21"/>
                      <w:highlight w:val="none"/>
                      <w:lang w:val="en-US" w:eastAsia="zh-CN"/>
                    </w:rPr>
                    <w:t>24小时平均</w:t>
                  </w:r>
                </w:p>
              </w:tc>
              <w:tc>
                <w:tcPr>
                  <w:tcW w:w="2685" w:type="dxa"/>
                  <w:vAlign w:val="center"/>
                </w:tcPr>
                <w:p w14:paraId="56CD34E7">
                  <w:pPr>
                    <w:jc w:val="center"/>
                    <w:rPr>
                      <w:rFonts w:hint="default" w:eastAsia="宋体"/>
                      <w:color w:val="auto"/>
                      <w:szCs w:val="21"/>
                      <w:highlight w:val="none"/>
                      <w:lang w:val="en-US" w:eastAsia="zh-CN"/>
                    </w:rPr>
                  </w:pPr>
                  <w:r>
                    <w:rPr>
                      <w:rFonts w:hint="eastAsia"/>
                      <w:color w:val="auto"/>
                      <w:szCs w:val="21"/>
                      <w:highlight w:val="none"/>
                      <w:lang w:val="en-US" w:eastAsia="zh-CN"/>
                    </w:rPr>
                    <w:t>0.01</w:t>
                  </w:r>
                </w:p>
              </w:tc>
            </w:tr>
          </w:tbl>
          <w:p w14:paraId="5AE33CCE">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eastAsia" w:cs="Times New Roman"/>
                <w:kern w:val="0"/>
                <w:sz w:val="24"/>
                <w:szCs w:val="24"/>
                <w:highlight w:val="none"/>
                <w:lang w:val="en-US" w:eastAsia="zh-CN"/>
              </w:rPr>
              <w:t>（4）评价方法</w:t>
            </w:r>
          </w:p>
          <w:p w14:paraId="30F29518">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rPr>
              <w:t>环境空气质量现状采用单因子污染指数法进行评价。</w:t>
            </w:r>
          </w:p>
          <w:p w14:paraId="6EC0AF1C">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rPr>
              <w:t>计算公式为：</w:t>
            </w:r>
          </w:p>
          <w:p w14:paraId="5619B9F9">
            <w:pPr>
              <w:adjustRightInd w:val="0"/>
              <w:snapToGrid w:val="0"/>
              <w:jc w:val="center"/>
              <w:rPr>
                <w:color w:val="auto"/>
                <w:kern w:val="0"/>
                <w:sz w:val="24"/>
                <w:highlight w:val="none"/>
              </w:rPr>
            </w:pPr>
            <w:r>
              <w:rPr>
                <w:color w:val="auto"/>
                <w:position w:val="-30"/>
                <w:sz w:val="24"/>
                <w:highlight w:val="none"/>
              </w:rPr>
              <w:object>
                <v:shape id="_x0000_i1025" o:spt="75" type="#_x0000_t75" style="height:34.2pt;width:42pt;" o:ole="t" filled="f" o:preferrelative="t" stroked="f" coordsize="21600,21600">
                  <v:path/>
                  <v:fill on="f" focussize="0,0"/>
                  <v:stroke on="f" joinstyle="miter"/>
                  <v:imagedata r:id="rId11" o:title=""/>
                  <o:lock v:ext="edit" aspectratio="t"/>
                  <w10:wrap type="none"/>
                  <w10:anchorlock/>
                </v:shape>
                <o:OLEObject Type="Embed" ProgID="Equation.3" ShapeID="_x0000_i1025" DrawAspect="Content" ObjectID="_1468075725" r:id="rId10">
                  <o:LockedField>false</o:LockedField>
                </o:OLEObject>
              </w:object>
            </w:r>
          </w:p>
          <w:p w14:paraId="633C15B8">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rPr>
              <w:t>式中：Pi——污染物i的单项污染指数；</w:t>
            </w:r>
          </w:p>
          <w:p w14:paraId="2257BB2D">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rPr>
              <w:t xml:space="preserve">      Ci——污染物i的实测浓度值（mg/m</w:t>
            </w:r>
            <w:r>
              <w:rPr>
                <w:rFonts w:hint="eastAsia"/>
                <w:color w:val="auto"/>
                <w:kern w:val="0"/>
                <w:sz w:val="24"/>
                <w:highlight w:val="none"/>
                <w:vertAlign w:val="superscript"/>
              </w:rPr>
              <w:t>3</w:t>
            </w:r>
            <w:r>
              <w:rPr>
                <w:rFonts w:hint="eastAsia"/>
                <w:color w:val="auto"/>
                <w:kern w:val="0"/>
                <w:sz w:val="24"/>
                <w:highlight w:val="none"/>
              </w:rPr>
              <w:t>）；</w:t>
            </w:r>
          </w:p>
          <w:p w14:paraId="632E1EFC">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rPr>
              <w:t xml:space="preserve">      Coi——污染物i的评价标准（mg/m</w:t>
            </w:r>
            <w:r>
              <w:rPr>
                <w:rFonts w:hint="eastAsia"/>
                <w:color w:val="auto"/>
                <w:kern w:val="0"/>
                <w:sz w:val="24"/>
                <w:highlight w:val="none"/>
                <w:vertAlign w:val="superscript"/>
              </w:rPr>
              <w:t>3</w:t>
            </w:r>
            <w:r>
              <w:rPr>
                <w:rFonts w:hint="eastAsia"/>
                <w:color w:val="auto"/>
                <w:kern w:val="0"/>
                <w:sz w:val="24"/>
                <w:highlight w:val="none"/>
              </w:rPr>
              <w:t>）。</w:t>
            </w:r>
          </w:p>
          <w:p w14:paraId="3AF2D5CB">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lang w:eastAsia="zh-CN"/>
              </w:rPr>
              <w:t>（</w:t>
            </w:r>
            <w:r>
              <w:rPr>
                <w:rFonts w:hint="eastAsia"/>
                <w:color w:val="auto"/>
                <w:kern w:val="0"/>
                <w:sz w:val="24"/>
                <w:highlight w:val="none"/>
                <w:lang w:val="en-US" w:eastAsia="zh-CN"/>
              </w:rPr>
              <w:t>5</w:t>
            </w:r>
            <w:r>
              <w:rPr>
                <w:rFonts w:hint="eastAsia"/>
                <w:color w:val="auto"/>
                <w:kern w:val="0"/>
                <w:sz w:val="24"/>
                <w:highlight w:val="none"/>
                <w:lang w:eastAsia="zh-CN"/>
              </w:rPr>
              <w:t>）</w:t>
            </w:r>
            <w:r>
              <w:rPr>
                <w:rFonts w:hint="eastAsia"/>
                <w:color w:val="auto"/>
                <w:kern w:val="0"/>
                <w:sz w:val="24"/>
                <w:highlight w:val="none"/>
              </w:rPr>
              <w:t>特征污染物环境质量现状评价</w:t>
            </w:r>
          </w:p>
          <w:p w14:paraId="1E0FB76E">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本次环评</w:t>
            </w:r>
            <w:r>
              <w:rPr>
                <w:rFonts w:hint="default" w:ascii="Times New Roman" w:hAnsi="Times New Roman" w:eastAsia="宋体" w:cs="Times New Roman"/>
                <w:kern w:val="0"/>
                <w:sz w:val="24"/>
                <w:szCs w:val="24"/>
                <w:highlight w:val="none"/>
                <w:lang w:val="en-US" w:eastAsia="zh-CN"/>
              </w:rPr>
              <w:t>总悬浮颗粒物监测结果及评价见表3-</w:t>
            </w:r>
            <w:r>
              <w:rPr>
                <w:rFonts w:hint="eastAsia" w:cs="Times New Roman"/>
                <w:kern w:val="0"/>
                <w:sz w:val="24"/>
                <w:szCs w:val="24"/>
                <w:highlight w:val="none"/>
                <w:lang w:val="en-US" w:eastAsia="zh-CN"/>
              </w:rPr>
              <w:t>4</w:t>
            </w:r>
            <w:r>
              <w:rPr>
                <w:rFonts w:hint="default" w:ascii="Times New Roman" w:hAnsi="Times New Roman" w:eastAsia="宋体" w:cs="Times New Roman"/>
                <w:kern w:val="0"/>
                <w:sz w:val="24"/>
                <w:szCs w:val="24"/>
                <w:highlight w:val="none"/>
                <w:lang w:val="en-US" w:eastAsia="zh-CN"/>
              </w:rPr>
              <w:t>，</w:t>
            </w:r>
            <w:r>
              <w:rPr>
                <w:rFonts w:hint="eastAsia" w:ascii="Times New Roman" w:hAnsi="Times New Roman" w:eastAsia="宋体" w:cs="Times New Roman"/>
                <w:kern w:val="0"/>
                <w:sz w:val="24"/>
                <w:szCs w:val="24"/>
                <w:highlight w:val="none"/>
                <w:lang w:val="en-US" w:eastAsia="zh-CN"/>
              </w:rPr>
              <w:t>苯并</w:t>
            </w:r>
            <w:r>
              <w:rPr>
                <w:rFonts w:hint="default" w:ascii="Times New Roman" w:hAnsi="Times New Roman" w:eastAsia="宋体" w:cs="Times New Roman"/>
                <w:kern w:val="0"/>
                <w:sz w:val="24"/>
                <w:szCs w:val="24"/>
                <w:highlight w:val="none"/>
                <w:lang w:val="en-US" w:eastAsia="zh-CN"/>
              </w:rPr>
              <w:t>[</w:t>
            </w:r>
            <w:r>
              <w:rPr>
                <w:rFonts w:hint="eastAsia" w:ascii="Times New Roman" w:hAnsi="Times New Roman" w:eastAsia="宋体" w:cs="Times New Roman"/>
                <w:kern w:val="0"/>
                <w:sz w:val="24"/>
                <w:szCs w:val="24"/>
                <w:highlight w:val="none"/>
                <w:lang w:val="en-US" w:eastAsia="zh-CN"/>
              </w:rPr>
              <w:t>a</w:t>
            </w:r>
            <w:r>
              <w:rPr>
                <w:rFonts w:hint="default" w:ascii="Times New Roman" w:hAnsi="Times New Roman" w:eastAsia="宋体" w:cs="Times New Roman"/>
                <w:kern w:val="0"/>
                <w:sz w:val="24"/>
                <w:szCs w:val="24"/>
                <w:highlight w:val="none"/>
                <w:lang w:val="en-US" w:eastAsia="zh-CN"/>
              </w:rPr>
              <w:t>]</w:t>
            </w:r>
            <w:r>
              <w:rPr>
                <w:rFonts w:hint="eastAsia" w:ascii="Times New Roman" w:hAnsi="Times New Roman" w:eastAsia="宋体" w:cs="Times New Roman"/>
                <w:kern w:val="0"/>
                <w:sz w:val="24"/>
                <w:szCs w:val="24"/>
                <w:highlight w:val="none"/>
                <w:lang w:val="en-US" w:eastAsia="zh-CN"/>
              </w:rPr>
              <w:t>芘</w:t>
            </w:r>
            <w:r>
              <w:rPr>
                <w:rFonts w:hint="default" w:ascii="Times New Roman" w:hAnsi="Times New Roman" w:eastAsia="宋体" w:cs="Times New Roman"/>
                <w:kern w:val="0"/>
                <w:sz w:val="24"/>
                <w:szCs w:val="24"/>
                <w:highlight w:val="none"/>
                <w:lang w:val="en-US" w:eastAsia="zh-CN"/>
              </w:rPr>
              <w:t>监测结果及评价见表3-</w:t>
            </w:r>
            <w:r>
              <w:rPr>
                <w:rFonts w:hint="eastAsia" w:cs="Times New Roman"/>
                <w:kern w:val="0"/>
                <w:sz w:val="24"/>
                <w:szCs w:val="24"/>
                <w:highlight w:val="none"/>
                <w:lang w:val="en-US" w:eastAsia="zh-CN"/>
              </w:rPr>
              <w:t>5</w:t>
            </w:r>
            <w:r>
              <w:rPr>
                <w:rFonts w:hint="default" w:ascii="Times New Roman" w:hAnsi="Times New Roman" w:eastAsia="宋体" w:cs="Times New Roman"/>
                <w:kern w:val="0"/>
                <w:sz w:val="24"/>
                <w:szCs w:val="24"/>
                <w:highlight w:val="none"/>
                <w:lang w:val="en-US" w:eastAsia="zh-CN"/>
              </w:rPr>
              <w:t>。</w:t>
            </w:r>
          </w:p>
          <w:p w14:paraId="125E0D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s="宋体"/>
                <w:b/>
                <w:sz w:val="21"/>
                <w:szCs w:val="21"/>
                <w:highlight w:val="none"/>
                <w:lang w:val="en-US" w:eastAsia="zh-CN"/>
              </w:rPr>
            </w:pPr>
            <w:r>
              <w:rPr>
                <w:rFonts w:hint="eastAsia" w:cs="宋体"/>
                <w:b/>
                <w:sz w:val="21"/>
                <w:szCs w:val="21"/>
                <w:highlight w:val="none"/>
              </w:rPr>
              <w:t>表</w:t>
            </w:r>
            <w:r>
              <w:rPr>
                <w:rFonts w:cs="宋体"/>
                <w:b/>
                <w:sz w:val="21"/>
                <w:szCs w:val="21"/>
                <w:highlight w:val="none"/>
              </w:rPr>
              <w:t>3</w:t>
            </w:r>
            <w:r>
              <w:rPr>
                <w:rFonts w:hint="eastAsia" w:cs="宋体"/>
                <w:b/>
                <w:sz w:val="21"/>
                <w:szCs w:val="21"/>
                <w:highlight w:val="none"/>
                <w:lang w:val="en-US" w:eastAsia="zh-CN"/>
              </w:rPr>
              <w:t>-4     总悬浮颗粒物</w:t>
            </w:r>
            <w:r>
              <w:rPr>
                <w:rFonts w:hint="eastAsia" w:cs="宋体"/>
                <w:b/>
                <w:sz w:val="21"/>
                <w:szCs w:val="21"/>
                <w:highlight w:val="none"/>
              </w:rPr>
              <w:t>监测</w:t>
            </w:r>
            <w:r>
              <w:rPr>
                <w:rFonts w:hint="eastAsia" w:cs="宋体"/>
                <w:b/>
                <w:sz w:val="21"/>
                <w:szCs w:val="21"/>
                <w:highlight w:val="none"/>
                <w:lang w:val="en-US" w:eastAsia="zh-CN"/>
              </w:rPr>
              <w:t>结果</w:t>
            </w:r>
            <w:r>
              <w:rPr>
                <w:rFonts w:hint="eastAsia" w:cs="宋体"/>
                <w:b/>
                <w:sz w:val="21"/>
                <w:szCs w:val="21"/>
                <w:highlight w:val="none"/>
              </w:rPr>
              <w:t>评价</w:t>
            </w:r>
            <w:r>
              <w:rPr>
                <w:rFonts w:hint="eastAsia" w:cs="宋体"/>
                <w:b/>
                <w:sz w:val="21"/>
                <w:szCs w:val="21"/>
                <w:highlight w:val="none"/>
                <w:lang w:val="en-US" w:eastAsia="zh-CN"/>
              </w:rPr>
              <w:t>表</w:t>
            </w:r>
          </w:p>
          <w:tbl>
            <w:tblPr>
              <w:tblStyle w:val="19"/>
              <w:tblW w:w="4993" w:type="pct"/>
              <w:jc w:val="center"/>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Layout w:type="fixed"/>
              <w:tblCellMar>
                <w:top w:w="0" w:type="dxa"/>
                <w:left w:w="108" w:type="dxa"/>
                <w:bottom w:w="0" w:type="dxa"/>
                <w:right w:w="108" w:type="dxa"/>
              </w:tblCellMar>
            </w:tblPr>
            <w:tblGrid>
              <w:gridCol w:w="809"/>
              <w:gridCol w:w="3648"/>
              <w:gridCol w:w="1135"/>
              <w:gridCol w:w="1144"/>
              <w:gridCol w:w="1227"/>
            </w:tblGrid>
            <w:tr w14:paraId="2E389973">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rPr>
                <w:trHeight w:val="23" w:hRule="atLeast"/>
                <w:jc w:val="center"/>
              </w:trPr>
              <w:tc>
                <w:tcPr>
                  <w:tcW w:w="508" w:type="pct"/>
                  <w:tcBorders>
                    <w:top w:val="single" w:color="auto" w:sz="8" w:space="0"/>
                    <w:bottom w:val="single" w:color="auto" w:sz="8" w:space="0"/>
                  </w:tcBorders>
                  <w:noWrap w:val="0"/>
                  <w:vAlign w:val="center"/>
                </w:tcPr>
                <w:p w14:paraId="0BC56161">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18"/>
                      <w:highlight w:val="none"/>
                    </w:rPr>
                  </w:pPr>
                  <w:r>
                    <w:rPr>
                      <w:rFonts w:ascii="Times New Roman"/>
                      <w:b/>
                      <w:bCs/>
                      <w:color w:val="000000"/>
                      <w:sz w:val="21"/>
                      <w:szCs w:val="18"/>
                      <w:highlight w:val="none"/>
                    </w:rPr>
                    <w:t>监测因子</w:t>
                  </w:r>
                </w:p>
              </w:tc>
              <w:tc>
                <w:tcPr>
                  <w:tcW w:w="2289" w:type="pct"/>
                  <w:tcBorders>
                    <w:top w:val="single" w:color="auto" w:sz="8" w:space="0"/>
                    <w:bottom w:val="single" w:color="auto" w:sz="8" w:space="0"/>
                  </w:tcBorders>
                  <w:noWrap w:val="0"/>
                  <w:vAlign w:val="center"/>
                </w:tcPr>
                <w:p w14:paraId="1BCF00EF">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18"/>
                      <w:highlight w:val="none"/>
                    </w:rPr>
                  </w:pPr>
                  <w:r>
                    <w:rPr>
                      <w:rFonts w:ascii="Times New Roman"/>
                      <w:b/>
                      <w:bCs/>
                      <w:color w:val="000000"/>
                      <w:sz w:val="21"/>
                      <w:szCs w:val="18"/>
                      <w:highlight w:val="none"/>
                    </w:rPr>
                    <w:t>监测时间</w:t>
                  </w:r>
                </w:p>
              </w:tc>
              <w:tc>
                <w:tcPr>
                  <w:tcW w:w="712" w:type="pct"/>
                  <w:tcBorders>
                    <w:top w:val="single" w:color="auto" w:sz="8" w:space="0"/>
                    <w:bottom w:val="single" w:color="auto" w:sz="8" w:space="0"/>
                  </w:tcBorders>
                  <w:noWrap w:val="0"/>
                  <w:vAlign w:val="center"/>
                </w:tcPr>
                <w:p w14:paraId="490A54B0">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18"/>
                      <w:highlight w:val="none"/>
                    </w:rPr>
                  </w:pPr>
                  <w:r>
                    <w:rPr>
                      <w:rFonts w:ascii="Times New Roman"/>
                      <w:b/>
                      <w:bCs/>
                      <w:color w:val="000000"/>
                      <w:sz w:val="21"/>
                      <w:szCs w:val="18"/>
                      <w:highlight w:val="none"/>
                    </w:rPr>
                    <w:t>浓度（</w:t>
                  </w:r>
                  <w:r>
                    <w:rPr>
                      <w:rFonts w:hint="default" w:ascii="Times New Roman" w:hAnsi="Times New Roman" w:eastAsia="宋体" w:cs="Times New Roman"/>
                      <w:b/>
                      <w:bCs/>
                      <w:color w:val="000000"/>
                      <w:sz w:val="21"/>
                      <w:szCs w:val="18"/>
                      <w:highlight w:val="none"/>
                    </w:rPr>
                    <w:t>μ</w:t>
                  </w:r>
                  <w:r>
                    <w:rPr>
                      <w:rFonts w:ascii="Times New Roman"/>
                      <w:b/>
                      <w:bCs/>
                      <w:color w:val="000000"/>
                      <w:sz w:val="21"/>
                      <w:szCs w:val="18"/>
                      <w:highlight w:val="none"/>
                    </w:rPr>
                    <w:t>g/m</w:t>
                  </w:r>
                  <w:r>
                    <w:rPr>
                      <w:rFonts w:ascii="Times New Roman"/>
                      <w:b/>
                      <w:bCs/>
                      <w:color w:val="000000"/>
                      <w:sz w:val="21"/>
                      <w:szCs w:val="18"/>
                      <w:highlight w:val="none"/>
                      <w:vertAlign w:val="superscript"/>
                    </w:rPr>
                    <w:t>3</w:t>
                  </w:r>
                  <w:r>
                    <w:rPr>
                      <w:rFonts w:ascii="Times New Roman"/>
                      <w:b/>
                      <w:bCs/>
                      <w:color w:val="000000"/>
                      <w:sz w:val="21"/>
                      <w:szCs w:val="18"/>
                      <w:highlight w:val="none"/>
                    </w:rPr>
                    <w:t>）</w:t>
                  </w:r>
                </w:p>
              </w:tc>
              <w:tc>
                <w:tcPr>
                  <w:tcW w:w="718" w:type="pct"/>
                  <w:tcBorders>
                    <w:top w:val="single" w:color="auto" w:sz="8" w:space="0"/>
                    <w:bottom w:val="single" w:color="auto" w:sz="8" w:space="0"/>
                  </w:tcBorders>
                  <w:noWrap w:val="0"/>
                  <w:vAlign w:val="center"/>
                </w:tcPr>
                <w:p w14:paraId="7AC63436">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18"/>
                      <w:highlight w:val="none"/>
                    </w:rPr>
                  </w:pPr>
                  <w:r>
                    <w:rPr>
                      <w:rFonts w:hint="eastAsia" w:ascii="Times New Roman"/>
                      <w:b/>
                      <w:bCs/>
                      <w:color w:val="000000"/>
                      <w:sz w:val="21"/>
                      <w:szCs w:val="18"/>
                      <w:highlight w:val="none"/>
                    </w:rPr>
                    <w:t>标准限值</w:t>
                  </w:r>
                  <w:r>
                    <w:rPr>
                      <w:rFonts w:ascii="Times New Roman"/>
                      <w:b/>
                      <w:bCs/>
                      <w:color w:val="000000"/>
                      <w:sz w:val="21"/>
                      <w:szCs w:val="18"/>
                      <w:highlight w:val="none"/>
                    </w:rPr>
                    <w:t>（</w:t>
                  </w:r>
                  <w:r>
                    <w:rPr>
                      <w:rFonts w:hint="default" w:ascii="Times New Roman" w:hAnsi="Times New Roman" w:eastAsia="宋体" w:cs="Times New Roman"/>
                      <w:b/>
                      <w:bCs/>
                      <w:color w:val="000000"/>
                      <w:sz w:val="21"/>
                      <w:szCs w:val="18"/>
                      <w:highlight w:val="none"/>
                    </w:rPr>
                    <w:t>μ</w:t>
                  </w:r>
                  <w:r>
                    <w:rPr>
                      <w:rFonts w:ascii="Times New Roman"/>
                      <w:b/>
                      <w:bCs/>
                      <w:color w:val="000000"/>
                      <w:sz w:val="21"/>
                      <w:szCs w:val="18"/>
                      <w:highlight w:val="none"/>
                    </w:rPr>
                    <w:t>g/m</w:t>
                  </w:r>
                  <w:r>
                    <w:rPr>
                      <w:rFonts w:ascii="Times New Roman"/>
                      <w:b/>
                      <w:bCs/>
                      <w:color w:val="000000"/>
                      <w:sz w:val="21"/>
                      <w:szCs w:val="18"/>
                      <w:highlight w:val="none"/>
                      <w:vertAlign w:val="superscript"/>
                    </w:rPr>
                    <w:t>3</w:t>
                  </w:r>
                  <w:r>
                    <w:rPr>
                      <w:rFonts w:ascii="Times New Roman"/>
                      <w:b/>
                      <w:bCs/>
                      <w:color w:val="000000"/>
                      <w:sz w:val="21"/>
                      <w:szCs w:val="18"/>
                      <w:highlight w:val="none"/>
                    </w:rPr>
                    <w:t>）</w:t>
                  </w:r>
                </w:p>
              </w:tc>
              <w:tc>
                <w:tcPr>
                  <w:tcW w:w="770" w:type="pct"/>
                  <w:tcBorders>
                    <w:top w:val="single" w:color="auto" w:sz="8" w:space="0"/>
                    <w:bottom w:val="single" w:color="auto" w:sz="8" w:space="0"/>
                  </w:tcBorders>
                  <w:noWrap w:val="0"/>
                  <w:vAlign w:val="center"/>
                </w:tcPr>
                <w:p w14:paraId="631B89C2">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18"/>
                      <w:highlight w:val="none"/>
                    </w:rPr>
                  </w:pPr>
                  <w:r>
                    <w:rPr>
                      <w:rFonts w:ascii="Times New Roman"/>
                      <w:b/>
                      <w:bCs/>
                      <w:color w:val="000000"/>
                      <w:sz w:val="21"/>
                      <w:szCs w:val="18"/>
                      <w:highlight w:val="none"/>
                    </w:rPr>
                    <w:t>最大占标率Pi（％）</w:t>
                  </w:r>
                </w:p>
              </w:tc>
            </w:tr>
            <w:tr w14:paraId="51BB8352">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rPr>
                <w:trHeight w:val="23" w:hRule="atLeast"/>
                <w:jc w:val="center"/>
              </w:trPr>
              <w:tc>
                <w:tcPr>
                  <w:tcW w:w="508" w:type="pct"/>
                  <w:vMerge w:val="restart"/>
                  <w:tcBorders>
                    <w:top w:val="single" w:color="auto" w:sz="8" w:space="0"/>
                  </w:tcBorders>
                  <w:noWrap w:val="0"/>
                  <w:vAlign w:val="center"/>
                </w:tcPr>
                <w:p w14:paraId="0B66E1BE">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color w:val="000000"/>
                      <w:szCs w:val="21"/>
                      <w:highlight w:val="none"/>
                    </w:rPr>
                  </w:pPr>
                  <w:r>
                    <w:rPr>
                      <w:rFonts w:hint="eastAsia" w:ascii="Times New Roman"/>
                      <w:color w:val="000000"/>
                      <w:szCs w:val="21"/>
                      <w:highlight w:val="none"/>
                    </w:rPr>
                    <w:t>TSP</w:t>
                  </w:r>
                </w:p>
              </w:tc>
              <w:tc>
                <w:tcPr>
                  <w:tcW w:w="2289" w:type="pct"/>
                  <w:tcBorders>
                    <w:top w:val="single" w:color="auto" w:sz="8" w:space="0"/>
                  </w:tcBorders>
                  <w:noWrap w:val="0"/>
                  <w:vAlign w:val="center"/>
                </w:tcPr>
                <w:p w14:paraId="0D1CC994">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Cs w:val="21"/>
                      <w:highlight w:val="none"/>
                    </w:rPr>
                  </w:pPr>
                  <w:r>
                    <w:rPr>
                      <w:rFonts w:ascii="Times New Roman"/>
                      <w:color w:val="000000"/>
                      <w:sz w:val="21"/>
                      <w:szCs w:val="18"/>
                      <w:highlight w:val="none"/>
                    </w:rPr>
                    <w:t>20</w:t>
                  </w:r>
                  <w:r>
                    <w:rPr>
                      <w:rFonts w:hint="eastAsia" w:ascii="Times New Roman"/>
                      <w:color w:val="000000"/>
                      <w:sz w:val="21"/>
                      <w:szCs w:val="18"/>
                      <w:highlight w:val="none"/>
                      <w:lang w:val="en-US" w:eastAsia="zh-CN"/>
                    </w:rPr>
                    <w:t>25</w:t>
                  </w:r>
                  <w:r>
                    <w:rPr>
                      <w:rFonts w:ascii="Times New Roman"/>
                      <w:color w:val="000000"/>
                      <w:sz w:val="21"/>
                      <w:szCs w:val="18"/>
                      <w:highlight w:val="none"/>
                    </w:rPr>
                    <w:t>年</w:t>
                  </w:r>
                  <w:r>
                    <w:rPr>
                      <w:rFonts w:hint="eastAsia" w:ascii="Times New Roman"/>
                      <w:color w:val="000000"/>
                      <w:sz w:val="21"/>
                      <w:szCs w:val="18"/>
                      <w:highlight w:val="none"/>
                      <w:lang w:val="en-US" w:eastAsia="zh-CN"/>
                    </w:rPr>
                    <w:t>6</w:t>
                  </w:r>
                  <w:r>
                    <w:rPr>
                      <w:rFonts w:ascii="Times New Roman"/>
                      <w:color w:val="000000"/>
                      <w:sz w:val="21"/>
                      <w:szCs w:val="18"/>
                      <w:highlight w:val="none"/>
                    </w:rPr>
                    <w:t>月</w:t>
                  </w:r>
                  <w:r>
                    <w:rPr>
                      <w:rFonts w:hint="eastAsia" w:ascii="Times New Roman"/>
                      <w:color w:val="000000"/>
                      <w:sz w:val="21"/>
                      <w:szCs w:val="18"/>
                      <w:highlight w:val="none"/>
                      <w:lang w:val="en-US" w:eastAsia="zh-CN"/>
                    </w:rPr>
                    <w:t>10</w:t>
                  </w:r>
                  <w:r>
                    <w:rPr>
                      <w:rFonts w:ascii="Times New Roman"/>
                      <w:color w:val="000000"/>
                      <w:sz w:val="21"/>
                      <w:szCs w:val="18"/>
                      <w:highlight w:val="none"/>
                    </w:rPr>
                    <w:t>日</w:t>
                  </w:r>
                  <w:r>
                    <w:rPr>
                      <w:rFonts w:hint="eastAsia" w:ascii="Times New Roman"/>
                      <w:color w:val="000000"/>
                      <w:sz w:val="21"/>
                      <w:szCs w:val="18"/>
                      <w:highlight w:val="none"/>
                    </w:rPr>
                    <w:t>-</w:t>
                  </w:r>
                  <w:r>
                    <w:rPr>
                      <w:rFonts w:ascii="Times New Roman"/>
                      <w:color w:val="000000"/>
                      <w:sz w:val="21"/>
                      <w:szCs w:val="18"/>
                      <w:highlight w:val="none"/>
                    </w:rPr>
                    <w:t>20</w:t>
                  </w:r>
                  <w:r>
                    <w:rPr>
                      <w:rFonts w:hint="eastAsia" w:ascii="Times New Roman"/>
                      <w:color w:val="000000"/>
                      <w:sz w:val="21"/>
                      <w:szCs w:val="18"/>
                      <w:highlight w:val="none"/>
                      <w:lang w:val="en-US" w:eastAsia="zh-CN"/>
                    </w:rPr>
                    <w:t>25</w:t>
                  </w:r>
                  <w:r>
                    <w:rPr>
                      <w:rFonts w:ascii="Times New Roman"/>
                      <w:color w:val="000000"/>
                      <w:sz w:val="21"/>
                      <w:szCs w:val="18"/>
                      <w:highlight w:val="none"/>
                    </w:rPr>
                    <w:t>年</w:t>
                  </w:r>
                  <w:r>
                    <w:rPr>
                      <w:rFonts w:hint="eastAsia" w:ascii="Times New Roman"/>
                      <w:color w:val="000000"/>
                      <w:sz w:val="21"/>
                      <w:szCs w:val="18"/>
                      <w:highlight w:val="none"/>
                      <w:lang w:val="en-US" w:eastAsia="zh-CN"/>
                    </w:rPr>
                    <w:t>6</w:t>
                  </w:r>
                  <w:r>
                    <w:rPr>
                      <w:rFonts w:ascii="Times New Roman"/>
                      <w:color w:val="000000"/>
                      <w:sz w:val="21"/>
                      <w:szCs w:val="18"/>
                      <w:highlight w:val="none"/>
                    </w:rPr>
                    <w:t>月</w:t>
                  </w:r>
                  <w:r>
                    <w:rPr>
                      <w:rFonts w:hint="eastAsia" w:ascii="Times New Roman"/>
                      <w:color w:val="000000"/>
                      <w:sz w:val="21"/>
                      <w:szCs w:val="18"/>
                      <w:highlight w:val="none"/>
                      <w:lang w:val="en-US" w:eastAsia="zh-CN"/>
                    </w:rPr>
                    <w:t>11</w:t>
                  </w:r>
                  <w:r>
                    <w:rPr>
                      <w:rFonts w:ascii="Times New Roman"/>
                      <w:color w:val="000000"/>
                      <w:sz w:val="21"/>
                      <w:szCs w:val="18"/>
                      <w:highlight w:val="none"/>
                    </w:rPr>
                    <w:t>日</w:t>
                  </w:r>
                </w:p>
              </w:tc>
              <w:tc>
                <w:tcPr>
                  <w:tcW w:w="712" w:type="pct"/>
                  <w:tcBorders>
                    <w:top w:val="single" w:color="auto" w:sz="8" w:space="0"/>
                  </w:tcBorders>
                  <w:noWrap w:val="0"/>
                  <w:vAlign w:val="center"/>
                </w:tcPr>
                <w:p w14:paraId="312921A6">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highlight w:val="none"/>
                      <w:lang w:val="en-US" w:eastAsia="zh-CN"/>
                    </w:rPr>
                  </w:pPr>
                  <w:r>
                    <w:rPr>
                      <w:rFonts w:hint="eastAsia" w:eastAsia="宋体"/>
                      <w:color w:val="000000"/>
                      <w:highlight w:val="none"/>
                      <w:lang w:val="en-US" w:eastAsia="zh-CN"/>
                    </w:rPr>
                    <w:t>77</w:t>
                  </w:r>
                </w:p>
              </w:tc>
              <w:tc>
                <w:tcPr>
                  <w:tcW w:w="718" w:type="pct"/>
                  <w:vMerge w:val="restart"/>
                  <w:tcBorders>
                    <w:top w:val="single" w:color="auto" w:sz="8" w:space="0"/>
                  </w:tcBorders>
                  <w:noWrap w:val="0"/>
                  <w:vAlign w:val="center"/>
                </w:tcPr>
                <w:p w14:paraId="6F7F5DDC">
                  <w:pPr>
                    <w:pStyle w:val="30"/>
                    <w:keepNext w:val="0"/>
                    <w:keepLines w:val="0"/>
                    <w:pageBreakBefore w:val="0"/>
                    <w:widowControl w:val="0"/>
                    <w:kinsoku/>
                    <w:wordWrap/>
                    <w:overflowPunct/>
                    <w:topLinePunct w:val="0"/>
                    <w:autoSpaceDE/>
                    <w:autoSpaceDN/>
                    <w:bidi w:val="0"/>
                    <w:spacing w:beforeLines="0" w:afterLines="0"/>
                    <w:jc w:val="center"/>
                    <w:textAlignment w:val="auto"/>
                    <w:rPr>
                      <w:color w:val="000000"/>
                      <w:highlight w:val="none"/>
                    </w:rPr>
                  </w:pPr>
                  <w:r>
                    <w:rPr>
                      <w:rFonts w:hint="eastAsia"/>
                      <w:color w:val="000000"/>
                      <w:highlight w:val="none"/>
                    </w:rPr>
                    <w:t>300</w:t>
                  </w:r>
                </w:p>
              </w:tc>
              <w:tc>
                <w:tcPr>
                  <w:tcW w:w="770" w:type="pct"/>
                  <w:tcBorders>
                    <w:top w:val="single" w:color="auto" w:sz="8" w:space="0"/>
                  </w:tcBorders>
                  <w:noWrap w:val="0"/>
                  <w:vAlign w:val="center"/>
                </w:tcPr>
                <w:p w14:paraId="753332FE">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highlight w:val="none"/>
                      <w:lang w:val="en-US" w:eastAsia="zh-CN"/>
                    </w:rPr>
                  </w:pPr>
                  <w:r>
                    <w:rPr>
                      <w:rFonts w:hint="eastAsia" w:eastAsia="宋体"/>
                      <w:color w:val="000000"/>
                      <w:highlight w:val="none"/>
                      <w:lang w:val="en-US" w:eastAsia="zh-CN"/>
                    </w:rPr>
                    <w:t>25.7</w:t>
                  </w:r>
                </w:p>
              </w:tc>
            </w:tr>
            <w:tr w14:paraId="7C6179EC">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rPr>
                <w:trHeight w:val="23" w:hRule="atLeast"/>
                <w:jc w:val="center"/>
              </w:trPr>
              <w:tc>
                <w:tcPr>
                  <w:tcW w:w="508" w:type="pct"/>
                  <w:vMerge w:val="continue"/>
                  <w:noWrap w:val="0"/>
                  <w:vAlign w:val="center"/>
                </w:tcPr>
                <w:p w14:paraId="1B2FDE65">
                  <w:pPr>
                    <w:pStyle w:val="26"/>
                    <w:keepNext w:val="0"/>
                    <w:keepLines w:val="0"/>
                    <w:pageBreakBefore w:val="0"/>
                    <w:widowControl w:val="0"/>
                    <w:kinsoku/>
                    <w:wordWrap/>
                    <w:overflowPunct/>
                    <w:topLinePunct w:val="0"/>
                    <w:autoSpaceDE/>
                    <w:autoSpaceDN/>
                    <w:bidi w:val="0"/>
                    <w:spacing w:beforeLines="0" w:afterLines="0" w:line="240" w:lineRule="auto"/>
                    <w:jc w:val="center"/>
                    <w:textAlignment w:val="auto"/>
                    <w:rPr>
                      <w:rFonts w:ascii="Times New Roman"/>
                      <w:b/>
                      <w:bCs/>
                      <w:color w:val="000000"/>
                      <w:szCs w:val="21"/>
                      <w:highlight w:val="none"/>
                    </w:rPr>
                  </w:pPr>
                </w:p>
              </w:tc>
              <w:tc>
                <w:tcPr>
                  <w:tcW w:w="2289" w:type="pct"/>
                  <w:noWrap w:val="0"/>
                  <w:vAlign w:val="center"/>
                </w:tcPr>
                <w:p w14:paraId="76FED107">
                  <w:pPr>
                    <w:keepNext w:val="0"/>
                    <w:keepLines w:val="0"/>
                    <w:pageBreakBefore w:val="0"/>
                    <w:widowControl w:val="0"/>
                    <w:kinsoku/>
                    <w:wordWrap/>
                    <w:overflowPunct/>
                    <w:topLinePunct w:val="0"/>
                    <w:autoSpaceDE/>
                    <w:autoSpaceDN/>
                    <w:bidi w:val="0"/>
                    <w:spacing w:beforeLines="0" w:afterLines="0"/>
                    <w:jc w:val="center"/>
                    <w:textAlignment w:val="auto"/>
                    <w:rPr>
                      <w:rFonts w:ascii="Times New Roman"/>
                      <w:color w:val="000000"/>
                      <w:szCs w:val="21"/>
                      <w:highlight w:val="none"/>
                    </w:rPr>
                  </w:pPr>
                  <w:r>
                    <w:rPr>
                      <w:rFonts w:ascii="Times New Roman"/>
                      <w:color w:val="000000"/>
                      <w:szCs w:val="21"/>
                      <w:highlight w:val="none"/>
                    </w:rPr>
                    <w:t>20</w:t>
                  </w:r>
                  <w:r>
                    <w:rPr>
                      <w:rFonts w:hint="eastAsia" w:ascii="Times New Roman"/>
                      <w:color w:val="000000"/>
                      <w:szCs w:val="21"/>
                      <w:highlight w:val="none"/>
                      <w:lang w:val="en-US" w:eastAsia="zh-CN"/>
                    </w:rPr>
                    <w:t>25</w:t>
                  </w:r>
                  <w:r>
                    <w:rPr>
                      <w:rFonts w:ascii="Times New Roman"/>
                      <w:color w:val="000000"/>
                      <w:szCs w:val="21"/>
                      <w:highlight w:val="none"/>
                    </w:rPr>
                    <w:t>年</w:t>
                  </w:r>
                  <w:r>
                    <w:rPr>
                      <w:rFonts w:hint="eastAsia" w:ascii="Times New Roman"/>
                      <w:color w:val="000000"/>
                      <w:szCs w:val="21"/>
                      <w:highlight w:val="none"/>
                      <w:lang w:val="en-US" w:eastAsia="zh-CN"/>
                    </w:rPr>
                    <w:t>6</w:t>
                  </w:r>
                  <w:r>
                    <w:rPr>
                      <w:rFonts w:ascii="Times New Roman"/>
                      <w:color w:val="000000"/>
                      <w:szCs w:val="21"/>
                      <w:highlight w:val="none"/>
                    </w:rPr>
                    <w:t>月</w:t>
                  </w:r>
                  <w:r>
                    <w:rPr>
                      <w:rFonts w:hint="eastAsia" w:ascii="Times New Roman"/>
                      <w:color w:val="000000"/>
                      <w:szCs w:val="21"/>
                      <w:highlight w:val="none"/>
                      <w:lang w:val="en-US" w:eastAsia="zh-CN"/>
                    </w:rPr>
                    <w:t>11</w:t>
                  </w:r>
                  <w:r>
                    <w:rPr>
                      <w:rFonts w:ascii="Times New Roman"/>
                      <w:color w:val="000000"/>
                      <w:szCs w:val="21"/>
                      <w:highlight w:val="none"/>
                    </w:rPr>
                    <w:t>日</w:t>
                  </w:r>
                  <w:r>
                    <w:rPr>
                      <w:rFonts w:hint="eastAsia" w:ascii="Times New Roman"/>
                      <w:color w:val="000000"/>
                      <w:szCs w:val="21"/>
                      <w:highlight w:val="none"/>
                    </w:rPr>
                    <w:t>-</w:t>
                  </w:r>
                  <w:r>
                    <w:rPr>
                      <w:rFonts w:ascii="Times New Roman"/>
                      <w:color w:val="000000"/>
                      <w:szCs w:val="21"/>
                      <w:highlight w:val="none"/>
                    </w:rPr>
                    <w:t>20</w:t>
                  </w:r>
                  <w:r>
                    <w:rPr>
                      <w:rFonts w:hint="eastAsia" w:ascii="Times New Roman"/>
                      <w:color w:val="000000"/>
                      <w:szCs w:val="21"/>
                      <w:highlight w:val="none"/>
                      <w:lang w:val="en-US" w:eastAsia="zh-CN"/>
                    </w:rPr>
                    <w:t>25</w:t>
                  </w:r>
                  <w:r>
                    <w:rPr>
                      <w:rFonts w:ascii="Times New Roman"/>
                      <w:color w:val="000000"/>
                      <w:szCs w:val="21"/>
                      <w:highlight w:val="none"/>
                    </w:rPr>
                    <w:t>年</w:t>
                  </w:r>
                  <w:r>
                    <w:rPr>
                      <w:rFonts w:hint="eastAsia" w:ascii="Times New Roman"/>
                      <w:color w:val="000000"/>
                      <w:szCs w:val="21"/>
                      <w:highlight w:val="none"/>
                      <w:lang w:val="en-US" w:eastAsia="zh-CN"/>
                    </w:rPr>
                    <w:t>6</w:t>
                  </w:r>
                  <w:r>
                    <w:rPr>
                      <w:rFonts w:ascii="Times New Roman"/>
                      <w:color w:val="000000"/>
                      <w:szCs w:val="21"/>
                      <w:highlight w:val="none"/>
                    </w:rPr>
                    <w:t>月</w:t>
                  </w:r>
                  <w:r>
                    <w:rPr>
                      <w:rFonts w:hint="eastAsia" w:ascii="Times New Roman"/>
                      <w:color w:val="000000"/>
                      <w:szCs w:val="21"/>
                      <w:highlight w:val="none"/>
                      <w:lang w:val="en-US" w:eastAsia="zh-CN"/>
                    </w:rPr>
                    <w:t>12</w:t>
                  </w:r>
                  <w:r>
                    <w:rPr>
                      <w:rFonts w:ascii="Times New Roman"/>
                      <w:color w:val="000000"/>
                      <w:szCs w:val="21"/>
                      <w:highlight w:val="none"/>
                    </w:rPr>
                    <w:t>日</w:t>
                  </w:r>
                </w:p>
              </w:tc>
              <w:tc>
                <w:tcPr>
                  <w:tcW w:w="712" w:type="pct"/>
                  <w:noWrap w:val="0"/>
                  <w:vAlign w:val="center"/>
                </w:tcPr>
                <w:p w14:paraId="7C4CBEEE">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highlight w:val="none"/>
                      <w:lang w:val="en-US" w:eastAsia="zh-CN"/>
                    </w:rPr>
                  </w:pPr>
                  <w:r>
                    <w:rPr>
                      <w:rFonts w:hint="eastAsia"/>
                      <w:color w:val="000000"/>
                      <w:highlight w:val="none"/>
                      <w:lang w:val="en-US" w:eastAsia="zh-CN"/>
                    </w:rPr>
                    <w:t>78</w:t>
                  </w:r>
                </w:p>
              </w:tc>
              <w:tc>
                <w:tcPr>
                  <w:tcW w:w="718" w:type="pct"/>
                  <w:vMerge w:val="continue"/>
                  <w:noWrap w:val="0"/>
                  <w:vAlign w:val="center"/>
                </w:tcPr>
                <w:p w14:paraId="47AB89B3">
                  <w:pPr>
                    <w:keepNext w:val="0"/>
                    <w:keepLines w:val="0"/>
                    <w:pageBreakBefore w:val="0"/>
                    <w:widowControl w:val="0"/>
                    <w:kinsoku/>
                    <w:wordWrap/>
                    <w:overflowPunct/>
                    <w:topLinePunct w:val="0"/>
                    <w:autoSpaceDE/>
                    <w:autoSpaceDN/>
                    <w:bidi w:val="0"/>
                    <w:spacing w:beforeLines="0" w:afterLines="0"/>
                    <w:jc w:val="center"/>
                    <w:textAlignment w:val="auto"/>
                    <w:rPr>
                      <w:rFonts w:hint="eastAsia"/>
                      <w:color w:val="000000"/>
                      <w:highlight w:val="none"/>
                    </w:rPr>
                  </w:pPr>
                </w:p>
              </w:tc>
              <w:tc>
                <w:tcPr>
                  <w:tcW w:w="770" w:type="pct"/>
                  <w:noWrap w:val="0"/>
                  <w:vAlign w:val="center"/>
                </w:tcPr>
                <w:p w14:paraId="1F87AEB2">
                  <w:pPr>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highlight w:val="none"/>
                      <w:lang w:val="en-US" w:eastAsia="zh-CN"/>
                    </w:rPr>
                  </w:pPr>
                  <w:r>
                    <w:rPr>
                      <w:rFonts w:hint="eastAsia" w:eastAsia="宋体"/>
                      <w:color w:val="000000"/>
                      <w:highlight w:val="none"/>
                      <w:lang w:val="en-US" w:eastAsia="zh-CN"/>
                    </w:rPr>
                    <w:t>26.0</w:t>
                  </w:r>
                </w:p>
              </w:tc>
            </w:tr>
            <w:tr w14:paraId="7EE3B5A6">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rPr>
                <w:trHeight w:val="23" w:hRule="atLeast"/>
                <w:jc w:val="center"/>
              </w:trPr>
              <w:tc>
                <w:tcPr>
                  <w:tcW w:w="508" w:type="pct"/>
                  <w:vMerge w:val="continue"/>
                  <w:tcBorders>
                    <w:bottom w:val="single" w:color="auto" w:sz="8" w:space="0"/>
                  </w:tcBorders>
                  <w:noWrap w:val="0"/>
                  <w:vAlign w:val="center"/>
                </w:tcPr>
                <w:p w14:paraId="3CDEF81D">
                  <w:pPr>
                    <w:pStyle w:val="26"/>
                    <w:keepNext w:val="0"/>
                    <w:keepLines w:val="0"/>
                    <w:pageBreakBefore w:val="0"/>
                    <w:widowControl w:val="0"/>
                    <w:kinsoku/>
                    <w:wordWrap/>
                    <w:overflowPunct/>
                    <w:topLinePunct w:val="0"/>
                    <w:autoSpaceDE/>
                    <w:autoSpaceDN/>
                    <w:bidi w:val="0"/>
                    <w:spacing w:beforeLines="0" w:afterLines="0" w:line="240" w:lineRule="auto"/>
                    <w:jc w:val="center"/>
                    <w:textAlignment w:val="auto"/>
                    <w:rPr>
                      <w:rFonts w:ascii="Times New Roman"/>
                      <w:b/>
                      <w:bCs/>
                      <w:color w:val="000000"/>
                      <w:szCs w:val="21"/>
                      <w:highlight w:val="none"/>
                    </w:rPr>
                  </w:pPr>
                </w:p>
              </w:tc>
              <w:tc>
                <w:tcPr>
                  <w:tcW w:w="2289" w:type="pct"/>
                  <w:tcBorders>
                    <w:bottom w:val="single" w:color="auto" w:sz="8" w:space="0"/>
                  </w:tcBorders>
                  <w:noWrap w:val="0"/>
                  <w:vAlign w:val="center"/>
                </w:tcPr>
                <w:p w14:paraId="09AC6D64">
                  <w:pPr>
                    <w:keepNext w:val="0"/>
                    <w:keepLines w:val="0"/>
                    <w:pageBreakBefore w:val="0"/>
                    <w:widowControl w:val="0"/>
                    <w:kinsoku/>
                    <w:wordWrap/>
                    <w:overflowPunct/>
                    <w:topLinePunct w:val="0"/>
                    <w:autoSpaceDE/>
                    <w:autoSpaceDN/>
                    <w:bidi w:val="0"/>
                    <w:spacing w:beforeLines="0" w:afterLines="0"/>
                    <w:jc w:val="center"/>
                    <w:textAlignment w:val="auto"/>
                    <w:rPr>
                      <w:rFonts w:ascii="Times New Roman"/>
                      <w:color w:val="000000"/>
                      <w:szCs w:val="21"/>
                      <w:highlight w:val="none"/>
                    </w:rPr>
                  </w:pPr>
                  <w:r>
                    <w:rPr>
                      <w:rFonts w:ascii="Times New Roman"/>
                      <w:color w:val="000000"/>
                      <w:szCs w:val="21"/>
                      <w:highlight w:val="none"/>
                    </w:rPr>
                    <w:t>20</w:t>
                  </w:r>
                  <w:r>
                    <w:rPr>
                      <w:rFonts w:hint="eastAsia" w:ascii="Times New Roman"/>
                      <w:color w:val="000000"/>
                      <w:szCs w:val="21"/>
                      <w:highlight w:val="none"/>
                      <w:lang w:val="en-US" w:eastAsia="zh-CN"/>
                    </w:rPr>
                    <w:t>25</w:t>
                  </w:r>
                  <w:r>
                    <w:rPr>
                      <w:rFonts w:ascii="Times New Roman"/>
                      <w:color w:val="000000"/>
                      <w:szCs w:val="21"/>
                      <w:highlight w:val="none"/>
                    </w:rPr>
                    <w:t>年</w:t>
                  </w:r>
                  <w:r>
                    <w:rPr>
                      <w:rFonts w:hint="eastAsia" w:ascii="Times New Roman"/>
                      <w:color w:val="000000"/>
                      <w:szCs w:val="21"/>
                      <w:highlight w:val="none"/>
                      <w:lang w:val="en-US" w:eastAsia="zh-CN"/>
                    </w:rPr>
                    <w:t>6</w:t>
                  </w:r>
                  <w:r>
                    <w:rPr>
                      <w:rFonts w:ascii="Times New Roman"/>
                      <w:color w:val="000000"/>
                      <w:szCs w:val="21"/>
                      <w:highlight w:val="none"/>
                    </w:rPr>
                    <w:t>月</w:t>
                  </w:r>
                  <w:r>
                    <w:rPr>
                      <w:rFonts w:hint="eastAsia" w:ascii="Times New Roman"/>
                      <w:color w:val="000000"/>
                      <w:szCs w:val="21"/>
                      <w:highlight w:val="none"/>
                      <w:lang w:val="en-US" w:eastAsia="zh-CN"/>
                    </w:rPr>
                    <w:t>12</w:t>
                  </w:r>
                  <w:r>
                    <w:rPr>
                      <w:rFonts w:ascii="Times New Roman"/>
                      <w:color w:val="000000"/>
                      <w:szCs w:val="21"/>
                      <w:highlight w:val="none"/>
                    </w:rPr>
                    <w:t>日</w:t>
                  </w:r>
                  <w:r>
                    <w:rPr>
                      <w:rFonts w:hint="eastAsia" w:ascii="Times New Roman"/>
                      <w:color w:val="000000"/>
                      <w:szCs w:val="21"/>
                      <w:highlight w:val="none"/>
                    </w:rPr>
                    <w:t>-</w:t>
                  </w:r>
                  <w:r>
                    <w:rPr>
                      <w:rFonts w:ascii="Times New Roman"/>
                      <w:color w:val="000000"/>
                      <w:szCs w:val="21"/>
                      <w:highlight w:val="none"/>
                    </w:rPr>
                    <w:t>20</w:t>
                  </w:r>
                  <w:r>
                    <w:rPr>
                      <w:rFonts w:hint="eastAsia" w:ascii="Times New Roman"/>
                      <w:color w:val="000000"/>
                      <w:szCs w:val="21"/>
                      <w:highlight w:val="none"/>
                      <w:lang w:val="en-US" w:eastAsia="zh-CN"/>
                    </w:rPr>
                    <w:t>25</w:t>
                  </w:r>
                  <w:r>
                    <w:rPr>
                      <w:rFonts w:ascii="Times New Roman"/>
                      <w:color w:val="000000"/>
                      <w:szCs w:val="21"/>
                      <w:highlight w:val="none"/>
                    </w:rPr>
                    <w:t>年</w:t>
                  </w:r>
                  <w:r>
                    <w:rPr>
                      <w:rFonts w:hint="eastAsia" w:ascii="Times New Roman"/>
                      <w:color w:val="000000"/>
                      <w:szCs w:val="21"/>
                      <w:highlight w:val="none"/>
                      <w:lang w:val="en-US" w:eastAsia="zh-CN"/>
                    </w:rPr>
                    <w:t>6</w:t>
                  </w:r>
                  <w:r>
                    <w:rPr>
                      <w:rFonts w:ascii="Times New Roman"/>
                      <w:color w:val="000000"/>
                      <w:szCs w:val="21"/>
                      <w:highlight w:val="none"/>
                    </w:rPr>
                    <w:t>月</w:t>
                  </w:r>
                  <w:r>
                    <w:rPr>
                      <w:rFonts w:hint="eastAsia" w:ascii="Times New Roman"/>
                      <w:color w:val="000000"/>
                      <w:szCs w:val="21"/>
                      <w:highlight w:val="none"/>
                      <w:lang w:val="en-US" w:eastAsia="zh-CN"/>
                    </w:rPr>
                    <w:t>13</w:t>
                  </w:r>
                  <w:r>
                    <w:rPr>
                      <w:rFonts w:ascii="Times New Roman"/>
                      <w:color w:val="000000"/>
                      <w:szCs w:val="21"/>
                      <w:highlight w:val="none"/>
                    </w:rPr>
                    <w:t>日</w:t>
                  </w:r>
                </w:p>
              </w:tc>
              <w:tc>
                <w:tcPr>
                  <w:tcW w:w="712" w:type="pct"/>
                  <w:tcBorders>
                    <w:bottom w:val="single" w:color="auto" w:sz="8" w:space="0"/>
                  </w:tcBorders>
                  <w:noWrap w:val="0"/>
                  <w:vAlign w:val="center"/>
                </w:tcPr>
                <w:p w14:paraId="04EE1085">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highlight w:val="none"/>
                      <w:lang w:val="en-US" w:eastAsia="zh-CN"/>
                    </w:rPr>
                  </w:pPr>
                  <w:r>
                    <w:rPr>
                      <w:rFonts w:hint="eastAsia"/>
                      <w:color w:val="000000"/>
                      <w:highlight w:val="none"/>
                      <w:lang w:val="en-US" w:eastAsia="zh-CN"/>
                    </w:rPr>
                    <w:t>75</w:t>
                  </w:r>
                </w:p>
              </w:tc>
              <w:tc>
                <w:tcPr>
                  <w:tcW w:w="718" w:type="pct"/>
                  <w:vMerge w:val="continue"/>
                  <w:tcBorders>
                    <w:bottom w:val="single" w:color="auto" w:sz="8" w:space="0"/>
                  </w:tcBorders>
                  <w:noWrap w:val="0"/>
                  <w:vAlign w:val="center"/>
                </w:tcPr>
                <w:p w14:paraId="0A7D6B4F">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eastAsia"/>
                      <w:color w:val="000000"/>
                      <w:highlight w:val="none"/>
                    </w:rPr>
                  </w:pPr>
                </w:p>
              </w:tc>
              <w:tc>
                <w:tcPr>
                  <w:tcW w:w="770" w:type="pct"/>
                  <w:tcBorders>
                    <w:bottom w:val="single" w:color="auto" w:sz="8" w:space="0"/>
                  </w:tcBorders>
                  <w:noWrap w:val="0"/>
                  <w:vAlign w:val="center"/>
                </w:tcPr>
                <w:p w14:paraId="71C03038">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highlight w:val="none"/>
                      <w:lang w:val="en-US" w:eastAsia="zh-CN"/>
                    </w:rPr>
                  </w:pPr>
                  <w:r>
                    <w:rPr>
                      <w:rFonts w:hint="eastAsia" w:eastAsia="宋体"/>
                      <w:color w:val="000000"/>
                      <w:highlight w:val="none"/>
                      <w:lang w:val="en-US" w:eastAsia="zh-CN"/>
                    </w:rPr>
                    <w:t>25.0</w:t>
                  </w:r>
                </w:p>
              </w:tc>
            </w:tr>
          </w:tbl>
          <w:p w14:paraId="38FAE2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宋体"/>
                <w:b/>
                <w:sz w:val="21"/>
                <w:szCs w:val="21"/>
                <w:highlight w:val="none"/>
              </w:rPr>
            </w:pPr>
          </w:p>
          <w:p w14:paraId="259F6C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s="宋体"/>
                <w:b/>
                <w:sz w:val="21"/>
                <w:szCs w:val="21"/>
                <w:highlight w:val="none"/>
                <w:lang w:val="en-US" w:eastAsia="zh-CN"/>
              </w:rPr>
            </w:pPr>
            <w:r>
              <w:rPr>
                <w:rFonts w:hint="eastAsia" w:cs="宋体"/>
                <w:b/>
                <w:sz w:val="21"/>
                <w:szCs w:val="21"/>
                <w:highlight w:val="none"/>
              </w:rPr>
              <w:t>表</w:t>
            </w:r>
            <w:r>
              <w:rPr>
                <w:rFonts w:cs="宋体"/>
                <w:b/>
                <w:sz w:val="21"/>
                <w:szCs w:val="21"/>
                <w:highlight w:val="none"/>
              </w:rPr>
              <w:t>3-</w:t>
            </w:r>
            <w:r>
              <w:rPr>
                <w:rFonts w:hint="eastAsia" w:cs="宋体"/>
                <w:b/>
                <w:sz w:val="21"/>
                <w:szCs w:val="21"/>
                <w:highlight w:val="none"/>
                <w:lang w:val="en-US" w:eastAsia="zh-CN"/>
              </w:rPr>
              <w:t>5    苯并[a]芘</w:t>
            </w:r>
            <w:r>
              <w:rPr>
                <w:rFonts w:hint="eastAsia" w:cs="宋体"/>
                <w:b/>
                <w:sz w:val="21"/>
                <w:szCs w:val="21"/>
                <w:highlight w:val="none"/>
              </w:rPr>
              <w:t>监测</w:t>
            </w:r>
            <w:r>
              <w:rPr>
                <w:rFonts w:hint="eastAsia" w:cs="宋体"/>
                <w:b/>
                <w:sz w:val="21"/>
                <w:szCs w:val="21"/>
                <w:highlight w:val="none"/>
                <w:lang w:val="en-US" w:eastAsia="zh-CN"/>
              </w:rPr>
              <w:t>结果</w:t>
            </w:r>
            <w:r>
              <w:rPr>
                <w:rFonts w:hint="eastAsia" w:cs="宋体"/>
                <w:b/>
                <w:sz w:val="21"/>
                <w:szCs w:val="21"/>
                <w:highlight w:val="none"/>
              </w:rPr>
              <w:t>评价</w:t>
            </w:r>
            <w:r>
              <w:rPr>
                <w:rFonts w:hint="eastAsia" w:cs="宋体"/>
                <w:b/>
                <w:sz w:val="21"/>
                <w:szCs w:val="21"/>
                <w:highlight w:val="none"/>
                <w:lang w:val="en-US" w:eastAsia="zh-CN"/>
              </w:rPr>
              <w:t>表</w:t>
            </w:r>
          </w:p>
          <w:tbl>
            <w:tblPr>
              <w:tblStyle w:val="19"/>
              <w:tblW w:w="4994" w:type="pct"/>
              <w:jc w:val="center"/>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Layout w:type="fixed"/>
              <w:tblCellMar>
                <w:top w:w="0" w:type="dxa"/>
                <w:left w:w="108" w:type="dxa"/>
                <w:bottom w:w="0" w:type="dxa"/>
                <w:right w:w="108" w:type="dxa"/>
              </w:tblCellMar>
            </w:tblPr>
            <w:tblGrid>
              <w:gridCol w:w="704"/>
              <w:gridCol w:w="3653"/>
              <w:gridCol w:w="1213"/>
              <w:gridCol w:w="1163"/>
              <w:gridCol w:w="1231"/>
            </w:tblGrid>
            <w:tr w14:paraId="78978C11">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rPr>
                <w:trHeight w:val="23" w:hRule="atLeast"/>
                <w:jc w:val="center"/>
              </w:trPr>
              <w:tc>
                <w:tcPr>
                  <w:tcW w:w="442" w:type="pct"/>
                  <w:tcBorders>
                    <w:top w:val="single" w:color="auto" w:sz="8" w:space="0"/>
                    <w:bottom w:val="single" w:color="auto" w:sz="8" w:space="0"/>
                  </w:tcBorders>
                  <w:noWrap w:val="0"/>
                  <w:vAlign w:val="center"/>
                </w:tcPr>
                <w:p w14:paraId="062B99D7">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21"/>
                      <w:highlight w:val="none"/>
                    </w:rPr>
                  </w:pPr>
                  <w:r>
                    <w:rPr>
                      <w:rFonts w:ascii="Times New Roman"/>
                      <w:b/>
                      <w:bCs/>
                      <w:color w:val="000000"/>
                      <w:sz w:val="21"/>
                      <w:szCs w:val="21"/>
                      <w:highlight w:val="none"/>
                    </w:rPr>
                    <w:t>监测因子</w:t>
                  </w:r>
                </w:p>
              </w:tc>
              <w:tc>
                <w:tcPr>
                  <w:tcW w:w="2292" w:type="pct"/>
                  <w:tcBorders>
                    <w:top w:val="single" w:color="auto" w:sz="8" w:space="0"/>
                    <w:bottom w:val="single" w:color="auto" w:sz="8" w:space="0"/>
                  </w:tcBorders>
                  <w:noWrap w:val="0"/>
                  <w:vAlign w:val="center"/>
                </w:tcPr>
                <w:p w14:paraId="1C2CF367">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21"/>
                      <w:highlight w:val="none"/>
                    </w:rPr>
                  </w:pPr>
                  <w:r>
                    <w:rPr>
                      <w:rFonts w:ascii="Times New Roman"/>
                      <w:b/>
                      <w:bCs/>
                      <w:color w:val="000000"/>
                      <w:sz w:val="21"/>
                      <w:szCs w:val="21"/>
                      <w:highlight w:val="none"/>
                    </w:rPr>
                    <w:t>监测时间</w:t>
                  </w:r>
                </w:p>
              </w:tc>
              <w:tc>
                <w:tcPr>
                  <w:tcW w:w="761" w:type="pct"/>
                  <w:tcBorders>
                    <w:top w:val="single" w:color="auto" w:sz="8" w:space="0"/>
                    <w:bottom w:val="single" w:color="auto" w:sz="8" w:space="0"/>
                  </w:tcBorders>
                  <w:noWrap w:val="0"/>
                  <w:vAlign w:val="center"/>
                </w:tcPr>
                <w:p w14:paraId="42CF9E11">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21"/>
                      <w:highlight w:val="none"/>
                    </w:rPr>
                  </w:pPr>
                  <w:r>
                    <w:rPr>
                      <w:rFonts w:ascii="Times New Roman"/>
                      <w:b/>
                      <w:bCs/>
                      <w:color w:val="000000"/>
                      <w:sz w:val="21"/>
                      <w:szCs w:val="21"/>
                      <w:highlight w:val="none"/>
                    </w:rPr>
                    <w:t>浓度（</w:t>
                  </w:r>
                  <w:r>
                    <w:rPr>
                      <w:rFonts w:hint="default" w:ascii="Times New Roman" w:hAnsi="Times New Roman" w:eastAsia="宋体" w:cs="Times New Roman"/>
                      <w:b/>
                      <w:bCs/>
                      <w:color w:val="000000"/>
                      <w:sz w:val="21"/>
                      <w:szCs w:val="21"/>
                      <w:highlight w:val="none"/>
                    </w:rPr>
                    <w:t>μ</w:t>
                  </w:r>
                  <w:r>
                    <w:rPr>
                      <w:rFonts w:ascii="Times New Roman"/>
                      <w:b/>
                      <w:bCs/>
                      <w:color w:val="000000"/>
                      <w:sz w:val="21"/>
                      <w:szCs w:val="21"/>
                      <w:highlight w:val="none"/>
                    </w:rPr>
                    <w:t>g/m</w:t>
                  </w:r>
                  <w:r>
                    <w:rPr>
                      <w:rFonts w:ascii="Times New Roman"/>
                      <w:b/>
                      <w:bCs/>
                      <w:color w:val="000000"/>
                      <w:sz w:val="21"/>
                      <w:szCs w:val="21"/>
                      <w:highlight w:val="none"/>
                      <w:vertAlign w:val="superscript"/>
                    </w:rPr>
                    <w:t>3</w:t>
                  </w:r>
                  <w:r>
                    <w:rPr>
                      <w:rFonts w:ascii="Times New Roman"/>
                      <w:b/>
                      <w:bCs/>
                      <w:color w:val="000000"/>
                      <w:sz w:val="21"/>
                      <w:szCs w:val="21"/>
                      <w:highlight w:val="none"/>
                    </w:rPr>
                    <w:t>）</w:t>
                  </w:r>
                </w:p>
              </w:tc>
              <w:tc>
                <w:tcPr>
                  <w:tcW w:w="730" w:type="pct"/>
                  <w:tcBorders>
                    <w:top w:val="single" w:color="auto" w:sz="8" w:space="0"/>
                    <w:bottom w:val="single" w:color="auto" w:sz="8" w:space="0"/>
                  </w:tcBorders>
                  <w:noWrap w:val="0"/>
                  <w:vAlign w:val="center"/>
                </w:tcPr>
                <w:p w14:paraId="4C8B5D7D">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21"/>
                      <w:highlight w:val="none"/>
                    </w:rPr>
                  </w:pPr>
                  <w:r>
                    <w:rPr>
                      <w:rFonts w:hint="eastAsia" w:ascii="Times New Roman"/>
                      <w:b/>
                      <w:bCs/>
                      <w:color w:val="000000"/>
                      <w:sz w:val="21"/>
                      <w:szCs w:val="21"/>
                      <w:highlight w:val="none"/>
                    </w:rPr>
                    <w:t>标准限值</w:t>
                  </w:r>
                  <w:r>
                    <w:rPr>
                      <w:rFonts w:ascii="Times New Roman"/>
                      <w:b/>
                      <w:bCs/>
                      <w:color w:val="000000"/>
                      <w:sz w:val="21"/>
                      <w:szCs w:val="21"/>
                      <w:highlight w:val="none"/>
                    </w:rPr>
                    <w:t>（</w:t>
                  </w:r>
                  <w:r>
                    <w:rPr>
                      <w:rFonts w:hint="default" w:ascii="Times New Roman" w:hAnsi="Times New Roman" w:eastAsia="宋体" w:cs="Times New Roman"/>
                      <w:b/>
                      <w:bCs/>
                      <w:color w:val="000000"/>
                      <w:sz w:val="21"/>
                      <w:szCs w:val="21"/>
                      <w:highlight w:val="none"/>
                    </w:rPr>
                    <w:t>μ</w:t>
                  </w:r>
                  <w:r>
                    <w:rPr>
                      <w:rFonts w:ascii="Times New Roman"/>
                      <w:b/>
                      <w:bCs/>
                      <w:color w:val="000000"/>
                      <w:sz w:val="21"/>
                      <w:szCs w:val="21"/>
                      <w:highlight w:val="none"/>
                    </w:rPr>
                    <w:t>g/m</w:t>
                  </w:r>
                  <w:r>
                    <w:rPr>
                      <w:rFonts w:ascii="Times New Roman"/>
                      <w:b/>
                      <w:bCs/>
                      <w:color w:val="000000"/>
                      <w:sz w:val="21"/>
                      <w:szCs w:val="21"/>
                      <w:highlight w:val="none"/>
                      <w:vertAlign w:val="superscript"/>
                    </w:rPr>
                    <w:t>3</w:t>
                  </w:r>
                  <w:r>
                    <w:rPr>
                      <w:rFonts w:ascii="Times New Roman"/>
                      <w:b/>
                      <w:bCs/>
                      <w:color w:val="000000"/>
                      <w:sz w:val="21"/>
                      <w:szCs w:val="21"/>
                      <w:highlight w:val="none"/>
                    </w:rPr>
                    <w:t>）</w:t>
                  </w:r>
                </w:p>
              </w:tc>
              <w:tc>
                <w:tcPr>
                  <w:tcW w:w="772" w:type="pct"/>
                  <w:tcBorders>
                    <w:top w:val="single" w:color="auto" w:sz="8" w:space="0"/>
                    <w:bottom w:val="single" w:color="auto" w:sz="8" w:space="0"/>
                  </w:tcBorders>
                  <w:noWrap w:val="0"/>
                  <w:vAlign w:val="center"/>
                </w:tcPr>
                <w:p w14:paraId="4E2BD3A7">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21"/>
                      <w:highlight w:val="none"/>
                    </w:rPr>
                  </w:pPr>
                  <w:r>
                    <w:rPr>
                      <w:rFonts w:ascii="Times New Roman"/>
                      <w:b/>
                      <w:bCs/>
                      <w:color w:val="000000"/>
                      <w:sz w:val="21"/>
                      <w:szCs w:val="21"/>
                      <w:highlight w:val="none"/>
                    </w:rPr>
                    <w:t>最大占标率Pi（％）</w:t>
                  </w:r>
                </w:p>
              </w:tc>
            </w:tr>
            <w:tr w14:paraId="05DFA78A">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rPr>
                <w:trHeight w:val="23" w:hRule="atLeast"/>
                <w:jc w:val="center"/>
              </w:trPr>
              <w:tc>
                <w:tcPr>
                  <w:tcW w:w="442" w:type="pct"/>
                  <w:vMerge w:val="restart"/>
                  <w:tcBorders>
                    <w:top w:val="single" w:color="auto" w:sz="8" w:space="0"/>
                    <w:right w:val="single" w:color="auto" w:sz="6" w:space="0"/>
                  </w:tcBorders>
                  <w:noWrap w:val="0"/>
                  <w:vAlign w:val="center"/>
                </w:tcPr>
                <w:p w14:paraId="61C0972C">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hint="default" w:ascii="Times New Roman" w:eastAsia="宋体"/>
                      <w:color w:val="000000"/>
                      <w:sz w:val="21"/>
                      <w:szCs w:val="21"/>
                      <w:highlight w:val="none"/>
                      <w:lang w:val="en-US" w:eastAsia="zh-CN"/>
                    </w:rPr>
                  </w:pPr>
                  <w:r>
                    <w:rPr>
                      <w:rFonts w:hint="eastAsia" w:ascii="Times New Roman"/>
                      <w:color w:val="000000"/>
                      <w:sz w:val="21"/>
                      <w:szCs w:val="21"/>
                      <w:highlight w:val="none"/>
                      <w:lang w:val="en-US" w:eastAsia="zh-CN"/>
                    </w:rPr>
                    <w:t>苯并[a]芘</w:t>
                  </w:r>
                </w:p>
              </w:tc>
              <w:tc>
                <w:tcPr>
                  <w:tcW w:w="2292" w:type="pct"/>
                  <w:tcBorders>
                    <w:top w:val="single" w:color="auto" w:sz="8" w:space="0"/>
                    <w:left w:val="single" w:color="auto" w:sz="6" w:space="0"/>
                    <w:right w:val="single" w:color="auto" w:sz="6" w:space="0"/>
                  </w:tcBorders>
                  <w:noWrap w:val="0"/>
                  <w:vAlign w:val="center"/>
                </w:tcPr>
                <w:p w14:paraId="7F88D556">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21"/>
                      <w:highlight w:val="none"/>
                    </w:rPr>
                  </w:pPr>
                  <w:r>
                    <w:rPr>
                      <w:rFonts w:ascii="Times New Roman"/>
                      <w:color w:val="000000"/>
                      <w:sz w:val="21"/>
                      <w:szCs w:val="21"/>
                      <w:highlight w:val="none"/>
                    </w:rPr>
                    <w:t>20</w:t>
                  </w:r>
                  <w:r>
                    <w:rPr>
                      <w:rFonts w:hint="eastAsia" w:ascii="Times New Roman"/>
                      <w:color w:val="000000"/>
                      <w:sz w:val="21"/>
                      <w:szCs w:val="21"/>
                      <w:highlight w:val="none"/>
                      <w:lang w:val="en-US" w:eastAsia="zh-CN"/>
                    </w:rPr>
                    <w:t>25</w:t>
                  </w:r>
                  <w:r>
                    <w:rPr>
                      <w:rFonts w:ascii="Times New Roman"/>
                      <w:color w:val="000000"/>
                      <w:sz w:val="21"/>
                      <w:szCs w:val="21"/>
                      <w:highlight w:val="none"/>
                    </w:rPr>
                    <w:t>年</w:t>
                  </w:r>
                  <w:r>
                    <w:rPr>
                      <w:rFonts w:hint="eastAsia" w:ascii="Times New Roman"/>
                      <w:color w:val="000000"/>
                      <w:sz w:val="21"/>
                      <w:szCs w:val="21"/>
                      <w:highlight w:val="none"/>
                      <w:lang w:val="en-US" w:eastAsia="zh-CN"/>
                    </w:rPr>
                    <w:t>6</w:t>
                  </w:r>
                  <w:r>
                    <w:rPr>
                      <w:rFonts w:ascii="Times New Roman"/>
                      <w:color w:val="000000"/>
                      <w:sz w:val="21"/>
                      <w:szCs w:val="21"/>
                      <w:highlight w:val="none"/>
                    </w:rPr>
                    <w:t>月</w:t>
                  </w:r>
                  <w:r>
                    <w:rPr>
                      <w:rFonts w:hint="eastAsia" w:ascii="Times New Roman"/>
                      <w:color w:val="000000"/>
                      <w:sz w:val="21"/>
                      <w:szCs w:val="21"/>
                      <w:highlight w:val="none"/>
                      <w:lang w:val="en-US" w:eastAsia="zh-CN"/>
                    </w:rPr>
                    <w:t>10</w:t>
                  </w:r>
                  <w:r>
                    <w:rPr>
                      <w:rFonts w:ascii="Times New Roman"/>
                      <w:color w:val="000000"/>
                      <w:sz w:val="21"/>
                      <w:szCs w:val="21"/>
                      <w:highlight w:val="none"/>
                    </w:rPr>
                    <w:t>日</w:t>
                  </w:r>
                  <w:r>
                    <w:rPr>
                      <w:rFonts w:hint="eastAsia" w:ascii="Times New Roman"/>
                      <w:color w:val="000000"/>
                      <w:sz w:val="21"/>
                      <w:szCs w:val="21"/>
                      <w:highlight w:val="none"/>
                    </w:rPr>
                    <w:t>-</w:t>
                  </w:r>
                  <w:r>
                    <w:rPr>
                      <w:rFonts w:ascii="Times New Roman"/>
                      <w:color w:val="000000"/>
                      <w:sz w:val="21"/>
                      <w:szCs w:val="21"/>
                      <w:highlight w:val="none"/>
                    </w:rPr>
                    <w:t>20</w:t>
                  </w:r>
                  <w:r>
                    <w:rPr>
                      <w:rFonts w:hint="eastAsia" w:ascii="Times New Roman"/>
                      <w:color w:val="000000"/>
                      <w:sz w:val="21"/>
                      <w:szCs w:val="21"/>
                      <w:highlight w:val="none"/>
                      <w:lang w:val="en-US" w:eastAsia="zh-CN"/>
                    </w:rPr>
                    <w:t>25</w:t>
                  </w:r>
                  <w:r>
                    <w:rPr>
                      <w:rFonts w:ascii="Times New Roman"/>
                      <w:color w:val="000000"/>
                      <w:sz w:val="21"/>
                      <w:szCs w:val="21"/>
                      <w:highlight w:val="none"/>
                    </w:rPr>
                    <w:t>年</w:t>
                  </w:r>
                  <w:r>
                    <w:rPr>
                      <w:rFonts w:hint="eastAsia" w:ascii="Times New Roman"/>
                      <w:color w:val="000000"/>
                      <w:sz w:val="21"/>
                      <w:szCs w:val="21"/>
                      <w:highlight w:val="none"/>
                      <w:lang w:val="en-US" w:eastAsia="zh-CN"/>
                    </w:rPr>
                    <w:t>6</w:t>
                  </w:r>
                  <w:r>
                    <w:rPr>
                      <w:rFonts w:ascii="Times New Roman"/>
                      <w:color w:val="000000"/>
                      <w:sz w:val="21"/>
                      <w:szCs w:val="21"/>
                      <w:highlight w:val="none"/>
                    </w:rPr>
                    <w:t>月</w:t>
                  </w:r>
                  <w:r>
                    <w:rPr>
                      <w:rFonts w:hint="eastAsia" w:ascii="Times New Roman"/>
                      <w:color w:val="000000"/>
                      <w:sz w:val="21"/>
                      <w:szCs w:val="21"/>
                      <w:highlight w:val="none"/>
                      <w:lang w:val="en-US" w:eastAsia="zh-CN"/>
                    </w:rPr>
                    <w:t>11</w:t>
                  </w:r>
                  <w:r>
                    <w:rPr>
                      <w:rFonts w:ascii="Times New Roman"/>
                      <w:color w:val="000000"/>
                      <w:sz w:val="21"/>
                      <w:szCs w:val="21"/>
                      <w:highlight w:val="none"/>
                    </w:rPr>
                    <w:t>日</w:t>
                  </w:r>
                </w:p>
              </w:tc>
              <w:tc>
                <w:tcPr>
                  <w:tcW w:w="761" w:type="pct"/>
                  <w:tcBorders>
                    <w:top w:val="single" w:color="auto" w:sz="8" w:space="0"/>
                    <w:left w:val="single" w:color="auto" w:sz="6" w:space="0"/>
                    <w:right w:val="single" w:color="auto" w:sz="6" w:space="0"/>
                  </w:tcBorders>
                  <w:noWrap w:val="0"/>
                  <w:vAlign w:val="center"/>
                </w:tcPr>
                <w:p w14:paraId="59D2552A">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highlight w:val="none"/>
                      <w:lang w:val="en-US" w:eastAsia="zh-CN"/>
                    </w:rPr>
                  </w:pPr>
                  <w:r>
                    <w:rPr>
                      <w:rFonts w:hint="eastAsia" w:eastAsia="宋体" w:cs="Times New Roman"/>
                      <w:i w:val="0"/>
                      <w:iCs w:val="0"/>
                      <w:color w:val="auto"/>
                      <w:kern w:val="0"/>
                      <w:sz w:val="21"/>
                      <w:szCs w:val="21"/>
                      <w:highlight w:val="none"/>
                      <w:u w:val="none"/>
                      <w:lang w:val="en-US" w:eastAsia="zh-CN" w:bidi="ar"/>
                    </w:rPr>
                    <w:t>&lt;0.0003</w:t>
                  </w:r>
                </w:p>
              </w:tc>
              <w:tc>
                <w:tcPr>
                  <w:tcW w:w="730" w:type="pct"/>
                  <w:vMerge w:val="restart"/>
                  <w:tcBorders>
                    <w:top w:val="single" w:color="auto" w:sz="8" w:space="0"/>
                    <w:left w:val="single" w:color="auto" w:sz="6" w:space="0"/>
                    <w:right w:val="single" w:color="auto" w:sz="6" w:space="0"/>
                  </w:tcBorders>
                  <w:noWrap w:val="0"/>
                  <w:vAlign w:val="center"/>
                </w:tcPr>
                <w:p w14:paraId="2D823857">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highlight w:val="none"/>
                      <w:lang w:val="en-US" w:eastAsia="zh-CN"/>
                    </w:rPr>
                  </w:pPr>
                  <w:r>
                    <w:rPr>
                      <w:rFonts w:hint="eastAsia"/>
                      <w:color w:val="000000"/>
                      <w:highlight w:val="none"/>
                    </w:rPr>
                    <w:t>0.</w:t>
                  </w:r>
                  <w:r>
                    <w:rPr>
                      <w:rFonts w:hint="eastAsia"/>
                      <w:color w:val="000000"/>
                      <w:highlight w:val="none"/>
                      <w:lang w:val="en-US" w:eastAsia="zh-CN"/>
                    </w:rPr>
                    <w:t>0025</w:t>
                  </w:r>
                </w:p>
              </w:tc>
              <w:tc>
                <w:tcPr>
                  <w:tcW w:w="772" w:type="pct"/>
                  <w:tcBorders>
                    <w:top w:val="single" w:color="auto" w:sz="8" w:space="0"/>
                    <w:left w:val="single" w:color="auto" w:sz="6" w:space="0"/>
                  </w:tcBorders>
                  <w:noWrap w:val="0"/>
                  <w:vAlign w:val="center"/>
                </w:tcPr>
                <w:p w14:paraId="31189E71">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highlight w:val="none"/>
                      <w:lang w:val="en-US" w:eastAsia="zh-CN"/>
                    </w:rPr>
                  </w:pPr>
                  <w:r>
                    <w:rPr>
                      <w:rFonts w:hint="eastAsia" w:eastAsia="宋体"/>
                      <w:color w:val="000000"/>
                      <w:highlight w:val="none"/>
                      <w:lang w:val="en-US" w:eastAsia="zh-CN"/>
                    </w:rPr>
                    <w:t>/</w:t>
                  </w:r>
                </w:p>
              </w:tc>
            </w:tr>
            <w:tr w14:paraId="550D6D90">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rPr>
                <w:trHeight w:val="23" w:hRule="atLeast"/>
                <w:jc w:val="center"/>
              </w:trPr>
              <w:tc>
                <w:tcPr>
                  <w:tcW w:w="442" w:type="pct"/>
                  <w:vMerge w:val="continue"/>
                  <w:tcBorders>
                    <w:right w:val="single" w:color="auto" w:sz="6" w:space="0"/>
                  </w:tcBorders>
                  <w:noWrap w:val="0"/>
                  <w:vAlign w:val="center"/>
                </w:tcPr>
                <w:p w14:paraId="74212634">
                  <w:pPr>
                    <w:pStyle w:val="26"/>
                    <w:keepNext w:val="0"/>
                    <w:keepLines w:val="0"/>
                    <w:pageBreakBefore w:val="0"/>
                    <w:widowControl w:val="0"/>
                    <w:kinsoku/>
                    <w:wordWrap/>
                    <w:overflowPunct/>
                    <w:topLinePunct w:val="0"/>
                    <w:autoSpaceDE/>
                    <w:autoSpaceDN/>
                    <w:bidi w:val="0"/>
                    <w:spacing w:beforeLines="0" w:afterLines="0" w:line="240" w:lineRule="auto"/>
                    <w:jc w:val="center"/>
                    <w:textAlignment w:val="auto"/>
                    <w:rPr>
                      <w:rFonts w:ascii="Times New Roman"/>
                      <w:b/>
                      <w:bCs/>
                      <w:color w:val="000000"/>
                      <w:sz w:val="21"/>
                      <w:szCs w:val="21"/>
                      <w:highlight w:val="none"/>
                    </w:rPr>
                  </w:pPr>
                </w:p>
              </w:tc>
              <w:tc>
                <w:tcPr>
                  <w:tcW w:w="2292" w:type="pct"/>
                  <w:tcBorders>
                    <w:left w:val="single" w:color="auto" w:sz="6" w:space="0"/>
                    <w:right w:val="single" w:color="auto" w:sz="6" w:space="0"/>
                  </w:tcBorders>
                  <w:noWrap w:val="0"/>
                  <w:vAlign w:val="center"/>
                </w:tcPr>
                <w:p w14:paraId="4F4AE169">
                  <w:pPr>
                    <w:keepNext w:val="0"/>
                    <w:keepLines w:val="0"/>
                    <w:pageBreakBefore w:val="0"/>
                    <w:widowControl w:val="0"/>
                    <w:kinsoku/>
                    <w:wordWrap/>
                    <w:overflowPunct/>
                    <w:topLinePunct w:val="0"/>
                    <w:autoSpaceDE/>
                    <w:autoSpaceDN/>
                    <w:bidi w:val="0"/>
                    <w:spacing w:beforeLines="0" w:afterLines="0"/>
                    <w:jc w:val="center"/>
                    <w:textAlignment w:val="auto"/>
                    <w:rPr>
                      <w:rFonts w:ascii="Times New Roman"/>
                      <w:color w:val="000000"/>
                      <w:szCs w:val="21"/>
                      <w:highlight w:val="none"/>
                    </w:rPr>
                  </w:pPr>
                  <w:r>
                    <w:rPr>
                      <w:rFonts w:ascii="Times New Roman"/>
                      <w:color w:val="000000"/>
                      <w:szCs w:val="21"/>
                      <w:highlight w:val="none"/>
                    </w:rPr>
                    <w:t>20</w:t>
                  </w:r>
                  <w:r>
                    <w:rPr>
                      <w:rFonts w:hint="eastAsia" w:ascii="Times New Roman"/>
                      <w:color w:val="000000"/>
                      <w:szCs w:val="21"/>
                      <w:highlight w:val="none"/>
                      <w:lang w:val="en-US" w:eastAsia="zh-CN"/>
                    </w:rPr>
                    <w:t>25</w:t>
                  </w:r>
                  <w:r>
                    <w:rPr>
                      <w:rFonts w:ascii="Times New Roman"/>
                      <w:color w:val="000000"/>
                      <w:szCs w:val="21"/>
                      <w:highlight w:val="none"/>
                    </w:rPr>
                    <w:t>年</w:t>
                  </w:r>
                  <w:r>
                    <w:rPr>
                      <w:rFonts w:hint="eastAsia" w:ascii="Times New Roman"/>
                      <w:color w:val="000000"/>
                      <w:szCs w:val="21"/>
                      <w:highlight w:val="none"/>
                      <w:lang w:val="en-US" w:eastAsia="zh-CN"/>
                    </w:rPr>
                    <w:t>6</w:t>
                  </w:r>
                  <w:r>
                    <w:rPr>
                      <w:rFonts w:ascii="Times New Roman"/>
                      <w:color w:val="000000"/>
                      <w:szCs w:val="21"/>
                      <w:highlight w:val="none"/>
                    </w:rPr>
                    <w:t>月</w:t>
                  </w:r>
                  <w:r>
                    <w:rPr>
                      <w:rFonts w:hint="eastAsia" w:ascii="Times New Roman"/>
                      <w:color w:val="000000"/>
                      <w:szCs w:val="21"/>
                      <w:highlight w:val="none"/>
                      <w:lang w:val="en-US" w:eastAsia="zh-CN"/>
                    </w:rPr>
                    <w:t>11</w:t>
                  </w:r>
                  <w:r>
                    <w:rPr>
                      <w:rFonts w:ascii="Times New Roman"/>
                      <w:color w:val="000000"/>
                      <w:szCs w:val="21"/>
                      <w:highlight w:val="none"/>
                    </w:rPr>
                    <w:t>日</w:t>
                  </w:r>
                  <w:r>
                    <w:rPr>
                      <w:rFonts w:hint="eastAsia" w:ascii="Times New Roman"/>
                      <w:color w:val="000000"/>
                      <w:szCs w:val="21"/>
                      <w:highlight w:val="none"/>
                    </w:rPr>
                    <w:t>-</w:t>
                  </w:r>
                  <w:r>
                    <w:rPr>
                      <w:rFonts w:ascii="Times New Roman"/>
                      <w:color w:val="000000"/>
                      <w:szCs w:val="21"/>
                      <w:highlight w:val="none"/>
                    </w:rPr>
                    <w:t>20</w:t>
                  </w:r>
                  <w:r>
                    <w:rPr>
                      <w:rFonts w:hint="eastAsia" w:ascii="Times New Roman"/>
                      <w:color w:val="000000"/>
                      <w:szCs w:val="21"/>
                      <w:highlight w:val="none"/>
                      <w:lang w:val="en-US" w:eastAsia="zh-CN"/>
                    </w:rPr>
                    <w:t>25</w:t>
                  </w:r>
                  <w:r>
                    <w:rPr>
                      <w:rFonts w:ascii="Times New Roman"/>
                      <w:color w:val="000000"/>
                      <w:szCs w:val="21"/>
                      <w:highlight w:val="none"/>
                    </w:rPr>
                    <w:t>年</w:t>
                  </w:r>
                  <w:r>
                    <w:rPr>
                      <w:rFonts w:hint="eastAsia" w:ascii="Times New Roman"/>
                      <w:color w:val="000000"/>
                      <w:szCs w:val="21"/>
                      <w:highlight w:val="none"/>
                      <w:lang w:val="en-US" w:eastAsia="zh-CN"/>
                    </w:rPr>
                    <w:t>6</w:t>
                  </w:r>
                  <w:r>
                    <w:rPr>
                      <w:rFonts w:ascii="Times New Roman"/>
                      <w:color w:val="000000"/>
                      <w:szCs w:val="21"/>
                      <w:highlight w:val="none"/>
                    </w:rPr>
                    <w:t>月</w:t>
                  </w:r>
                  <w:r>
                    <w:rPr>
                      <w:rFonts w:hint="eastAsia" w:ascii="Times New Roman"/>
                      <w:color w:val="000000"/>
                      <w:szCs w:val="21"/>
                      <w:highlight w:val="none"/>
                      <w:lang w:val="en-US" w:eastAsia="zh-CN"/>
                    </w:rPr>
                    <w:t>12</w:t>
                  </w:r>
                  <w:r>
                    <w:rPr>
                      <w:rFonts w:ascii="Times New Roman"/>
                      <w:color w:val="000000"/>
                      <w:szCs w:val="21"/>
                      <w:highlight w:val="none"/>
                    </w:rPr>
                    <w:t>日</w:t>
                  </w:r>
                </w:p>
              </w:tc>
              <w:tc>
                <w:tcPr>
                  <w:tcW w:w="761" w:type="pct"/>
                  <w:tcBorders>
                    <w:left w:val="single" w:color="auto" w:sz="6" w:space="0"/>
                    <w:right w:val="single" w:color="auto" w:sz="6" w:space="0"/>
                  </w:tcBorders>
                  <w:noWrap w:val="0"/>
                  <w:vAlign w:val="center"/>
                </w:tcPr>
                <w:p w14:paraId="25A4D67C">
                  <w:pPr>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szCs w:val="21"/>
                      <w:highlight w:val="none"/>
                      <w:lang w:val="en-US" w:eastAsia="zh-CN"/>
                    </w:rPr>
                  </w:pPr>
                  <w:r>
                    <w:rPr>
                      <w:rFonts w:hint="eastAsia" w:eastAsia="宋体" w:cs="Times New Roman"/>
                      <w:i w:val="0"/>
                      <w:iCs w:val="0"/>
                      <w:color w:val="auto"/>
                      <w:kern w:val="0"/>
                      <w:sz w:val="21"/>
                      <w:szCs w:val="21"/>
                      <w:highlight w:val="none"/>
                      <w:u w:val="none"/>
                      <w:lang w:val="en-US" w:eastAsia="zh-CN" w:bidi="ar"/>
                    </w:rPr>
                    <w:t>&lt;0.0003</w:t>
                  </w:r>
                </w:p>
              </w:tc>
              <w:tc>
                <w:tcPr>
                  <w:tcW w:w="730" w:type="pct"/>
                  <w:vMerge w:val="continue"/>
                  <w:tcBorders>
                    <w:left w:val="single" w:color="auto" w:sz="6" w:space="0"/>
                    <w:right w:val="single" w:color="auto" w:sz="6" w:space="0"/>
                  </w:tcBorders>
                  <w:noWrap w:val="0"/>
                  <w:vAlign w:val="center"/>
                </w:tcPr>
                <w:p w14:paraId="1E286B96">
                  <w:pPr>
                    <w:keepNext w:val="0"/>
                    <w:keepLines w:val="0"/>
                    <w:pageBreakBefore w:val="0"/>
                    <w:widowControl w:val="0"/>
                    <w:kinsoku/>
                    <w:wordWrap/>
                    <w:overflowPunct/>
                    <w:topLinePunct w:val="0"/>
                    <w:autoSpaceDE/>
                    <w:autoSpaceDN/>
                    <w:bidi w:val="0"/>
                    <w:spacing w:beforeLines="0" w:afterLines="0"/>
                    <w:jc w:val="center"/>
                    <w:textAlignment w:val="auto"/>
                    <w:rPr>
                      <w:rFonts w:hint="eastAsia"/>
                      <w:color w:val="000000"/>
                      <w:szCs w:val="21"/>
                      <w:highlight w:val="none"/>
                    </w:rPr>
                  </w:pPr>
                </w:p>
              </w:tc>
              <w:tc>
                <w:tcPr>
                  <w:tcW w:w="772" w:type="pct"/>
                  <w:tcBorders>
                    <w:left w:val="single" w:color="auto" w:sz="6" w:space="0"/>
                  </w:tcBorders>
                  <w:noWrap w:val="0"/>
                  <w:vAlign w:val="center"/>
                </w:tcPr>
                <w:p w14:paraId="0120D1E9">
                  <w:pPr>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szCs w:val="21"/>
                      <w:highlight w:val="none"/>
                      <w:lang w:val="en-US" w:eastAsia="zh-CN"/>
                    </w:rPr>
                  </w:pPr>
                  <w:r>
                    <w:rPr>
                      <w:rFonts w:hint="eastAsia" w:eastAsia="宋体"/>
                      <w:color w:val="000000"/>
                      <w:szCs w:val="21"/>
                      <w:highlight w:val="none"/>
                      <w:lang w:val="en-US" w:eastAsia="zh-CN"/>
                    </w:rPr>
                    <w:t>/</w:t>
                  </w:r>
                </w:p>
              </w:tc>
            </w:tr>
            <w:tr w14:paraId="122D2185">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rPr>
                <w:trHeight w:val="23" w:hRule="atLeast"/>
                <w:jc w:val="center"/>
              </w:trPr>
              <w:tc>
                <w:tcPr>
                  <w:tcW w:w="442" w:type="pct"/>
                  <w:vMerge w:val="continue"/>
                  <w:tcBorders>
                    <w:bottom w:val="single" w:color="auto" w:sz="8" w:space="0"/>
                    <w:right w:val="single" w:color="auto" w:sz="6" w:space="0"/>
                  </w:tcBorders>
                  <w:noWrap w:val="0"/>
                  <w:vAlign w:val="center"/>
                </w:tcPr>
                <w:p w14:paraId="19F85ED0">
                  <w:pPr>
                    <w:pStyle w:val="26"/>
                    <w:keepNext w:val="0"/>
                    <w:keepLines w:val="0"/>
                    <w:pageBreakBefore w:val="0"/>
                    <w:widowControl w:val="0"/>
                    <w:kinsoku/>
                    <w:wordWrap/>
                    <w:overflowPunct/>
                    <w:topLinePunct w:val="0"/>
                    <w:autoSpaceDE/>
                    <w:autoSpaceDN/>
                    <w:bidi w:val="0"/>
                    <w:spacing w:beforeLines="0" w:afterLines="0" w:line="240" w:lineRule="auto"/>
                    <w:jc w:val="center"/>
                    <w:textAlignment w:val="auto"/>
                    <w:rPr>
                      <w:rFonts w:ascii="Times New Roman"/>
                      <w:b/>
                      <w:bCs/>
                      <w:color w:val="000000"/>
                      <w:sz w:val="21"/>
                      <w:szCs w:val="21"/>
                      <w:highlight w:val="none"/>
                    </w:rPr>
                  </w:pPr>
                </w:p>
              </w:tc>
              <w:tc>
                <w:tcPr>
                  <w:tcW w:w="2292" w:type="pct"/>
                  <w:tcBorders>
                    <w:left w:val="single" w:color="auto" w:sz="6" w:space="0"/>
                    <w:bottom w:val="single" w:color="auto" w:sz="8" w:space="0"/>
                    <w:right w:val="single" w:color="auto" w:sz="6" w:space="0"/>
                  </w:tcBorders>
                  <w:noWrap w:val="0"/>
                  <w:vAlign w:val="center"/>
                </w:tcPr>
                <w:p w14:paraId="33F8DFD1">
                  <w:pPr>
                    <w:keepNext w:val="0"/>
                    <w:keepLines w:val="0"/>
                    <w:pageBreakBefore w:val="0"/>
                    <w:widowControl w:val="0"/>
                    <w:kinsoku/>
                    <w:wordWrap/>
                    <w:overflowPunct/>
                    <w:topLinePunct w:val="0"/>
                    <w:autoSpaceDE/>
                    <w:autoSpaceDN/>
                    <w:bidi w:val="0"/>
                    <w:spacing w:beforeLines="0" w:afterLines="0"/>
                    <w:jc w:val="center"/>
                    <w:textAlignment w:val="auto"/>
                    <w:rPr>
                      <w:rFonts w:ascii="Times New Roman"/>
                      <w:color w:val="000000"/>
                      <w:szCs w:val="21"/>
                      <w:highlight w:val="none"/>
                    </w:rPr>
                  </w:pPr>
                  <w:r>
                    <w:rPr>
                      <w:rFonts w:ascii="Times New Roman"/>
                      <w:color w:val="000000"/>
                      <w:szCs w:val="21"/>
                      <w:highlight w:val="none"/>
                    </w:rPr>
                    <w:t>20</w:t>
                  </w:r>
                  <w:r>
                    <w:rPr>
                      <w:rFonts w:hint="eastAsia" w:ascii="Times New Roman"/>
                      <w:color w:val="000000"/>
                      <w:szCs w:val="21"/>
                      <w:highlight w:val="none"/>
                      <w:lang w:val="en-US" w:eastAsia="zh-CN"/>
                    </w:rPr>
                    <w:t>25</w:t>
                  </w:r>
                  <w:r>
                    <w:rPr>
                      <w:rFonts w:ascii="Times New Roman"/>
                      <w:color w:val="000000"/>
                      <w:szCs w:val="21"/>
                      <w:highlight w:val="none"/>
                    </w:rPr>
                    <w:t>年</w:t>
                  </w:r>
                  <w:r>
                    <w:rPr>
                      <w:rFonts w:hint="eastAsia" w:ascii="Times New Roman"/>
                      <w:color w:val="000000"/>
                      <w:szCs w:val="21"/>
                      <w:highlight w:val="none"/>
                      <w:lang w:val="en-US" w:eastAsia="zh-CN"/>
                    </w:rPr>
                    <w:t>6</w:t>
                  </w:r>
                  <w:r>
                    <w:rPr>
                      <w:rFonts w:ascii="Times New Roman"/>
                      <w:color w:val="000000"/>
                      <w:szCs w:val="21"/>
                      <w:highlight w:val="none"/>
                    </w:rPr>
                    <w:t>月</w:t>
                  </w:r>
                  <w:r>
                    <w:rPr>
                      <w:rFonts w:hint="eastAsia" w:ascii="Times New Roman"/>
                      <w:color w:val="000000"/>
                      <w:szCs w:val="21"/>
                      <w:highlight w:val="none"/>
                      <w:lang w:val="en-US" w:eastAsia="zh-CN"/>
                    </w:rPr>
                    <w:t>12</w:t>
                  </w:r>
                  <w:r>
                    <w:rPr>
                      <w:rFonts w:ascii="Times New Roman"/>
                      <w:color w:val="000000"/>
                      <w:szCs w:val="21"/>
                      <w:highlight w:val="none"/>
                    </w:rPr>
                    <w:t>日</w:t>
                  </w:r>
                  <w:r>
                    <w:rPr>
                      <w:rFonts w:hint="eastAsia" w:ascii="Times New Roman"/>
                      <w:color w:val="000000"/>
                      <w:szCs w:val="21"/>
                      <w:highlight w:val="none"/>
                    </w:rPr>
                    <w:t>-</w:t>
                  </w:r>
                  <w:r>
                    <w:rPr>
                      <w:rFonts w:ascii="Times New Roman"/>
                      <w:color w:val="000000"/>
                      <w:szCs w:val="21"/>
                      <w:highlight w:val="none"/>
                    </w:rPr>
                    <w:t>20</w:t>
                  </w:r>
                  <w:r>
                    <w:rPr>
                      <w:rFonts w:hint="eastAsia" w:ascii="Times New Roman"/>
                      <w:color w:val="000000"/>
                      <w:szCs w:val="21"/>
                      <w:highlight w:val="none"/>
                      <w:lang w:val="en-US" w:eastAsia="zh-CN"/>
                    </w:rPr>
                    <w:t>25</w:t>
                  </w:r>
                  <w:r>
                    <w:rPr>
                      <w:rFonts w:ascii="Times New Roman"/>
                      <w:color w:val="000000"/>
                      <w:szCs w:val="21"/>
                      <w:highlight w:val="none"/>
                    </w:rPr>
                    <w:t>年</w:t>
                  </w:r>
                  <w:r>
                    <w:rPr>
                      <w:rFonts w:hint="eastAsia" w:ascii="Times New Roman"/>
                      <w:color w:val="000000"/>
                      <w:szCs w:val="21"/>
                      <w:highlight w:val="none"/>
                      <w:lang w:val="en-US" w:eastAsia="zh-CN"/>
                    </w:rPr>
                    <w:t>6</w:t>
                  </w:r>
                  <w:r>
                    <w:rPr>
                      <w:rFonts w:ascii="Times New Roman"/>
                      <w:color w:val="000000"/>
                      <w:szCs w:val="21"/>
                      <w:highlight w:val="none"/>
                    </w:rPr>
                    <w:t>月</w:t>
                  </w:r>
                  <w:r>
                    <w:rPr>
                      <w:rFonts w:hint="eastAsia" w:ascii="Times New Roman"/>
                      <w:color w:val="000000"/>
                      <w:szCs w:val="21"/>
                      <w:highlight w:val="none"/>
                      <w:lang w:val="en-US" w:eastAsia="zh-CN"/>
                    </w:rPr>
                    <w:t>13</w:t>
                  </w:r>
                  <w:r>
                    <w:rPr>
                      <w:rFonts w:ascii="Times New Roman"/>
                      <w:color w:val="000000"/>
                      <w:szCs w:val="21"/>
                      <w:highlight w:val="none"/>
                    </w:rPr>
                    <w:t>日</w:t>
                  </w:r>
                </w:p>
              </w:tc>
              <w:tc>
                <w:tcPr>
                  <w:tcW w:w="761" w:type="pct"/>
                  <w:tcBorders>
                    <w:left w:val="single" w:color="auto" w:sz="6" w:space="0"/>
                    <w:bottom w:val="single" w:color="auto" w:sz="8" w:space="0"/>
                    <w:right w:val="single" w:color="auto" w:sz="6" w:space="0"/>
                  </w:tcBorders>
                  <w:noWrap w:val="0"/>
                  <w:vAlign w:val="center"/>
                </w:tcPr>
                <w:p w14:paraId="4C47FE1E">
                  <w:pPr>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szCs w:val="21"/>
                      <w:highlight w:val="none"/>
                      <w:lang w:val="en-US" w:eastAsia="zh-CN"/>
                    </w:rPr>
                  </w:pPr>
                  <w:r>
                    <w:rPr>
                      <w:rFonts w:hint="eastAsia" w:eastAsia="宋体" w:cs="Times New Roman"/>
                      <w:i w:val="0"/>
                      <w:iCs w:val="0"/>
                      <w:color w:val="auto"/>
                      <w:kern w:val="0"/>
                      <w:sz w:val="21"/>
                      <w:szCs w:val="21"/>
                      <w:highlight w:val="none"/>
                      <w:u w:val="none"/>
                      <w:lang w:val="en-US" w:eastAsia="zh-CN" w:bidi="ar"/>
                    </w:rPr>
                    <w:t>&lt;0.0003</w:t>
                  </w:r>
                </w:p>
              </w:tc>
              <w:tc>
                <w:tcPr>
                  <w:tcW w:w="730" w:type="pct"/>
                  <w:vMerge w:val="continue"/>
                  <w:tcBorders>
                    <w:left w:val="single" w:color="auto" w:sz="6" w:space="0"/>
                    <w:bottom w:val="single" w:color="auto" w:sz="8" w:space="0"/>
                    <w:right w:val="single" w:color="auto" w:sz="6" w:space="0"/>
                  </w:tcBorders>
                  <w:noWrap w:val="0"/>
                  <w:vAlign w:val="center"/>
                </w:tcPr>
                <w:p w14:paraId="2B72DDF5">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eastAsia"/>
                      <w:color w:val="000000"/>
                      <w:highlight w:val="none"/>
                    </w:rPr>
                  </w:pPr>
                </w:p>
              </w:tc>
              <w:tc>
                <w:tcPr>
                  <w:tcW w:w="772" w:type="pct"/>
                  <w:tcBorders>
                    <w:left w:val="single" w:color="auto" w:sz="6" w:space="0"/>
                    <w:bottom w:val="single" w:color="auto" w:sz="8" w:space="0"/>
                  </w:tcBorders>
                  <w:noWrap w:val="0"/>
                  <w:vAlign w:val="center"/>
                </w:tcPr>
                <w:p w14:paraId="5F79C3FE">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highlight w:val="none"/>
                      <w:lang w:val="en-US" w:eastAsia="zh-CN"/>
                    </w:rPr>
                  </w:pPr>
                  <w:r>
                    <w:rPr>
                      <w:rFonts w:hint="eastAsia" w:eastAsia="宋体"/>
                      <w:color w:val="000000"/>
                      <w:highlight w:val="none"/>
                      <w:lang w:val="en-US" w:eastAsia="zh-CN"/>
                    </w:rPr>
                    <w:t>/</w:t>
                  </w:r>
                </w:p>
              </w:tc>
            </w:tr>
          </w:tbl>
          <w:p w14:paraId="7AA5C2BF">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从以上监测结果表明，评价区域颗粒物的日均值能达到《环境空气质量标准》（GB3095-2012）中的二级标准3</w:t>
            </w:r>
            <w:r>
              <w:rPr>
                <w:rFonts w:hint="eastAsia" w:ascii="Times New Roman" w:hAnsi="Times New Roman" w:eastAsia="宋体" w:cs="Times New Roman"/>
                <w:kern w:val="0"/>
                <w:sz w:val="24"/>
                <w:szCs w:val="24"/>
                <w:highlight w:val="none"/>
                <w:lang w:val="en-US" w:eastAsia="zh-CN"/>
              </w:rPr>
              <w:t>00</w:t>
            </w:r>
            <w:r>
              <w:rPr>
                <w:rFonts w:hint="default" w:ascii="Times New Roman" w:hAnsi="Times New Roman" w:eastAsia="宋体" w:cs="Times New Roman"/>
                <w:kern w:val="0"/>
                <w:sz w:val="24"/>
                <w:szCs w:val="24"/>
                <w:highlight w:val="none"/>
                <w:lang w:val="en-US" w:eastAsia="zh-CN"/>
              </w:rPr>
              <w:t>μg/m</w:t>
            </w:r>
            <w:r>
              <w:rPr>
                <w:rFonts w:hint="default" w:ascii="Times New Roman" w:hAnsi="Times New Roman" w:eastAsia="宋体" w:cs="Times New Roman"/>
                <w:kern w:val="0"/>
                <w:sz w:val="24"/>
                <w:szCs w:val="24"/>
                <w:highlight w:val="none"/>
                <w:vertAlign w:val="superscript"/>
                <w:lang w:val="en-US" w:eastAsia="zh-CN"/>
              </w:rPr>
              <w:t>3</w:t>
            </w:r>
            <w:r>
              <w:rPr>
                <w:rFonts w:hint="default" w:ascii="Times New Roman" w:hAnsi="Times New Roman" w:eastAsia="宋体" w:cs="Times New Roman"/>
                <w:kern w:val="0"/>
                <w:sz w:val="24"/>
                <w:szCs w:val="24"/>
                <w:highlight w:val="none"/>
                <w:lang w:val="en-US" w:eastAsia="zh-CN"/>
              </w:rPr>
              <w:t>的要求</w:t>
            </w:r>
            <w:r>
              <w:rPr>
                <w:rFonts w:hint="eastAsia" w:ascii="Times New Roman" w:hAnsi="Times New Roman" w:eastAsia="宋体" w:cs="Times New Roman"/>
                <w:kern w:val="0"/>
                <w:sz w:val="24"/>
                <w:szCs w:val="24"/>
                <w:highlight w:val="none"/>
                <w:lang w:val="en-US" w:eastAsia="zh-CN"/>
              </w:rPr>
              <w:t>；</w:t>
            </w:r>
            <w:r>
              <w:rPr>
                <w:rFonts w:hint="default" w:ascii="Times New Roman" w:hAnsi="Times New Roman" w:eastAsia="宋体" w:cs="Times New Roman"/>
                <w:kern w:val="0"/>
                <w:sz w:val="24"/>
                <w:szCs w:val="24"/>
                <w:highlight w:val="none"/>
                <w:lang w:val="en-US" w:eastAsia="zh-CN"/>
              </w:rPr>
              <w:t>苯并[</w:t>
            </w:r>
            <w:r>
              <w:rPr>
                <w:rFonts w:hint="eastAsia" w:ascii="Times New Roman" w:hAnsi="Times New Roman" w:eastAsia="宋体" w:cs="Times New Roman"/>
                <w:kern w:val="0"/>
                <w:sz w:val="24"/>
                <w:szCs w:val="24"/>
                <w:highlight w:val="none"/>
                <w:lang w:val="en-US" w:eastAsia="zh-CN"/>
              </w:rPr>
              <w:t>a</w:t>
            </w:r>
            <w:r>
              <w:rPr>
                <w:rFonts w:hint="default" w:ascii="Times New Roman" w:hAnsi="Times New Roman" w:eastAsia="宋体" w:cs="Times New Roman"/>
                <w:kern w:val="0"/>
                <w:sz w:val="24"/>
                <w:szCs w:val="24"/>
                <w:highlight w:val="none"/>
                <w:lang w:val="en-US" w:eastAsia="zh-CN"/>
              </w:rPr>
              <w:t>]芘的日均值能达到《环境空气质量标准》（GB3095-2012）中的二级标准</w:t>
            </w:r>
            <w:r>
              <w:rPr>
                <w:rFonts w:hint="eastAsia" w:ascii="Times New Roman" w:hAnsi="Times New Roman" w:eastAsia="宋体" w:cs="Times New Roman"/>
                <w:kern w:val="0"/>
                <w:sz w:val="24"/>
                <w:szCs w:val="24"/>
                <w:highlight w:val="none"/>
                <w:lang w:val="en-US" w:eastAsia="zh-CN"/>
              </w:rPr>
              <w:t>0.0025</w:t>
            </w:r>
            <w:r>
              <w:rPr>
                <w:rFonts w:hint="default" w:ascii="Times New Roman" w:hAnsi="Times New Roman" w:eastAsia="宋体" w:cs="Times New Roman"/>
                <w:b w:val="0"/>
                <w:bCs w:val="0"/>
                <w:color w:val="000000"/>
                <w:sz w:val="24"/>
                <w:szCs w:val="24"/>
                <w:highlight w:val="none"/>
              </w:rPr>
              <w:t>μ</w:t>
            </w:r>
            <w:r>
              <w:rPr>
                <w:rFonts w:ascii="Times New Roman"/>
                <w:b w:val="0"/>
                <w:bCs w:val="0"/>
                <w:color w:val="000000"/>
                <w:sz w:val="24"/>
                <w:szCs w:val="24"/>
                <w:highlight w:val="none"/>
              </w:rPr>
              <w:t>g/m</w:t>
            </w:r>
            <w:r>
              <w:rPr>
                <w:rFonts w:ascii="Times New Roman"/>
                <w:b w:val="0"/>
                <w:bCs w:val="0"/>
                <w:color w:val="000000"/>
                <w:sz w:val="24"/>
                <w:szCs w:val="24"/>
                <w:highlight w:val="none"/>
                <w:vertAlign w:val="superscript"/>
              </w:rPr>
              <w:t>3</w:t>
            </w:r>
            <w:r>
              <w:rPr>
                <w:rFonts w:hint="default" w:ascii="Times New Roman" w:hAnsi="Times New Roman" w:eastAsia="宋体" w:cs="Times New Roman"/>
                <w:kern w:val="0"/>
                <w:sz w:val="24"/>
                <w:szCs w:val="24"/>
                <w:highlight w:val="none"/>
                <w:lang w:val="en-US" w:eastAsia="zh-CN"/>
              </w:rPr>
              <w:t>的要求</w:t>
            </w:r>
            <w:r>
              <w:rPr>
                <w:rFonts w:hint="eastAsia" w:ascii="Times New Roman" w:hAnsi="Times New Roman" w:eastAsia="宋体" w:cs="Times New Roman"/>
                <w:kern w:val="0"/>
                <w:sz w:val="24"/>
                <w:szCs w:val="24"/>
                <w:highlight w:val="none"/>
                <w:lang w:val="en-US" w:eastAsia="zh-CN"/>
              </w:rPr>
              <w:t>。</w:t>
            </w:r>
          </w:p>
          <w:p w14:paraId="455A5EB2">
            <w:pPr>
              <w:keepNext w:val="0"/>
              <w:keepLines w:val="0"/>
              <w:pageBreakBefore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 xml:space="preserve"> </w:t>
            </w:r>
            <w:r>
              <w:rPr>
                <w:rFonts w:hint="eastAsia" w:ascii="Times New Roman" w:hAnsi="Times New Roman" w:eastAsia="宋体" w:cs="Times New Roman"/>
                <w:b/>
                <w:bCs/>
                <w:sz w:val="24"/>
                <w:szCs w:val="24"/>
                <w:highlight w:val="none"/>
                <w:lang w:val="en-US" w:eastAsia="zh-CN"/>
              </w:rPr>
              <w:t>地表水环境质量</w:t>
            </w:r>
            <w:r>
              <w:rPr>
                <w:rFonts w:hint="default" w:ascii="Times New Roman" w:hAnsi="Times New Roman" w:eastAsia="宋体" w:cs="Times New Roman"/>
                <w:b/>
                <w:bCs/>
                <w:sz w:val="24"/>
                <w:szCs w:val="24"/>
                <w:highlight w:val="none"/>
                <w:lang w:val="en-US" w:eastAsia="zh-CN"/>
              </w:rPr>
              <w:t>现状</w:t>
            </w:r>
          </w:p>
          <w:p w14:paraId="765D3302">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本项目生活污水排入园区管网。根据《环境影响评价技术导则 地表水环境》（HJ2.3-2018）</w:t>
            </w:r>
            <w:r>
              <w:rPr>
                <w:rFonts w:hint="eastAsia" w:ascii="Times New Roman" w:hAnsi="Times New Roman" w:eastAsia="宋体" w:cs="Times New Roman"/>
                <w:kern w:val="0"/>
                <w:sz w:val="24"/>
                <w:szCs w:val="24"/>
                <w:highlight w:val="none"/>
                <w:lang w:val="en-US" w:eastAsia="zh-CN"/>
              </w:rPr>
              <w:t>，</w:t>
            </w:r>
            <w:r>
              <w:rPr>
                <w:rFonts w:hint="default" w:ascii="Times New Roman" w:hAnsi="Times New Roman" w:eastAsia="宋体" w:cs="Times New Roman"/>
                <w:kern w:val="0"/>
                <w:sz w:val="24"/>
                <w:szCs w:val="24"/>
                <w:highlight w:val="none"/>
                <w:lang w:val="en-US" w:eastAsia="zh-CN"/>
              </w:rPr>
              <w:t>本项目不需要进行地表水评价。</w:t>
            </w:r>
          </w:p>
          <w:p w14:paraId="54DFD457">
            <w:pPr>
              <w:keepNext w:val="0"/>
              <w:keepLines w:val="0"/>
              <w:pageBreakBefore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 xml:space="preserve"> </w:t>
            </w:r>
            <w:r>
              <w:rPr>
                <w:rFonts w:hint="eastAsia" w:ascii="Times New Roman" w:hAnsi="Times New Roman" w:eastAsia="宋体" w:cs="Times New Roman"/>
                <w:b/>
                <w:bCs/>
                <w:sz w:val="24"/>
                <w:szCs w:val="24"/>
                <w:highlight w:val="none"/>
                <w:lang w:val="en-US" w:eastAsia="zh-CN"/>
              </w:rPr>
              <w:t>声环境质量</w:t>
            </w:r>
            <w:r>
              <w:rPr>
                <w:rFonts w:hint="default" w:ascii="Times New Roman" w:hAnsi="Times New Roman" w:eastAsia="宋体" w:cs="Times New Roman"/>
                <w:b/>
                <w:bCs/>
                <w:sz w:val="24"/>
                <w:szCs w:val="24"/>
                <w:highlight w:val="none"/>
                <w:lang w:val="en-US" w:eastAsia="zh-CN"/>
              </w:rPr>
              <w:t>现状</w:t>
            </w:r>
          </w:p>
          <w:p w14:paraId="4A2D9A7E">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根据《建设项目环境影响报告表编制技术指南（污染影响类）</w:t>
            </w:r>
            <w:r>
              <w:rPr>
                <w:rFonts w:hint="eastAsia" w:cs="Times New Roman"/>
                <w:kern w:val="0"/>
                <w:sz w:val="24"/>
                <w:szCs w:val="24"/>
                <w:highlight w:val="none"/>
                <w:lang w:val="en-US" w:eastAsia="zh-CN"/>
              </w:rPr>
              <w:t>（试行）》</w:t>
            </w:r>
            <w:r>
              <w:rPr>
                <w:rFonts w:hint="eastAsia" w:ascii="Times New Roman" w:hAnsi="Times New Roman" w:eastAsia="宋体" w:cs="Times New Roman"/>
                <w:kern w:val="0"/>
                <w:sz w:val="24"/>
                <w:szCs w:val="24"/>
                <w:highlight w:val="none"/>
                <w:lang w:val="en-US" w:eastAsia="zh-CN"/>
              </w:rPr>
              <w:t>中区域环境质量现状评价要求，本项目厂界外周边</w:t>
            </w:r>
            <w:r>
              <w:rPr>
                <w:rFonts w:hint="default" w:ascii="Times New Roman" w:hAnsi="Times New Roman" w:eastAsia="宋体" w:cs="Times New Roman"/>
                <w:kern w:val="0"/>
                <w:sz w:val="24"/>
                <w:szCs w:val="24"/>
                <w:highlight w:val="none"/>
                <w:lang w:val="en-US" w:eastAsia="zh-CN"/>
              </w:rPr>
              <w:t>50m</w:t>
            </w:r>
            <w:r>
              <w:rPr>
                <w:rFonts w:hint="eastAsia" w:ascii="Times New Roman" w:hAnsi="Times New Roman" w:eastAsia="宋体" w:cs="Times New Roman"/>
                <w:kern w:val="0"/>
                <w:sz w:val="24"/>
                <w:szCs w:val="24"/>
                <w:highlight w:val="none"/>
                <w:lang w:val="en-US" w:eastAsia="zh-CN"/>
              </w:rPr>
              <w:t>范围内无声环境保护目标。因此，可不开展声环境现状调查与评价。</w:t>
            </w:r>
          </w:p>
          <w:p w14:paraId="2869F2C8">
            <w:pPr>
              <w:keepNext w:val="0"/>
              <w:keepLines w:val="0"/>
              <w:pageBreakBefore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 xml:space="preserve"> </w:t>
            </w:r>
            <w:r>
              <w:rPr>
                <w:rFonts w:hint="eastAsia" w:ascii="Times New Roman" w:hAnsi="Times New Roman" w:eastAsia="宋体" w:cs="Times New Roman"/>
                <w:b/>
                <w:bCs/>
                <w:sz w:val="24"/>
                <w:szCs w:val="24"/>
                <w:highlight w:val="none"/>
                <w:lang w:val="en-US" w:eastAsia="zh-CN"/>
              </w:rPr>
              <w:t>生态环境质量现状</w:t>
            </w:r>
          </w:p>
          <w:p w14:paraId="69DA62D3">
            <w:pPr>
              <w:adjustRightInd w:val="0"/>
              <w:snapToGrid w:val="0"/>
              <w:spacing w:line="360" w:lineRule="auto"/>
              <w:ind w:firstLine="480" w:firstLineChars="200"/>
              <w:jc w:val="both"/>
              <w:rPr>
                <w:rFonts w:hint="eastAsia"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根据《建设项目环境影响报告表编制技术指南（污染影响类）</w:t>
            </w:r>
            <w:r>
              <w:rPr>
                <w:rFonts w:hint="eastAsia" w:cs="Times New Roman"/>
                <w:kern w:val="0"/>
                <w:sz w:val="24"/>
                <w:szCs w:val="24"/>
                <w:highlight w:val="none"/>
                <w:lang w:val="en-US" w:eastAsia="zh-CN"/>
              </w:rPr>
              <w:t>（试行）》</w:t>
            </w:r>
            <w:r>
              <w:rPr>
                <w:rFonts w:hint="eastAsia" w:ascii="Times New Roman" w:hAnsi="Times New Roman" w:eastAsia="宋体" w:cs="Times New Roman"/>
                <w:kern w:val="0"/>
                <w:sz w:val="24"/>
                <w:szCs w:val="24"/>
                <w:highlight w:val="none"/>
                <w:lang w:val="en-US" w:eastAsia="zh-CN"/>
              </w:rPr>
              <w:t>中规定，产业园区外建设项目新增用地且用地范围内含有生态环境保护目标的应进行生态现状调查。本项目位于昌吉州昌吉市高新技术产业开发区，项目区内不存在生态环境保护目标，故本项目可不开展生态环境现状调查。</w:t>
            </w:r>
          </w:p>
          <w:p w14:paraId="1A42BAF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 xml:space="preserve"> </w:t>
            </w:r>
            <w:r>
              <w:rPr>
                <w:rFonts w:hint="eastAsia" w:ascii="Times New Roman" w:hAnsi="Times New Roman" w:eastAsia="宋体" w:cs="Times New Roman"/>
                <w:b/>
                <w:bCs/>
                <w:sz w:val="24"/>
                <w:szCs w:val="24"/>
                <w:highlight w:val="none"/>
                <w:lang w:val="en-US" w:eastAsia="zh-CN"/>
              </w:rPr>
              <w:t>地下水、土壤环境质量现状</w:t>
            </w:r>
          </w:p>
          <w:p w14:paraId="7355EEFF">
            <w:pPr>
              <w:adjustRightInd w:val="0"/>
              <w:snapToGrid w:val="0"/>
              <w:spacing w:line="360" w:lineRule="auto"/>
              <w:ind w:firstLine="480" w:firstLineChars="200"/>
              <w:jc w:val="both"/>
              <w:rPr>
                <w:rFonts w:hint="default"/>
                <w:highlight w:val="none"/>
                <w:lang w:val="en-US" w:eastAsia="zh-CN"/>
              </w:rPr>
            </w:pPr>
            <w:r>
              <w:rPr>
                <w:rFonts w:hint="eastAsia" w:ascii="Times New Roman" w:hAnsi="Times New Roman" w:eastAsia="宋体" w:cs="Times New Roman"/>
                <w:kern w:val="0"/>
                <w:sz w:val="24"/>
                <w:szCs w:val="24"/>
                <w:highlight w:val="none"/>
                <w:lang w:val="en-US" w:eastAsia="zh-CN"/>
              </w:rPr>
              <w:t>根据《建设项目环境影响报告表编制技术指南（污染影响类）</w:t>
            </w:r>
            <w:r>
              <w:rPr>
                <w:rFonts w:hint="eastAsia" w:cs="Times New Roman"/>
                <w:kern w:val="0"/>
                <w:sz w:val="24"/>
                <w:szCs w:val="24"/>
                <w:highlight w:val="none"/>
                <w:lang w:val="en-US" w:eastAsia="zh-CN"/>
              </w:rPr>
              <w:t>（试行）》</w:t>
            </w:r>
            <w:r>
              <w:rPr>
                <w:rFonts w:hint="eastAsia" w:ascii="Times New Roman" w:hAnsi="Times New Roman" w:eastAsia="宋体" w:cs="Times New Roman"/>
                <w:kern w:val="0"/>
                <w:sz w:val="24"/>
                <w:szCs w:val="24"/>
                <w:highlight w:val="none"/>
                <w:lang w:val="en-US" w:eastAsia="zh-CN"/>
              </w:rPr>
              <w:t>，原则上不开展环境质量现状调查，本项目不存在地下水、土壤污染途径，因此本次评价不开展对地下水、土壤环境质量现状调查与评价。</w:t>
            </w:r>
          </w:p>
        </w:tc>
      </w:tr>
      <w:tr w14:paraId="64CB9F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noWrap w:val="0"/>
            <w:vAlign w:val="center"/>
          </w:tcPr>
          <w:p w14:paraId="71CE516F">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环境</w:t>
            </w:r>
          </w:p>
          <w:p w14:paraId="64DCFB41">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保护</w:t>
            </w:r>
          </w:p>
          <w:p w14:paraId="1495A946">
            <w:pPr>
              <w:adjustRightInd w:val="0"/>
              <w:snapToGrid w:val="0"/>
              <w:jc w:val="center"/>
              <w:rPr>
                <w:rFonts w:hint="default" w:ascii="Times New Roman" w:hAnsi="Times New Roman" w:cs="Times New Roman"/>
                <w:kern w:val="0"/>
                <w:szCs w:val="21"/>
                <w:highlight w:val="none"/>
              </w:rPr>
            </w:pPr>
            <w:r>
              <w:rPr>
                <w:rFonts w:hint="default" w:ascii="Times New Roman" w:hAnsi="Times New Roman" w:cs="Times New Roman"/>
                <w:kern w:val="0"/>
                <w:sz w:val="24"/>
                <w:szCs w:val="24"/>
                <w:highlight w:val="none"/>
              </w:rPr>
              <w:t>目标</w:t>
            </w:r>
          </w:p>
        </w:tc>
        <w:tc>
          <w:tcPr>
            <w:tcW w:w="8190" w:type="dxa"/>
            <w:noWrap w:val="0"/>
            <w:vAlign w:val="center"/>
          </w:tcPr>
          <w:p w14:paraId="45D0D7E5">
            <w:pPr>
              <w:keepNext w:val="0"/>
              <w:keepLines w:val="0"/>
              <w:pageBreakBefore w:val="0"/>
              <w:widowControl w:val="0"/>
              <w:kinsoku/>
              <w:wordWrap/>
              <w:overflowPunct/>
              <w:topLinePunct w:val="0"/>
              <w:autoSpaceDE/>
              <w:autoSpaceDN/>
              <w:bidi w:val="0"/>
              <w:adjustRightInd w:val="0"/>
              <w:snapToGrid w:val="0"/>
              <w:spacing w:before="157" w:beforeLines="50" w:line="360" w:lineRule="auto"/>
              <w:jc w:val="both"/>
              <w:textAlignment w:val="auto"/>
              <w:rPr>
                <w:rFonts w:hint="default"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b/>
                <w:bCs/>
                <w:kern w:val="0"/>
                <w:sz w:val="24"/>
                <w:szCs w:val="24"/>
                <w:highlight w:val="none"/>
                <w:lang w:val="en-US" w:eastAsia="zh-CN"/>
              </w:rPr>
              <w:t>1 大气环境</w:t>
            </w:r>
          </w:p>
          <w:p w14:paraId="5341695A">
            <w:pPr>
              <w:adjustRightInd w:val="0"/>
              <w:snapToGrid w:val="0"/>
              <w:spacing w:line="360" w:lineRule="auto"/>
              <w:ind w:firstLine="480" w:firstLineChars="200"/>
              <w:jc w:val="both"/>
              <w:rPr>
                <w:rFonts w:hint="eastAsia"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根据《建设项目环境影响报告表编制技术指南》（污染影响类）</w:t>
            </w:r>
            <w:r>
              <w:rPr>
                <w:rFonts w:hint="eastAsia" w:ascii="Times New Roman" w:hAnsi="Times New Roman" w:eastAsia="宋体" w:cs="Times New Roman"/>
                <w:kern w:val="0"/>
                <w:sz w:val="24"/>
                <w:szCs w:val="24"/>
                <w:highlight w:val="none"/>
                <w:lang w:val="en-US" w:eastAsia="zh-CN"/>
              </w:rPr>
              <w:t>中要求，本项目厂界外500米范围内无自然保护区、风景名胜区、居住区、文化区和农村地区中人群较集中的区域等保护目标。</w:t>
            </w:r>
          </w:p>
          <w:p w14:paraId="45B38F42">
            <w:pPr>
              <w:adjustRightInd w:val="0"/>
              <w:snapToGrid w:val="0"/>
              <w:spacing w:line="360" w:lineRule="auto"/>
              <w:jc w:val="both"/>
              <w:rPr>
                <w:rFonts w:hint="eastAsia" w:ascii="Times New Roman" w:hAnsi="Times New Roman" w:eastAsia="宋体" w:cs="Times New Roman"/>
                <w:b/>
                <w:bCs/>
                <w:kern w:val="0"/>
                <w:sz w:val="24"/>
                <w:szCs w:val="24"/>
                <w:highlight w:val="none"/>
                <w:lang w:val="en-US" w:eastAsia="zh-CN"/>
              </w:rPr>
            </w:pPr>
            <w:r>
              <w:rPr>
                <w:rFonts w:hint="eastAsia" w:ascii="Times New Roman" w:hAnsi="Times New Roman" w:eastAsia="宋体" w:cs="Times New Roman"/>
                <w:b/>
                <w:bCs/>
                <w:kern w:val="0"/>
                <w:sz w:val="24"/>
                <w:szCs w:val="24"/>
                <w:highlight w:val="none"/>
                <w:lang w:val="en-US" w:eastAsia="zh-CN"/>
              </w:rPr>
              <w:t>2 声环境</w:t>
            </w:r>
          </w:p>
          <w:p w14:paraId="52F03517">
            <w:pPr>
              <w:adjustRightInd w:val="0"/>
              <w:snapToGrid w:val="0"/>
              <w:spacing w:line="360" w:lineRule="auto"/>
              <w:ind w:firstLine="480" w:firstLineChars="200"/>
              <w:jc w:val="both"/>
              <w:rPr>
                <w:rFonts w:hint="eastAsia"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根据《声环境质量标准》（GB3096-2008）中的3类标准保护要求，本项目厂界外50m范围内无声环境保护目标。</w:t>
            </w:r>
          </w:p>
          <w:p w14:paraId="2A6F7D9D">
            <w:pPr>
              <w:adjustRightInd w:val="0"/>
              <w:snapToGrid w:val="0"/>
              <w:spacing w:line="360" w:lineRule="auto"/>
              <w:jc w:val="both"/>
              <w:rPr>
                <w:rFonts w:hint="eastAsia" w:ascii="Times New Roman" w:hAnsi="Times New Roman" w:eastAsia="宋体" w:cs="Times New Roman"/>
                <w:b/>
                <w:bCs/>
                <w:kern w:val="0"/>
                <w:sz w:val="24"/>
                <w:szCs w:val="24"/>
                <w:highlight w:val="none"/>
                <w:lang w:val="en-US" w:eastAsia="zh-CN"/>
              </w:rPr>
            </w:pPr>
            <w:r>
              <w:rPr>
                <w:rFonts w:hint="eastAsia" w:ascii="Times New Roman" w:hAnsi="Times New Roman" w:eastAsia="宋体" w:cs="Times New Roman"/>
                <w:b/>
                <w:bCs/>
                <w:kern w:val="0"/>
                <w:sz w:val="24"/>
                <w:szCs w:val="24"/>
                <w:highlight w:val="none"/>
                <w:lang w:val="en-US" w:eastAsia="zh-CN"/>
              </w:rPr>
              <w:t>3 地下水环境</w:t>
            </w:r>
          </w:p>
          <w:p w14:paraId="333E76E1">
            <w:pPr>
              <w:adjustRightInd w:val="0"/>
              <w:snapToGrid w:val="0"/>
              <w:spacing w:line="360" w:lineRule="auto"/>
              <w:ind w:firstLine="480" w:firstLineChars="200"/>
              <w:jc w:val="both"/>
              <w:rPr>
                <w:rFonts w:hint="eastAsia"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根据《地下水质量标准》（GB/T14848-2017）中的 III 类标准保护要求，本项目厂界外500m范围内无地下水集中式饮用水水源和热水、矿泉水、温泉等特殊地下水资源。</w:t>
            </w:r>
          </w:p>
          <w:p w14:paraId="7C460E06">
            <w:pPr>
              <w:adjustRightInd w:val="0"/>
              <w:snapToGrid w:val="0"/>
              <w:spacing w:line="360" w:lineRule="auto"/>
              <w:jc w:val="both"/>
              <w:rPr>
                <w:rFonts w:hint="eastAsia" w:ascii="Times New Roman" w:hAnsi="Times New Roman" w:eastAsia="宋体" w:cs="Times New Roman"/>
                <w:b/>
                <w:bCs/>
                <w:kern w:val="0"/>
                <w:sz w:val="24"/>
                <w:szCs w:val="24"/>
                <w:highlight w:val="none"/>
                <w:lang w:val="en-US" w:eastAsia="zh-CN"/>
              </w:rPr>
            </w:pPr>
            <w:r>
              <w:rPr>
                <w:rFonts w:hint="eastAsia" w:ascii="Times New Roman" w:hAnsi="Times New Roman" w:eastAsia="宋体" w:cs="Times New Roman"/>
                <w:b/>
                <w:bCs/>
                <w:kern w:val="0"/>
                <w:sz w:val="24"/>
                <w:szCs w:val="24"/>
                <w:highlight w:val="none"/>
                <w:lang w:val="en-US" w:eastAsia="zh-CN"/>
              </w:rPr>
              <w:t>4 区域环境敏感保护目标</w:t>
            </w:r>
          </w:p>
          <w:p w14:paraId="7EBA8291">
            <w:pPr>
              <w:adjustRightInd w:val="0"/>
              <w:snapToGrid w:val="0"/>
              <w:spacing w:line="360" w:lineRule="auto"/>
              <w:ind w:firstLine="480" w:firstLineChars="200"/>
              <w:jc w:val="both"/>
              <w:rPr>
                <w:rFonts w:hint="default" w:ascii="Times New Roman" w:hAnsi="Times New Roman" w:cs="Times New Roman"/>
                <w:kern w:val="0"/>
                <w:szCs w:val="21"/>
                <w:highlight w:val="none"/>
              </w:rPr>
            </w:pPr>
            <w:r>
              <w:rPr>
                <w:rFonts w:hint="default" w:ascii="Times New Roman" w:hAnsi="Times New Roman" w:eastAsia="宋体" w:cs="Times New Roman"/>
                <w:kern w:val="0"/>
                <w:sz w:val="24"/>
                <w:szCs w:val="24"/>
                <w:highlight w:val="none"/>
                <w:lang w:val="en-US" w:eastAsia="zh-CN"/>
              </w:rPr>
              <w:t>本项目位于昌吉州昌吉市高新技术产业开发区，项目选址占地为工业用地</w:t>
            </w:r>
            <w:r>
              <w:rPr>
                <w:rFonts w:hint="eastAsia" w:ascii="Times New Roman" w:hAnsi="Times New Roman" w:eastAsia="宋体" w:cs="Times New Roman"/>
                <w:kern w:val="0"/>
                <w:sz w:val="24"/>
                <w:szCs w:val="24"/>
                <w:highlight w:val="none"/>
                <w:lang w:val="en-US" w:eastAsia="zh-CN"/>
              </w:rPr>
              <w:t>，</w:t>
            </w:r>
            <w:r>
              <w:rPr>
                <w:rFonts w:hint="default" w:ascii="Times New Roman" w:hAnsi="Times New Roman" w:eastAsia="宋体" w:cs="Times New Roman"/>
                <w:kern w:val="0"/>
                <w:sz w:val="24"/>
                <w:szCs w:val="24"/>
                <w:highlight w:val="none"/>
                <w:lang w:val="en-US" w:eastAsia="zh-CN"/>
              </w:rPr>
              <w:t>项目周边为空地、企业，项目周边无水源保护地等敏感目标。根据《建设项目环境影响报告表编制技术指南》（污染影响类），项目占地场地厂界外500m范围内无敏感目标。周围无生态环境保护目标。</w:t>
            </w:r>
          </w:p>
        </w:tc>
      </w:tr>
      <w:tr w14:paraId="4E6D49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noWrap w:val="0"/>
            <w:tcMar>
              <w:left w:w="28" w:type="dxa"/>
              <w:right w:w="28" w:type="dxa"/>
            </w:tcMar>
            <w:vAlign w:val="center"/>
          </w:tcPr>
          <w:p w14:paraId="3EBDFC30">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污染</w:t>
            </w:r>
          </w:p>
          <w:p w14:paraId="3EE1640F">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物排</w:t>
            </w:r>
          </w:p>
          <w:p w14:paraId="4D1B5321">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放控</w:t>
            </w:r>
          </w:p>
          <w:p w14:paraId="13760854">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制标</w:t>
            </w:r>
          </w:p>
          <w:p w14:paraId="52A43B9B">
            <w:pPr>
              <w:adjustRightInd w:val="0"/>
              <w:snapToGrid w:val="0"/>
              <w:jc w:val="center"/>
              <w:rPr>
                <w:rFonts w:hint="default" w:ascii="Times New Roman" w:hAnsi="Times New Roman" w:cs="Times New Roman"/>
                <w:kern w:val="0"/>
                <w:szCs w:val="21"/>
                <w:highlight w:val="none"/>
              </w:rPr>
            </w:pPr>
            <w:r>
              <w:rPr>
                <w:rFonts w:hint="default" w:ascii="Times New Roman" w:hAnsi="Times New Roman" w:cs="Times New Roman"/>
                <w:kern w:val="0"/>
                <w:sz w:val="24"/>
                <w:szCs w:val="24"/>
                <w:highlight w:val="none"/>
              </w:rPr>
              <w:t>准</w:t>
            </w:r>
          </w:p>
        </w:tc>
        <w:tc>
          <w:tcPr>
            <w:tcW w:w="8190" w:type="dxa"/>
            <w:noWrap w:val="0"/>
            <w:vAlign w:val="center"/>
          </w:tcPr>
          <w:p w14:paraId="47269B55">
            <w:pPr>
              <w:keepNext w:val="0"/>
              <w:keepLines w:val="0"/>
              <w:pageBreakBefore w:val="0"/>
              <w:widowControl w:val="0"/>
              <w:kinsoku/>
              <w:wordWrap/>
              <w:overflowPunct/>
              <w:topLinePunct w:val="0"/>
              <w:autoSpaceDE/>
              <w:autoSpaceDN/>
              <w:bidi w:val="0"/>
              <w:adjustRightInd w:val="0"/>
              <w:snapToGrid w:val="0"/>
              <w:spacing w:before="157" w:beforeLines="50" w:line="360" w:lineRule="auto"/>
              <w:jc w:val="both"/>
              <w:textAlignment w:val="auto"/>
              <w:rPr>
                <w:rFonts w:hint="default" w:ascii="Times New Roman" w:hAnsi="Times New Roman" w:eastAsia="宋体" w:cs="Times New Roman"/>
                <w:b/>
                <w:bCs/>
                <w:kern w:val="0"/>
                <w:sz w:val="24"/>
                <w:szCs w:val="24"/>
                <w:highlight w:val="none"/>
                <w:lang w:val="en-US" w:eastAsia="zh-CN"/>
              </w:rPr>
            </w:pPr>
            <w:r>
              <w:rPr>
                <w:rFonts w:hint="eastAsia" w:ascii="Times New Roman" w:hAnsi="Times New Roman" w:eastAsia="宋体" w:cs="Times New Roman"/>
                <w:b/>
                <w:bCs/>
                <w:kern w:val="0"/>
                <w:sz w:val="24"/>
                <w:szCs w:val="24"/>
                <w:highlight w:val="none"/>
                <w:lang w:val="en-US" w:eastAsia="zh-CN"/>
              </w:rPr>
              <w:t>1 废气排放标准</w:t>
            </w:r>
          </w:p>
          <w:p w14:paraId="6288E572">
            <w:pPr>
              <w:spacing w:line="360" w:lineRule="auto"/>
              <w:ind w:firstLine="480" w:firstLineChars="200"/>
              <w:rPr>
                <w:rFonts w:hint="eastAsia" w:ascii="Times New Roman" w:hAnsi="Times New Roman" w:eastAsia="宋体" w:cs="Times New Roman"/>
                <w:color w:val="000000"/>
                <w:sz w:val="24"/>
                <w:highlight w:val="none"/>
                <w:lang w:val="en-US" w:eastAsia="zh-CN"/>
              </w:rPr>
            </w:pPr>
            <w:r>
              <w:rPr>
                <w:rFonts w:hint="eastAsia" w:ascii="Times New Roman" w:hAnsi="Times New Roman" w:eastAsia="宋体" w:cs="Times New Roman"/>
                <w:color w:val="000000"/>
                <w:sz w:val="24"/>
                <w:highlight w:val="none"/>
                <w:lang w:val="en-US" w:eastAsia="zh-CN"/>
              </w:rPr>
              <w:t>生产线产生的颗粒物</w:t>
            </w:r>
            <w:r>
              <w:rPr>
                <w:rFonts w:hint="eastAsia" w:cs="Times New Roman"/>
                <w:color w:val="000000"/>
                <w:sz w:val="24"/>
                <w:highlight w:val="none"/>
                <w:lang w:val="en-US" w:eastAsia="zh-CN"/>
              </w:rPr>
              <w:t>和非甲烷总烃执行《涂料、油墨及胶粘剂工业大气污染物排放标准》（GB37824-2019）中表2大气污染物特别排放限值；生产线产生的</w:t>
            </w:r>
            <w:r>
              <w:rPr>
                <w:rFonts w:hint="eastAsia" w:ascii="Times New Roman" w:hAnsi="Times New Roman" w:eastAsia="宋体" w:cs="Times New Roman"/>
                <w:color w:val="000000"/>
                <w:sz w:val="24"/>
                <w:highlight w:val="none"/>
                <w:lang w:val="en-US" w:eastAsia="zh-CN"/>
              </w:rPr>
              <w:t>沥青烟、苯并[a]芘执行《大气污染物综合排放标准》（GB16297-1996）表2二级标准。</w:t>
            </w:r>
          </w:p>
          <w:p w14:paraId="74178065">
            <w:pPr>
              <w:spacing w:line="360" w:lineRule="auto"/>
              <w:ind w:firstLine="480" w:firstLineChars="200"/>
              <w:rPr>
                <w:rFonts w:hint="eastAsia" w:ascii="Times New Roman" w:hAnsi="Times New Roman" w:eastAsia="宋体" w:cs="Times New Roman"/>
                <w:color w:val="000000"/>
                <w:sz w:val="24"/>
                <w:highlight w:val="none"/>
                <w:lang w:val="en-US" w:eastAsia="zh-CN"/>
              </w:rPr>
            </w:pPr>
            <w:r>
              <w:rPr>
                <w:rFonts w:hint="eastAsia" w:ascii="Times New Roman" w:hAnsi="Times New Roman" w:eastAsia="宋体" w:cs="Times New Roman"/>
                <w:color w:val="000000"/>
                <w:sz w:val="24"/>
                <w:highlight w:val="none"/>
                <w:lang w:val="en-US" w:eastAsia="zh-CN"/>
              </w:rPr>
              <w:t>根据《新疆维吾尔自治区环保厅关于重点地区执行大气污染物特别排放限值的公告》（环保厅2016年第45号公告），昌吉高新技术产业开发区为重点地区，导热油炉执行《锅炉大气污染物排放标准》（GB13271-2014）中重点区域排放限值。</w:t>
            </w:r>
          </w:p>
          <w:p w14:paraId="7B0D18E6">
            <w:pPr>
              <w:numPr>
                <w:ilvl w:val="0"/>
                <w:numId w:val="0"/>
              </w:numPr>
              <w:spacing w:line="360" w:lineRule="auto"/>
              <w:ind w:firstLine="480" w:firstLineChars="200"/>
              <w:rPr>
                <w:rFonts w:hint="default" w:ascii="Times New Roman" w:hAnsi="Times New Roman" w:eastAsia="宋体" w:cs="Times New Roman"/>
                <w:color w:val="000000"/>
                <w:sz w:val="24"/>
                <w:highlight w:val="none"/>
                <w:vertAlign w:val="baseline"/>
                <w:lang w:val="en-US" w:eastAsia="zh-CN"/>
              </w:rPr>
            </w:pPr>
            <w:r>
              <w:rPr>
                <w:rFonts w:hint="eastAsia" w:ascii="Times New Roman" w:hAnsi="Times New Roman" w:eastAsia="宋体" w:cs="Times New Roman"/>
                <w:color w:val="000000"/>
                <w:sz w:val="24"/>
                <w:highlight w:val="none"/>
                <w:lang w:val="en-US" w:eastAsia="zh-CN"/>
              </w:rPr>
              <w:t>根据《关于开展昌吉州2022年度夏秋季大气污染防治“冬病夏治”有关工作的通知》（昌吉州环委办发〔2022〕18号），</w:t>
            </w:r>
            <w:r>
              <w:rPr>
                <w:rFonts w:hint="default" w:ascii="Times New Roman" w:hAnsi="Times New Roman" w:eastAsia="宋体" w:cs="Times New Roman"/>
                <w:color w:val="000000"/>
                <w:sz w:val="24"/>
                <w:highlight w:val="none"/>
                <w:lang w:val="en-US" w:eastAsia="zh-CN"/>
              </w:rPr>
              <w:t>实施重点行业NO</w:t>
            </w:r>
            <w:r>
              <w:rPr>
                <w:rFonts w:hint="default" w:ascii="Times New Roman" w:hAnsi="Times New Roman" w:eastAsia="宋体" w:cs="Times New Roman"/>
                <w:color w:val="000000"/>
                <w:sz w:val="24"/>
                <w:highlight w:val="none"/>
                <w:vertAlign w:val="subscript"/>
                <w:lang w:val="en-US" w:eastAsia="zh-CN"/>
              </w:rPr>
              <w:t>x</w:t>
            </w:r>
            <w:r>
              <w:rPr>
                <w:rFonts w:hint="default" w:ascii="Times New Roman" w:hAnsi="Times New Roman" w:eastAsia="宋体" w:cs="Times New Roman"/>
                <w:color w:val="000000"/>
                <w:sz w:val="24"/>
                <w:highlight w:val="none"/>
                <w:lang w:val="en-US" w:eastAsia="zh-CN"/>
              </w:rPr>
              <w:t>等污染物深度治理，按照氮氧化物排放浓度不高于50</w:t>
            </w:r>
            <w:r>
              <w:rPr>
                <w:rFonts w:hint="eastAsia" w:ascii="Times New Roman" w:hAnsi="Times New Roman" w:eastAsia="宋体" w:cs="Times New Roman"/>
                <w:color w:val="000000"/>
                <w:sz w:val="24"/>
                <w:highlight w:val="none"/>
                <w:lang w:val="en-US" w:eastAsia="zh-CN"/>
              </w:rPr>
              <w:t>mg</w:t>
            </w:r>
            <w:r>
              <w:rPr>
                <w:rFonts w:hint="default" w:ascii="Times New Roman" w:hAnsi="Times New Roman" w:eastAsia="宋体" w:cs="Times New Roman"/>
                <w:color w:val="000000"/>
                <w:sz w:val="24"/>
                <w:highlight w:val="none"/>
                <w:lang w:val="en-US" w:eastAsia="zh-CN"/>
              </w:rPr>
              <w:t>/</w:t>
            </w:r>
            <w:r>
              <w:rPr>
                <w:rFonts w:hint="eastAsia" w:ascii="Times New Roman" w:hAnsi="Times New Roman" w:eastAsia="宋体" w:cs="Times New Roman"/>
                <w:color w:val="000000"/>
                <w:sz w:val="24"/>
                <w:highlight w:val="none"/>
                <w:lang w:val="en-US" w:eastAsia="zh-CN"/>
              </w:rPr>
              <w:t>m</w:t>
            </w:r>
            <w:r>
              <w:rPr>
                <w:rFonts w:hint="eastAsia" w:ascii="Times New Roman" w:hAnsi="Times New Roman" w:eastAsia="宋体" w:cs="Times New Roman"/>
                <w:color w:val="000000"/>
                <w:sz w:val="24"/>
                <w:highlight w:val="none"/>
                <w:vertAlign w:val="superscript"/>
                <w:lang w:val="en-US" w:eastAsia="zh-CN"/>
              </w:rPr>
              <w:t>3</w:t>
            </w:r>
            <w:r>
              <w:rPr>
                <w:rFonts w:hint="default" w:ascii="Times New Roman" w:hAnsi="Times New Roman" w:eastAsia="宋体" w:cs="Times New Roman"/>
                <w:color w:val="000000"/>
                <w:sz w:val="24"/>
                <w:highlight w:val="none"/>
                <w:lang w:val="en-US" w:eastAsia="zh-CN"/>
              </w:rPr>
              <w:t>的标准实施燃气锅炉低氮燃烧改造</w:t>
            </w:r>
            <w:r>
              <w:rPr>
                <w:rFonts w:hint="eastAsia" w:ascii="Times New Roman" w:hAnsi="Times New Roman" w:eastAsia="宋体" w:cs="Times New Roman"/>
                <w:color w:val="000000"/>
                <w:sz w:val="24"/>
                <w:highlight w:val="none"/>
                <w:vertAlign w:val="baseline"/>
                <w:lang w:val="en-US" w:eastAsia="zh-CN"/>
              </w:rPr>
              <w:t>。</w:t>
            </w:r>
          </w:p>
          <w:p w14:paraId="3434C7FB">
            <w:pPr>
              <w:pStyle w:val="26"/>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40" w:lineRule="auto"/>
              <w:ind w:firstLine="420"/>
              <w:textAlignment w:val="auto"/>
              <w:rPr>
                <w:b/>
                <w:bCs/>
                <w:sz w:val="21"/>
                <w:szCs w:val="21"/>
                <w:highlight w:val="none"/>
              </w:rPr>
            </w:pPr>
            <w:r>
              <w:rPr>
                <w:rFonts w:hint="eastAsia"/>
                <w:b/>
                <w:bCs/>
                <w:sz w:val="21"/>
                <w:szCs w:val="21"/>
                <w:highlight w:val="none"/>
              </w:rPr>
              <w:t>表</w:t>
            </w:r>
            <w:r>
              <w:rPr>
                <w:rFonts w:ascii="Times New Roman"/>
                <w:b/>
                <w:bCs/>
                <w:sz w:val="21"/>
                <w:szCs w:val="21"/>
                <w:highlight w:val="none"/>
              </w:rPr>
              <w:t>3-</w:t>
            </w:r>
            <w:r>
              <w:rPr>
                <w:rFonts w:hint="eastAsia" w:ascii="Times New Roman"/>
                <w:b/>
                <w:bCs/>
                <w:sz w:val="21"/>
                <w:szCs w:val="21"/>
                <w:highlight w:val="none"/>
                <w:lang w:val="en-US" w:eastAsia="zh-CN"/>
              </w:rPr>
              <w:t>6     大气污染物</w:t>
            </w:r>
            <w:r>
              <w:rPr>
                <w:rFonts w:hint="eastAsia"/>
                <w:b/>
                <w:bCs/>
                <w:sz w:val="21"/>
                <w:szCs w:val="21"/>
                <w:highlight w:val="none"/>
              </w:rPr>
              <w:t>排放标准</w:t>
            </w:r>
          </w:p>
          <w:tbl>
            <w:tblPr>
              <w:tblStyle w:val="19"/>
              <w:tblW w:w="4996"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70"/>
              <w:gridCol w:w="370"/>
              <w:gridCol w:w="901"/>
              <w:gridCol w:w="1159"/>
              <w:gridCol w:w="1053"/>
              <w:gridCol w:w="756"/>
              <w:gridCol w:w="976"/>
              <w:gridCol w:w="2284"/>
            </w:tblGrid>
            <w:tr w14:paraId="3A5A1E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94" w:type="pct"/>
                  <w:vMerge w:val="restart"/>
                  <w:vAlign w:val="center"/>
                </w:tcPr>
                <w:p w14:paraId="254B4EE2">
                  <w:pPr>
                    <w:pStyle w:val="26"/>
                    <w:spacing w:before="0" w:beforeLines="0" w:beforeAutospacing="0" w:after="0" w:afterLines="0" w:afterAutospacing="0" w:line="240" w:lineRule="auto"/>
                    <w:jc w:val="center"/>
                    <w:rPr>
                      <w:rFonts w:hint="eastAsia" w:ascii="Times New Roman" w:hAnsi="Times New Roman" w:eastAsia="宋体"/>
                      <w:b/>
                      <w:bCs/>
                      <w:color w:val="auto"/>
                      <w:sz w:val="21"/>
                      <w:szCs w:val="21"/>
                      <w:highlight w:val="none"/>
                      <w:lang w:val="en-US" w:eastAsia="zh-CN"/>
                    </w:rPr>
                  </w:pPr>
                  <w:r>
                    <w:rPr>
                      <w:rFonts w:hint="eastAsia" w:ascii="Times New Roman" w:hAnsi="Times New Roman"/>
                      <w:b/>
                      <w:bCs/>
                      <w:color w:val="auto"/>
                      <w:sz w:val="21"/>
                      <w:szCs w:val="21"/>
                      <w:highlight w:val="none"/>
                      <w:lang w:val="en-US" w:eastAsia="zh-CN"/>
                    </w:rPr>
                    <w:t>序号</w:t>
                  </w:r>
                </w:p>
              </w:tc>
              <w:tc>
                <w:tcPr>
                  <w:tcW w:w="797" w:type="pct"/>
                  <w:gridSpan w:val="2"/>
                  <w:vMerge w:val="restart"/>
                  <w:vAlign w:val="center"/>
                </w:tcPr>
                <w:p w14:paraId="13ECCB86">
                  <w:pPr>
                    <w:pStyle w:val="26"/>
                    <w:spacing w:before="0" w:beforeLines="0" w:beforeAutospacing="0" w:after="0" w:afterLines="0" w:afterAutospacing="0" w:line="240" w:lineRule="auto"/>
                    <w:jc w:val="center"/>
                    <w:rPr>
                      <w:rFonts w:hint="eastAsia" w:ascii="Times New Roman" w:hAnsi="Times New Roman" w:eastAsia="宋体"/>
                      <w:b/>
                      <w:bCs/>
                      <w:color w:val="auto"/>
                      <w:sz w:val="21"/>
                      <w:szCs w:val="21"/>
                      <w:highlight w:val="none"/>
                      <w:lang w:val="en-US" w:eastAsia="zh-CN"/>
                    </w:rPr>
                  </w:pPr>
                  <w:r>
                    <w:rPr>
                      <w:rFonts w:hint="eastAsia" w:ascii="Times New Roman" w:hAnsi="Times New Roman"/>
                      <w:b/>
                      <w:bCs/>
                      <w:color w:val="auto"/>
                      <w:sz w:val="21"/>
                      <w:szCs w:val="21"/>
                      <w:highlight w:val="none"/>
                      <w:lang w:val="en-US" w:eastAsia="zh-CN"/>
                    </w:rPr>
                    <w:t>污染物</w:t>
                  </w:r>
                </w:p>
              </w:tc>
              <w:tc>
                <w:tcPr>
                  <w:tcW w:w="727" w:type="pct"/>
                  <w:vMerge w:val="restart"/>
                  <w:vAlign w:val="center"/>
                </w:tcPr>
                <w:p w14:paraId="260477B1">
                  <w:pPr>
                    <w:pStyle w:val="26"/>
                    <w:spacing w:before="0" w:beforeLines="0" w:beforeAutospacing="0" w:after="0" w:afterLines="0" w:afterAutospacing="0" w:line="240" w:lineRule="auto"/>
                    <w:jc w:val="center"/>
                    <w:rPr>
                      <w:rFonts w:hint="eastAsia" w:ascii="Times New Roman" w:hAnsi="Times New Roman" w:eastAsia="宋体"/>
                      <w:b/>
                      <w:bCs/>
                      <w:color w:val="auto"/>
                      <w:sz w:val="21"/>
                      <w:szCs w:val="21"/>
                      <w:highlight w:val="none"/>
                      <w:lang w:val="en-US" w:eastAsia="zh-CN"/>
                    </w:rPr>
                  </w:pPr>
                  <w:r>
                    <w:rPr>
                      <w:rFonts w:hint="eastAsia" w:ascii="Times New Roman" w:hAnsi="Times New Roman" w:eastAsia="宋体"/>
                      <w:b/>
                      <w:bCs/>
                      <w:color w:val="auto"/>
                      <w:sz w:val="21"/>
                      <w:szCs w:val="21"/>
                      <w:highlight w:val="none"/>
                      <w:lang w:val="en-US" w:eastAsia="zh-CN"/>
                    </w:rPr>
                    <w:t>最高允许排放浓度（mg/m</w:t>
                  </w:r>
                  <w:r>
                    <w:rPr>
                      <w:rFonts w:hint="eastAsia" w:ascii="Times New Roman" w:hAnsi="Times New Roman" w:eastAsia="宋体"/>
                      <w:b/>
                      <w:bCs/>
                      <w:color w:val="auto"/>
                      <w:sz w:val="21"/>
                      <w:szCs w:val="21"/>
                      <w:highlight w:val="none"/>
                      <w:vertAlign w:val="superscript"/>
                      <w:lang w:val="en-US" w:eastAsia="zh-CN"/>
                    </w:rPr>
                    <w:t>3</w:t>
                  </w:r>
                  <w:r>
                    <w:rPr>
                      <w:rFonts w:hint="eastAsia" w:ascii="Times New Roman" w:hAnsi="Times New Roman" w:eastAsia="宋体"/>
                      <w:b/>
                      <w:bCs/>
                      <w:color w:val="auto"/>
                      <w:sz w:val="21"/>
                      <w:szCs w:val="21"/>
                      <w:highlight w:val="none"/>
                      <w:lang w:val="en-US" w:eastAsia="zh-CN"/>
                    </w:rPr>
                    <w:t>）</w:t>
                  </w:r>
                </w:p>
              </w:tc>
              <w:tc>
                <w:tcPr>
                  <w:tcW w:w="1135" w:type="pct"/>
                  <w:gridSpan w:val="2"/>
                  <w:vAlign w:val="center"/>
                </w:tcPr>
                <w:p w14:paraId="49009FAD">
                  <w:pPr>
                    <w:pStyle w:val="26"/>
                    <w:spacing w:before="0" w:beforeLines="0" w:beforeAutospacing="0" w:after="0" w:afterLines="0" w:afterAutospacing="0" w:line="240" w:lineRule="auto"/>
                    <w:jc w:val="center"/>
                    <w:rPr>
                      <w:rFonts w:ascii="Times New Roman" w:hAnsi="Times New Roman"/>
                      <w:b/>
                      <w:bCs/>
                      <w:color w:val="auto"/>
                      <w:sz w:val="21"/>
                      <w:szCs w:val="21"/>
                      <w:highlight w:val="none"/>
                    </w:rPr>
                  </w:pPr>
                  <w:r>
                    <w:rPr>
                      <w:rFonts w:hint="eastAsia" w:ascii="Times New Roman" w:hAnsi="Times New Roman"/>
                      <w:b/>
                      <w:bCs/>
                      <w:color w:val="auto"/>
                      <w:sz w:val="21"/>
                      <w:szCs w:val="21"/>
                      <w:highlight w:val="none"/>
                    </w:rPr>
                    <w:t>最高允许排放速率（kg/h）</w:t>
                  </w:r>
                </w:p>
              </w:tc>
              <w:tc>
                <w:tcPr>
                  <w:tcW w:w="612" w:type="pct"/>
                  <w:vMerge w:val="restart"/>
                  <w:vAlign w:val="center"/>
                </w:tcPr>
                <w:p w14:paraId="0D03C906">
                  <w:pPr>
                    <w:pStyle w:val="26"/>
                    <w:spacing w:before="0" w:beforeLines="0" w:beforeAutospacing="0" w:after="0" w:afterLines="0" w:afterAutospacing="0" w:line="240" w:lineRule="auto"/>
                    <w:jc w:val="center"/>
                    <w:rPr>
                      <w:rFonts w:hint="eastAsia" w:ascii="Times New Roman" w:hAnsi="Times New Roman"/>
                      <w:b/>
                      <w:bCs/>
                      <w:color w:val="auto"/>
                      <w:sz w:val="21"/>
                      <w:szCs w:val="21"/>
                      <w:highlight w:val="none"/>
                      <w:lang w:val="en-US" w:eastAsia="zh-CN"/>
                    </w:rPr>
                  </w:pPr>
                  <w:r>
                    <w:rPr>
                      <w:rFonts w:hint="eastAsia" w:ascii="Times New Roman" w:hAnsi="Times New Roman"/>
                      <w:b/>
                      <w:bCs/>
                      <w:color w:val="auto"/>
                      <w:sz w:val="21"/>
                      <w:szCs w:val="21"/>
                      <w:highlight w:val="none"/>
                      <w:lang w:val="en-US" w:eastAsia="zh-CN"/>
                    </w:rPr>
                    <w:t>污染物排放监控位置</w:t>
                  </w:r>
                </w:p>
              </w:tc>
              <w:tc>
                <w:tcPr>
                  <w:tcW w:w="1433" w:type="pct"/>
                  <w:vMerge w:val="restart"/>
                  <w:vAlign w:val="center"/>
                </w:tcPr>
                <w:p w14:paraId="2C1CE502">
                  <w:pPr>
                    <w:pStyle w:val="26"/>
                    <w:spacing w:before="0" w:beforeLines="0" w:beforeAutospacing="0" w:after="0" w:afterLines="0" w:afterAutospacing="0" w:line="240" w:lineRule="auto"/>
                    <w:jc w:val="center"/>
                    <w:rPr>
                      <w:rFonts w:hint="default" w:ascii="Times New Roman" w:hAnsi="Times New Roman" w:eastAsia="宋体"/>
                      <w:b/>
                      <w:bCs/>
                      <w:color w:val="auto"/>
                      <w:sz w:val="21"/>
                      <w:szCs w:val="21"/>
                      <w:highlight w:val="none"/>
                      <w:lang w:val="en-US" w:eastAsia="zh-CN"/>
                    </w:rPr>
                  </w:pPr>
                  <w:r>
                    <w:rPr>
                      <w:rFonts w:hint="eastAsia" w:ascii="Times New Roman" w:hAnsi="Times New Roman"/>
                      <w:b/>
                      <w:bCs/>
                      <w:color w:val="auto"/>
                      <w:sz w:val="21"/>
                      <w:szCs w:val="21"/>
                      <w:highlight w:val="none"/>
                      <w:lang w:val="en-US" w:eastAsia="zh-CN"/>
                    </w:rPr>
                    <w:t>标准来源</w:t>
                  </w:r>
                </w:p>
              </w:tc>
            </w:tr>
            <w:tr w14:paraId="04A493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94" w:type="pct"/>
                  <w:vMerge w:val="continue"/>
                  <w:vAlign w:val="center"/>
                </w:tcPr>
                <w:p w14:paraId="265FFC6E">
                  <w:pPr>
                    <w:pStyle w:val="26"/>
                    <w:spacing w:before="0" w:beforeLines="0" w:after="0" w:afterLines="0" w:line="240" w:lineRule="auto"/>
                    <w:jc w:val="center"/>
                    <w:rPr>
                      <w:rFonts w:ascii="Times New Roman" w:hAnsi="Times New Roman"/>
                      <w:color w:val="auto"/>
                      <w:sz w:val="21"/>
                      <w:szCs w:val="21"/>
                      <w:highlight w:val="none"/>
                    </w:rPr>
                  </w:pPr>
                </w:p>
              </w:tc>
              <w:tc>
                <w:tcPr>
                  <w:tcW w:w="797" w:type="pct"/>
                  <w:gridSpan w:val="2"/>
                  <w:vMerge w:val="continue"/>
                  <w:vAlign w:val="center"/>
                </w:tcPr>
                <w:p w14:paraId="6ABA0336">
                  <w:pPr>
                    <w:pStyle w:val="26"/>
                    <w:spacing w:before="0" w:beforeLines="0" w:after="0" w:afterLines="0" w:line="240" w:lineRule="auto"/>
                    <w:jc w:val="center"/>
                    <w:rPr>
                      <w:rFonts w:ascii="Times New Roman" w:hAnsi="Times New Roman"/>
                      <w:color w:val="auto"/>
                      <w:sz w:val="21"/>
                      <w:szCs w:val="21"/>
                      <w:highlight w:val="none"/>
                    </w:rPr>
                  </w:pPr>
                </w:p>
              </w:tc>
              <w:tc>
                <w:tcPr>
                  <w:tcW w:w="727" w:type="pct"/>
                  <w:vMerge w:val="continue"/>
                  <w:vAlign w:val="center"/>
                </w:tcPr>
                <w:p w14:paraId="53322521">
                  <w:pPr>
                    <w:pStyle w:val="26"/>
                    <w:spacing w:before="0" w:beforeLines="0" w:after="0" w:afterLines="0" w:line="240" w:lineRule="auto"/>
                    <w:jc w:val="center"/>
                    <w:rPr>
                      <w:rFonts w:ascii="Times New Roman" w:hAnsi="Times New Roman"/>
                      <w:color w:val="auto"/>
                      <w:sz w:val="21"/>
                      <w:szCs w:val="21"/>
                      <w:highlight w:val="none"/>
                    </w:rPr>
                  </w:pPr>
                </w:p>
              </w:tc>
              <w:tc>
                <w:tcPr>
                  <w:tcW w:w="660" w:type="pct"/>
                  <w:vAlign w:val="center"/>
                </w:tcPr>
                <w:p w14:paraId="5CF2B770">
                  <w:pPr>
                    <w:pStyle w:val="26"/>
                    <w:spacing w:before="0" w:beforeLines="0" w:after="0" w:afterLines="0" w:line="240" w:lineRule="auto"/>
                    <w:jc w:val="center"/>
                    <w:rPr>
                      <w:rFonts w:ascii="Times New Roman" w:hAnsi="Times New Roman"/>
                      <w:b/>
                      <w:bCs/>
                      <w:color w:val="auto"/>
                      <w:sz w:val="21"/>
                      <w:szCs w:val="21"/>
                      <w:highlight w:val="none"/>
                    </w:rPr>
                  </w:pPr>
                  <w:r>
                    <w:rPr>
                      <w:rFonts w:hint="eastAsia" w:ascii="Times New Roman" w:hAnsi="Times New Roman"/>
                      <w:b/>
                      <w:bCs/>
                      <w:color w:val="auto"/>
                      <w:sz w:val="21"/>
                      <w:szCs w:val="21"/>
                      <w:highlight w:val="none"/>
                    </w:rPr>
                    <w:t>排气筒</w:t>
                  </w:r>
                </w:p>
              </w:tc>
              <w:tc>
                <w:tcPr>
                  <w:tcW w:w="474" w:type="pct"/>
                  <w:vAlign w:val="center"/>
                </w:tcPr>
                <w:p w14:paraId="369A3373">
                  <w:pPr>
                    <w:pStyle w:val="26"/>
                    <w:spacing w:before="0" w:beforeLines="0" w:after="0" w:afterLines="0" w:line="240" w:lineRule="auto"/>
                    <w:jc w:val="center"/>
                    <w:rPr>
                      <w:rFonts w:ascii="Times New Roman" w:hAnsi="Times New Roman"/>
                      <w:b/>
                      <w:bCs/>
                      <w:color w:val="auto"/>
                      <w:sz w:val="21"/>
                      <w:szCs w:val="21"/>
                      <w:highlight w:val="none"/>
                    </w:rPr>
                  </w:pPr>
                  <w:r>
                    <w:rPr>
                      <w:rFonts w:ascii="Times New Roman" w:hAnsi="Times New Roman"/>
                      <w:b/>
                      <w:bCs/>
                      <w:color w:val="auto"/>
                      <w:sz w:val="21"/>
                      <w:szCs w:val="21"/>
                      <w:highlight w:val="none"/>
                    </w:rPr>
                    <w:t>二级</w:t>
                  </w:r>
                </w:p>
              </w:tc>
              <w:tc>
                <w:tcPr>
                  <w:tcW w:w="612" w:type="pct"/>
                  <w:vMerge w:val="continue"/>
                  <w:vAlign w:val="center"/>
                </w:tcPr>
                <w:p w14:paraId="5AE19313">
                  <w:pPr>
                    <w:pStyle w:val="26"/>
                    <w:spacing w:before="0" w:beforeLines="0" w:after="0" w:afterLines="0" w:line="240" w:lineRule="auto"/>
                    <w:jc w:val="center"/>
                    <w:rPr>
                      <w:rFonts w:ascii="Times New Roman" w:hAnsi="Times New Roman"/>
                      <w:b/>
                      <w:bCs/>
                      <w:color w:val="auto"/>
                      <w:sz w:val="21"/>
                      <w:szCs w:val="21"/>
                      <w:highlight w:val="none"/>
                    </w:rPr>
                  </w:pPr>
                </w:p>
              </w:tc>
              <w:tc>
                <w:tcPr>
                  <w:tcW w:w="1433" w:type="pct"/>
                  <w:vMerge w:val="continue"/>
                  <w:vAlign w:val="center"/>
                </w:tcPr>
                <w:p w14:paraId="6C4513E7">
                  <w:pPr>
                    <w:pStyle w:val="26"/>
                    <w:spacing w:before="0" w:beforeLines="0" w:after="0" w:afterLines="0" w:line="240" w:lineRule="auto"/>
                    <w:jc w:val="center"/>
                    <w:rPr>
                      <w:rFonts w:ascii="Times New Roman" w:hAnsi="Times New Roman"/>
                      <w:b/>
                      <w:bCs/>
                      <w:color w:val="auto"/>
                      <w:sz w:val="21"/>
                      <w:szCs w:val="21"/>
                      <w:highlight w:val="none"/>
                    </w:rPr>
                  </w:pPr>
                </w:p>
              </w:tc>
            </w:tr>
            <w:tr w14:paraId="1F29A5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294" w:type="pct"/>
                  <w:vAlign w:val="center"/>
                </w:tcPr>
                <w:p w14:paraId="69679FDA">
                  <w:pPr>
                    <w:pStyle w:val="26"/>
                    <w:spacing w:before="0" w:beforeLines="0" w:after="0" w:afterLines="0" w:line="240" w:lineRule="auto"/>
                    <w:jc w:val="center"/>
                    <w:rPr>
                      <w:rFonts w:hint="eastAsia"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1</w:t>
                  </w:r>
                </w:p>
              </w:tc>
              <w:tc>
                <w:tcPr>
                  <w:tcW w:w="232" w:type="pct"/>
                  <w:vMerge w:val="restart"/>
                  <w:vAlign w:val="center"/>
                </w:tcPr>
                <w:p w14:paraId="26B833A2">
                  <w:pPr>
                    <w:pStyle w:val="26"/>
                    <w:spacing w:before="0" w:beforeLines="0" w:after="0" w:afterLines="0" w:line="240" w:lineRule="auto"/>
                    <w:jc w:val="center"/>
                    <w:rPr>
                      <w:rFonts w:hint="default"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有组织</w:t>
                  </w:r>
                </w:p>
              </w:tc>
              <w:tc>
                <w:tcPr>
                  <w:tcW w:w="565" w:type="pct"/>
                  <w:shd w:val="clear" w:color="auto" w:fill="auto"/>
                  <w:vAlign w:val="center"/>
                </w:tcPr>
                <w:p w14:paraId="3F0B07F2">
                  <w:pPr>
                    <w:pStyle w:val="26"/>
                    <w:spacing w:before="0" w:beforeLines="0" w:after="0" w:afterLines="0"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非甲烷总烃</w:t>
                  </w:r>
                </w:p>
              </w:tc>
              <w:tc>
                <w:tcPr>
                  <w:tcW w:w="727" w:type="pct"/>
                  <w:vAlign w:val="center"/>
                </w:tcPr>
                <w:p w14:paraId="68D159A5">
                  <w:pPr>
                    <w:pStyle w:val="26"/>
                    <w:spacing w:before="0" w:beforeLines="0" w:after="0" w:afterLines="0" w:line="240" w:lineRule="auto"/>
                    <w:jc w:val="center"/>
                    <w:rPr>
                      <w:rFonts w:hint="default"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60</w:t>
                  </w:r>
                </w:p>
              </w:tc>
              <w:tc>
                <w:tcPr>
                  <w:tcW w:w="660" w:type="pct"/>
                  <w:vAlign w:val="center"/>
                </w:tcPr>
                <w:p w14:paraId="1202D7A7">
                  <w:pPr>
                    <w:pStyle w:val="26"/>
                    <w:spacing w:before="0" w:beforeLines="0" w:after="0" w:afterLines="0" w:line="240" w:lineRule="auto"/>
                    <w:jc w:val="center"/>
                    <w:rPr>
                      <w:rFonts w:hint="default"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20</w:t>
                  </w:r>
                </w:p>
              </w:tc>
              <w:tc>
                <w:tcPr>
                  <w:tcW w:w="474" w:type="pct"/>
                  <w:vAlign w:val="center"/>
                </w:tcPr>
                <w:p w14:paraId="6D9FD43F">
                  <w:pPr>
                    <w:pStyle w:val="26"/>
                    <w:spacing w:before="0" w:beforeLines="0" w:after="0" w:afterLines="0" w:line="240" w:lineRule="auto"/>
                    <w:jc w:val="center"/>
                    <w:rPr>
                      <w:rFonts w:hint="default"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w:t>
                  </w:r>
                </w:p>
              </w:tc>
              <w:tc>
                <w:tcPr>
                  <w:tcW w:w="612" w:type="pct"/>
                  <w:vMerge w:val="restart"/>
                  <w:vAlign w:val="center"/>
                </w:tcPr>
                <w:p w14:paraId="429A972E">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车间或生产设施排气筒</w:t>
                  </w:r>
                </w:p>
              </w:tc>
              <w:tc>
                <w:tcPr>
                  <w:tcW w:w="1433" w:type="pct"/>
                  <w:vMerge w:val="restart"/>
                  <w:vAlign w:val="center"/>
                </w:tcPr>
                <w:p w14:paraId="1764892B">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《涂料、油墨及胶粘剂工业大气污染物排放标准》（GB37824-2019）中表2大气污染物特别排放限值</w:t>
                  </w:r>
                </w:p>
              </w:tc>
            </w:tr>
            <w:tr w14:paraId="0406D8F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94" w:type="pct"/>
                  <w:vAlign w:val="center"/>
                </w:tcPr>
                <w:p w14:paraId="547624C4">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2</w:t>
                  </w:r>
                </w:p>
              </w:tc>
              <w:tc>
                <w:tcPr>
                  <w:tcW w:w="232" w:type="pct"/>
                  <w:vMerge w:val="continue"/>
                  <w:vAlign w:val="center"/>
                </w:tcPr>
                <w:p w14:paraId="18BAA2F9">
                  <w:pPr>
                    <w:pStyle w:val="26"/>
                    <w:spacing w:before="0" w:beforeLines="0" w:after="0" w:afterLines="0" w:line="240" w:lineRule="auto"/>
                    <w:jc w:val="center"/>
                    <w:rPr>
                      <w:rFonts w:hint="default" w:ascii="Times New Roman" w:hAnsi="Times New Roman" w:eastAsia="宋体"/>
                      <w:color w:val="auto"/>
                      <w:sz w:val="21"/>
                      <w:szCs w:val="21"/>
                      <w:highlight w:val="none"/>
                      <w:lang w:val="en-US" w:eastAsia="zh-CN"/>
                    </w:rPr>
                  </w:pPr>
                </w:p>
              </w:tc>
              <w:tc>
                <w:tcPr>
                  <w:tcW w:w="565" w:type="pct"/>
                  <w:shd w:val="clear" w:color="auto" w:fill="auto"/>
                  <w:vAlign w:val="center"/>
                </w:tcPr>
                <w:p w14:paraId="6621DC71">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沥青烟</w:t>
                  </w:r>
                </w:p>
              </w:tc>
              <w:tc>
                <w:tcPr>
                  <w:tcW w:w="727" w:type="pct"/>
                  <w:vAlign w:val="center"/>
                </w:tcPr>
                <w:p w14:paraId="69ECBE11">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40</w:t>
                  </w:r>
                </w:p>
              </w:tc>
              <w:tc>
                <w:tcPr>
                  <w:tcW w:w="660" w:type="pct"/>
                  <w:vAlign w:val="center"/>
                </w:tcPr>
                <w:p w14:paraId="2636DD66">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20</w:t>
                  </w:r>
                </w:p>
              </w:tc>
              <w:tc>
                <w:tcPr>
                  <w:tcW w:w="474" w:type="pct"/>
                  <w:vAlign w:val="center"/>
                </w:tcPr>
                <w:p w14:paraId="3FA9E408">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0.3</w:t>
                  </w:r>
                </w:p>
              </w:tc>
              <w:tc>
                <w:tcPr>
                  <w:tcW w:w="612" w:type="pct"/>
                  <w:vMerge w:val="continue"/>
                  <w:vAlign w:val="center"/>
                </w:tcPr>
                <w:p w14:paraId="20DE4200">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p>
              </w:tc>
              <w:tc>
                <w:tcPr>
                  <w:tcW w:w="1433" w:type="pct"/>
                  <w:vMerge w:val="restart"/>
                  <w:vAlign w:val="center"/>
                </w:tcPr>
                <w:p w14:paraId="2C87FB95">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《大气污染物综合排放标准》（GB16297-1996）中表2大气污染物二级排放限值</w:t>
                  </w:r>
                </w:p>
              </w:tc>
            </w:tr>
            <w:tr w14:paraId="7EA94EE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94" w:type="pct"/>
                  <w:shd w:val="clear" w:color="auto" w:fill="auto"/>
                  <w:vAlign w:val="center"/>
                </w:tcPr>
                <w:p w14:paraId="34007970">
                  <w:pPr>
                    <w:pStyle w:val="26"/>
                    <w:spacing w:before="0" w:beforeLines="0" w:after="0" w:afterLines="0"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3</w:t>
                  </w:r>
                </w:p>
              </w:tc>
              <w:tc>
                <w:tcPr>
                  <w:tcW w:w="232" w:type="pct"/>
                  <w:vMerge w:val="continue"/>
                  <w:vAlign w:val="center"/>
                </w:tcPr>
                <w:p w14:paraId="1AFE9C1F">
                  <w:pPr>
                    <w:pStyle w:val="26"/>
                    <w:spacing w:before="0" w:beforeLines="0" w:after="0" w:afterLines="0" w:line="240" w:lineRule="auto"/>
                    <w:jc w:val="center"/>
                    <w:rPr>
                      <w:rFonts w:hint="default" w:ascii="Times New Roman" w:hAnsi="Times New Roman" w:eastAsia="宋体"/>
                      <w:color w:val="auto"/>
                      <w:sz w:val="21"/>
                      <w:szCs w:val="21"/>
                      <w:highlight w:val="none"/>
                      <w:lang w:val="en-US" w:eastAsia="zh-CN"/>
                    </w:rPr>
                  </w:pPr>
                </w:p>
              </w:tc>
              <w:tc>
                <w:tcPr>
                  <w:tcW w:w="565" w:type="pct"/>
                  <w:shd w:val="clear" w:color="auto" w:fill="auto"/>
                  <w:vAlign w:val="center"/>
                </w:tcPr>
                <w:p w14:paraId="3BE53247">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苯并[a]芘</w:t>
                  </w:r>
                </w:p>
              </w:tc>
              <w:tc>
                <w:tcPr>
                  <w:tcW w:w="727" w:type="pct"/>
                  <w:vAlign w:val="center"/>
                </w:tcPr>
                <w:p w14:paraId="5CCF3FF8">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0.0003</w:t>
                  </w:r>
                </w:p>
              </w:tc>
              <w:tc>
                <w:tcPr>
                  <w:tcW w:w="660" w:type="pct"/>
                  <w:vAlign w:val="center"/>
                </w:tcPr>
                <w:p w14:paraId="719380C5">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20</w:t>
                  </w:r>
                </w:p>
              </w:tc>
              <w:tc>
                <w:tcPr>
                  <w:tcW w:w="474" w:type="pct"/>
                  <w:vAlign w:val="center"/>
                </w:tcPr>
                <w:p w14:paraId="5B01D191">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0.000085</w:t>
                  </w:r>
                </w:p>
              </w:tc>
              <w:tc>
                <w:tcPr>
                  <w:tcW w:w="612" w:type="pct"/>
                  <w:vMerge w:val="continue"/>
                  <w:vAlign w:val="center"/>
                </w:tcPr>
                <w:p w14:paraId="095E619E">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p>
              </w:tc>
              <w:tc>
                <w:tcPr>
                  <w:tcW w:w="1433" w:type="pct"/>
                  <w:vMerge w:val="continue"/>
                  <w:vAlign w:val="center"/>
                </w:tcPr>
                <w:p w14:paraId="45D27C9F">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p>
              </w:tc>
            </w:tr>
            <w:tr w14:paraId="536FE4E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94" w:type="pct"/>
                  <w:shd w:val="clear" w:color="auto" w:fill="auto"/>
                  <w:vAlign w:val="center"/>
                </w:tcPr>
                <w:p w14:paraId="7ADFF98A">
                  <w:pPr>
                    <w:pStyle w:val="26"/>
                    <w:spacing w:before="0" w:beforeLines="0" w:after="0" w:afterLines="0"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4</w:t>
                  </w:r>
                </w:p>
              </w:tc>
              <w:tc>
                <w:tcPr>
                  <w:tcW w:w="232" w:type="pct"/>
                  <w:vMerge w:val="restart"/>
                  <w:vAlign w:val="center"/>
                </w:tcPr>
                <w:p w14:paraId="7535F65C">
                  <w:pPr>
                    <w:pStyle w:val="26"/>
                    <w:spacing w:before="0" w:beforeLines="0" w:after="0" w:afterLines="0" w:line="240" w:lineRule="auto"/>
                    <w:jc w:val="center"/>
                    <w:rPr>
                      <w:rFonts w:hint="default"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无组织</w:t>
                  </w:r>
                </w:p>
              </w:tc>
              <w:tc>
                <w:tcPr>
                  <w:tcW w:w="565" w:type="pct"/>
                  <w:shd w:val="clear" w:color="auto" w:fill="auto"/>
                  <w:vAlign w:val="center"/>
                </w:tcPr>
                <w:p w14:paraId="151546BF">
                  <w:pPr>
                    <w:pStyle w:val="26"/>
                    <w:spacing w:before="0" w:beforeLines="0" w:after="0" w:afterLines="0"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颗粒物</w:t>
                  </w:r>
                </w:p>
              </w:tc>
              <w:tc>
                <w:tcPr>
                  <w:tcW w:w="727" w:type="pct"/>
                  <w:vAlign w:val="center"/>
                </w:tcPr>
                <w:p w14:paraId="1BEDFBEA">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1.0</w:t>
                  </w:r>
                </w:p>
              </w:tc>
              <w:tc>
                <w:tcPr>
                  <w:tcW w:w="660" w:type="pct"/>
                  <w:vAlign w:val="center"/>
                </w:tcPr>
                <w:p w14:paraId="386FB573">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w:t>
                  </w:r>
                </w:p>
              </w:tc>
              <w:tc>
                <w:tcPr>
                  <w:tcW w:w="474" w:type="pct"/>
                  <w:vAlign w:val="center"/>
                </w:tcPr>
                <w:p w14:paraId="14AB16DD">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w:t>
                  </w:r>
                </w:p>
              </w:tc>
              <w:tc>
                <w:tcPr>
                  <w:tcW w:w="612" w:type="pct"/>
                  <w:vMerge w:val="restart"/>
                  <w:vAlign w:val="center"/>
                </w:tcPr>
                <w:p w14:paraId="60C7C1B4">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厂界</w:t>
                  </w:r>
                  <w:r>
                    <w:rPr>
                      <w:rFonts w:hint="default" w:ascii="Times New Roman" w:hAnsi="Times New Roman" w:cs="Times New Roman"/>
                      <w:color w:val="auto"/>
                      <w:sz w:val="21"/>
                      <w:szCs w:val="21"/>
                      <w:highlight w:val="none"/>
                    </w:rPr>
                    <w:t>外浓度最高点</w:t>
                  </w:r>
                </w:p>
              </w:tc>
              <w:tc>
                <w:tcPr>
                  <w:tcW w:w="1433" w:type="pct"/>
                  <w:vMerge w:val="restart"/>
                  <w:vAlign w:val="center"/>
                </w:tcPr>
                <w:p w14:paraId="0D150A2D">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《大气污染物综合排放标准》（GB16297-1996）无组织管控限值</w:t>
                  </w:r>
                </w:p>
              </w:tc>
            </w:tr>
            <w:tr w14:paraId="196284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94" w:type="pct"/>
                  <w:shd w:val="clear" w:color="auto" w:fill="auto"/>
                  <w:vAlign w:val="center"/>
                </w:tcPr>
                <w:p w14:paraId="0FA42224">
                  <w:pPr>
                    <w:pStyle w:val="26"/>
                    <w:spacing w:before="0" w:beforeLines="0" w:after="0" w:afterLines="0"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5</w:t>
                  </w:r>
                </w:p>
              </w:tc>
              <w:tc>
                <w:tcPr>
                  <w:tcW w:w="232" w:type="pct"/>
                  <w:vMerge w:val="continue"/>
                  <w:vAlign w:val="center"/>
                </w:tcPr>
                <w:p w14:paraId="556F973B">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p>
              </w:tc>
              <w:tc>
                <w:tcPr>
                  <w:tcW w:w="565" w:type="pct"/>
                  <w:shd w:val="clear" w:color="auto" w:fill="auto"/>
                  <w:vAlign w:val="center"/>
                </w:tcPr>
                <w:p w14:paraId="3C2159F8">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非甲烷总烃</w:t>
                  </w:r>
                </w:p>
              </w:tc>
              <w:tc>
                <w:tcPr>
                  <w:tcW w:w="727" w:type="pct"/>
                  <w:shd w:val="clear" w:color="auto" w:fill="auto"/>
                  <w:vAlign w:val="center"/>
                </w:tcPr>
                <w:p w14:paraId="022F4C41">
                  <w:pPr>
                    <w:pStyle w:val="26"/>
                    <w:spacing w:before="0" w:beforeLines="0" w:after="0" w:afterLines="0"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4.0</w:t>
                  </w:r>
                </w:p>
              </w:tc>
              <w:tc>
                <w:tcPr>
                  <w:tcW w:w="660" w:type="pct"/>
                  <w:shd w:val="clear" w:color="auto" w:fill="auto"/>
                  <w:vAlign w:val="center"/>
                </w:tcPr>
                <w:p w14:paraId="736585B7">
                  <w:pPr>
                    <w:pStyle w:val="26"/>
                    <w:spacing w:before="0" w:beforeLines="0" w:after="0" w:afterLines="0"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w:t>
                  </w:r>
                </w:p>
              </w:tc>
              <w:tc>
                <w:tcPr>
                  <w:tcW w:w="474" w:type="pct"/>
                  <w:shd w:val="clear" w:color="auto" w:fill="auto"/>
                  <w:vAlign w:val="center"/>
                </w:tcPr>
                <w:p w14:paraId="5A94968C">
                  <w:pPr>
                    <w:pStyle w:val="26"/>
                    <w:spacing w:before="0" w:beforeLines="0" w:after="0" w:afterLines="0"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w:t>
                  </w:r>
                </w:p>
              </w:tc>
              <w:tc>
                <w:tcPr>
                  <w:tcW w:w="612" w:type="pct"/>
                  <w:vMerge w:val="continue"/>
                  <w:vAlign w:val="center"/>
                </w:tcPr>
                <w:p w14:paraId="40AFE3FE">
                  <w:pPr>
                    <w:pStyle w:val="26"/>
                    <w:spacing w:before="0" w:beforeLines="0" w:after="0" w:afterLines="0" w:line="240" w:lineRule="auto"/>
                    <w:jc w:val="center"/>
                    <w:rPr>
                      <w:rFonts w:hint="eastAsia" w:ascii="Times New Roman" w:hAnsi="Times New Roman" w:cs="Times New Roman"/>
                      <w:color w:val="auto"/>
                      <w:sz w:val="21"/>
                      <w:szCs w:val="21"/>
                      <w:highlight w:val="none"/>
                      <w:lang w:val="en-US" w:eastAsia="zh-CN"/>
                    </w:rPr>
                  </w:pPr>
                </w:p>
              </w:tc>
              <w:tc>
                <w:tcPr>
                  <w:tcW w:w="1433" w:type="pct"/>
                  <w:vMerge w:val="continue"/>
                  <w:vAlign w:val="center"/>
                </w:tcPr>
                <w:p w14:paraId="140D8D13">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p>
              </w:tc>
            </w:tr>
            <w:tr w14:paraId="38F897E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94" w:type="pct"/>
                  <w:vAlign w:val="center"/>
                </w:tcPr>
                <w:p w14:paraId="3F6D66BA">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6</w:t>
                  </w:r>
                </w:p>
              </w:tc>
              <w:tc>
                <w:tcPr>
                  <w:tcW w:w="232" w:type="pct"/>
                  <w:vMerge w:val="continue"/>
                  <w:vAlign w:val="center"/>
                </w:tcPr>
                <w:p w14:paraId="5B2188DC">
                  <w:pPr>
                    <w:pStyle w:val="26"/>
                    <w:spacing w:before="0" w:beforeLines="0" w:after="0" w:afterLines="0" w:line="240" w:lineRule="auto"/>
                    <w:jc w:val="center"/>
                    <w:rPr>
                      <w:rFonts w:hint="default" w:ascii="Times New Roman" w:hAnsi="Times New Roman" w:eastAsia="宋体"/>
                      <w:color w:val="auto"/>
                      <w:sz w:val="21"/>
                      <w:szCs w:val="21"/>
                      <w:highlight w:val="none"/>
                      <w:lang w:val="en-US" w:eastAsia="zh-CN"/>
                    </w:rPr>
                  </w:pPr>
                </w:p>
              </w:tc>
              <w:tc>
                <w:tcPr>
                  <w:tcW w:w="565" w:type="pct"/>
                  <w:shd w:val="clear" w:color="auto" w:fill="auto"/>
                  <w:vAlign w:val="center"/>
                </w:tcPr>
                <w:p w14:paraId="305CA5B1">
                  <w:pPr>
                    <w:pStyle w:val="26"/>
                    <w:spacing w:before="0" w:beforeLines="0" w:after="0" w:afterLines="0"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沥青烟</w:t>
                  </w:r>
                </w:p>
              </w:tc>
              <w:tc>
                <w:tcPr>
                  <w:tcW w:w="1862" w:type="pct"/>
                  <w:gridSpan w:val="3"/>
                  <w:vAlign w:val="center"/>
                </w:tcPr>
                <w:p w14:paraId="631100A5">
                  <w:pPr>
                    <w:pStyle w:val="26"/>
                    <w:spacing w:before="0" w:beforeLines="0" w:after="0" w:afterLines="0"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0"/>
                      <w:sz w:val="21"/>
                      <w:szCs w:val="21"/>
                      <w:highlight w:val="none"/>
                      <w:lang w:val="en-US" w:eastAsia="zh-CN" w:bidi="ar-SA"/>
                    </w:rPr>
                    <w:t>生产设备不得有明显的无组织排放存在</w:t>
                  </w:r>
                </w:p>
              </w:tc>
              <w:tc>
                <w:tcPr>
                  <w:tcW w:w="612" w:type="pct"/>
                  <w:vMerge w:val="continue"/>
                  <w:vAlign w:val="center"/>
                </w:tcPr>
                <w:p w14:paraId="04CDD579">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p>
              </w:tc>
              <w:tc>
                <w:tcPr>
                  <w:tcW w:w="1433" w:type="pct"/>
                  <w:vMerge w:val="continue"/>
                  <w:vAlign w:val="center"/>
                </w:tcPr>
                <w:p w14:paraId="6DEB96EA">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p>
              </w:tc>
            </w:tr>
            <w:tr w14:paraId="2599CB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94" w:type="pct"/>
                  <w:vAlign w:val="center"/>
                </w:tcPr>
                <w:p w14:paraId="63BC9A15">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7</w:t>
                  </w:r>
                </w:p>
              </w:tc>
              <w:tc>
                <w:tcPr>
                  <w:tcW w:w="232" w:type="pct"/>
                  <w:vMerge w:val="continue"/>
                  <w:vAlign w:val="center"/>
                </w:tcPr>
                <w:p w14:paraId="153951B2">
                  <w:pPr>
                    <w:pStyle w:val="26"/>
                    <w:spacing w:before="0" w:beforeLines="0" w:after="0" w:afterLines="0" w:line="240" w:lineRule="auto"/>
                    <w:jc w:val="center"/>
                    <w:rPr>
                      <w:rFonts w:hint="default" w:ascii="Times New Roman" w:hAnsi="Times New Roman" w:eastAsia="宋体"/>
                      <w:color w:val="auto"/>
                      <w:sz w:val="21"/>
                      <w:szCs w:val="21"/>
                      <w:highlight w:val="none"/>
                      <w:lang w:val="en-US" w:eastAsia="zh-CN"/>
                    </w:rPr>
                  </w:pPr>
                </w:p>
              </w:tc>
              <w:tc>
                <w:tcPr>
                  <w:tcW w:w="565" w:type="pct"/>
                  <w:shd w:val="clear" w:color="auto" w:fill="auto"/>
                  <w:vAlign w:val="center"/>
                </w:tcPr>
                <w:p w14:paraId="4D029E84">
                  <w:pPr>
                    <w:pStyle w:val="26"/>
                    <w:spacing w:before="0" w:beforeLines="0" w:after="0" w:afterLines="0"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苯并[a]芘</w:t>
                  </w:r>
                </w:p>
              </w:tc>
              <w:tc>
                <w:tcPr>
                  <w:tcW w:w="727" w:type="pct"/>
                  <w:vAlign w:val="center"/>
                </w:tcPr>
                <w:p w14:paraId="4DB2FE94">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0.008</w:t>
                  </w:r>
                </w:p>
              </w:tc>
              <w:tc>
                <w:tcPr>
                  <w:tcW w:w="660" w:type="pct"/>
                  <w:shd w:val="clear" w:color="auto" w:fill="auto"/>
                  <w:vAlign w:val="center"/>
                </w:tcPr>
                <w:p w14:paraId="41F6792C">
                  <w:pPr>
                    <w:pStyle w:val="26"/>
                    <w:spacing w:before="0" w:beforeLines="0" w:after="0" w:afterLines="0"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w:t>
                  </w:r>
                </w:p>
              </w:tc>
              <w:tc>
                <w:tcPr>
                  <w:tcW w:w="474" w:type="pct"/>
                  <w:shd w:val="clear" w:color="auto" w:fill="auto"/>
                  <w:vAlign w:val="center"/>
                </w:tcPr>
                <w:p w14:paraId="6FC7A6D7">
                  <w:pPr>
                    <w:pStyle w:val="26"/>
                    <w:spacing w:before="0" w:beforeLines="0" w:after="0" w:afterLines="0"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w:t>
                  </w:r>
                </w:p>
              </w:tc>
              <w:tc>
                <w:tcPr>
                  <w:tcW w:w="612" w:type="pct"/>
                  <w:vMerge w:val="continue"/>
                  <w:vAlign w:val="center"/>
                </w:tcPr>
                <w:p w14:paraId="28AD11A2">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p>
              </w:tc>
              <w:tc>
                <w:tcPr>
                  <w:tcW w:w="1433" w:type="pct"/>
                  <w:vMerge w:val="continue"/>
                  <w:vAlign w:val="center"/>
                </w:tcPr>
                <w:p w14:paraId="1B9A46F8">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p>
              </w:tc>
            </w:tr>
          </w:tbl>
          <w:p w14:paraId="34737C78">
            <w:pPr>
              <w:adjustRightInd w:val="0"/>
              <w:snapToGrid w:val="0"/>
              <w:spacing w:line="520" w:lineRule="exact"/>
              <w:jc w:val="center"/>
              <w:rPr>
                <w:b/>
                <w:color w:val="auto"/>
                <w:szCs w:val="21"/>
                <w:highlight w:val="none"/>
              </w:rPr>
            </w:pPr>
            <w:r>
              <w:rPr>
                <w:b/>
                <w:color w:val="auto"/>
                <w:szCs w:val="21"/>
                <w:highlight w:val="none"/>
              </w:rPr>
              <w:t>表</w:t>
            </w:r>
            <w:r>
              <w:rPr>
                <w:rFonts w:hint="eastAsia"/>
                <w:b/>
                <w:color w:val="auto"/>
                <w:szCs w:val="21"/>
                <w:highlight w:val="none"/>
                <w:lang w:val="en-US" w:eastAsia="zh-CN"/>
              </w:rPr>
              <w:t>3-7</w:t>
            </w:r>
            <w:r>
              <w:rPr>
                <w:rFonts w:hint="eastAsia"/>
                <w:b/>
                <w:color w:val="auto"/>
                <w:szCs w:val="21"/>
                <w:highlight w:val="none"/>
              </w:rPr>
              <w:t xml:space="preserve">    </w:t>
            </w:r>
            <w:r>
              <w:rPr>
                <w:rFonts w:hint="eastAsia"/>
                <w:b/>
                <w:color w:val="auto"/>
                <w:szCs w:val="21"/>
                <w:highlight w:val="none"/>
                <w:lang w:val="en-US" w:eastAsia="zh-CN"/>
              </w:rPr>
              <w:t>燃气导热油</w:t>
            </w:r>
            <w:r>
              <w:rPr>
                <w:rFonts w:hint="eastAsia"/>
                <w:b/>
                <w:color w:val="auto"/>
                <w:szCs w:val="21"/>
                <w:highlight w:val="none"/>
              </w:rPr>
              <w:t>锅炉燃烧废气排放限值</w:t>
            </w:r>
          </w:p>
          <w:tbl>
            <w:tblPr>
              <w:tblStyle w:val="19"/>
              <w:tblW w:w="4998"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03"/>
              <w:gridCol w:w="2234"/>
              <w:gridCol w:w="4434"/>
            </w:tblGrid>
            <w:tr w14:paraId="390B25C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23" w:hRule="atLeast"/>
                <w:tblHeader/>
                <w:jc w:val="center"/>
              </w:trPr>
              <w:tc>
                <w:tcPr>
                  <w:tcW w:w="817" w:type="pct"/>
                  <w:tcBorders>
                    <w:bottom w:val="single" w:color="auto" w:sz="4" w:space="0"/>
                  </w:tcBorders>
                  <w:vAlign w:val="center"/>
                </w:tcPr>
                <w:p w14:paraId="4BDB8AF3">
                  <w:pPr>
                    <w:adjustRightInd w:val="0"/>
                    <w:jc w:val="center"/>
                    <w:rPr>
                      <w:b/>
                      <w:bCs/>
                      <w:color w:val="auto"/>
                      <w:kern w:val="28"/>
                      <w:szCs w:val="21"/>
                      <w:highlight w:val="none"/>
                    </w:rPr>
                  </w:pPr>
                  <w:r>
                    <w:rPr>
                      <w:b/>
                      <w:bCs/>
                      <w:color w:val="auto"/>
                      <w:kern w:val="28"/>
                      <w:szCs w:val="21"/>
                      <w:highlight w:val="none"/>
                    </w:rPr>
                    <w:t>污染因子</w:t>
                  </w:r>
                </w:p>
              </w:tc>
              <w:tc>
                <w:tcPr>
                  <w:tcW w:w="1401" w:type="pct"/>
                  <w:tcBorders>
                    <w:bottom w:val="single" w:color="auto" w:sz="4" w:space="0"/>
                  </w:tcBorders>
                  <w:vAlign w:val="center"/>
                </w:tcPr>
                <w:p w14:paraId="5A6A9C91">
                  <w:pPr>
                    <w:adjustRightInd w:val="0"/>
                    <w:jc w:val="center"/>
                    <w:rPr>
                      <w:b/>
                      <w:bCs/>
                      <w:color w:val="auto"/>
                      <w:kern w:val="28"/>
                      <w:szCs w:val="21"/>
                      <w:highlight w:val="none"/>
                    </w:rPr>
                  </w:pPr>
                  <w:r>
                    <w:rPr>
                      <w:rFonts w:hint="eastAsia"/>
                      <w:b/>
                      <w:bCs/>
                      <w:color w:val="auto"/>
                      <w:kern w:val="28"/>
                      <w:szCs w:val="21"/>
                      <w:highlight w:val="none"/>
                    </w:rPr>
                    <w:t>排放限值（</w:t>
                  </w:r>
                  <w:r>
                    <w:rPr>
                      <w:b/>
                      <w:bCs/>
                      <w:color w:val="auto"/>
                      <w:kern w:val="28"/>
                      <w:szCs w:val="21"/>
                      <w:highlight w:val="none"/>
                    </w:rPr>
                    <w:t>mg/m</w:t>
                  </w:r>
                  <w:r>
                    <w:rPr>
                      <w:b/>
                      <w:bCs/>
                      <w:color w:val="auto"/>
                      <w:kern w:val="28"/>
                      <w:szCs w:val="21"/>
                      <w:highlight w:val="none"/>
                      <w:vertAlign w:val="superscript"/>
                    </w:rPr>
                    <w:t>3</w:t>
                  </w:r>
                  <w:r>
                    <w:rPr>
                      <w:rFonts w:hint="eastAsia"/>
                      <w:b/>
                      <w:bCs/>
                      <w:color w:val="auto"/>
                      <w:kern w:val="28"/>
                      <w:szCs w:val="21"/>
                      <w:highlight w:val="none"/>
                    </w:rPr>
                    <w:t>）</w:t>
                  </w:r>
                </w:p>
              </w:tc>
              <w:tc>
                <w:tcPr>
                  <w:tcW w:w="2780" w:type="pct"/>
                  <w:tcBorders>
                    <w:bottom w:val="single" w:color="auto" w:sz="4" w:space="0"/>
                  </w:tcBorders>
                  <w:vAlign w:val="center"/>
                </w:tcPr>
                <w:p w14:paraId="2FEB018E">
                  <w:pPr>
                    <w:adjustRightInd w:val="0"/>
                    <w:jc w:val="center"/>
                    <w:rPr>
                      <w:b/>
                      <w:bCs/>
                      <w:color w:val="auto"/>
                      <w:kern w:val="28"/>
                      <w:szCs w:val="21"/>
                      <w:highlight w:val="none"/>
                    </w:rPr>
                  </w:pPr>
                  <w:r>
                    <w:rPr>
                      <w:rFonts w:hint="eastAsia"/>
                      <w:b/>
                      <w:bCs/>
                      <w:color w:val="auto"/>
                      <w:kern w:val="28"/>
                      <w:szCs w:val="21"/>
                      <w:highlight w:val="none"/>
                    </w:rPr>
                    <w:t>标准来源</w:t>
                  </w:r>
                </w:p>
              </w:tc>
            </w:tr>
            <w:tr w14:paraId="2F1A6E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17" w:type="pct"/>
                  <w:tcBorders>
                    <w:top w:val="single" w:color="auto" w:sz="4" w:space="0"/>
                  </w:tcBorders>
                  <w:vAlign w:val="center"/>
                </w:tcPr>
                <w:p w14:paraId="278599A4">
                  <w:pPr>
                    <w:adjustRightInd w:val="0"/>
                    <w:jc w:val="center"/>
                    <w:rPr>
                      <w:bCs/>
                      <w:color w:val="auto"/>
                      <w:kern w:val="28"/>
                      <w:szCs w:val="21"/>
                      <w:highlight w:val="none"/>
                    </w:rPr>
                  </w:pPr>
                  <w:r>
                    <w:rPr>
                      <w:rFonts w:hint="eastAsia"/>
                      <w:bCs/>
                      <w:color w:val="auto"/>
                      <w:kern w:val="28"/>
                      <w:szCs w:val="21"/>
                      <w:highlight w:val="none"/>
                    </w:rPr>
                    <w:t>颗粒物</w:t>
                  </w:r>
                </w:p>
              </w:tc>
              <w:tc>
                <w:tcPr>
                  <w:tcW w:w="1401" w:type="pct"/>
                  <w:tcBorders>
                    <w:top w:val="single" w:color="auto" w:sz="4" w:space="0"/>
                  </w:tcBorders>
                  <w:vAlign w:val="center"/>
                </w:tcPr>
                <w:p w14:paraId="05A91D70">
                  <w:pPr>
                    <w:adjustRightInd w:val="0"/>
                    <w:jc w:val="center"/>
                    <w:rPr>
                      <w:bCs/>
                      <w:color w:val="auto"/>
                      <w:kern w:val="28"/>
                      <w:szCs w:val="21"/>
                      <w:highlight w:val="none"/>
                    </w:rPr>
                  </w:pPr>
                  <w:r>
                    <w:rPr>
                      <w:rFonts w:hint="eastAsia"/>
                      <w:bCs/>
                      <w:color w:val="auto"/>
                      <w:kern w:val="28"/>
                      <w:szCs w:val="21"/>
                      <w:highlight w:val="none"/>
                    </w:rPr>
                    <w:t>20</w:t>
                  </w:r>
                </w:p>
              </w:tc>
              <w:tc>
                <w:tcPr>
                  <w:tcW w:w="2780" w:type="pct"/>
                  <w:vMerge w:val="restart"/>
                  <w:tcBorders>
                    <w:top w:val="single" w:color="auto" w:sz="4" w:space="0"/>
                  </w:tcBorders>
                  <w:vAlign w:val="center"/>
                </w:tcPr>
                <w:p w14:paraId="23A55FD4">
                  <w:pPr>
                    <w:adjustRightInd w:val="0"/>
                    <w:jc w:val="center"/>
                    <w:rPr>
                      <w:bCs/>
                      <w:color w:val="auto"/>
                      <w:kern w:val="28"/>
                      <w:szCs w:val="21"/>
                      <w:highlight w:val="none"/>
                    </w:rPr>
                  </w:pPr>
                  <w:r>
                    <w:rPr>
                      <w:rFonts w:hint="eastAsia"/>
                      <w:bCs/>
                      <w:color w:val="auto"/>
                      <w:kern w:val="28"/>
                      <w:szCs w:val="21"/>
                      <w:highlight w:val="none"/>
                    </w:rPr>
                    <w:t>《锅炉大气污染物排放标准》（GB13271-2014）中表</w:t>
                  </w:r>
                  <w:r>
                    <w:rPr>
                      <w:rFonts w:hint="eastAsia"/>
                      <w:bCs/>
                      <w:color w:val="auto"/>
                      <w:kern w:val="28"/>
                      <w:szCs w:val="21"/>
                      <w:highlight w:val="none"/>
                      <w:lang w:val="en-US" w:eastAsia="zh-CN"/>
                    </w:rPr>
                    <w:t>2新建</w:t>
                  </w:r>
                  <w:r>
                    <w:rPr>
                      <w:rFonts w:hint="eastAsia"/>
                      <w:bCs/>
                      <w:color w:val="auto"/>
                      <w:kern w:val="28"/>
                      <w:szCs w:val="21"/>
                      <w:highlight w:val="none"/>
                    </w:rPr>
                    <w:t>燃气锅炉排放标准限值</w:t>
                  </w:r>
                </w:p>
              </w:tc>
            </w:tr>
            <w:tr w14:paraId="1EBDFFA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17" w:type="pct"/>
                  <w:tcBorders>
                    <w:top w:val="single" w:color="auto" w:sz="4" w:space="0"/>
                  </w:tcBorders>
                  <w:vAlign w:val="center"/>
                </w:tcPr>
                <w:p w14:paraId="43E65780">
                  <w:pPr>
                    <w:adjustRightInd w:val="0"/>
                    <w:jc w:val="center"/>
                    <w:rPr>
                      <w:bCs/>
                      <w:color w:val="auto"/>
                      <w:kern w:val="28"/>
                      <w:szCs w:val="21"/>
                      <w:highlight w:val="none"/>
                    </w:rPr>
                  </w:pPr>
                  <w:r>
                    <w:rPr>
                      <w:rFonts w:hint="eastAsia"/>
                      <w:bCs/>
                      <w:color w:val="auto"/>
                      <w:kern w:val="28"/>
                      <w:szCs w:val="21"/>
                      <w:highlight w:val="none"/>
                    </w:rPr>
                    <w:t>SO</w:t>
                  </w:r>
                  <w:r>
                    <w:rPr>
                      <w:rFonts w:hint="eastAsia"/>
                      <w:bCs/>
                      <w:color w:val="auto"/>
                      <w:kern w:val="28"/>
                      <w:szCs w:val="21"/>
                      <w:highlight w:val="none"/>
                      <w:vertAlign w:val="subscript"/>
                    </w:rPr>
                    <w:t>2</w:t>
                  </w:r>
                </w:p>
              </w:tc>
              <w:tc>
                <w:tcPr>
                  <w:tcW w:w="1401" w:type="pct"/>
                  <w:tcBorders>
                    <w:top w:val="single" w:color="auto" w:sz="4" w:space="0"/>
                  </w:tcBorders>
                  <w:vAlign w:val="center"/>
                </w:tcPr>
                <w:p w14:paraId="1476CEB5">
                  <w:pPr>
                    <w:adjustRightInd w:val="0"/>
                    <w:jc w:val="center"/>
                    <w:rPr>
                      <w:rFonts w:hint="default" w:eastAsia="宋体"/>
                      <w:bCs/>
                      <w:color w:val="auto"/>
                      <w:kern w:val="28"/>
                      <w:szCs w:val="21"/>
                      <w:highlight w:val="none"/>
                      <w:lang w:val="en-US" w:eastAsia="zh-CN"/>
                    </w:rPr>
                  </w:pPr>
                  <w:r>
                    <w:rPr>
                      <w:rFonts w:hint="eastAsia"/>
                      <w:bCs/>
                      <w:color w:val="auto"/>
                      <w:kern w:val="28"/>
                      <w:szCs w:val="21"/>
                      <w:highlight w:val="none"/>
                      <w:lang w:val="en-US" w:eastAsia="zh-CN"/>
                    </w:rPr>
                    <w:t>50</w:t>
                  </w:r>
                </w:p>
              </w:tc>
              <w:tc>
                <w:tcPr>
                  <w:tcW w:w="2780" w:type="pct"/>
                  <w:vMerge w:val="continue"/>
                  <w:vAlign w:val="center"/>
                </w:tcPr>
                <w:p w14:paraId="15E1B626">
                  <w:pPr>
                    <w:adjustRightInd w:val="0"/>
                    <w:jc w:val="center"/>
                    <w:rPr>
                      <w:bCs/>
                      <w:color w:val="auto"/>
                      <w:kern w:val="28"/>
                      <w:szCs w:val="21"/>
                      <w:highlight w:val="none"/>
                    </w:rPr>
                  </w:pPr>
                </w:p>
              </w:tc>
            </w:tr>
            <w:tr w14:paraId="043E2C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17" w:type="pct"/>
                  <w:tcBorders>
                    <w:top w:val="single" w:color="auto" w:sz="4" w:space="0"/>
                  </w:tcBorders>
                  <w:vAlign w:val="center"/>
                </w:tcPr>
                <w:p w14:paraId="3C57F7BF">
                  <w:pPr>
                    <w:adjustRightInd w:val="0"/>
                    <w:jc w:val="center"/>
                    <w:rPr>
                      <w:rFonts w:hint="eastAsia" w:eastAsia="宋体"/>
                      <w:bCs/>
                      <w:color w:val="auto"/>
                      <w:kern w:val="28"/>
                      <w:szCs w:val="21"/>
                      <w:highlight w:val="none"/>
                      <w:lang w:val="en-US" w:eastAsia="zh-CN"/>
                    </w:rPr>
                  </w:pPr>
                  <w:r>
                    <w:rPr>
                      <w:rFonts w:hint="eastAsia"/>
                      <w:bCs/>
                      <w:color w:val="auto"/>
                      <w:kern w:val="28"/>
                      <w:szCs w:val="21"/>
                      <w:highlight w:val="none"/>
                      <w:lang w:val="en-US" w:eastAsia="zh-CN"/>
                    </w:rPr>
                    <w:t>林格曼黑度</w:t>
                  </w:r>
                </w:p>
              </w:tc>
              <w:tc>
                <w:tcPr>
                  <w:tcW w:w="1401" w:type="pct"/>
                  <w:tcBorders>
                    <w:top w:val="single" w:color="auto" w:sz="4" w:space="0"/>
                  </w:tcBorders>
                  <w:vAlign w:val="center"/>
                </w:tcPr>
                <w:p w14:paraId="6415359E">
                  <w:pPr>
                    <w:adjustRightInd w:val="0"/>
                    <w:jc w:val="center"/>
                    <w:rPr>
                      <w:rFonts w:hint="default"/>
                      <w:bCs/>
                      <w:color w:val="auto"/>
                      <w:kern w:val="28"/>
                      <w:szCs w:val="21"/>
                      <w:highlight w:val="none"/>
                      <w:lang w:val="en-US" w:eastAsia="zh-CN"/>
                    </w:rPr>
                  </w:pPr>
                  <w:r>
                    <w:rPr>
                      <w:rFonts w:hint="eastAsia"/>
                      <w:bCs/>
                      <w:color w:val="auto"/>
                      <w:kern w:val="28"/>
                      <w:szCs w:val="21"/>
                      <w:highlight w:val="none"/>
                      <w:lang w:val="en-US" w:eastAsia="zh-CN"/>
                    </w:rPr>
                    <w:t>&lt;1</w:t>
                  </w:r>
                </w:p>
              </w:tc>
              <w:tc>
                <w:tcPr>
                  <w:tcW w:w="2780" w:type="pct"/>
                  <w:vMerge w:val="continue"/>
                  <w:vAlign w:val="center"/>
                </w:tcPr>
                <w:p w14:paraId="147F7DE5">
                  <w:pPr>
                    <w:adjustRightInd w:val="0"/>
                    <w:jc w:val="center"/>
                    <w:rPr>
                      <w:bCs/>
                      <w:color w:val="auto"/>
                      <w:kern w:val="28"/>
                      <w:szCs w:val="21"/>
                      <w:highlight w:val="none"/>
                    </w:rPr>
                  </w:pPr>
                </w:p>
              </w:tc>
            </w:tr>
            <w:tr w14:paraId="7234E77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17" w:type="pct"/>
                  <w:tcBorders>
                    <w:bottom w:val="single" w:color="auto" w:sz="4" w:space="0"/>
                  </w:tcBorders>
                  <w:vAlign w:val="center"/>
                </w:tcPr>
                <w:p w14:paraId="4BAC4397">
                  <w:pPr>
                    <w:adjustRightInd w:val="0"/>
                    <w:jc w:val="center"/>
                    <w:rPr>
                      <w:bCs/>
                      <w:color w:val="auto"/>
                      <w:kern w:val="28"/>
                      <w:szCs w:val="21"/>
                      <w:highlight w:val="none"/>
                    </w:rPr>
                  </w:pPr>
                  <w:r>
                    <w:rPr>
                      <w:rFonts w:hint="eastAsia"/>
                      <w:bCs/>
                      <w:color w:val="auto"/>
                      <w:kern w:val="28"/>
                      <w:szCs w:val="21"/>
                      <w:highlight w:val="none"/>
                    </w:rPr>
                    <w:t>NOx</w:t>
                  </w:r>
                </w:p>
              </w:tc>
              <w:tc>
                <w:tcPr>
                  <w:tcW w:w="1401" w:type="pct"/>
                  <w:tcBorders>
                    <w:bottom w:val="single" w:color="auto" w:sz="4" w:space="0"/>
                  </w:tcBorders>
                  <w:vAlign w:val="center"/>
                </w:tcPr>
                <w:p w14:paraId="4A7CDDA9">
                  <w:pPr>
                    <w:adjustRightInd w:val="0"/>
                    <w:jc w:val="center"/>
                    <w:rPr>
                      <w:rFonts w:hint="default" w:eastAsia="宋体"/>
                      <w:bCs/>
                      <w:color w:val="auto"/>
                      <w:kern w:val="28"/>
                      <w:szCs w:val="21"/>
                      <w:highlight w:val="none"/>
                      <w:lang w:val="en-US" w:eastAsia="zh-CN"/>
                    </w:rPr>
                  </w:pPr>
                  <w:r>
                    <w:rPr>
                      <w:rFonts w:hint="eastAsia"/>
                      <w:bCs/>
                      <w:color w:val="auto"/>
                      <w:kern w:val="28"/>
                      <w:szCs w:val="21"/>
                      <w:highlight w:val="none"/>
                      <w:lang w:val="en-US" w:eastAsia="zh-CN"/>
                    </w:rPr>
                    <w:t>50</w:t>
                  </w:r>
                </w:p>
              </w:tc>
              <w:tc>
                <w:tcPr>
                  <w:tcW w:w="2780" w:type="pct"/>
                  <w:tcBorders>
                    <w:bottom w:val="single" w:color="auto" w:sz="4" w:space="0"/>
                  </w:tcBorders>
                  <w:vAlign w:val="center"/>
                </w:tcPr>
                <w:p w14:paraId="4BAEF520">
                  <w:pPr>
                    <w:adjustRightInd w:val="0"/>
                    <w:jc w:val="center"/>
                    <w:rPr>
                      <w:rFonts w:hint="eastAsia" w:eastAsia="宋体"/>
                      <w:bCs/>
                      <w:color w:val="auto"/>
                      <w:kern w:val="28"/>
                      <w:szCs w:val="21"/>
                      <w:highlight w:val="none"/>
                      <w:lang w:eastAsia="zh-CN"/>
                    </w:rPr>
                  </w:pPr>
                  <w:r>
                    <w:rPr>
                      <w:rFonts w:hint="eastAsia" w:eastAsia="宋体"/>
                      <w:bCs/>
                      <w:color w:val="auto"/>
                      <w:kern w:val="28"/>
                      <w:szCs w:val="21"/>
                      <w:highlight w:val="none"/>
                      <w:lang w:eastAsia="zh-CN"/>
                    </w:rPr>
                    <w:t>《关于开展自治州2022年度夏秋季大气污染物防治“冬病夏治”有关工作的通知》（昌州环委办发〔2022〕18号）</w:t>
                  </w:r>
                </w:p>
              </w:tc>
            </w:tr>
          </w:tbl>
          <w:p w14:paraId="7835F9B3">
            <w:pPr>
              <w:adjustRightInd w:val="0"/>
              <w:snapToGrid w:val="0"/>
              <w:spacing w:line="520" w:lineRule="exact"/>
              <w:jc w:val="center"/>
              <w:rPr>
                <w:b/>
                <w:color w:val="auto"/>
                <w:szCs w:val="21"/>
                <w:highlight w:val="none"/>
              </w:rPr>
            </w:pPr>
            <w:r>
              <w:rPr>
                <w:b/>
                <w:color w:val="auto"/>
                <w:szCs w:val="21"/>
                <w:highlight w:val="none"/>
              </w:rPr>
              <w:t>表</w:t>
            </w:r>
            <w:r>
              <w:rPr>
                <w:rFonts w:hint="eastAsia"/>
                <w:b/>
                <w:color w:val="auto"/>
                <w:szCs w:val="21"/>
                <w:highlight w:val="none"/>
                <w:lang w:val="en-US" w:eastAsia="zh-CN"/>
              </w:rPr>
              <w:t>3-8</w:t>
            </w:r>
            <w:r>
              <w:rPr>
                <w:rFonts w:hint="eastAsia"/>
                <w:b/>
                <w:color w:val="auto"/>
                <w:szCs w:val="21"/>
                <w:highlight w:val="none"/>
              </w:rPr>
              <w:t xml:space="preserve">   厂区内VOCs无组织排放</w:t>
            </w:r>
            <w:r>
              <w:rPr>
                <w:rFonts w:hint="eastAsia"/>
                <w:b/>
                <w:color w:val="auto"/>
                <w:szCs w:val="21"/>
                <w:highlight w:val="none"/>
                <w:lang w:val="en-US" w:eastAsia="zh-CN"/>
              </w:rPr>
              <w:t>标准</w:t>
            </w:r>
            <w:r>
              <w:rPr>
                <w:rFonts w:hint="eastAsia"/>
                <w:b/>
                <w:color w:val="auto"/>
                <w:szCs w:val="21"/>
                <w:highlight w:val="none"/>
              </w:rPr>
              <w:t>限值</w:t>
            </w:r>
          </w:p>
          <w:tbl>
            <w:tblPr>
              <w:tblStyle w:val="19"/>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1567"/>
              <w:gridCol w:w="2665"/>
              <w:gridCol w:w="2118"/>
            </w:tblGrid>
            <w:tr w14:paraId="2BA5ED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1621" w:type="dxa"/>
                  <w:tcBorders>
                    <w:bottom w:val="single" w:color="auto" w:sz="4" w:space="0"/>
                  </w:tcBorders>
                  <w:vAlign w:val="center"/>
                </w:tcPr>
                <w:p w14:paraId="7A069190">
                  <w:pPr>
                    <w:adjustRightInd w:val="0"/>
                    <w:jc w:val="center"/>
                    <w:rPr>
                      <w:b/>
                      <w:bCs/>
                      <w:color w:val="auto"/>
                      <w:kern w:val="28"/>
                      <w:szCs w:val="21"/>
                      <w:highlight w:val="none"/>
                    </w:rPr>
                  </w:pPr>
                  <w:r>
                    <w:rPr>
                      <w:b/>
                      <w:bCs/>
                      <w:color w:val="auto"/>
                      <w:kern w:val="28"/>
                      <w:szCs w:val="21"/>
                      <w:highlight w:val="none"/>
                    </w:rPr>
                    <w:t>污染因子</w:t>
                  </w:r>
                </w:p>
              </w:tc>
              <w:tc>
                <w:tcPr>
                  <w:tcW w:w="1566" w:type="dxa"/>
                  <w:tcBorders>
                    <w:bottom w:val="single" w:color="auto" w:sz="4" w:space="0"/>
                  </w:tcBorders>
                  <w:vAlign w:val="center"/>
                </w:tcPr>
                <w:p w14:paraId="5B2D190B">
                  <w:pPr>
                    <w:adjustRightInd w:val="0"/>
                    <w:jc w:val="center"/>
                    <w:rPr>
                      <w:b/>
                      <w:bCs/>
                      <w:color w:val="auto"/>
                      <w:kern w:val="28"/>
                      <w:szCs w:val="21"/>
                      <w:highlight w:val="none"/>
                    </w:rPr>
                  </w:pPr>
                  <w:r>
                    <w:rPr>
                      <w:rFonts w:hint="eastAsia"/>
                      <w:b/>
                      <w:bCs/>
                      <w:color w:val="auto"/>
                      <w:kern w:val="28"/>
                      <w:szCs w:val="21"/>
                      <w:highlight w:val="none"/>
                    </w:rPr>
                    <w:t>特别排放限值（</w:t>
                  </w:r>
                  <w:r>
                    <w:rPr>
                      <w:b/>
                      <w:bCs/>
                      <w:color w:val="auto"/>
                      <w:kern w:val="28"/>
                      <w:szCs w:val="21"/>
                      <w:highlight w:val="none"/>
                    </w:rPr>
                    <w:t>mg/m</w:t>
                  </w:r>
                  <w:r>
                    <w:rPr>
                      <w:b/>
                      <w:bCs/>
                      <w:color w:val="auto"/>
                      <w:kern w:val="28"/>
                      <w:szCs w:val="21"/>
                      <w:highlight w:val="none"/>
                      <w:vertAlign w:val="superscript"/>
                    </w:rPr>
                    <w:t>3</w:t>
                  </w:r>
                  <w:r>
                    <w:rPr>
                      <w:rFonts w:hint="eastAsia"/>
                      <w:b/>
                      <w:bCs/>
                      <w:color w:val="auto"/>
                      <w:kern w:val="28"/>
                      <w:szCs w:val="21"/>
                      <w:highlight w:val="none"/>
                    </w:rPr>
                    <w:t>）</w:t>
                  </w:r>
                </w:p>
              </w:tc>
              <w:tc>
                <w:tcPr>
                  <w:tcW w:w="2663" w:type="dxa"/>
                  <w:tcBorders>
                    <w:bottom w:val="single" w:color="auto" w:sz="4" w:space="0"/>
                  </w:tcBorders>
                  <w:vAlign w:val="center"/>
                </w:tcPr>
                <w:p w14:paraId="36406838">
                  <w:pPr>
                    <w:adjustRightInd w:val="0"/>
                    <w:jc w:val="center"/>
                    <w:rPr>
                      <w:b/>
                      <w:bCs/>
                      <w:color w:val="auto"/>
                      <w:kern w:val="28"/>
                      <w:szCs w:val="21"/>
                      <w:highlight w:val="none"/>
                    </w:rPr>
                  </w:pPr>
                  <w:r>
                    <w:rPr>
                      <w:rFonts w:hint="eastAsia"/>
                      <w:b/>
                      <w:bCs/>
                      <w:color w:val="auto"/>
                      <w:kern w:val="28"/>
                      <w:szCs w:val="21"/>
                      <w:highlight w:val="none"/>
                    </w:rPr>
                    <w:t>限值含义</w:t>
                  </w:r>
                </w:p>
              </w:tc>
              <w:tc>
                <w:tcPr>
                  <w:tcW w:w="2114" w:type="dxa"/>
                  <w:tcBorders>
                    <w:bottom w:val="single" w:color="auto" w:sz="4" w:space="0"/>
                  </w:tcBorders>
                  <w:vAlign w:val="center"/>
                </w:tcPr>
                <w:p w14:paraId="4D39DB5C">
                  <w:pPr>
                    <w:adjustRightInd w:val="0"/>
                    <w:jc w:val="center"/>
                    <w:rPr>
                      <w:b/>
                      <w:bCs/>
                      <w:color w:val="auto"/>
                      <w:kern w:val="28"/>
                      <w:szCs w:val="21"/>
                      <w:highlight w:val="none"/>
                    </w:rPr>
                  </w:pPr>
                  <w:r>
                    <w:rPr>
                      <w:b/>
                      <w:bCs/>
                      <w:color w:val="auto"/>
                      <w:kern w:val="28"/>
                      <w:szCs w:val="21"/>
                      <w:highlight w:val="none"/>
                    </w:rPr>
                    <w:t>无组织排放监控</w:t>
                  </w:r>
                  <w:r>
                    <w:rPr>
                      <w:rFonts w:hint="eastAsia"/>
                      <w:b/>
                      <w:bCs/>
                      <w:color w:val="auto"/>
                      <w:kern w:val="28"/>
                      <w:szCs w:val="21"/>
                      <w:highlight w:val="none"/>
                    </w:rPr>
                    <w:t>位置</w:t>
                  </w:r>
                </w:p>
              </w:tc>
            </w:tr>
            <w:tr w14:paraId="31EF49A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94" w:hRule="atLeast"/>
                <w:jc w:val="center"/>
              </w:trPr>
              <w:tc>
                <w:tcPr>
                  <w:tcW w:w="1621" w:type="dxa"/>
                  <w:vMerge w:val="restart"/>
                  <w:tcBorders>
                    <w:top w:val="single" w:color="auto" w:sz="4" w:space="0"/>
                  </w:tcBorders>
                  <w:vAlign w:val="center"/>
                </w:tcPr>
                <w:p w14:paraId="13F257BE">
                  <w:pPr>
                    <w:adjustRightInd w:val="0"/>
                    <w:jc w:val="center"/>
                    <w:rPr>
                      <w:bCs/>
                      <w:color w:val="auto"/>
                      <w:kern w:val="28"/>
                      <w:szCs w:val="21"/>
                      <w:highlight w:val="none"/>
                    </w:rPr>
                  </w:pPr>
                  <w:r>
                    <w:rPr>
                      <w:rFonts w:hint="eastAsia"/>
                      <w:bCs/>
                      <w:color w:val="auto"/>
                      <w:kern w:val="28"/>
                      <w:szCs w:val="21"/>
                      <w:highlight w:val="none"/>
                    </w:rPr>
                    <w:t>非甲烷总烃</w:t>
                  </w:r>
                </w:p>
              </w:tc>
              <w:tc>
                <w:tcPr>
                  <w:tcW w:w="1566" w:type="dxa"/>
                  <w:tcBorders>
                    <w:top w:val="single" w:color="auto" w:sz="4" w:space="0"/>
                  </w:tcBorders>
                  <w:vAlign w:val="center"/>
                </w:tcPr>
                <w:p w14:paraId="57C2DBF4">
                  <w:pPr>
                    <w:adjustRightInd w:val="0"/>
                    <w:jc w:val="center"/>
                    <w:rPr>
                      <w:bCs/>
                      <w:color w:val="auto"/>
                      <w:kern w:val="28"/>
                      <w:szCs w:val="21"/>
                      <w:highlight w:val="none"/>
                    </w:rPr>
                  </w:pPr>
                  <w:r>
                    <w:rPr>
                      <w:rFonts w:hint="eastAsia"/>
                      <w:bCs/>
                      <w:color w:val="auto"/>
                      <w:kern w:val="28"/>
                      <w:szCs w:val="21"/>
                      <w:highlight w:val="none"/>
                    </w:rPr>
                    <w:t>6</w:t>
                  </w:r>
                </w:p>
              </w:tc>
              <w:tc>
                <w:tcPr>
                  <w:tcW w:w="2663" w:type="dxa"/>
                  <w:tcBorders>
                    <w:top w:val="single" w:color="auto" w:sz="4" w:space="0"/>
                  </w:tcBorders>
                  <w:vAlign w:val="center"/>
                </w:tcPr>
                <w:p w14:paraId="402A4EE6">
                  <w:pPr>
                    <w:adjustRightInd w:val="0"/>
                    <w:jc w:val="center"/>
                    <w:rPr>
                      <w:bCs/>
                      <w:color w:val="auto"/>
                      <w:kern w:val="28"/>
                      <w:szCs w:val="21"/>
                      <w:highlight w:val="none"/>
                    </w:rPr>
                  </w:pPr>
                  <w:r>
                    <w:rPr>
                      <w:rFonts w:hint="eastAsia"/>
                      <w:bCs/>
                      <w:color w:val="auto"/>
                      <w:kern w:val="28"/>
                      <w:szCs w:val="21"/>
                      <w:highlight w:val="none"/>
                    </w:rPr>
                    <w:t>监控点处1h平均浓度值</w:t>
                  </w:r>
                </w:p>
              </w:tc>
              <w:tc>
                <w:tcPr>
                  <w:tcW w:w="2114" w:type="dxa"/>
                  <w:vMerge w:val="restart"/>
                  <w:tcBorders>
                    <w:top w:val="single" w:color="auto" w:sz="4" w:space="0"/>
                  </w:tcBorders>
                  <w:vAlign w:val="center"/>
                </w:tcPr>
                <w:p w14:paraId="7A2A0A5B">
                  <w:pPr>
                    <w:adjustRightInd w:val="0"/>
                    <w:jc w:val="center"/>
                    <w:rPr>
                      <w:bCs/>
                      <w:color w:val="auto"/>
                      <w:kern w:val="28"/>
                      <w:szCs w:val="21"/>
                      <w:highlight w:val="none"/>
                    </w:rPr>
                  </w:pPr>
                  <w:r>
                    <w:rPr>
                      <w:rFonts w:hint="eastAsia"/>
                      <w:bCs/>
                      <w:color w:val="auto"/>
                      <w:kern w:val="28"/>
                      <w:szCs w:val="21"/>
                      <w:highlight w:val="none"/>
                    </w:rPr>
                    <w:t>在厂房外设置监控点</w:t>
                  </w:r>
                </w:p>
              </w:tc>
            </w:tr>
            <w:tr w14:paraId="7696675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1621" w:type="dxa"/>
                  <w:vMerge w:val="continue"/>
                  <w:tcBorders>
                    <w:bottom w:val="single" w:color="auto" w:sz="4" w:space="0"/>
                  </w:tcBorders>
                  <w:vAlign w:val="center"/>
                </w:tcPr>
                <w:p w14:paraId="3BCB29BD">
                  <w:pPr>
                    <w:adjustRightInd w:val="0"/>
                    <w:jc w:val="center"/>
                    <w:rPr>
                      <w:bCs/>
                      <w:color w:val="auto"/>
                      <w:kern w:val="28"/>
                      <w:szCs w:val="21"/>
                      <w:highlight w:val="none"/>
                    </w:rPr>
                  </w:pPr>
                </w:p>
              </w:tc>
              <w:tc>
                <w:tcPr>
                  <w:tcW w:w="1566" w:type="dxa"/>
                  <w:tcBorders>
                    <w:bottom w:val="single" w:color="auto" w:sz="4" w:space="0"/>
                  </w:tcBorders>
                  <w:vAlign w:val="center"/>
                </w:tcPr>
                <w:p w14:paraId="15B90D72">
                  <w:pPr>
                    <w:adjustRightInd w:val="0"/>
                    <w:jc w:val="center"/>
                    <w:rPr>
                      <w:bCs/>
                      <w:color w:val="auto"/>
                      <w:kern w:val="28"/>
                      <w:szCs w:val="21"/>
                      <w:highlight w:val="none"/>
                    </w:rPr>
                  </w:pPr>
                  <w:r>
                    <w:rPr>
                      <w:rFonts w:hint="eastAsia"/>
                      <w:bCs/>
                      <w:color w:val="auto"/>
                      <w:kern w:val="28"/>
                      <w:szCs w:val="21"/>
                      <w:highlight w:val="none"/>
                    </w:rPr>
                    <w:t>20</w:t>
                  </w:r>
                </w:p>
              </w:tc>
              <w:tc>
                <w:tcPr>
                  <w:tcW w:w="2663" w:type="dxa"/>
                  <w:tcBorders>
                    <w:bottom w:val="single" w:color="auto" w:sz="4" w:space="0"/>
                  </w:tcBorders>
                  <w:vAlign w:val="center"/>
                </w:tcPr>
                <w:p w14:paraId="1E56F99D">
                  <w:pPr>
                    <w:adjustRightInd w:val="0"/>
                    <w:jc w:val="center"/>
                    <w:rPr>
                      <w:bCs/>
                      <w:color w:val="auto"/>
                      <w:kern w:val="28"/>
                      <w:szCs w:val="21"/>
                      <w:highlight w:val="none"/>
                    </w:rPr>
                  </w:pPr>
                  <w:r>
                    <w:rPr>
                      <w:rFonts w:hint="eastAsia"/>
                      <w:bCs/>
                      <w:color w:val="auto"/>
                      <w:kern w:val="28"/>
                      <w:szCs w:val="21"/>
                      <w:highlight w:val="none"/>
                    </w:rPr>
                    <w:t>监控点处任意一次浓度值</w:t>
                  </w:r>
                </w:p>
              </w:tc>
              <w:tc>
                <w:tcPr>
                  <w:tcW w:w="2114" w:type="dxa"/>
                  <w:vMerge w:val="continue"/>
                  <w:vAlign w:val="center"/>
                </w:tcPr>
                <w:p w14:paraId="4F3E66E9">
                  <w:pPr>
                    <w:adjustRightInd w:val="0"/>
                    <w:jc w:val="center"/>
                    <w:rPr>
                      <w:bCs/>
                      <w:color w:val="auto"/>
                      <w:kern w:val="28"/>
                      <w:szCs w:val="21"/>
                      <w:highlight w:val="none"/>
                    </w:rPr>
                  </w:pPr>
                </w:p>
              </w:tc>
            </w:tr>
          </w:tbl>
          <w:p w14:paraId="5EA63C22">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textAlignment w:val="auto"/>
              <w:rPr>
                <w:rFonts w:hint="eastAsia" w:ascii="Times New Roman" w:hAnsi="Times New Roman" w:eastAsia="宋体" w:cs="Times New Roman"/>
                <w:b/>
                <w:bCs/>
                <w:color w:val="000000"/>
                <w:sz w:val="24"/>
                <w:highlight w:val="none"/>
                <w:lang w:val="en-US" w:eastAsia="zh-CN"/>
              </w:rPr>
            </w:pPr>
            <w:r>
              <w:rPr>
                <w:rFonts w:hint="eastAsia" w:ascii="Times New Roman" w:hAnsi="Times New Roman" w:eastAsia="宋体" w:cs="Times New Roman"/>
                <w:b/>
                <w:bCs/>
                <w:color w:val="000000"/>
                <w:sz w:val="24"/>
                <w:highlight w:val="none"/>
                <w:lang w:val="en-US" w:eastAsia="zh-CN"/>
              </w:rPr>
              <w:t>2 废水排放标准</w:t>
            </w:r>
          </w:p>
          <w:p w14:paraId="632659CE">
            <w:pPr>
              <w:spacing w:line="360" w:lineRule="auto"/>
              <w:ind w:firstLine="480" w:firstLineChars="200"/>
              <w:rPr>
                <w:rFonts w:hint="default"/>
                <w:lang w:val="en-US" w:eastAsia="zh-CN"/>
              </w:rPr>
            </w:pPr>
            <w:r>
              <w:rPr>
                <w:rFonts w:hint="eastAsia" w:ascii="Times New Roman" w:hAnsi="Times New Roman" w:eastAsia="宋体" w:cs="Times New Roman"/>
                <w:color w:val="000000"/>
                <w:sz w:val="24"/>
                <w:highlight w:val="none"/>
                <w:lang w:val="en-US" w:eastAsia="zh-CN"/>
              </w:rPr>
              <w:t>本项目</w:t>
            </w:r>
            <w:r>
              <w:rPr>
                <w:rFonts w:hint="eastAsia" w:ascii="Times New Roman" w:hAnsi="Times New Roman" w:eastAsia="宋体" w:cs="Times New Roman"/>
                <w:kern w:val="2"/>
                <w:sz w:val="24"/>
                <w:szCs w:val="24"/>
                <w:highlight w:val="none"/>
              </w:rPr>
              <w:t>生活污水排入</w:t>
            </w:r>
            <w:r>
              <w:rPr>
                <w:rFonts w:hint="eastAsia" w:ascii="Times New Roman" w:hAnsi="Times New Roman" w:eastAsia="宋体" w:cs="Times New Roman"/>
                <w:kern w:val="2"/>
                <w:sz w:val="24"/>
                <w:szCs w:val="24"/>
                <w:highlight w:val="none"/>
                <w:lang w:val="en-US" w:eastAsia="zh-CN"/>
              </w:rPr>
              <w:t>园区下水管网，最终进入高新区海天污水处理厂</w:t>
            </w:r>
            <w:r>
              <w:rPr>
                <w:rFonts w:hint="eastAsia" w:ascii="Times New Roman" w:hAnsi="Times New Roman" w:eastAsia="宋体" w:cs="Times New Roman"/>
                <w:kern w:val="2"/>
                <w:sz w:val="24"/>
                <w:szCs w:val="24"/>
                <w:highlight w:val="none"/>
              </w:rPr>
              <w:t>处理</w:t>
            </w:r>
            <w:r>
              <w:rPr>
                <w:rFonts w:hint="eastAsia" w:ascii="Times New Roman" w:hAnsi="Times New Roman" w:eastAsia="宋体" w:cs="Times New Roman"/>
                <w:kern w:val="2"/>
                <w:sz w:val="24"/>
                <w:szCs w:val="24"/>
                <w:highlight w:val="none"/>
                <w:lang w:eastAsia="zh-CN"/>
              </w:rPr>
              <w:t>。</w:t>
            </w:r>
            <w:r>
              <w:rPr>
                <w:rFonts w:hint="eastAsia" w:ascii="Times New Roman" w:hAnsi="Times New Roman" w:eastAsia="宋体" w:cs="Times New Roman"/>
                <w:kern w:val="2"/>
                <w:sz w:val="24"/>
                <w:szCs w:val="24"/>
                <w:highlight w:val="none"/>
                <w:lang w:val="en-US" w:eastAsia="zh-CN"/>
              </w:rPr>
              <w:t>污水执行</w:t>
            </w:r>
            <w:r>
              <w:rPr>
                <w:rFonts w:hint="eastAsia" w:ascii="Times New Roman" w:hAnsi="Times New Roman" w:eastAsia="宋体" w:cs="Times New Roman"/>
                <w:color w:val="000000"/>
                <w:sz w:val="24"/>
                <w:highlight w:val="none"/>
                <w:lang w:val="en-US" w:eastAsia="zh-CN"/>
              </w:rPr>
              <w:t>《污水综合排放标准》（</w:t>
            </w:r>
            <w:r>
              <w:rPr>
                <w:rFonts w:hint="default" w:ascii="Times New Roman" w:hAnsi="Times New Roman" w:eastAsia="宋体" w:cs="Times New Roman"/>
                <w:color w:val="000000"/>
                <w:sz w:val="24"/>
                <w:highlight w:val="none"/>
                <w:lang w:val="en-US" w:eastAsia="zh-CN"/>
              </w:rPr>
              <w:t>GB8978-1996</w:t>
            </w:r>
            <w:r>
              <w:rPr>
                <w:rFonts w:hint="eastAsia" w:ascii="Times New Roman" w:hAnsi="Times New Roman" w:eastAsia="宋体" w:cs="Times New Roman"/>
                <w:color w:val="000000"/>
                <w:sz w:val="24"/>
                <w:highlight w:val="none"/>
                <w:lang w:val="en-US" w:eastAsia="zh-CN"/>
              </w:rPr>
              <w:t>）中表</w:t>
            </w:r>
            <w:r>
              <w:rPr>
                <w:rFonts w:hint="default" w:ascii="Times New Roman" w:hAnsi="Times New Roman" w:eastAsia="宋体" w:cs="Times New Roman"/>
                <w:color w:val="000000"/>
                <w:sz w:val="24"/>
                <w:highlight w:val="none"/>
                <w:lang w:val="en-US" w:eastAsia="zh-CN"/>
              </w:rPr>
              <w:t>4</w:t>
            </w:r>
            <w:r>
              <w:rPr>
                <w:rFonts w:hint="eastAsia" w:ascii="Times New Roman" w:hAnsi="Times New Roman" w:eastAsia="宋体" w:cs="Times New Roman"/>
                <w:color w:val="000000"/>
                <w:sz w:val="24"/>
                <w:highlight w:val="none"/>
                <w:lang w:val="en-US" w:eastAsia="zh-CN"/>
              </w:rPr>
              <w:t>中三级排放标准和</w:t>
            </w:r>
            <w:r>
              <w:rPr>
                <w:rFonts w:hint="eastAsia" w:ascii="Times New Roman" w:hAnsi="Times New Roman" w:eastAsia="宋体" w:cs="Times New Roman"/>
                <w:kern w:val="2"/>
                <w:sz w:val="24"/>
                <w:szCs w:val="24"/>
                <w:highlight w:val="none"/>
              </w:rPr>
              <w:t>《污水排入城镇下水道水质标准》</w:t>
            </w:r>
            <w:r>
              <w:rPr>
                <w:rFonts w:hint="eastAsia" w:ascii="Times New Roman" w:hAnsi="Times New Roman" w:eastAsia="宋体" w:cs="Times New Roman"/>
                <w:kern w:val="2"/>
                <w:sz w:val="24"/>
                <w:szCs w:val="24"/>
                <w:highlight w:val="none"/>
                <w:lang w:eastAsia="zh-CN"/>
              </w:rPr>
              <w:t>（</w:t>
            </w:r>
            <w:r>
              <w:rPr>
                <w:rFonts w:hint="eastAsia" w:ascii="Times New Roman" w:hAnsi="Times New Roman" w:eastAsia="宋体" w:cs="Times New Roman"/>
                <w:kern w:val="2"/>
                <w:sz w:val="24"/>
                <w:szCs w:val="24"/>
                <w:highlight w:val="none"/>
              </w:rPr>
              <w:t>GBT319622015</w:t>
            </w:r>
            <w:r>
              <w:rPr>
                <w:rFonts w:hint="eastAsia" w:ascii="Times New Roman" w:hAnsi="Times New Roman" w:eastAsia="宋体" w:cs="Times New Roman"/>
                <w:kern w:val="2"/>
                <w:sz w:val="24"/>
                <w:szCs w:val="24"/>
                <w:highlight w:val="none"/>
                <w:lang w:eastAsia="zh-CN"/>
              </w:rPr>
              <w:t>）</w:t>
            </w:r>
            <w:r>
              <w:rPr>
                <w:rFonts w:hint="eastAsia" w:ascii="Times New Roman" w:hAnsi="Times New Roman" w:eastAsia="宋体" w:cs="Times New Roman"/>
                <w:kern w:val="2"/>
                <w:sz w:val="24"/>
                <w:szCs w:val="24"/>
                <w:highlight w:val="none"/>
                <w:lang w:val="en-US" w:eastAsia="zh-CN"/>
              </w:rPr>
              <w:t>表1</w:t>
            </w:r>
            <w:r>
              <w:rPr>
                <w:rFonts w:hint="eastAsia" w:ascii="Times New Roman" w:hAnsi="Times New Roman" w:eastAsia="宋体" w:cs="Times New Roman"/>
                <w:kern w:val="2"/>
                <w:sz w:val="24"/>
                <w:szCs w:val="24"/>
                <w:highlight w:val="none"/>
              </w:rPr>
              <w:t>中B级标准</w:t>
            </w:r>
            <w:r>
              <w:rPr>
                <w:rFonts w:hint="eastAsia" w:ascii="Times New Roman" w:hAnsi="Times New Roman" w:eastAsia="宋体" w:cs="Times New Roman"/>
                <w:kern w:val="2"/>
                <w:sz w:val="24"/>
                <w:szCs w:val="24"/>
                <w:highlight w:val="none"/>
                <w:lang w:val="en-US" w:eastAsia="zh-CN"/>
              </w:rPr>
              <w:t>限值</w:t>
            </w:r>
            <w:r>
              <w:rPr>
                <w:rFonts w:hint="eastAsia" w:ascii="Times New Roman" w:hAnsi="Times New Roman" w:eastAsia="宋体" w:cs="Times New Roman"/>
                <w:color w:val="000000"/>
                <w:sz w:val="24"/>
                <w:highlight w:val="none"/>
                <w:lang w:val="en-US" w:eastAsia="zh-CN"/>
              </w:rPr>
              <w:t>后排入园区污水管网。详见表3-</w:t>
            </w:r>
            <w:r>
              <w:rPr>
                <w:rFonts w:hint="eastAsia" w:cs="Times New Roman"/>
                <w:color w:val="000000"/>
                <w:sz w:val="24"/>
                <w:highlight w:val="none"/>
                <w:lang w:val="en-US" w:eastAsia="zh-CN"/>
              </w:rPr>
              <w:t>9</w:t>
            </w:r>
            <w:r>
              <w:rPr>
                <w:rFonts w:hint="eastAsia" w:ascii="Times New Roman" w:hAnsi="Times New Roman" w:eastAsia="宋体" w:cs="Times New Roman"/>
                <w:color w:val="000000"/>
                <w:sz w:val="24"/>
                <w:highlight w:val="none"/>
                <w:lang w:val="en-US" w:eastAsia="zh-CN"/>
              </w:rPr>
              <w:t>。</w:t>
            </w:r>
          </w:p>
          <w:p w14:paraId="01D2C020">
            <w:pPr>
              <w:pStyle w:val="26"/>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40" w:lineRule="auto"/>
              <w:ind w:firstLine="420"/>
              <w:textAlignment w:val="auto"/>
              <w:rPr>
                <w:b/>
                <w:bCs/>
                <w:sz w:val="21"/>
                <w:szCs w:val="21"/>
                <w:highlight w:val="none"/>
              </w:rPr>
            </w:pPr>
            <w:r>
              <w:rPr>
                <w:rFonts w:hint="eastAsia"/>
                <w:b/>
                <w:bCs/>
                <w:sz w:val="21"/>
                <w:szCs w:val="21"/>
                <w:highlight w:val="none"/>
              </w:rPr>
              <w:t>表</w:t>
            </w:r>
            <w:r>
              <w:rPr>
                <w:rFonts w:ascii="Times New Roman"/>
                <w:b/>
                <w:bCs/>
                <w:sz w:val="21"/>
                <w:szCs w:val="21"/>
                <w:highlight w:val="none"/>
              </w:rPr>
              <w:t>3-</w:t>
            </w:r>
            <w:r>
              <w:rPr>
                <w:rFonts w:hint="eastAsia" w:ascii="Times New Roman"/>
                <w:b/>
                <w:bCs/>
                <w:sz w:val="21"/>
                <w:szCs w:val="21"/>
                <w:highlight w:val="none"/>
                <w:lang w:val="en-US" w:eastAsia="zh-CN"/>
              </w:rPr>
              <w:t xml:space="preserve">9     </w:t>
            </w:r>
            <w:r>
              <w:rPr>
                <w:rFonts w:hint="eastAsia"/>
                <w:b/>
                <w:bCs/>
                <w:sz w:val="21"/>
                <w:szCs w:val="21"/>
                <w:highlight w:val="none"/>
              </w:rPr>
              <w:t>污水排放标准</w:t>
            </w:r>
          </w:p>
          <w:tbl>
            <w:tblPr>
              <w:tblStyle w:val="19"/>
              <w:tblW w:w="5000" w:type="pct"/>
              <w:jc w:val="center"/>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Layout w:type="fixed"/>
              <w:tblCellMar>
                <w:top w:w="0" w:type="dxa"/>
                <w:left w:w="57" w:type="dxa"/>
                <w:bottom w:w="0" w:type="dxa"/>
                <w:right w:w="57" w:type="dxa"/>
              </w:tblCellMar>
            </w:tblPr>
            <w:tblGrid>
              <w:gridCol w:w="573"/>
              <w:gridCol w:w="817"/>
              <w:gridCol w:w="3132"/>
              <w:gridCol w:w="3452"/>
            </w:tblGrid>
            <w:tr w14:paraId="689F09AF">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340" w:hRule="atLeast"/>
                <w:jc w:val="center"/>
              </w:trPr>
              <w:tc>
                <w:tcPr>
                  <w:tcW w:w="359" w:type="pct"/>
                  <w:tcBorders>
                    <w:top w:val="single" w:color="auto" w:sz="8" w:space="0"/>
                    <w:bottom w:val="single" w:color="auto" w:sz="8" w:space="0"/>
                    <w:right w:val="single" w:color="auto" w:sz="6" w:space="0"/>
                  </w:tcBorders>
                  <w:noWrap w:val="0"/>
                  <w:vAlign w:val="center"/>
                </w:tcPr>
                <w:p w14:paraId="6F8BAD4E">
                  <w:pPr>
                    <w:pStyle w:val="26"/>
                    <w:spacing w:before="0" w:beforeLines="0" w:after="0" w:afterLines="0" w:line="240" w:lineRule="auto"/>
                    <w:ind w:firstLine="0"/>
                    <w:rPr>
                      <w:rFonts w:ascii="Times New Roman"/>
                      <w:b/>
                      <w:bCs/>
                      <w:sz w:val="21"/>
                      <w:szCs w:val="21"/>
                      <w:highlight w:val="none"/>
                    </w:rPr>
                  </w:pPr>
                  <w:r>
                    <w:rPr>
                      <w:rFonts w:ascii="Times New Roman"/>
                      <w:b/>
                      <w:bCs/>
                      <w:sz w:val="21"/>
                      <w:szCs w:val="21"/>
                      <w:highlight w:val="none"/>
                    </w:rPr>
                    <w:t>序号</w:t>
                  </w:r>
                </w:p>
              </w:tc>
              <w:tc>
                <w:tcPr>
                  <w:tcW w:w="512" w:type="pct"/>
                  <w:tcBorders>
                    <w:top w:val="single" w:color="auto" w:sz="8" w:space="0"/>
                    <w:left w:val="single" w:color="auto" w:sz="6" w:space="0"/>
                    <w:bottom w:val="single" w:color="auto" w:sz="8" w:space="0"/>
                    <w:right w:val="single" w:color="auto" w:sz="6" w:space="0"/>
                  </w:tcBorders>
                  <w:noWrap w:val="0"/>
                  <w:vAlign w:val="center"/>
                </w:tcPr>
                <w:p w14:paraId="14F9E5EC">
                  <w:pPr>
                    <w:pStyle w:val="26"/>
                    <w:spacing w:before="0" w:beforeLines="0" w:after="0" w:afterLines="0" w:line="240" w:lineRule="auto"/>
                    <w:ind w:firstLine="0"/>
                    <w:jc w:val="center"/>
                    <w:rPr>
                      <w:rFonts w:ascii="Times New Roman"/>
                      <w:b/>
                      <w:bCs/>
                      <w:sz w:val="21"/>
                      <w:szCs w:val="21"/>
                      <w:highlight w:val="none"/>
                    </w:rPr>
                  </w:pPr>
                  <w:r>
                    <w:rPr>
                      <w:rFonts w:ascii="Times New Roman"/>
                      <w:b/>
                      <w:bCs/>
                      <w:sz w:val="21"/>
                      <w:szCs w:val="21"/>
                      <w:highlight w:val="none"/>
                    </w:rPr>
                    <w:t>污染物</w:t>
                  </w:r>
                </w:p>
              </w:tc>
              <w:tc>
                <w:tcPr>
                  <w:tcW w:w="1963" w:type="pct"/>
                  <w:tcBorders>
                    <w:top w:val="single" w:color="auto" w:sz="8" w:space="0"/>
                    <w:left w:val="single" w:color="auto" w:sz="6" w:space="0"/>
                    <w:bottom w:val="single" w:color="auto" w:sz="8" w:space="0"/>
                    <w:right w:val="single" w:color="auto" w:sz="6" w:space="0"/>
                  </w:tcBorders>
                  <w:noWrap w:val="0"/>
                  <w:vAlign w:val="center"/>
                </w:tcPr>
                <w:p w14:paraId="37F8CCD6">
                  <w:pPr>
                    <w:pStyle w:val="26"/>
                    <w:spacing w:before="0" w:beforeLines="0" w:after="0" w:afterLines="0" w:line="240" w:lineRule="auto"/>
                    <w:ind w:firstLine="0"/>
                    <w:jc w:val="center"/>
                    <w:rPr>
                      <w:rFonts w:hint="eastAsia" w:ascii="Times New Roman" w:eastAsia="宋体"/>
                      <w:b/>
                      <w:bCs/>
                      <w:sz w:val="21"/>
                      <w:szCs w:val="21"/>
                      <w:highlight w:val="none"/>
                      <w:lang w:val="en-US" w:eastAsia="zh-CN"/>
                    </w:rPr>
                  </w:pPr>
                  <w:r>
                    <w:rPr>
                      <w:rFonts w:hint="eastAsia" w:ascii="Times New Roman"/>
                      <w:b/>
                      <w:bCs/>
                      <w:sz w:val="21"/>
                      <w:szCs w:val="21"/>
                      <w:highlight w:val="none"/>
                      <w:lang w:val="en-US" w:eastAsia="zh-CN"/>
                    </w:rPr>
                    <w:t>排放限值</w:t>
                  </w:r>
                </w:p>
              </w:tc>
              <w:tc>
                <w:tcPr>
                  <w:tcW w:w="2164" w:type="pct"/>
                  <w:tcBorders>
                    <w:top w:val="single" w:color="auto" w:sz="8" w:space="0"/>
                    <w:left w:val="single" w:color="auto" w:sz="6" w:space="0"/>
                    <w:bottom w:val="single" w:color="auto" w:sz="8" w:space="0"/>
                  </w:tcBorders>
                  <w:noWrap w:val="0"/>
                  <w:vAlign w:val="center"/>
                </w:tcPr>
                <w:p w14:paraId="68FB480B">
                  <w:pPr>
                    <w:pStyle w:val="26"/>
                    <w:spacing w:before="0" w:beforeLines="0" w:after="0" w:afterLines="0" w:line="240" w:lineRule="auto"/>
                    <w:ind w:firstLine="0"/>
                    <w:jc w:val="center"/>
                    <w:rPr>
                      <w:rFonts w:hint="default" w:ascii="Times New Roman" w:eastAsia="宋体"/>
                      <w:b/>
                      <w:bCs/>
                      <w:sz w:val="21"/>
                      <w:szCs w:val="21"/>
                      <w:highlight w:val="none"/>
                      <w:lang w:val="en-US" w:eastAsia="zh-CN"/>
                    </w:rPr>
                  </w:pPr>
                  <w:r>
                    <w:rPr>
                      <w:rFonts w:hint="eastAsia" w:ascii="Times New Roman" w:hAnsi="Times New Roman" w:cs="Times New Roman"/>
                      <w:b/>
                      <w:bCs/>
                      <w:sz w:val="21"/>
                      <w:szCs w:val="21"/>
                      <w:highlight w:val="none"/>
                      <w:lang w:val="en-US" w:eastAsia="zh-CN"/>
                    </w:rPr>
                    <w:t>标准名称</w:t>
                  </w:r>
                </w:p>
              </w:tc>
            </w:tr>
            <w:tr w14:paraId="0670DC74">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90" w:hRule="atLeast"/>
                <w:jc w:val="center"/>
              </w:trPr>
              <w:tc>
                <w:tcPr>
                  <w:tcW w:w="359" w:type="pct"/>
                  <w:tcBorders>
                    <w:top w:val="single" w:color="auto" w:sz="8" w:space="0"/>
                    <w:bottom w:val="single" w:color="auto" w:sz="6" w:space="0"/>
                    <w:right w:val="single" w:color="auto" w:sz="6" w:space="0"/>
                  </w:tcBorders>
                  <w:noWrap w:val="0"/>
                  <w:vAlign w:val="center"/>
                </w:tcPr>
                <w:p w14:paraId="7081143A">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1</w:t>
                  </w:r>
                </w:p>
              </w:tc>
              <w:tc>
                <w:tcPr>
                  <w:tcW w:w="512" w:type="pct"/>
                  <w:tcBorders>
                    <w:top w:val="single" w:color="auto" w:sz="8" w:space="0"/>
                    <w:left w:val="single" w:color="auto" w:sz="6" w:space="0"/>
                    <w:bottom w:val="single" w:color="auto" w:sz="6" w:space="0"/>
                    <w:right w:val="single" w:color="auto" w:sz="6" w:space="0"/>
                  </w:tcBorders>
                  <w:noWrap w:val="0"/>
                  <w:vAlign w:val="center"/>
                </w:tcPr>
                <w:p w14:paraId="12374D82">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SS</w:t>
                  </w:r>
                </w:p>
              </w:tc>
              <w:tc>
                <w:tcPr>
                  <w:tcW w:w="1963" w:type="pct"/>
                  <w:tcBorders>
                    <w:top w:val="single" w:color="auto" w:sz="8" w:space="0"/>
                    <w:left w:val="single" w:color="auto" w:sz="6" w:space="0"/>
                    <w:bottom w:val="single" w:color="auto" w:sz="6" w:space="0"/>
                    <w:right w:val="single" w:color="auto" w:sz="6" w:space="0"/>
                  </w:tcBorders>
                  <w:noWrap w:val="0"/>
                  <w:vAlign w:val="center"/>
                </w:tcPr>
                <w:p w14:paraId="77D2622E">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400mg/L</w:t>
                  </w:r>
                </w:p>
              </w:tc>
              <w:tc>
                <w:tcPr>
                  <w:tcW w:w="2164" w:type="pct"/>
                  <w:vMerge w:val="restart"/>
                  <w:tcBorders>
                    <w:top w:val="single" w:color="auto" w:sz="8" w:space="0"/>
                    <w:left w:val="single" w:color="auto" w:sz="6" w:space="0"/>
                  </w:tcBorders>
                  <w:noWrap w:val="0"/>
                  <w:vAlign w:val="center"/>
                </w:tcPr>
                <w:p w14:paraId="63B4F346">
                  <w:pPr>
                    <w:pStyle w:val="26"/>
                    <w:spacing w:before="0" w:beforeLines="0" w:after="0" w:afterLines="0" w:line="240" w:lineRule="auto"/>
                    <w:ind w:firstLine="0"/>
                    <w:jc w:val="center"/>
                    <w:rPr>
                      <w:rFonts w:hint="default" w:ascii="Times New Roman" w:eastAsia="宋体"/>
                      <w:sz w:val="21"/>
                      <w:szCs w:val="21"/>
                      <w:highlight w:val="none"/>
                      <w:lang w:val="en-US" w:eastAsia="zh-CN"/>
                    </w:rPr>
                  </w:pPr>
                  <w:r>
                    <w:rPr>
                      <w:rFonts w:hint="default" w:ascii="Times New Roman" w:eastAsia="宋体"/>
                      <w:sz w:val="21"/>
                      <w:szCs w:val="21"/>
                      <w:highlight w:val="none"/>
                      <w:lang w:val="en-US" w:eastAsia="zh-CN"/>
                    </w:rPr>
                    <w:t>《污水排入城镇下水道水质标准》（GBT319622015）表1中B级标准</w:t>
                  </w:r>
                  <w:r>
                    <w:rPr>
                      <w:rFonts w:hint="eastAsia" w:ascii="Times New Roman"/>
                      <w:sz w:val="21"/>
                      <w:szCs w:val="21"/>
                      <w:highlight w:val="none"/>
                      <w:lang w:val="en-US" w:eastAsia="zh-CN"/>
                    </w:rPr>
                    <w:t>中氨氮的排放限</w:t>
                  </w:r>
                  <w:r>
                    <w:rPr>
                      <w:rFonts w:hint="default" w:ascii="Times New Roman" w:eastAsia="宋体"/>
                      <w:sz w:val="21"/>
                      <w:szCs w:val="21"/>
                      <w:highlight w:val="none"/>
                      <w:lang w:val="en-US" w:eastAsia="zh-CN"/>
                    </w:rPr>
                    <w:t>值</w:t>
                  </w:r>
                  <w:r>
                    <w:rPr>
                      <w:rFonts w:hint="eastAsia" w:ascii="Times New Roman"/>
                      <w:sz w:val="21"/>
                      <w:szCs w:val="21"/>
                      <w:highlight w:val="none"/>
                      <w:lang w:val="en-US" w:eastAsia="zh-CN"/>
                    </w:rPr>
                    <w:t>及</w:t>
                  </w:r>
                  <w:r>
                    <w:rPr>
                      <w:rFonts w:hint="default" w:ascii="Times New Roman" w:eastAsia="宋体"/>
                      <w:sz w:val="21"/>
                      <w:szCs w:val="21"/>
                      <w:highlight w:val="none"/>
                      <w:lang w:val="en-US" w:eastAsia="zh-CN"/>
                    </w:rPr>
                    <w:t>《污水综合排放标准》（GB8978-1996）表4中三级标准限值</w:t>
                  </w:r>
                </w:p>
              </w:tc>
            </w:tr>
            <w:tr w14:paraId="17EE08F9">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90" w:hRule="atLeast"/>
                <w:jc w:val="center"/>
              </w:trPr>
              <w:tc>
                <w:tcPr>
                  <w:tcW w:w="359" w:type="pct"/>
                  <w:tcBorders>
                    <w:top w:val="single" w:color="auto" w:sz="6" w:space="0"/>
                    <w:bottom w:val="single" w:color="auto" w:sz="6" w:space="0"/>
                    <w:right w:val="single" w:color="auto" w:sz="6" w:space="0"/>
                  </w:tcBorders>
                  <w:noWrap w:val="0"/>
                  <w:vAlign w:val="center"/>
                </w:tcPr>
                <w:p w14:paraId="4CBBB6AF">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2</w:t>
                  </w:r>
                </w:p>
              </w:tc>
              <w:tc>
                <w:tcPr>
                  <w:tcW w:w="512" w:type="pct"/>
                  <w:tcBorders>
                    <w:top w:val="single" w:color="auto" w:sz="6" w:space="0"/>
                    <w:left w:val="single" w:color="auto" w:sz="6" w:space="0"/>
                    <w:bottom w:val="single" w:color="auto" w:sz="6" w:space="0"/>
                    <w:right w:val="single" w:color="auto" w:sz="6" w:space="0"/>
                  </w:tcBorders>
                  <w:noWrap w:val="0"/>
                  <w:vAlign w:val="center"/>
                </w:tcPr>
                <w:p w14:paraId="59BE6DD2">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BOD</w:t>
                  </w:r>
                  <w:r>
                    <w:rPr>
                      <w:rFonts w:ascii="Times New Roman"/>
                      <w:sz w:val="21"/>
                      <w:szCs w:val="21"/>
                      <w:highlight w:val="none"/>
                      <w:vertAlign w:val="subscript"/>
                    </w:rPr>
                    <w:t>5</w:t>
                  </w:r>
                </w:p>
              </w:tc>
              <w:tc>
                <w:tcPr>
                  <w:tcW w:w="1963" w:type="pct"/>
                  <w:tcBorders>
                    <w:top w:val="single" w:color="auto" w:sz="6" w:space="0"/>
                    <w:left w:val="single" w:color="auto" w:sz="6" w:space="0"/>
                    <w:bottom w:val="single" w:color="auto" w:sz="6" w:space="0"/>
                    <w:right w:val="single" w:color="auto" w:sz="6" w:space="0"/>
                  </w:tcBorders>
                  <w:noWrap w:val="0"/>
                  <w:vAlign w:val="center"/>
                </w:tcPr>
                <w:p w14:paraId="7FF478C7">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300mg/L</w:t>
                  </w:r>
                </w:p>
              </w:tc>
              <w:tc>
                <w:tcPr>
                  <w:tcW w:w="2164" w:type="pct"/>
                  <w:vMerge w:val="continue"/>
                  <w:tcBorders>
                    <w:left w:val="single" w:color="auto" w:sz="6" w:space="0"/>
                  </w:tcBorders>
                  <w:noWrap w:val="0"/>
                  <w:vAlign w:val="center"/>
                </w:tcPr>
                <w:p w14:paraId="2BDFDB4F">
                  <w:pPr>
                    <w:pStyle w:val="26"/>
                    <w:spacing w:before="0" w:beforeLines="0" w:after="0" w:afterLines="0" w:line="240" w:lineRule="auto"/>
                    <w:ind w:firstLine="0"/>
                    <w:jc w:val="center"/>
                    <w:rPr>
                      <w:rFonts w:hint="default" w:ascii="Times New Roman" w:eastAsia="宋体"/>
                      <w:sz w:val="21"/>
                      <w:szCs w:val="21"/>
                      <w:highlight w:val="none"/>
                      <w:lang w:val="en-US" w:eastAsia="zh-CN"/>
                    </w:rPr>
                  </w:pPr>
                </w:p>
              </w:tc>
            </w:tr>
            <w:tr w14:paraId="74C5B2BE">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90" w:hRule="atLeast"/>
                <w:jc w:val="center"/>
              </w:trPr>
              <w:tc>
                <w:tcPr>
                  <w:tcW w:w="359" w:type="pct"/>
                  <w:tcBorders>
                    <w:top w:val="single" w:color="auto" w:sz="6" w:space="0"/>
                    <w:bottom w:val="single" w:color="auto" w:sz="6" w:space="0"/>
                    <w:right w:val="single" w:color="auto" w:sz="6" w:space="0"/>
                  </w:tcBorders>
                  <w:noWrap w:val="0"/>
                  <w:vAlign w:val="center"/>
                </w:tcPr>
                <w:p w14:paraId="56873552">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3</w:t>
                  </w:r>
                </w:p>
              </w:tc>
              <w:tc>
                <w:tcPr>
                  <w:tcW w:w="512" w:type="pct"/>
                  <w:tcBorders>
                    <w:top w:val="single" w:color="auto" w:sz="6" w:space="0"/>
                    <w:left w:val="single" w:color="auto" w:sz="6" w:space="0"/>
                    <w:bottom w:val="single" w:color="auto" w:sz="6" w:space="0"/>
                    <w:right w:val="single" w:color="auto" w:sz="6" w:space="0"/>
                  </w:tcBorders>
                  <w:noWrap w:val="0"/>
                  <w:vAlign w:val="center"/>
                </w:tcPr>
                <w:p w14:paraId="6335DEDD">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COD</w:t>
                  </w:r>
                </w:p>
              </w:tc>
              <w:tc>
                <w:tcPr>
                  <w:tcW w:w="1963" w:type="pct"/>
                  <w:tcBorders>
                    <w:top w:val="single" w:color="auto" w:sz="6" w:space="0"/>
                    <w:left w:val="single" w:color="auto" w:sz="6" w:space="0"/>
                    <w:bottom w:val="single" w:color="auto" w:sz="6" w:space="0"/>
                    <w:right w:val="single" w:color="auto" w:sz="6" w:space="0"/>
                  </w:tcBorders>
                  <w:noWrap w:val="0"/>
                  <w:vAlign w:val="center"/>
                </w:tcPr>
                <w:p w14:paraId="467CF41F">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500mg/L</w:t>
                  </w:r>
                </w:p>
              </w:tc>
              <w:tc>
                <w:tcPr>
                  <w:tcW w:w="2164" w:type="pct"/>
                  <w:vMerge w:val="continue"/>
                  <w:tcBorders>
                    <w:left w:val="single" w:color="auto" w:sz="6" w:space="0"/>
                  </w:tcBorders>
                  <w:noWrap w:val="0"/>
                  <w:vAlign w:val="center"/>
                </w:tcPr>
                <w:p w14:paraId="702D268D">
                  <w:pPr>
                    <w:pStyle w:val="26"/>
                    <w:spacing w:before="0" w:beforeLines="0" w:after="0" w:afterLines="0" w:line="240" w:lineRule="auto"/>
                    <w:ind w:firstLine="0"/>
                    <w:jc w:val="center"/>
                    <w:rPr>
                      <w:rFonts w:hint="default" w:ascii="Times New Roman" w:eastAsia="宋体"/>
                      <w:sz w:val="21"/>
                      <w:szCs w:val="21"/>
                      <w:highlight w:val="none"/>
                      <w:lang w:val="en-US" w:eastAsia="zh-CN"/>
                    </w:rPr>
                  </w:pPr>
                </w:p>
              </w:tc>
            </w:tr>
            <w:tr w14:paraId="617E224C">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20" w:hRule="atLeast"/>
                <w:jc w:val="center"/>
              </w:trPr>
              <w:tc>
                <w:tcPr>
                  <w:tcW w:w="359" w:type="pct"/>
                  <w:tcBorders>
                    <w:top w:val="single" w:color="auto" w:sz="6" w:space="0"/>
                    <w:bottom w:val="single" w:color="auto" w:sz="8" w:space="0"/>
                    <w:right w:val="single" w:color="auto" w:sz="6" w:space="0"/>
                  </w:tcBorders>
                  <w:noWrap w:val="0"/>
                  <w:vAlign w:val="center"/>
                </w:tcPr>
                <w:p w14:paraId="173593A5">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4</w:t>
                  </w:r>
                </w:p>
              </w:tc>
              <w:tc>
                <w:tcPr>
                  <w:tcW w:w="512" w:type="pct"/>
                  <w:tcBorders>
                    <w:top w:val="single" w:color="auto" w:sz="6" w:space="0"/>
                    <w:left w:val="single" w:color="auto" w:sz="6" w:space="0"/>
                    <w:bottom w:val="single" w:color="auto" w:sz="8" w:space="0"/>
                    <w:right w:val="single" w:color="auto" w:sz="6" w:space="0"/>
                  </w:tcBorders>
                  <w:noWrap w:val="0"/>
                  <w:vAlign w:val="center"/>
                </w:tcPr>
                <w:p w14:paraId="73B1E9A6">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氨氮</w:t>
                  </w:r>
                </w:p>
              </w:tc>
              <w:tc>
                <w:tcPr>
                  <w:tcW w:w="1963" w:type="pct"/>
                  <w:tcBorders>
                    <w:top w:val="single" w:color="auto" w:sz="6" w:space="0"/>
                    <w:left w:val="single" w:color="auto" w:sz="6" w:space="0"/>
                    <w:bottom w:val="single" w:color="auto" w:sz="8" w:space="0"/>
                    <w:right w:val="single" w:color="auto" w:sz="6" w:space="0"/>
                  </w:tcBorders>
                  <w:noWrap w:val="0"/>
                  <w:vAlign w:val="center"/>
                </w:tcPr>
                <w:p w14:paraId="6F7DF459">
                  <w:pPr>
                    <w:pStyle w:val="26"/>
                    <w:spacing w:before="0" w:beforeLines="0" w:after="0" w:afterLines="0" w:line="240" w:lineRule="auto"/>
                    <w:ind w:firstLine="0"/>
                    <w:jc w:val="center"/>
                    <w:rPr>
                      <w:rFonts w:hint="default" w:ascii="Times New Roman" w:eastAsia="宋体"/>
                      <w:sz w:val="21"/>
                      <w:szCs w:val="21"/>
                      <w:highlight w:val="none"/>
                      <w:lang w:val="en-US" w:eastAsia="zh-CN"/>
                    </w:rPr>
                  </w:pPr>
                  <w:r>
                    <w:rPr>
                      <w:rFonts w:hint="eastAsia" w:ascii="Times New Roman" w:eastAsia="宋体"/>
                      <w:sz w:val="21"/>
                      <w:szCs w:val="21"/>
                      <w:highlight w:val="none"/>
                      <w:lang w:val="en-US" w:eastAsia="zh-CN"/>
                    </w:rPr>
                    <w:t>4</w:t>
                  </w:r>
                  <w:r>
                    <w:rPr>
                      <w:rFonts w:hint="eastAsia" w:ascii="Times New Roman"/>
                      <w:sz w:val="21"/>
                      <w:szCs w:val="21"/>
                      <w:highlight w:val="none"/>
                      <w:lang w:val="en-US" w:eastAsia="zh-CN"/>
                    </w:rPr>
                    <w:t>5</w:t>
                  </w:r>
                  <w:r>
                    <w:rPr>
                      <w:rFonts w:ascii="Times New Roman"/>
                      <w:sz w:val="21"/>
                      <w:szCs w:val="21"/>
                      <w:highlight w:val="none"/>
                    </w:rPr>
                    <w:t>mg/L</w:t>
                  </w:r>
                </w:p>
              </w:tc>
              <w:tc>
                <w:tcPr>
                  <w:tcW w:w="2164" w:type="pct"/>
                  <w:vMerge w:val="continue"/>
                  <w:tcBorders>
                    <w:left w:val="single" w:color="auto" w:sz="6" w:space="0"/>
                    <w:bottom w:val="single" w:color="auto" w:sz="8" w:space="0"/>
                  </w:tcBorders>
                  <w:noWrap w:val="0"/>
                  <w:vAlign w:val="center"/>
                </w:tcPr>
                <w:p w14:paraId="553207A2">
                  <w:pPr>
                    <w:pStyle w:val="26"/>
                    <w:spacing w:before="0" w:beforeLines="0" w:after="0" w:afterLines="0" w:line="240" w:lineRule="auto"/>
                    <w:ind w:firstLine="0"/>
                    <w:jc w:val="center"/>
                    <w:rPr>
                      <w:rFonts w:hint="default" w:ascii="Times New Roman" w:eastAsia="宋体"/>
                      <w:sz w:val="21"/>
                      <w:szCs w:val="21"/>
                      <w:highlight w:val="none"/>
                      <w:lang w:val="en-US" w:eastAsia="zh-CN"/>
                    </w:rPr>
                  </w:pPr>
                </w:p>
              </w:tc>
            </w:tr>
          </w:tbl>
          <w:p w14:paraId="53E1C032">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ascii="Times New Roman" w:hAnsi="Times New Roman" w:eastAsia="宋体" w:cs="Times New Roman"/>
                <w:b/>
                <w:bCs/>
                <w:color w:val="000000"/>
                <w:sz w:val="24"/>
                <w:highlight w:val="none"/>
                <w:lang w:val="en-US" w:eastAsia="zh-CN"/>
              </w:rPr>
            </w:pPr>
            <w:r>
              <w:rPr>
                <w:rFonts w:hint="eastAsia" w:ascii="Times New Roman" w:hAnsi="Times New Roman" w:eastAsia="宋体" w:cs="Times New Roman"/>
                <w:b/>
                <w:bCs/>
                <w:color w:val="000000"/>
                <w:sz w:val="24"/>
                <w:highlight w:val="none"/>
                <w:lang w:val="en-US" w:eastAsia="zh-CN"/>
              </w:rPr>
              <w:t>3 噪声排放标准</w:t>
            </w:r>
          </w:p>
          <w:p w14:paraId="749435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lang w:val="en-US" w:eastAsia="zh-CN"/>
              </w:rPr>
            </w:pPr>
            <w:r>
              <w:rPr>
                <w:rFonts w:hint="eastAsia" w:ascii="Times New Roman" w:hAnsi="Times New Roman" w:eastAsia="宋体" w:cs="Times New Roman"/>
                <w:color w:val="000000"/>
                <w:sz w:val="24"/>
                <w:highlight w:val="none"/>
                <w:lang w:val="en-US" w:eastAsia="zh-CN"/>
              </w:rPr>
              <w:t>施工期噪声执行《建筑施工场界环境噪声排放标准》（GB12532-20</w:t>
            </w:r>
            <w:r>
              <w:rPr>
                <w:rFonts w:hint="eastAsia" w:cs="Times New Roman"/>
                <w:color w:val="000000"/>
                <w:sz w:val="24"/>
                <w:highlight w:val="none"/>
                <w:lang w:val="en-US" w:eastAsia="zh-CN"/>
              </w:rPr>
              <w:t>25</w:t>
            </w:r>
            <w:r>
              <w:rPr>
                <w:rFonts w:hint="eastAsia" w:ascii="Times New Roman" w:hAnsi="Times New Roman" w:eastAsia="宋体" w:cs="Times New Roman"/>
                <w:color w:val="000000"/>
                <w:sz w:val="24"/>
                <w:highlight w:val="none"/>
                <w:lang w:val="en-US" w:eastAsia="zh-CN"/>
              </w:rPr>
              <w:t>）中表1排放限值；运营期噪声执行《工业企业厂界环境噪声排放标准》（</w:t>
            </w:r>
            <w:r>
              <w:rPr>
                <w:rFonts w:hint="default" w:ascii="Times New Roman" w:hAnsi="Times New Roman" w:eastAsia="宋体" w:cs="Times New Roman"/>
                <w:color w:val="000000"/>
                <w:sz w:val="24"/>
                <w:highlight w:val="none"/>
                <w:lang w:val="en-US" w:eastAsia="zh-CN"/>
              </w:rPr>
              <w:t>GB12348-2008</w:t>
            </w:r>
            <w:r>
              <w:rPr>
                <w:rFonts w:hint="eastAsia" w:ascii="Times New Roman" w:hAnsi="Times New Roman" w:eastAsia="宋体" w:cs="Times New Roman"/>
                <w:color w:val="000000"/>
                <w:sz w:val="24"/>
                <w:highlight w:val="none"/>
                <w:lang w:val="en-US" w:eastAsia="zh-CN"/>
              </w:rPr>
              <w:t>）</w:t>
            </w:r>
            <w:r>
              <w:rPr>
                <w:rFonts w:hint="default" w:ascii="Times New Roman" w:hAnsi="Times New Roman" w:eastAsia="宋体" w:cs="Times New Roman"/>
                <w:color w:val="000000"/>
                <w:sz w:val="24"/>
                <w:highlight w:val="none"/>
                <w:lang w:val="en-US" w:eastAsia="zh-CN"/>
              </w:rPr>
              <w:t>3</w:t>
            </w:r>
            <w:r>
              <w:rPr>
                <w:rFonts w:hint="eastAsia" w:ascii="Times New Roman" w:hAnsi="Times New Roman" w:eastAsia="宋体" w:cs="Times New Roman"/>
                <w:color w:val="000000"/>
                <w:sz w:val="24"/>
                <w:highlight w:val="none"/>
                <w:lang w:val="en-US" w:eastAsia="zh-CN"/>
              </w:rPr>
              <w:t>类标准。详见表3-</w:t>
            </w:r>
            <w:r>
              <w:rPr>
                <w:rFonts w:hint="eastAsia" w:cs="Times New Roman"/>
                <w:color w:val="000000"/>
                <w:sz w:val="24"/>
                <w:highlight w:val="none"/>
                <w:lang w:val="en-US" w:eastAsia="zh-CN"/>
              </w:rPr>
              <w:t>10</w:t>
            </w:r>
            <w:r>
              <w:rPr>
                <w:rFonts w:hint="eastAsia" w:ascii="Times New Roman" w:hAnsi="Times New Roman" w:eastAsia="宋体" w:cs="Times New Roman"/>
                <w:color w:val="000000"/>
                <w:sz w:val="24"/>
                <w:highlight w:val="none"/>
                <w:lang w:val="en-US" w:eastAsia="zh-CN"/>
              </w:rPr>
              <w:t>。</w:t>
            </w:r>
          </w:p>
          <w:p w14:paraId="530BCA88">
            <w:pPr>
              <w:pStyle w:val="25"/>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表</w:t>
            </w:r>
            <w:r>
              <w:rPr>
                <w:rFonts w:hint="default" w:ascii="Times New Roman" w:hAnsi="Times New Roman" w:eastAsia="宋体" w:cs="Times New Roman"/>
                <w:b/>
                <w:bCs/>
                <w:snapToGrid w:val="0"/>
                <w:kern w:val="0"/>
                <w:sz w:val="21"/>
                <w:szCs w:val="21"/>
                <w:highlight w:val="none"/>
              </w:rPr>
              <w:t>3-</w:t>
            </w:r>
            <w:r>
              <w:rPr>
                <w:rFonts w:hint="eastAsia" w:cs="Times New Roman"/>
                <w:b/>
                <w:bCs/>
                <w:snapToGrid w:val="0"/>
                <w:kern w:val="0"/>
                <w:sz w:val="21"/>
                <w:szCs w:val="21"/>
                <w:highlight w:val="none"/>
                <w:lang w:val="en-US" w:eastAsia="zh-CN"/>
              </w:rPr>
              <w:t>10</w:t>
            </w:r>
            <w:r>
              <w:rPr>
                <w:rFonts w:hint="default" w:ascii="Times New Roman" w:hAnsi="Times New Roman" w:eastAsia="宋体" w:cs="Times New Roman"/>
                <w:b/>
                <w:bCs/>
                <w:snapToGrid w:val="0"/>
                <w:kern w:val="0"/>
                <w:sz w:val="21"/>
                <w:szCs w:val="21"/>
                <w:highlight w:val="none"/>
                <w:lang w:val="en-US" w:eastAsia="zh-CN"/>
              </w:rPr>
              <w:t xml:space="preserve"> </w:t>
            </w:r>
            <w:r>
              <w:rPr>
                <w:rFonts w:hint="eastAsia" w:ascii="Times New Roman" w:hAnsi="Times New Roman" w:eastAsia="宋体" w:cs="Times New Roman"/>
                <w:b/>
                <w:bCs/>
                <w:snapToGrid w:val="0"/>
                <w:kern w:val="0"/>
                <w:sz w:val="21"/>
                <w:szCs w:val="21"/>
                <w:highlight w:val="none"/>
                <w:lang w:val="en-US" w:eastAsia="zh-CN"/>
              </w:rPr>
              <w:t xml:space="preserve">    </w:t>
            </w:r>
            <w:r>
              <w:rPr>
                <w:rFonts w:hint="default" w:ascii="Times New Roman" w:hAnsi="Times New Roman" w:eastAsia="宋体" w:cs="Times New Roman"/>
                <w:b/>
                <w:bCs/>
                <w:sz w:val="21"/>
                <w:szCs w:val="21"/>
                <w:highlight w:val="none"/>
              </w:rPr>
              <w:t>噪声排放限值标准</w:t>
            </w:r>
          </w:p>
          <w:tbl>
            <w:tblPr>
              <w:tblStyle w:val="19"/>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63"/>
              <w:gridCol w:w="4054"/>
              <w:gridCol w:w="3057"/>
            </w:tblGrid>
            <w:tr w14:paraId="1A4DC6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41" w:type="pct"/>
                  <w:tcBorders>
                    <w:top w:val="single" w:color="auto" w:sz="8" w:space="0"/>
                    <w:bottom w:val="single" w:color="auto" w:sz="8" w:space="0"/>
                    <w:right w:val="single" w:color="auto" w:sz="6" w:space="0"/>
                  </w:tcBorders>
                  <w:noWrap w:val="0"/>
                  <w:vAlign w:val="center"/>
                </w:tcPr>
                <w:p w14:paraId="29BEC07F">
                  <w:pPr>
                    <w:jc w:val="center"/>
                    <w:rPr>
                      <w:rFonts w:hint="eastAsia"/>
                      <w:b/>
                      <w:bCs/>
                      <w:szCs w:val="21"/>
                      <w:highlight w:val="none"/>
                    </w:rPr>
                  </w:pPr>
                  <w:r>
                    <w:rPr>
                      <w:rFonts w:hint="eastAsia"/>
                      <w:b/>
                      <w:bCs/>
                      <w:szCs w:val="21"/>
                      <w:highlight w:val="none"/>
                    </w:rPr>
                    <w:t>时期</w:t>
                  </w:r>
                </w:p>
              </w:tc>
              <w:tc>
                <w:tcPr>
                  <w:tcW w:w="2541" w:type="pct"/>
                  <w:tcBorders>
                    <w:top w:val="single" w:color="auto" w:sz="8" w:space="0"/>
                    <w:left w:val="single" w:color="auto" w:sz="6" w:space="0"/>
                    <w:bottom w:val="single" w:color="auto" w:sz="8" w:space="0"/>
                    <w:right w:val="single" w:color="auto" w:sz="6" w:space="0"/>
                  </w:tcBorders>
                  <w:noWrap w:val="0"/>
                  <w:vAlign w:val="center"/>
                </w:tcPr>
                <w:p w14:paraId="55CC996C">
                  <w:pPr>
                    <w:jc w:val="center"/>
                    <w:rPr>
                      <w:rFonts w:hint="eastAsia"/>
                      <w:b/>
                      <w:bCs/>
                      <w:szCs w:val="21"/>
                      <w:highlight w:val="none"/>
                    </w:rPr>
                  </w:pPr>
                  <w:r>
                    <w:rPr>
                      <w:rFonts w:hint="eastAsia"/>
                      <w:b/>
                      <w:bCs/>
                      <w:szCs w:val="21"/>
                      <w:highlight w:val="none"/>
                    </w:rPr>
                    <w:t>标准</w:t>
                  </w:r>
                </w:p>
              </w:tc>
              <w:tc>
                <w:tcPr>
                  <w:tcW w:w="1916" w:type="pct"/>
                  <w:tcBorders>
                    <w:top w:val="single" w:color="auto" w:sz="8" w:space="0"/>
                    <w:left w:val="single" w:color="auto" w:sz="6" w:space="0"/>
                    <w:bottom w:val="single" w:color="auto" w:sz="8" w:space="0"/>
                  </w:tcBorders>
                  <w:noWrap w:val="0"/>
                  <w:vAlign w:val="center"/>
                </w:tcPr>
                <w:p w14:paraId="26B1B498">
                  <w:pPr>
                    <w:jc w:val="center"/>
                    <w:rPr>
                      <w:rFonts w:hint="eastAsia"/>
                      <w:b/>
                      <w:bCs/>
                      <w:szCs w:val="21"/>
                      <w:highlight w:val="none"/>
                    </w:rPr>
                  </w:pPr>
                  <w:r>
                    <w:rPr>
                      <w:rFonts w:hint="eastAsia"/>
                      <w:b/>
                      <w:bCs/>
                      <w:szCs w:val="21"/>
                      <w:highlight w:val="none"/>
                    </w:rPr>
                    <w:t>限值</w:t>
                  </w:r>
                </w:p>
              </w:tc>
            </w:tr>
            <w:tr w14:paraId="5B6925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41" w:type="pct"/>
                  <w:tcBorders>
                    <w:top w:val="single" w:color="auto" w:sz="8" w:space="0"/>
                    <w:bottom w:val="single" w:color="auto" w:sz="6" w:space="0"/>
                    <w:right w:val="single" w:color="auto" w:sz="6" w:space="0"/>
                  </w:tcBorders>
                  <w:noWrap w:val="0"/>
                  <w:vAlign w:val="center"/>
                </w:tcPr>
                <w:p w14:paraId="433389B6">
                  <w:pPr>
                    <w:jc w:val="center"/>
                    <w:rPr>
                      <w:szCs w:val="21"/>
                      <w:highlight w:val="none"/>
                    </w:rPr>
                  </w:pPr>
                  <w:r>
                    <w:rPr>
                      <w:rFonts w:hint="eastAsia"/>
                      <w:szCs w:val="21"/>
                      <w:highlight w:val="none"/>
                    </w:rPr>
                    <w:t>施工期</w:t>
                  </w:r>
                </w:p>
              </w:tc>
              <w:tc>
                <w:tcPr>
                  <w:tcW w:w="2541" w:type="pct"/>
                  <w:tcBorders>
                    <w:top w:val="single" w:color="auto" w:sz="8" w:space="0"/>
                    <w:left w:val="single" w:color="auto" w:sz="6" w:space="0"/>
                    <w:bottom w:val="single" w:color="auto" w:sz="6" w:space="0"/>
                    <w:right w:val="single" w:color="auto" w:sz="6" w:space="0"/>
                  </w:tcBorders>
                  <w:noWrap w:val="0"/>
                  <w:vAlign w:val="center"/>
                </w:tcPr>
                <w:p w14:paraId="64578970">
                  <w:pPr>
                    <w:jc w:val="center"/>
                    <w:rPr>
                      <w:rFonts w:hint="eastAsia"/>
                      <w:szCs w:val="21"/>
                      <w:highlight w:val="none"/>
                    </w:rPr>
                  </w:pPr>
                  <w:r>
                    <w:rPr>
                      <w:rFonts w:hint="eastAsia"/>
                      <w:szCs w:val="21"/>
                      <w:highlight w:val="none"/>
                    </w:rPr>
                    <w:t>《建筑施工场界环境噪声排放标准》（GB12532-20</w:t>
                  </w:r>
                  <w:r>
                    <w:rPr>
                      <w:rFonts w:hint="eastAsia"/>
                      <w:szCs w:val="21"/>
                      <w:highlight w:val="none"/>
                      <w:lang w:val="en-US" w:eastAsia="zh-CN"/>
                    </w:rPr>
                    <w:t>25</w:t>
                  </w:r>
                  <w:r>
                    <w:rPr>
                      <w:rFonts w:hint="eastAsia"/>
                      <w:szCs w:val="21"/>
                      <w:highlight w:val="none"/>
                    </w:rPr>
                    <w:t>）</w:t>
                  </w:r>
                </w:p>
              </w:tc>
              <w:tc>
                <w:tcPr>
                  <w:tcW w:w="1916" w:type="pct"/>
                  <w:tcBorders>
                    <w:top w:val="single" w:color="auto" w:sz="8" w:space="0"/>
                    <w:left w:val="single" w:color="auto" w:sz="6" w:space="0"/>
                    <w:bottom w:val="single" w:color="auto" w:sz="6" w:space="0"/>
                  </w:tcBorders>
                  <w:noWrap w:val="0"/>
                  <w:vAlign w:val="center"/>
                </w:tcPr>
                <w:p w14:paraId="1FA1AF1D">
                  <w:pPr>
                    <w:jc w:val="center"/>
                    <w:rPr>
                      <w:szCs w:val="21"/>
                      <w:highlight w:val="none"/>
                    </w:rPr>
                  </w:pPr>
                  <w:r>
                    <w:rPr>
                      <w:szCs w:val="21"/>
                      <w:highlight w:val="none"/>
                    </w:rPr>
                    <w:t>昼间70dB</w:t>
                  </w:r>
                  <w:r>
                    <w:rPr>
                      <w:rFonts w:hint="eastAsia"/>
                      <w:szCs w:val="21"/>
                      <w:highlight w:val="none"/>
                    </w:rPr>
                    <w:t>（</w:t>
                  </w:r>
                  <w:r>
                    <w:rPr>
                      <w:szCs w:val="21"/>
                      <w:highlight w:val="none"/>
                    </w:rPr>
                    <w:t>A</w:t>
                  </w:r>
                  <w:r>
                    <w:rPr>
                      <w:rFonts w:hint="eastAsia"/>
                      <w:szCs w:val="21"/>
                      <w:highlight w:val="none"/>
                    </w:rPr>
                    <w:t>）</w:t>
                  </w:r>
                  <w:r>
                    <w:rPr>
                      <w:szCs w:val="21"/>
                      <w:highlight w:val="none"/>
                    </w:rPr>
                    <w:t>、夜间55dB</w:t>
                  </w:r>
                  <w:r>
                    <w:rPr>
                      <w:rFonts w:hint="eastAsia"/>
                      <w:szCs w:val="21"/>
                      <w:highlight w:val="none"/>
                    </w:rPr>
                    <w:t>（</w:t>
                  </w:r>
                  <w:r>
                    <w:rPr>
                      <w:szCs w:val="21"/>
                      <w:highlight w:val="none"/>
                    </w:rPr>
                    <w:t>A</w:t>
                  </w:r>
                  <w:r>
                    <w:rPr>
                      <w:rFonts w:hint="eastAsia"/>
                      <w:szCs w:val="21"/>
                      <w:highlight w:val="none"/>
                    </w:rPr>
                    <w:t>）</w:t>
                  </w:r>
                </w:p>
              </w:tc>
            </w:tr>
            <w:tr w14:paraId="3FD1F4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41" w:type="pct"/>
                  <w:tcBorders>
                    <w:top w:val="single" w:color="auto" w:sz="6" w:space="0"/>
                    <w:bottom w:val="single" w:color="auto" w:sz="8" w:space="0"/>
                    <w:right w:val="single" w:color="auto" w:sz="6" w:space="0"/>
                  </w:tcBorders>
                  <w:noWrap w:val="0"/>
                  <w:vAlign w:val="center"/>
                </w:tcPr>
                <w:p w14:paraId="2628C628">
                  <w:pPr>
                    <w:jc w:val="center"/>
                    <w:rPr>
                      <w:szCs w:val="21"/>
                      <w:highlight w:val="none"/>
                    </w:rPr>
                  </w:pPr>
                  <w:r>
                    <w:rPr>
                      <w:rFonts w:hint="eastAsia"/>
                      <w:szCs w:val="21"/>
                      <w:highlight w:val="none"/>
                    </w:rPr>
                    <w:t>运营期</w:t>
                  </w:r>
                </w:p>
              </w:tc>
              <w:tc>
                <w:tcPr>
                  <w:tcW w:w="2541" w:type="pct"/>
                  <w:tcBorders>
                    <w:top w:val="single" w:color="auto" w:sz="6" w:space="0"/>
                    <w:left w:val="single" w:color="auto" w:sz="6" w:space="0"/>
                    <w:bottom w:val="single" w:color="auto" w:sz="8" w:space="0"/>
                    <w:right w:val="single" w:color="auto" w:sz="6" w:space="0"/>
                  </w:tcBorders>
                  <w:noWrap w:val="0"/>
                  <w:vAlign w:val="center"/>
                </w:tcPr>
                <w:p w14:paraId="75D88162">
                  <w:pPr>
                    <w:jc w:val="center"/>
                    <w:rPr>
                      <w:rFonts w:hint="eastAsia"/>
                      <w:szCs w:val="21"/>
                      <w:highlight w:val="none"/>
                    </w:rPr>
                  </w:pPr>
                  <w:r>
                    <w:rPr>
                      <w:rFonts w:hint="eastAsia"/>
                      <w:szCs w:val="21"/>
                      <w:highlight w:val="none"/>
                    </w:rPr>
                    <w:t>《工业企业厂界环境噪声排放标准》（GB12348-2008）</w:t>
                  </w:r>
                </w:p>
              </w:tc>
              <w:tc>
                <w:tcPr>
                  <w:tcW w:w="1916" w:type="pct"/>
                  <w:tcBorders>
                    <w:top w:val="single" w:color="auto" w:sz="6" w:space="0"/>
                    <w:left w:val="single" w:color="auto" w:sz="6" w:space="0"/>
                    <w:bottom w:val="single" w:color="auto" w:sz="8" w:space="0"/>
                  </w:tcBorders>
                  <w:noWrap w:val="0"/>
                  <w:vAlign w:val="center"/>
                </w:tcPr>
                <w:p w14:paraId="728959FF">
                  <w:pPr>
                    <w:jc w:val="center"/>
                    <w:rPr>
                      <w:rFonts w:hint="eastAsia"/>
                      <w:szCs w:val="21"/>
                      <w:highlight w:val="none"/>
                    </w:rPr>
                  </w:pPr>
                  <w:r>
                    <w:rPr>
                      <w:szCs w:val="21"/>
                      <w:highlight w:val="none"/>
                    </w:rPr>
                    <w:t>昼间</w:t>
                  </w:r>
                  <w:r>
                    <w:rPr>
                      <w:rFonts w:hint="eastAsia"/>
                      <w:szCs w:val="21"/>
                      <w:highlight w:val="none"/>
                    </w:rPr>
                    <w:t>65</w:t>
                  </w:r>
                  <w:r>
                    <w:rPr>
                      <w:szCs w:val="21"/>
                      <w:highlight w:val="none"/>
                    </w:rPr>
                    <w:t>dB</w:t>
                  </w:r>
                  <w:r>
                    <w:rPr>
                      <w:rFonts w:hint="eastAsia"/>
                      <w:szCs w:val="21"/>
                      <w:highlight w:val="none"/>
                    </w:rPr>
                    <w:t>（</w:t>
                  </w:r>
                  <w:r>
                    <w:rPr>
                      <w:szCs w:val="21"/>
                      <w:highlight w:val="none"/>
                    </w:rPr>
                    <w:t>A</w:t>
                  </w:r>
                  <w:r>
                    <w:rPr>
                      <w:rFonts w:hint="eastAsia"/>
                      <w:szCs w:val="21"/>
                      <w:highlight w:val="none"/>
                    </w:rPr>
                    <w:t>）</w:t>
                  </w:r>
                  <w:r>
                    <w:rPr>
                      <w:szCs w:val="21"/>
                      <w:highlight w:val="none"/>
                    </w:rPr>
                    <w:t>、夜间5</w:t>
                  </w:r>
                  <w:r>
                    <w:rPr>
                      <w:rFonts w:hint="eastAsia"/>
                      <w:szCs w:val="21"/>
                      <w:highlight w:val="none"/>
                    </w:rPr>
                    <w:t>5</w:t>
                  </w:r>
                  <w:r>
                    <w:rPr>
                      <w:szCs w:val="21"/>
                      <w:highlight w:val="none"/>
                    </w:rPr>
                    <w:t>dB</w:t>
                  </w:r>
                  <w:r>
                    <w:rPr>
                      <w:rFonts w:hint="eastAsia"/>
                      <w:szCs w:val="21"/>
                      <w:highlight w:val="none"/>
                    </w:rPr>
                    <w:t>（</w:t>
                  </w:r>
                  <w:r>
                    <w:rPr>
                      <w:szCs w:val="21"/>
                      <w:highlight w:val="none"/>
                    </w:rPr>
                    <w:t>A</w:t>
                  </w:r>
                  <w:r>
                    <w:rPr>
                      <w:rFonts w:hint="eastAsia"/>
                      <w:szCs w:val="21"/>
                      <w:highlight w:val="none"/>
                    </w:rPr>
                    <w:t>）</w:t>
                  </w:r>
                </w:p>
              </w:tc>
            </w:tr>
          </w:tbl>
          <w:p w14:paraId="441E47DE">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ascii="Times New Roman" w:hAnsi="Times New Roman" w:eastAsia="宋体" w:cs="Times New Roman"/>
                <w:b/>
                <w:bCs/>
                <w:color w:val="000000"/>
                <w:sz w:val="24"/>
                <w:highlight w:val="none"/>
                <w:lang w:val="en-US" w:eastAsia="zh-CN"/>
              </w:rPr>
            </w:pPr>
            <w:r>
              <w:rPr>
                <w:rFonts w:hint="eastAsia" w:ascii="Times New Roman" w:hAnsi="Times New Roman" w:eastAsia="宋体" w:cs="Times New Roman"/>
                <w:b/>
                <w:bCs/>
                <w:color w:val="000000"/>
                <w:sz w:val="24"/>
                <w:highlight w:val="none"/>
                <w:lang w:val="en-US" w:eastAsia="zh-CN"/>
              </w:rPr>
              <w:t>4 固体废弃物控制标准</w:t>
            </w:r>
          </w:p>
          <w:p w14:paraId="5B2F3C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kern w:val="0"/>
                <w:szCs w:val="21"/>
                <w:highlight w:val="none"/>
              </w:rPr>
            </w:pPr>
            <w:r>
              <w:rPr>
                <w:rFonts w:hint="eastAsia" w:cs="Times New Roman"/>
                <w:color w:val="000000"/>
                <w:sz w:val="24"/>
                <w:highlight w:val="none"/>
                <w:lang w:val="en-US" w:eastAsia="zh-CN"/>
              </w:rPr>
              <w:t>本</w:t>
            </w:r>
            <w:r>
              <w:rPr>
                <w:rFonts w:hint="default" w:ascii="Times New Roman" w:hAnsi="Times New Roman" w:eastAsia="宋体" w:cs="Times New Roman"/>
                <w:color w:val="000000"/>
                <w:sz w:val="24"/>
                <w:highlight w:val="none"/>
                <w:lang w:val="en-US" w:eastAsia="zh-CN"/>
              </w:rPr>
              <w:t>项目一般固废执行《一般工业固体废物贮存和填埋污染控制标准》</w:t>
            </w:r>
            <w:r>
              <w:rPr>
                <w:rFonts w:hint="eastAsia" w:ascii="Times New Roman" w:hAnsi="Times New Roman" w:eastAsia="宋体" w:cs="Times New Roman"/>
                <w:color w:val="000000"/>
                <w:sz w:val="24"/>
                <w:highlight w:val="none"/>
                <w:lang w:val="en-US" w:eastAsia="zh-CN"/>
              </w:rPr>
              <w:t>（</w:t>
            </w:r>
            <w:r>
              <w:rPr>
                <w:rFonts w:hint="default" w:ascii="Times New Roman" w:hAnsi="Times New Roman" w:eastAsia="宋体" w:cs="Times New Roman"/>
                <w:color w:val="000000"/>
                <w:sz w:val="24"/>
                <w:highlight w:val="none"/>
                <w:lang w:val="en-US" w:eastAsia="zh-CN"/>
              </w:rPr>
              <w:t>GB18599-2020</w:t>
            </w:r>
            <w:r>
              <w:rPr>
                <w:rFonts w:hint="eastAsia" w:ascii="Times New Roman" w:hAnsi="Times New Roman" w:eastAsia="宋体" w:cs="Times New Roman"/>
                <w:color w:val="000000"/>
                <w:sz w:val="24"/>
                <w:highlight w:val="none"/>
                <w:lang w:val="en-US" w:eastAsia="zh-CN"/>
              </w:rPr>
              <w:t>）相关规定</w:t>
            </w:r>
            <w:r>
              <w:rPr>
                <w:rFonts w:hint="eastAsia" w:cs="Times New Roman"/>
                <w:color w:val="000000"/>
                <w:sz w:val="24"/>
                <w:highlight w:val="none"/>
                <w:lang w:val="en-US" w:eastAsia="zh-CN"/>
              </w:rPr>
              <w:t>；</w:t>
            </w:r>
            <w:r>
              <w:rPr>
                <w:rFonts w:hint="default" w:ascii="Times New Roman" w:hAnsi="Times New Roman" w:eastAsia="宋体" w:cs="Times New Roman"/>
                <w:color w:val="000000"/>
                <w:sz w:val="24"/>
                <w:highlight w:val="none"/>
                <w:lang w:val="en-US" w:eastAsia="zh-CN"/>
              </w:rPr>
              <w:t>危险废物按照《国家危险废物名录》（202</w:t>
            </w:r>
            <w:r>
              <w:rPr>
                <w:rFonts w:hint="eastAsia" w:ascii="Times New Roman" w:hAnsi="Times New Roman" w:eastAsia="宋体" w:cs="Times New Roman"/>
                <w:color w:val="000000"/>
                <w:sz w:val="24"/>
                <w:highlight w:val="none"/>
                <w:lang w:val="en-US" w:eastAsia="zh-CN"/>
              </w:rPr>
              <w:t>5</w:t>
            </w:r>
            <w:r>
              <w:rPr>
                <w:rFonts w:hint="default" w:ascii="Times New Roman" w:hAnsi="Times New Roman" w:eastAsia="宋体" w:cs="Times New Roman"/>
                <w:color w:val="000000"/>
                <w:sz w:val="24"/>
                <w:highlight w:val="none"/>
                <w:lang w:val="en-US" w:eastAsia="zh-CN"/>
              </w:rPr>
              <w:t>年版）分类，危险废物贮存</w:t>
            </w:r>
            <w:r>
              <w:rPr>
                <w:rFonts w:hint="eastAsia" w:ascii="Times New Roman" w:hAnsi="Times New Roman" w:eastAsia="宋体" w:cs="Times New Roman"/>
                <w:color w:val="000000"/>
                <w:sz w:val="24"/>
                <w:highlight w:val="none"/>
                <w:lang w:val="en-US" w:eastAsia="zh-CN"/>
              </w:rPr>
              <w:t>执行</w:t>
            </w:r>
            <w:r>
              <w:rPr>
                <w:rFonts w:hint="default" w:ascii="Times New Roman" w:hAnsi="Times New Roman" w:eastAsia="宋体" w:cs="Times New Roman"/>
                <w:color w:val="000000"/>
                <w:sz w:val="24"/>
                <w:highlight w:val="none"/>
                <w:lang w:val="en-US" w:eastAsia="zh-CN"/>
              </w:rPr>
              <w:t>《危险废物贮存污染控制标准》（GB18597-2023）标准要求。</w:t>
            </w:r>
          </w:p>
        </w:tc>
      </w:tr>
      <w:tr w14:paraId="66E7B2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noWrap w:val="0"/>
            <w:vAlign w:val="center"/>
          </w:tcPr>
          <w:p w14:paraId="0A6FE77D">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总量</w:t>
            </w:r>
          </w:p>
          <w:p w14:paraId="3877B851">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控制</w:t>
            </w:r>
          </w:p>
          <w:p w14:paraId="3FFFC9F8">
            <w:pPr>
              <w:adjustRightInd w:val="0"/>
              <w:snapToGrid w:val="0"/>
              <w:jc w:val="center"/>
              <w:rPr>
                <w:rFonts w:hint="default" w:ascii="Times New Roman" w:hAnsi="Times New Roman" w:cs="Times New Roman"/>
                <w:kern w:val="0"/>
                <w:szCs w:val="21"/>
                <w:highlight w:val="none"/>
              </w:rPr>
            </w:pPr>
            <w:r>
              <w:rPr>
                <w:rFonts w:hint="default" w:ascii="Times New Roman" w:hAnsi="Times New Roman" w:cs="Times New Roman"/>
                <w:kern w:val="0"/>
                <w:sz w:val="24"/>
                <w:szCs w:val="24"/>
                <w:highlight w:val="none"/>
              </w:rPr>
              <w:t>指标</w:t>
            </w:r>
          </w:p>
        </w:tc>
        <w:tc>
          <w:tcPr>
            <w:tcW w:w="8190" w:type="dxa"/>
            <w:noWrap w:val="0"/>
            <w:vAlign w:val="center"/>
          </w:tcPr>
          <w:p w14:paraId="098250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highlight w:val="none"/>
                <w:lang w:val="en-US" w:eastAsia="zh-CN"/>
              </w:rPr>
            </w:pPr>
            <w:bookmarkStart w:id="6" w:name="_Hlk124198028"/>
            <w:r>
              <w:rPr>
                <w:rFonts w:hint="default" w:ascii="Times New Roman" w:hAnsi="Times New Roman" w:eastAsia="宋体" w:cs="Times New Roman"/>
                <w:color w:val="000000"/>
                <w:sz w:val="24"/>
                <w:highlight w:val="none"/>
                <w:lang w:val="en-US" w:eastAsia="zh-CN"/>
              </w:rPr>
              <w:t>根据</w:t>
            </w:r>
            <w:r>
              <w:rPr>
                <w:rFonts w:hint="eastAsia" w:ascii="Times New Roman" w:hAnsi="Times New Roman" w:eastAsia="宋体" w:cs="Times New Roman"/>
                <w:color w:val="000000"/>
                <w:sz w:val="24"/>
                <w:highlight w:val="none"/>
                <w:lang w:val="en-US" w:eastAsia="zh-CN"/>
              </w:rPr>
              <w:t>“十四五”主要污染物总量减排工作的通知，</w:t>
            </w:r>
            <w:r>
              <w:rPr>
                <w:rFonts w:hint="default" w:ascii="Times New Roman" w:hAnsi="Times New Roman" w:eastAsia="宋体" w:cs="Times New Roman"/>
                <w:color w:val="000000"/>
                <w:sz w:val="24"/>
                <w:highlight w:val="none"/>
                <w:lang w:val="en-US" w:eastAsia="zh-CN"/>
              </w:rPr>
              <w:t>确定本项目污染物排放总量控制因子为</w:t>
            </w:r>
            <w:r>
              <w:rPr>
                <w:rFonts w:hint="eastAsia" w:ascii="Times New Roman" w:hAnsi="Times New Roman" w:eastAsia="宋体" w:cs="Times New Roman"/>
                <w:color w:val="000000"/>
                <w:sz w:val="24"/>
                <w:highlight w:val="none"/>
                <w:lang w:val="en-US" w:eastAsia="zh-CN"/>
              </w:rPr>
              <w:t>颗粒物、S</w:t>
            </w:r>
            <w:r>
              <w:rPr>
                <w:rFonts w:hint="default" w:ascii="Times New Roman" w:hAnsi="Times New Roman" w:eastAsia="宋体" w:cs="Times New Roman"/>
                <w:color w:val="000000"/>
                <w:sz w:val="24"/>
                <w:highlight w:val="none"/>
                <w:lang w:val="en-US" w:eastAsia="zh-CN"/>
              </w:rPr>
              <w:t>O</w:t>
            </w:r>
            <w:r>
              <w:rPr>
                <w:rFonts w:hint="default" w:ascii="Times New Roman" w:hAnsi="Times New Roman" w:eastAsia="宋体" w:cs="Times New Roman"/>
                <w:color w:val="000000"/>
                <w:sz w:val="24"/>
                <w:highlight w:val="none"/>
                <w:vertAlign w:val="subscript"/>
                <w:lang w:val="en-US" w:eastAsia="zh-CN"/>
              </w:rPr>
              <w:t>2</w:t>
            </w:r>
            <w:r>
              <w:rPr>
                <w:rFonts w:hint="eastAsia" w:ascii="Times New Roman" w:hAnsi="Times New Roman" w:eastAsia="宋体" w:cs="Times New Roman"/>
                <w:color w:val="000000"/>
                <w:sz w:val="24"/>
                <w:highlight w:val="none"/>
                <w:lang w:val="en-US" w:eastAsia="zh-CN"/>
              </w:rPr>
              <w:t>、氮氧化物、非甲烷总烃。</w:t>
            </w:r>
            <w:r>
              <w:rPr>
                <w:rFonts w:hint="default" w:ascii="Times New Roman" w:hAnsi="Times New Roman" w:eastAsia="宋体" w:cs="Times New Roman"/>
                <w:color w:val="000000"/>
                <w:sz w:val="24"/>
                <w:highlight w:val="none"/>
                <w:lang w:val="en-US" w:eastAsia="zh-CN"/>
              </w:rPr>
              <w:t xml:space="preserve"> </w:t>
            </w:r>
          </w:p>
          <w:p w14:paraId="3F76EA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kern w:val="0"/>
                <w:szCs w:val="21"/>
                <w:highlight w:val="none"/>
              </w:rPr>
            </w:pPr>
            <w:r>
              <w:rPr>
                <w:rFonts w:hint="eastAsia" w:ascii="Times New Roman" w:hAnsi="Times New Roman" w:eastAsia="宋体" w:cs="Times New Roman"/>
                <w:color w:val="000000"/>
                <w:sz w:val="24"/>
                <w:highlight w:val="none"/>
                <w:lang w:val="en-US" w:eastAsia="zh-CN"/>
              </w:rPr>
              <w:t>本项目污染物预计颗粒物为0.</w:t>
            </w:r>
            <w:r>
              <w:rPr>
                <w:rFonts w:hint="eastAsia" w:cs="Times New Roman"/>
                <w:color w:val="000000"/>
                <w:sz w:val="24"/>
                <w:highlight w:val="none"/>
                <w:lang w:val="en-US" w:eastAsia="zh-CN"/>
              </w:rPr>
              <w:t>11</w:t>
            </w:r>
            <w:r>
              <w:rPr>
                <w:rFonts w:hint="eastAsia" w:ascii="Times New Roman" w:hAnsi="Times New Roman" w:eastAsia="宋体" w:cs="Times New Roman"/>
                <w:color w:val="000000"/>
                <w:sz w:val="24"/>
                <w:highlight w:val="none"/>
                <w:lang w:val="en-US" w:eastAsia="zh-CN"/>
              </w:rPr>
              <w:t>t/a，二氧化硫0.22t/a，氮氧化物0.1</w:t>
            </w:r>
            <w:r>
              <w:rPr>
                <w:rFonts w:hint="eastAsia" w:cs="Times New Roman"/>
                <w:color w:val="000000"/>
                <w:sz w:val="24"/>
                <w:highlight w:val="none"/>
                <w:lang w:val="en-US" w:eastAsia="zh-CN"/>
              </w:rPr>
              <w:t>9</w:t>
            </w:r>
            <w:r>
              <w:rPr>
                <w:rFonts w:hint="eastAsia" w:ascii="Times New Roman" w:hAnsi="Times New Roman" w:eastAsia="宋体" w:cs="Times New Roman"/>
                <w:color w:val="000000"/>
                <w:sz w:val="24"/>
                <w:highlight w:val="none"/>
                <w:lang w:val="en-US" w:eastAsia="zh-CN"/>
              </w:rPr>
              <w:t>t/a，非甲烷总烃</w:t>
            </w:r>
            <w:r>
              <w:rPr>
                <w:rFonts w:hint="eastAsia" w:cs="Times New Roman"/>
                <w:color w:val="000000"/>
                <w:sz w:val="24"/>
                <w:highlight w:val="none"/>
                <w:lang w:val="en-US" w:eastAsia="zh-CN"/>
              </w:rPr>
              <w:t>1.24</w:t>
            </w:r>
            <w:r>
              <w:rPr>
                <w:rFonts w:hint="eastAsia" w:ascii="Times New Roman" w:hAnsi="Times New Roman" w:eastAsia="宋体" w:cs="Times New Roman"/>
                <w:color w:val="000000"/>
                <w:sz w:val="24"/>
                <w:highlight w:val="none"/>
                <w:lang w:val="en-US" w:eastAsia="zh-CN"/>
              </w:rPr>
              <w:t>t/a；昌吉属于空气质量不达标区，本项目总量控制指标实行倍量替代</w:t>
            </w:r>
            <w:r>
              <w:rPr>
                <w:rFonts w:hint="eastAsia" w:cs="Times New Roman"/>
                <w:b w:val="0"/>
                <w:lang w:eastAsia="zh-CN"/>
              </w:rPr>
              <w:t>，</w:t>
            </w:r>
            <w:r>
              <w:rPr>
                <w:rFonts w:hint="eastAsia" w:ascii="Times New Roman" w:hAnsi="Times New Roman" w:eastAsia="宋体" w:cs="Times New Roman"/>
                <w:color w:val="000000"/>
                <w:sz w:val="24"/>
                <w:highlight w:val="none"/>
                <w:lang w:val="en-US" w:eastAsia="zh-CN"/>
              </w:rPr>
              <w:t>颗粒物为0.</w:t>
            </w:r>
            <w:r>
              <w:rPr>
                <w:rFonts w:hint="eastAsia" w:cs="Times New Roman"/>
                <w:color w:val="000000"/>
                <w:sz w:val="24"/>
                <w:highlight w:val="none"/>
                <w:lang w:val="en-US" w:eastAsia="zh-CN"/>
              </w:rPr>
              <w:t>22</w:t>
            </w:r>
            <w:r>
              <w:rPr>
                <w:rFonts w:hint="eastAsia" w:ascii="Times New Roman" w:hAnsi="Times New Roman" w:eastAsia="宋体" w:cs="Times New Roman"/>
                <w:color w:val="000000"/>
                <w:sz w:val="24"/>
                <w:highlight w:val="none"/>
                <w:lang w:val="en-US" w:eastAsia="zh-CN"/>
              </w:rPr>
              <w:t>t/a，二氧化硫0.44t/a，氮氧化物0.3</w:t>
            </w:r>
            <w:r>
              <w:rPr>
                <w:rFonts w:hint="eastAsia" w:cs="Times New Roman"/>
                <w:color w:val="000000"/>
                <w:sz w:val="24"/>
                <w:highlight w:val="none"/>
                <w:lang w:val="en-US" w:eastAsia="zh-CN"/>
              </w:rPr>
              <w:t>8</w:t>
            </w:r>
            <w:r>
              <w:rPr>
                <w:rFonts w:hint="eastAsia" w:ascii="Times New Roman" w:hAnsi="Times New Roman" w:eastAsia="宋体" w:cs="Times New Roman"/>
                <w:color w:val="000000"/>
                <w:sz w:val="24"/>
                <w:highlight w:val="none"/>
                <w:lang w:val="en-US" w:eastAsia="zh-CN"/>
              </w:rPr>
              <w:t>t/a，非甲烷总烃</w:t>
            </w:r>
            <w:r>
              <w:rPr>
                <w:rFonts w:hint="eastAsia" w:cs="Times New Roman"/>
                <w:color w:val="000000"/>
                <w:sz w:val="24"/>
                <w:highlight w:val="none"/>
                <w:lang w:val="en-US" w:eastAsia="zh-CN"/>
              </w:rPr>
              <w:t>2.48</w:t>
            </w:r>
            <w:r>
              <w:rPr>
                <w:rFonts w:hint="eastAsia" w:ascii="Times New Roman" w:hAnsi="Times New Roman" w:eastAsia="宋体" w:cs="Times New Roman"/>
                <w:color w:val="000000"/>
                <w:sz w:val="24"/>
                <w:highlight w:val="none"/>
                <w:lang w:val="en-US" w:eastAsia="zh-CN"/>
              </w:rPr>
              <w:t>t/a；本项目总量控制指标来源，以当地生态主管部门审批核准后，调剂解决。</w:t>
            </w:r>
            <w:bookmarkEnd w:id="6"/>
          </w:p>
        </w:tc>
      </w:tr>
    </w:tbl>
    <w:p w14:paraId="0CF6FB02">
      <w:pPr>
        <w:pStyle w:val="18"/>
        <w:jc w:val="center"/>
        <w:outlineLvl w:val="0"/>
        <w:rPr>
          <w:rFonts w:ascii="黑体" w:hAnsi="黑体" w:eastAsia="黑体"/>
          <w:snapToGrid w:val="0"/>
          <w:sz w:val="30"/>
          <w:szCs w:val="30"/>
          <w:highlight w:val="none"/>
        </w:rPr>
      </w:pPr>
      <w:r>
        <w:rPr>
          <w:rFonts w:ascii="黑体" w:hAnsi="黑体" w:eastAsia="黑体"/>
          <w:snapToGrid w:val="0"/>
          <w:sz w:val="36"/>
          <w:szCs w:val="36"/>
          <w:highlight w:val="none"/>
        </w:rPr>
        <w:br w:type="page"/>
      </w:r>
      <w:r>
        <w:rPr>
          <w:rFonts w:hint="eastAsia" w:ascii="黑体" w:hAnsi="黑体" w:eastAsia="黑体"/>
          <w:snapToGrid w:val="0"/>
          <w:sz w:val="30"/>
          <w:szCs w:val="30"/>
          <w:highlight w:val="none"/>
        </w:rPr>
        <w:t>四、主要环境影响和保护措施</w:t>
      </w:r>
    </w:p>
    <w:tbl>
      <w:tblPr>
        <w:tblStyle w:val="19"/>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16"/>
        <w:gridCol w:w="8465"/>
      </w:tblGrid>
      <w:tr w14:paraId="30F3D5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516" w:type="dxa"/>
            <w:noWrap w:val="0"/>
            <w:tcMar>
              <w:left w:w="28" w:type="dxa"/>
              <w:right w:w="28" w:type="dxa"/>
            </w:tcMar>
            <w:vAlign w:val="center"/>
          </w:tcPr>
          <w:p w14:paraId="4302DD2B">
            <w:pPr>
              <w:pStyle w:val="18"/>
              <w:adjustRightInd w:val="0"/>
              <w:snapToGrid w:val="0"/>
              <w:spacing w:before="0" w:beforeAutospacing="0" w:after="0" w:afterAutospacing="0"/>
              <w:jc w:val="center"/>
              <w:rPr>
                <w:rFonts w:hint="default" w:ascii="Times New Roman" w:hAnsi="Times New Roman" w:cs="Times New Roman"/>
                <w:kern w:val="2"/>
                <w:sz w:val="24"/>
                <w:szCs w:val="24"/>
                <w:highlight w:val="none"/>
              </w:rPr>
            </w:pPr>
            <w:r>
              <w:rPr>
                <w:rFonts w:hint="default" w:ascii="Times New Roman" w:hAnsi="Times New Roman" w:cs="Times New Roman"/>
                <w:kern w:val="2"/>
                <w:sz w:val="24"/>
                <w:szCs w:val="24"/>
                <w:highlight w:val="none"/>
              </w:rPr>
              <w:t>施工</w:t>
            </w:r>
          </w:p>
          <w:p w14:paraId="2513130B">
            <w:pPr>
              <w:pStyle w:val="18"/>
              <w:adjustRightInd w:val="0"/>
              <w:snapToGrid w:val="0"/>
              <w:spacing w:before="0" w:beforeAutospacing="0" w:after="0" w:afterAutospacing="0"/>
              <w:jc w:val="center"/>
              <w:rPr>
                <w:rFonts w:hint="default" w:ascii="Times New Roman" w:hAnsi="Times New Roman" w:cs="Times New Roman"/>
                <w:kern w:val="2"/>
                <w:sz w:val="24"/>
                <w:szCs w:val="24"/>
                <w:highlight w:val="none"/>
              </w:rPr>
            </w:pPr>
            <w:r>
              <w:rPr>
                <w:rFonts w:hint="default" w:ascii="Times New Roman" w:hAnsi="Times New Roman" w:cs="Times New Roman"/>
                <w:kern w:val="2"/>
                <w:sz w:val="24"/>
                <w:szCs w:val="24"/>
                <w:highlight w:val="none"/>
              </w:rPr>
              <w:t>期环</w:t>
            </w:r>
          </w:p>
          <w:p w14:paraId="71C48075">
            <w:pPr>
              <w:pStyle w:val="18"/>
              <w:adjustRightInd w:val="0"/>
              <w:snapToGrid w:val="0"/>
              <w:spacing w:before="0" w:beforeAutospacing="0" w:after="0" w:afterAutospacing="0"/>
              <w:jc w:val="center"/>
              <w:rPr>
                <w:rFonts w:hint="default" w:ascii="Times New Roman" w:hAnsi="Times New Roman" w:cs="Times New Roman"/>
                <w:kern w:val="2"/>
                <w:sz w:val="24"/>
                <w:szCs w:val="24"/>
                <w:highlight w:val="none"/>
              </w:rPr>
            </w:pPr>
            <w:r>
              <w:rPr>
                <w:rFonts w:hint="default" w:ascii="Times New Roman" w:hAnsi="Times New Roman" w:cs="Times New Roman"/>
                <w:kern w:val="2"/>
                <w:sz w:val="24"/>
                <w:szCs w:val="24"/>
                <w:highlight w:val="none"/>
              </w:rPr>
              <w:t>境保</w:t>
            </w:r>
          </w:p>
          <w:p w14:paraId="464383EE">
            <w:pPr>
              <w:pStyle w:val="18"/>
              <w:adjustRightInd w:val="0"/>
              <w:snapToGrid w:val="0"/>
              <w:spacing w:before="0" w:beforeAutospacing="0" w:after="0" w:afterAutospacing="0"/>
              <w:jc w:val="center"/>
              <w:rPr>
                <w:rFonts w:hint="default" w:ascii="Times New Roman" w:hAnsi="Times New Roman" w:cs="Times New Roman"/>
                <w:kern w:val="2"/>
                <w:sz w:val="24"/>
                <w:szCs w:val="24"/>
                <w:highlight w:val="none"/>
              </w:rPr>
            </w:pPr>
            <w:r>
              <w:rPr>
                <w:rFonts w:hint="default" w:ascii="Times New Roman" w:hAnsi="Times New Roman" w:cs="Times New Roman"/>
                <w:kern w:val="2"/>
                <w:sz w:val="24"/>
                <w:szCs w:val="24"/>
                <w:highlight w:val="none"/>
              </w:rPr>
              <w:t>护措</w:t>
            </w:r>
          </w:p>
          <w:p w14:paraId="29E3A32D">
            <w:pPr>
              <w:pStyle w:val="18"/>
              <w:adjustRightInd w:val="0"/>
              <w:snapToGrid w:val="0"/>
              <w:spacing w:before="0" w:beforeAutospacing="0" w:after="0" w:afterAutospacing="0"/>
              <w:jc w:val="center"/>
              <w:rPr>
                <w:rFonts w:hint="default" w:ascii="Times New Roman" w:hAnsi="Times New Roman" w:cs="Times New Roman"/>
                <w:bCs/>
                <w:kern w:val="2"/>
                <w:sz w:val="21"/>
                <w:szCs w:val="21"/>
                <w:highlight w:val="none"/>
              </w:rPr>
            </w:pPr>
            <w:r>
              <w:rPr>
                <w:rFonts w:hint="default" w:ascii="Times New Roman" w:hAnsi="Times New Roman" w:cs="Times New Roman"/>
                <w:kern w:val="2"/>
                <w:sz w:val="24"/>
                <w:szCs w:val="24"/>
                <w:highlight w:val="none"/>
              </w:rPr>
              <w:t>施</w:t>
            </w:r>
          </w:p>
        </w:tc>
        <w:tc>
          <w:tcPr>
            <w:tcW w:w="8465" w:type="dxa"/>
            <w:noWrap w:val="0"/>
            <w:vAlign w:val="center"/>
          </w:tcPr>
          <w:p w14:paraId="08751876">
            <w:pPr>
              <w:keepNext w:val="0"/>
              <w:keepLines w:val="0"/>
              <w:widowControl/>
              <w:suppressLineNumbers w:val="0"/>
              <w:spacing w:line="360" w:lineRule="auto"/>
              <w:jc w:val="left"/>
              <w:rPr>
                <w:rFonts w:hint="default" w:ascii="Times New Roman" w:hAnsi="Times New Roman" w:cs="Times New Roman"/>
                <w:highlight w:val="none"/>
              </w:rPr>
            </w:pPr>
            <w:r>
              <w:rPr>
                <w:rFonts w:hint="default" w:ascii="Times New Roman" w:hAnsi="Times New Roman" w:eastAsia="宋体" w:cs="Times New Roman"/>
                <w:b/>
                <w:bCs/>
                <w:color w:val="000000"/>
                <w:kern w:val="0"/>
                <w:sz w:val="24"/>
                <w:szCs w:val="24"/>
                <w:highlight w:val="none"/>
                <w:lang w:val="en-US" w:eastAsia="zh-CN" w:bidi="ar"/>
              </w:rPr>
              <w:t>1 施工期大气污染防治措施</w:t>
            </w:r>
          </w:p>
          <w:p w14:paraId="71803F4B">
            <w:p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本项目施工期大气污染物主要为土建施工过程中产生的扬尘及运输车辆产生的扬尘、尾气。</w:t>
            </w:r>
          </w:p>
          <w:p w14:paraId="2E0D6A24">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szCs w:val="24"/>
                <w:highlight w:val="none"/>
                <w:lang w:val="en-US" w:eastAsia="zh-CN" w:bidi="ar-SA"/>
              </w:rPr>
              <w:t>（1）</w:t>
            </w:r>
            <w:r>
              <w:rPr>
                <w:rFonts w:hint="default" w:ascii="Times New Roman" w:hAnsi="Times New Roman" w:eastAsia="宋体" w:cs="Times New Roman"/>
                <w:snapToGrid w:val="0"/>
                <w:color w:val="000000"/>
                <w:kern w:val="0"/>
                <w:sz w:val="24"/>
                <w:highlight w:val="none"/>
                <w:lang w:val="en-US" w:eastAsia="zh-CN"/>
              </w:rPr>
              <w:t>土建施工扬尘防治</w:t>
            </w:r>
          </w:p>
          <w:p w14:paraId="77BC0A96">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eastAsia" w:cs="Times New Roman"/>
                <w:snapToGrid w:val="0"/>
                <w:color w:val="000000"/>
                <w:kern w:val="0"/>
                <w:sz w:val="24"/>
                <w:highlight w:val="none"/>
                <w:lang w:val="en-US" w:eastAsia="zh-CN"/>
              </w:rPr>
              <w:t>①</w:t>
            </w:r>
            <w:r>
              <w:rPr>
                <w:rFonts w:hint="default" w:ascii="Times New Roman" w:hAnsi="Times New Roman" w:eastAsia="宋体" w:cs="Times New Roman"/>
                <w:snapToGrid w:val="0"/>
                <w:color w:val="000000"/>
                <w:kern w:val="0"/>
                <w:sz w:val="24"/>
                <w:highlight w:val="none"/>
                <w:lang w:val="en-US" w:eastAsia="zh-CN"/>
              </w:rPr>
              <w:t xml:space="preserve">水泥、石灰等易飞扬材料应注意储存保管。运输、装卸沙土和建材时， </w:t>
            </w:r>
          </w:p>
          <w:p w14:paraId="7E226951">
            <w:pPr>
              <w:numPr>
                <w:ilvl w:val="0"/>
                <w:numId w:val="0"/>
              </w:numPr>
              <w:topLinePunct/>
              <w:adjustRightInd w:val="0"/>
              <w:snapToGrid w:val="0"/>
              <w:spacing w:line="360" w:lineRule="auto"/>
              <w:rPr>
                <w:rFonts w:hint="default" w:ascii="Times New Roman" w:hAnsi="Times New Roman" w:eastAsia="宋体" w:cs="Times New Roman"/>
                <w:snapToGrid w:val="0"/>
                <w:color w:val="000000"/>
                <w:kern w:val="0"/>
                <w:sz w:val="24"/>
                <w:highlight w:val="none"/>
                <w:lang w:val="en-US" w:eastAsia="zh-CN"/>
              </w:rPr>
            </w:pPr>
            <w:r>
              <w:rPr>
                <w:rFonts w:hint="eastAsia" w:cs="Times New Roman"/>
                <w:snapToGrid w:val="0"/>
                <w:color w:val="000000"/>
                <w:kern w:val="0"/>
                <w:sz w:val="24"/>
                <w:highlight w:val="none"/>
                <w:lang w:val="en-US" w:eastAsia="zh-CN"/>
              </w:rPr>
              <w:t>采取相应</w:t>
            </w:r>
            <w:r>
              <w:rPr>
                <w:rFonts w:hint="default" w:ascii="Times New Roman" w:hAnsi="Times New Roman" w:eastAsia="宋体" w:cs="Times New Roman"/>
                <w:snapToGrid w:val="0"/>
                <w:color w:val="000000"/>
                <w:kern w:val="0"/>
                <w:sz w:val="24"/>
                <w:highlight w:val="none"/>
                <w:lang w:val="en-US" w:eastAsia="zh-CN"/>
              </w:rPr>
              <w:t>的措施，以减少扬尘的发生。增加清扫道路的次数和道路、施工场地洒水的次数。</w:t>
            </w:r>
          </w:p>
          <w:p w14:paraId="3112FE87">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eastAsia" w:cs="Times New Roman"/>
                <w:snapToGrid w:val="0"/>
                <w:color w:val="000000"/>
                <w:kern w:val="0"/>
                <w:sz w:val="24"/>
                <w:highlight w:val="none"/>
                <w:lang w:val="en-US" w:eastAsia="zh-CN"/>
              </w:rPr>
              <w:t>②</w:t>
            </w:r>
            <w:r>
              <w:rPr>
                <w:rFonts w:hint="default" w:ascii="Times New Roman" w:hAnsi="Times New Roman" w:eastAsia="宋体" w:cs="Times New Roman"/>
                <w:snapToGrid w:val="0"/>
                <w:color w:val="000000"/>
                <w:kern w:val="0"/>
                <w:sz w:val="24"/>
                <w:highlight w:val="none"/>
                <w:lang w:val="en-US" w:eastAsia="zh-CN"/>
              </w:rPr>
              <w:t>对运输车辆进行统一管理。</w:t>
            </w:r>
          </w:p>
          <w:p w14:paraId="37F4E4A1">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通过采取以上措施，加强施工管理，可使地面扬尘减少50%左右，建筑物高空扬尘减少70%左右，大大减少施工扬尘的产生。随着施工的结束，该影响也会自行消失。</w:t>
            </w:r>
          </w:p>
          <w:p w14:paraId="39D52B04">
            <w:pPr>
              <w:numPr>
                <w:ilvl w:val="0"/>
                <w:numId w:val="0"/>
              </w:numPr>
              <w:topLinePunct/>
              <w:adjustRightInd w:val="0"/>
              <w:snapToGrid w:val="0"/>
              <w:spacing w:line="360" w:lineRule="auto"/>
              <w:ind w:left="0" w:leftChars="0"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szCs w:val="24"/>
                <w:highlight w:val="none"/>
                <w:lang w:val="en-US" w:eastAsia="zh-CN" w:bidi="ar-SA"/>
              </w:rPr>
              <w:t>（2）</w:t>
            </w:r>
            <w:r>
              <w:rPr>
                <w:rFonts w:hint="default" w:ascii="Times New Roman" w:hAnsi="Times New Roman" w:eastAsia="宋体" w:cs="Times New Roman"/>
                <w:snapToGrid w:val="0"/>
                <w:color w:val="000000"/>
                <w:kern w:val="0"/>
                <w:sz w:val="24"/>
                <w:highlight w:val="none"/>
                <w:lang w:val="en-US" w:eastAsia="zh-CN"/>
              </w:rPr>
              <w:t>车辆运输废气防治</w:t>
            </w:r>
          </w:p>
          <w:p w14:paraId="1E4658CB">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场地内汽车来往排放的尾气主要污染物包括非甲烷总烃、CO、SO</w:t>
            </w:r>
            <w:r>
              <w:rPr>
                <w:rFonts w:hint="default" w:ascii="Times New Roman" w:hAnsi="Times New Roman" w:eastAsia="宋体" w:cs="Times New Roman"/>
                <w:snapToGrid w:val="0"/>
                <w:color w:val="000000"/>
                <w:kern w:val="0"/>
                <w:sz w:val="24"/>
                <w:highlight w:val="none"/>
                <w:vertAlign w:val="subscript"/>
                <w:lang w:val="en-US" w:eastAsia="zh-CN"/>
              </w:rPr>
              <w:t>2</w:t>
            </w:r>
            <w:r>
              <w:rPr>
                <w:rFonts w:hint="default" w:ascii="Times New Roman" w:hAnsi="Times New Roman" w:eastAsia="宋体" w:cs="Times New Roman"/>
                <w:snapToGrid w:val="0"/>
                <w:color w:val="000000"/>
                <w:kern w:val="0"/>
                <w:sz w:val="24"/>
                <w:highlight w:val="none"/>
                <w:lang w:val="en-US" w:eastAsia="zh-CN"/>
              </w:rPr>
              <w:t>、NO</w:t>
            </w:r>
            <w:r>
              <w:rPr>
                <w:rFonts w:hint="default" w:ascii="Times New Roman" w:hAnsi="Times New Roman" w:eastAsia="宋体" w:cs="Times New Roman"/>
                <w:snapToGrid w:val="0"/>
                <w:color w:val="000000"/>
                <w:kern w:val="0"/>
                <w:sz w:val="24"/>
                <w:highlight w:val="none"/>
                <w:vertAlign w:val="subscript"/>
                <w:lang w:val="en-US" w:eastAsia="zh-CN"/>
              </w:rPr>
              <w:t>2</w:t>
            </w:r>
            <w:r>
              <w:rPr>
                <w:rFonts w:hint="default" w:ascii="Times New Roman" w:hAnsi="Times New Roman" w:eastAsia="宋体" w:cs="Times New Roman"/>
                <w:snapToGrid w:val="0"/>
                <w:color w:val="000000"/>
                <w:kern w:val="0"/>
                <w:sz w:val="24"/>
                <w:highlight w:val="none"/>
                <w:vertAlign w:val="baseline"/>
                <w:lang w:val="en-US" w:eastAsia="zh-CN"/>
              </w:rPr>
              <w:t>等</w:t>
            </w:r>
            <w:r>
              <w:rPr>
                <w:rFonts w:hint="default" w:ascii="Times New Roman" w:hAnsi="Times New Roman" w:eastAsia="宋体" w:cs="Times New Roman"/>
                <w:snapToGrid w:val="0"/>
                <w:color w:val="000000"/>
                <w:kern w:val="0"/>
                <w:sz w:val="24"/>
                <w:highlight w:val="none"/>
                <w:lang w:val="en-US" w:eastAsia="zh-CN"/>
              </w:rPr>
              <w:t>。该部分废气产生量不大，且施工场地较为开阔</w:t>
            </w:r>
            <w:r>
              <w:rPr>
                <w:rFonts w:hint="eastAsia" w:cs="Times New Roman"/>
                <w:snapToGrid w:val="0"/>
                <w:color w:val="000000"/>
                <w:kern w:val="0"/>
                <w:sz w:val="24"/>
                <w:highlight w:val="none"/>
                <w:lang w:val="en-US" w:eastAsia="zh-CN"/>
              </w:rPr>
              <w:t>，有</w:t>
            </w:r>
            <w:r>
              <w:rPr>
                <w:rFonts w:hint="default" w:ascii="Times New Roman" w:hAnsi="Times New Roman" w:eastAsia="宋体" w:cs="Times New Roman"/>
                <w:snapToGrid w:val="0"/>
                <w:color w:val="000000"/>
                <w:kern w:val="0"/>
                <w:sz w:val="24"/>
                <w:highlight w:val="none"/>
                <w:lang w:val="en-US" w:eastAsia="zh-CN"/>
              </w:rPr>
              <w:t>利于废气的逸散，对周边环境影响不大。施工单位应采取下列防治措施。</w:t>
            </w:r>
          </w:p>
          <w:p w14:paraId="56A537CE">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①施工过程中应加强对施工车辆的检修和维护，严禁使用超期服役和尾气超标的车辆。</w:t>
            </w:r>
          </w:p>
          <w:p w14:paraId="11B2DE03">
            <w:pPr>
              <w:numPr>
                <w:ilvl w:val="0"/>
                <w:numId w:val="0"/>
              </w:numPr>
              <w:topLinePunct/>
              <w:adjustRightInd w:val="0"/>
              <w:snapToGrid w:val="0"/>
              <w:spacing w:line="360" w:lineRule="auto"/>
              <w:ind w:firstLine="456" w:firstLineChars="200"/>
              <w:rPr>
                <w:rFonts w:hint="default" w:ascii="Times New Roman" w:hAnsi="Times New Roman" w:eastAsia="宋体" w:cs="Times New Roman"/>
                <w:snapToGrid w:val="0"/>
                <w:color w:val="000000"/>
                <w:spacing w:val="-6"/>
                <w:kern w:val="0"/>
                <w:sz w:val="24"/>
                <w:highlight w:val="none"/>
                <w:lang w:val="en-US" w:eastAsia="zh-CN"/>
              </w:rPr>
            </w:pPr>
            <w:r>
              <w:rPr>
                <w:rFonts w:hint="default" w:ascii="Times New Roman" w:hAnsi="Times New Roman" w:eastAsia="宋体" w:cs="Times New Roman"/>
                <w:snapToGrid w:val="0"/>
                <w:color w:val="000000"/>
                <w:spacing w:val="-6"/>
                <w:kern w:val="0"/>
                <w:sz w:val="24"/>
                <w:highlight w:val="none"/>
                <w:lang w:val="en-US" w:eastAsia="zh-CN"/>
              </w:rPr>
              <w:t>②对施工期间进出施工现场车流量进行合理安排，防止施工现场车流量过大。</w:t>
            </w:r>
          </w:p>
          <w:p w14:paraId="230512F6">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③尽可能使用耗油低，排气小的施工车辆和机械，选用优质燃油，减少机械和车辆的有害废气排放。</w:t>
            </w:r>
          </w:p>
          <w:p w14:paraId="2D8E7E74">
            <w:pPr>
              <w:keepNext w:val="0"/>
              <w:keepLines w:val="0"/>
              <w:widowControl/>
              <w:suppressLineNumbers w:val="0"/>
              <w:spacing w:line="360" w:lineRule="auto"/>
              <w:jc w:val="left"/>
              <w:rPr>
                <w:rFonts w:hint="default" w:ascii="Times New Roman" w:hAnsi="Times New Roman" w:cs="Times New Roman"/>
                <w:highlight w:val="none"/>
              </w:rPr>
            </w:pPr>
            <w:r>
              <w:rPr>
                <w:rFonts w:hint="default" w:ascii="Times New Roman" w:hAnsi="Times New Roman" w:eastAsia="宋体" w:cs="Times New Roman"/>
                <w:b/>
                <w:bCs/>
                <w:color w:val="000000"/>
                <w:kern w:val="0"/>
                <w:sz w:val="24"/>
                <w:szCs w:val="24"/>
                <w:highlight w:val="none"/>
                <w:lang w:val="en-US" w:eastAsia="zh-CN" w:bidi="ar"/>
              </w:rPr>
              <w:t>2 施工期水污染防治措施</w:t>
            </w:r>
          </w:p>
          <w:p w14:paraId="726C7B8E">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施工</w:t>
            </w:r>
            <w:r>
              <w:rPr>
                <w:rFonts w:hint="eastAsia" w:cs="Times New Roman"/>
                <w:snapToGrid w:val="0"/>
                <w:color w:val="000000"/>
                <w:kern w:val="0"/>
                <w:sz w:val="24"/>
                <w:highlight w:val="none"/>
                <w:lang w:val="en-US" w:eastAsia="zh-CN"/>
              </w:rPr>
              <w:t>阶段</w:t>
            </w:r>
            <w:r>
              <w:rPr>
                <w:rFonts w:hint="default" w:ascii="Times New Roman" w:hAnsi="Times New Roman" w:eastAsia="宋体" w:cs="Times New Roman"/>
                <w:snapToGrid w:val="0"/>
                <w:color w:val="000000"/>
                <w:kern w:val="0"/>
                <w:sz w:val="24"/>
                <w:highlight w:val="none"/>
                <w:lang w:val="en-US" w:eastAsia="zh-CN"/>
              </w:rPr>
              <w:t>产生的废水</w:t>
            </w:r>
            <w:r>
              <w:rPr>
                <w:rFonts w:hint="eastAsia" w:cs="Times New Roman"/>
                <w:snapToGrid w:val="0"/>
                <w:color w:val="000000"/>
                <w:kern w:val="0"/>
                <w:sz w:val="24"/>
                <w:highlight w:val="none"/>
                <w:lang w:val="en-US" w:eastAsia="zh-CN"/>
              </w:rPr>
              <w:t>无</w:t>
            </w:r>
            <w:r>
              <w:rPr>
                <w:rFonts w:hint="default" w:ascii="Times New Roman" w:hAnsi="Times New Roman" w:eastAsia="宋体" w:cs="Times New Roman"/>
                <w:snapToGrid w:val="0"/>
                <w:color w:val="000000"/>
                <w:kern w:val="0"/>
                <w:sz w:val="24"/>
                <w:highlight w:val="none"/>
                <w:lang w:val="en-US" w:eastAsia="zh-CN"/>
              </w:rPr>
              <w:t>生产废水</w:t>
            </w:r>
            <w:r>
              <w:rPr>
                <w:rFonts w:hint="eastAsia" w:cs="Times New Roman"/>
                <w:snapToGrid w:val="0"/>
                <w:color w:val="000000"/>
                <w:kern w:val="0"/>
                <w:sz w:val="24"/>
                <w:highlight w:val="none"/>
                <w:lang w:val="en-US" w:eastAsia="zh-CN"/>
              </w:rPr>
              <w:t>只有</w:t>
            </w:r>
            <w:r>
              <w:rPr>
                <w:rFonts w:hint="default" w:ascii="Times New Roman" w:hAnsi="Times New Roman" w:eastAsia="宋体" w:cs="Times New Roman"/>
                <w:snapToGrid w:val="0"/>
                <w:color w:val="000000"/>
                <w:kern w:val="0"/>
                <w:sz w:val="24"/>
                <w:highlight w:val="none"/>
                <w:lang w:val="en-US" w:eastAsia="zh-CN"/>
              </w:rPr>
              <w:t>生活污水。</w:t>
            </w:r>
          </w:p>
          <w:p w14:paraId="02434186">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生活污水中主要污染因子为COD、BOD</w:t>
            </w:r>
            <w:r>
              <w:rPr>
                <w:rFonts w:hint="default" w:ascii="Times New Roman" w:hAnsi="Times New Roman" w:eastAsia="宋体" w:cs="Times New Roman"/>
                <w:snapToGrid w:val="0"/>
                <w:color w:val="000000"/>
                <w:kern w:val="0"/>
                <w:sz w:val="24"/>
                <w:highlight w:val="none"/>
                <w:vertAlign w:val="subscript"/>
                <w:lang w:val="en-US" w:eastAsia="zh-CN"/>
              </w:rPr>
              <w:t>5</w:t>
            </w:r>
            <w:r>
              <w:rPr>
                <w:rFonts w:hint="default" w:ascii="Times New Roman" w:hAnsi="Times New Roman" w:eastAsia="宋体" w:cs="Times New Roman"/>
                <w:snapToGrid w:val="0"/>
                <w:color w:val="000000"/>
                <w:kern w:val="0"/>
                <w:sz w:val="24"/>
                <w:highlight w:val="none"/>
                <w:vertAlign w:val="baseline"/>
                <w:lang w:val="en-US" w:eastAsia="zh-CN"/>
              </w:rPr>
              <w:t>、</w:t>
            </w:r>
            <w:r>
              <w:rPr>
                <w:rFonts w:hint="eastAsia" w:ascii="Times New Roman" w:hAnsi="Times New Roman" w:eastAsia="宋体" w:cs="Times New Roman"/>
                <w:snapToGrid w:val="0"/>
                <w:color w:val="000000"/>
                <w:kern w:val="0"/>
                <w:sz w:val="24"/>
                <w:highlight w:val="none"/>
                <w:vertAlign w:val="baseline"/>
                <w:lang w:val="en-US" w:eastAsia="zh-CN"/>
              </w:rPr>
              <w:t>NH</w:t>
            </w:r>
            <w:r>
              <w:rPr>
                <w:rFonts w:hint="eastAsia" w:ascii="Times New Roman" w:hAnsi="Times New Roman" w:eastAsia="宋体" w:cs="Times New Roman"/>
                <w:snapToGrid w:val="0"/>
                <w:color w:val="000000"/>
                <w:kern w:val="0"/>
                <w:sz w:val="24"/>
                <w:highlight w:val="none"/>
                <w:vertAlign w:val="subscript"/>
                <w:lang w:val="en-US" w:eastAsia="zh-CN"/>
              </w:rPr>
              <w:t>3</w:t>
            </w:r>
            <w:r>
              <w:rPr>
                <w:rFonts w:hint="eastAsia" w:ascii="Times New Roman" w:hAnsi="Times New Roman" w:eastAsia="宋体" w:cs="Times New Roman"/>
                <w:snapToGrid w:val="0"/>
                <w:color w:val="000000"/>
                <w:kern w:val="0"/>
                <w:sz w:val="24"/>
                <w:highlight w:val="none"/>
                <w:vertAlign w:val="baseline"/>
                <w:lang w:val="en-US" w:eastAsia="zh-CN"/>
              </w:rPr>
              <w:t>-</w:t>
            </w:r>
            <w:r>
              <w:rPr>
                <w:rFonts w:hint="eastAsia" w:cs="Times New Roman"/>
                <w:snapToGrid w:val="0"/>
                <w:color w:val="000000"/>
                <w:kern w:val="0"/>
                <w:sz w:val="24"/>
                <w:highlight w:val="none"/>
                <w:vertAlign w:val="baseline"/>
                <w:lang w:val="en-US" w:eastAsia="zh-CN"/>
              </w:rPr>
              <w:t>N</w:t>
            </w:r>
            <w:r>
              <w:rPr>
                <w:rFonts w:hint="eastAsia" w:ascii="Times New Roman" w:hAnsi="Times New Roman" w:eastAsia="宋体" w:cs="Times New Roman"/>
                <w:snapToGrid w:val="0"/>
                <w:color w:val="000000"/>
                <w:kern w:val="0"/>
                <w:sz w:val="24"/>
                <w:highlight w:val="none"/>
                <w:vertAlign w:val="baseline"/>
                <w:lang w:val="en-US" w:eastAsia="zh-CN"/>
              </w:rPr>
              <w:t>、</w:t>
            </w:r>
            <w:r>
              <w:rPr>
                <w:rFonts w:hint="default" w:ascii="Times New Roman" w:hAnsi="Times New Roman" w:eastAsia="宋体" w:cs="Times New Roman"/>
                <w:snapToGrid w:val="0"/>
                <w:color w:val="000000"/>
                <w:kern w:val="0"/>
                <w:sz w:val="24"/>
                <w:highlight w:val="none"/>
                <w:lang w:val="en-US" w:eastAsia="zh-CN"/>
              </w:rPr>
              <w:t>SS等。施工人员生活污水</w:t>
            </w:r>
            <w:r>
              <w:rPr>
                <w:rFonts w:hint="eastAsia" w:cs="Times New Roman"/>
                <w:snapToGrid w:val="0"/>
                <w:color w:val="000000"/>
                <w:kern w:val="0"/>
                <w:sz w:val="24"/>
                <w:highlight w:val="none"/>
                <w:lang w:val="en-US" w:eastAsia="zh-CN"/>
              </w:rPr>
              <w:t>直</w:t>
            </w:r>
            <w:r>
              <w:rPr>
                <w:rFonts w:hint="default" w:ascii="Times New Roman" w:hAnsi="Times New Roman" w:eastAsia="宋体" w:cs="Times New Roman"/>
                <w:snapToGrid w:val="0"/>
                <w:color w:val="000000"/>
                <w:kern w:val="0"/>
                <w:sz w:val="24"/>
                <w:highlight w:val="none"/>
                <w:lang w:val="en-US" w:eastAsia="zh-CN"/>
              </w:rPr>
              <w:t>排入高新区海天污水处理厂处理。</w:t>
            </w:r>
          </w:p>
          <w:p w14:paraId="031CCB9F">
            <w:pPr>
              <w:keepNext w:val="0"/>
              <w:keepLines w:val="0"/>
              <w:widowControl/>
              <w:suppressLineNumbers w:val="0"/>
              <w:spacing w:line="360" w:lineRule="auto"/>
              <w:jc w:val="left"/>
              <w:rPr>
                <w:rFonts w:hint="default" w:ascii="Times New Roman" w:hAnsi="Times New Roman" w:cs="Times New Roman"/>
                <w:highlight w:val="none"/>
              </w:rPr>
            </w:pPr>
            <w:r>
              <w:rPr>
                <w:rFonts w:hint="default" w:ascii="Times New Roman" w:hAnsi="Times New Roman" w:eastAsia="宋体" w:cs="Times New Roman"/>
                <w:b/>
                <w:bCs/>
                <w:color w:val="000000"/>
                <w:kern w:val="0"/>
                <w:sz w:val="24"/>
                <w:szCs w:val="24"/>
                <w:highlight w:val="none"/>
                <w:lang w:val="en-US" w:eastAsia="zh-CN" w:bidi="ar"/>
              </w:rPr>
              <w:t>3 施工期噪声污染防治措施</w:t>
            </w:r>
          </w:p>
          <w:p w14:paraId="4062AD9D">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施工阶段产生的噪声包括土建施工噪声、设备使用噪声、设备安装噪声、运输车辆噪声等。建设单位应采取下列</w:t>
            </w:r>
            <w:r>
              <w:rPr>
                <w:rFonts w:hint="eastAsia" w:cs="Times New Roman"/>
                <w:snapToGrid w:val="0"/>
                <w:color w:val="000000"/>
                <w:kern w:val="0"/>
                <w:sz w:val="24"/>
                <w:highlight w:val="none"/>
                <w:lang w:val="en-US" w:eastAsia="zh-CN"/>
              </w:rPr>
              <w:t>防治措施</w:t>
            </w:r>
            <w:r>
              <w:rPr>
                <w:rFonts w:hint="default" w:ascii="Times New Roman" w:hAnsi="Times New Roman" w:eastAsia="宋体" w:cs="Times New Roman"/>
                <w:snapToGrid w:val="0"/>
                <w:color w:val="000000"/>
                <w:kern w:val="0"/>
                <w:sz w:val="24"/>
                <w:highlight w:val="none"/>
                <w:lang w:val="en-US" w:eastAsia="zh-CN"/>
              </w:rPr>
              <w:t>。</w:t>
            </w:r>
          </w:p>
          <w:p w14:paraId="31E60CED">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（1）合理安排工期，对噪声源强较大的设备，应严格限制施工时间。</w:t>
            </w:r>
          </w:p>
          <w:p w14:paraId="59697438">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（2）进、离场运输车辆限速，禁止鸣笛；</w:t>
            </w:r>
          </w:p>
          <w:p w14:paraId="69149C83">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（3）合理安排各类机械设备的使用时间，尽量不要同时操作，避免噪声叠加；对噪声较大的机械进行隔声及减振处理，对较小的产噪设备</w:t>
            </w:r>
            <w:r>
              <w:rPr>
                <w:rFonts w:hint="eastAsia" w:cs="Times New Roman"/>
                <w:snapToGrid w:val="0"/>
                <w:color w:val="000000"/>
                <w:kern w:val="0"/>
                <w:sz w:val="24"/>
                <w:highlight w:val="none"/>
                <w:lang w:val="en-US" w:eastAsia="zh-CN"/>
              </w:rPr>
              <w:t>采取</w:t>
            </w:r>
            <w:r>
              <w:rPr>
                <w:rFonts w:hint="default" w:ascii="Times New Roman" w:hAnsi="Times New Roman" w:eastAsia="宋体" w:cs="Times New Roman"/>
                <w:snapToGrid w:val="0"/>
                <w:color w:val="000000"/>
                <w:kern w:val="0"/>
                <w:sz w:val="24"/>
                <w:highlight w:val="none"/>
                <w:lang w:val="en-US" w:eastAsia="zh-CN"/>
              </w:rPr>
              <w:t>移动式隔声屏等措施；</w:t>
            </w:r>
          </w:p>
          <w:p w14:paraId="2D76482D">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（4）施工过程中装修器械、材料等的使用做到轻拿轻放，减少因强烈碰撞产生的噪声；</w:t>
            </w:r>
          </w:p>
          <w:p w14:paraId="1CC13AF5">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（5）严格执行《建筑工程施工现场管理规定》（GB12523-2011），加强对施工人员的素质培养，禁止大声喧哗；采用</w:t>
            </w:r>
            <w:r>
              <w:rPr>
                <w:rFonts w:hint="eastAsia" w:cs="Times New Roman"/>
                <w:snapToGrid w:val="0"/>
                <w:color w:val="000000"/>
                <w:kern w:val="0"/>
                <w:sz w:val="24"/>
                <w:highlight w:val="none"/>
                <w:lang w:val="en-US" w:eastAsia="zh-CN"/>
              </w:rPr>
              <w:t>先进</w:t>
            </w:r>
            <w:r>
              <w:rPr>
                <w:rFonts w:hint="default" w:ascii="Times New Roman" w:hAnsi="Times New Roman" w:eastAsia="宋体" w:cs="Times New Roman"/>
                <w:snapToGrid w:val="0"/>
                <w:color w:val="000000"/>
                <w:kern w:val="0"/>
                <w:sz w:val="24"/>
                <w:highlight w:val="none"/>
                <w:lang w:val="en-US" w:eastAsia="zh-CN"/>
              </w:rPr>
              <w:t>的施工工艺和先进施工设备，禁止使用国家明令淘汰的产生噪声污染的落后施工工艺和施工机械。</w:t>
            </w:r>
          </w:p>
          <w:p w14:paraId="3831A1E3">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施工期噪声对区域噪声环境质量的影响是暂时的，随着施工期的结束，噪声污染影响也随之消除。</w:t>
            </w:r>
          </w:p>
          <w:p w14:paraId="537C1A3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highlight w:val="none"/>
              </w:rPr>
            </w:pPr>
            <w:r>
              <w:rPr>
                <w:rFonts w:hint="default" w:ascii="Times New Roman" w:hAnsi="Times New Roman" w:eastAsia="宋体" w:cs="Times New Roman"/>
                <w:b/>
                <w:bCs/>
                <w:color w:val="000000"/>
                <w:kern w:val="0"/>
                <w:sz w:val="24"/>
                <w:szCs w:val="24"/>
                <w:highlight w:val="none"/>
                <w:lang w:val="en-US" w:eastAsia="zh-CN" w:bidi="ar"/>
              </w:rPr>
              <w:t>4 施工期固体废物污染防治措施</w:t>
            </w:r>
          </w:p>
          <w:p w14:paraId="54B1551C">
            <w:pPr>
              <w:keepNext w:val="0"/>
              <w:keepLines w:val="0"/>
              <w:widowControl/>
              <w:suppressLineNumbers w:val="0"/>
              <w:spacing w:line="360" w:lineRule="auto"/>
              <w:ind w:firstLine="480" w:firstLineChars="200"/>
              <w:jc w:val="left"/>
              <w:rPr>
                <w:rFonts w:hint="default" w:ascii="Times New Roman" w:hAnsi="Times New Roman" w:cs="Times New Roman"/>
                <w:highlight w:val="none"/>
              </w:rPr>
            </w:pPr>
            <w:r>
              <w:rPr>
                <w:rFonts w:hint="default" w:ascii="Times New Roman" w:hAnsi="Times New Roman" w:eastAsia="宋体" w:cs="Times New Roman"/>
                <w:color w:val="000000"/>
                <w:kern w:val="0"/>
                <w:sz w:val="24"/>
                <w:szCs w:val="24"/>
                <w:highlight w:val="none"/>
                <w:lang w:val="en-US" w:eastAsia="zh-CN" w:bidi="ar"/>
              </w:rPr>
              <w:t>施工阶段的固体废弃物主要施工人员产生的生活垃圾。</w:t>
            </w:r>
          </w:p>
          <w:p w14:paraId="5954C6A8">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施工过程中的生活垃圾，虽属无害固体废物，但如不及时处理，在气温适宜的条件</w:t>
            </w:r>
            <w:r>
              <w:rPr>
                <w:rFonts w:hint="eastAsia" w:cs="Times New Roman"/>
                <w:snapToGrid w:val="0"/>
                <w:color w:val="000000"/>
                <w:kern w:val="0"/>
                <w:sz w:val="24"/>
                <w:highlight w:val="none"/>
                <w:lang w:val="en-US" w:eastAsia="zh-CN"/>
              </w:rPr>
              <w:t>下</w:t>
            </w:r>
            <w:r>
              <w:rPr>
                <w:rFonts w:hint="default" w:ascii="Times New Roman" w:hAnsi="Times New Roman" w:eastAsia="宋体" w:cs="Times New Roman"/>
                <w:snapToGrid w:val="0"/>
                <w:color w:val="000000"/>
                <w:kern w:val="0"/>
                <w:sz w:val="24"/>
                <w:highlight w:val="none"/>
                <w:lang w:val="en-US" w:eastAsia="zh-CN"/>
              </w:rPr>
              <w:t>会滋生蚊虫、产生恶臭、传播疾病，对弃置区土壤、生态和景观造成一定影响，并会诱发水土流失，对施工场地大气环境和环境卫生产生不利的影响。</w:t>
            </w:r>
          </w:p>
          <w:p w14:paraId="257A2854">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应将生活垃圾集中收集在有防雨棚的防地表径流的临时垃圾池内，后交由园区环卫部门清运。</w:t>
            </w:r>
          </w:p>
          <w:p w14:paraId="763B003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highlight w:val="none"/>
              </w:rPr>
            </w:pPr>
            <w:r>
              <w:rPr>
                <w:rFonts w:hint="default" w:ascii="Times New Roman" w:hAnsi="Times New Roman" w:eastAsia="宋体" w:cs="Times New Roman"/>
                <w:b/>
                <w:bCs/>
                <w:color w:val="000000"/>
                <w:kern w:val="0"/>
                <w:sz w:val="24"/>
                <w:szCs w:val="24"/>
                <w:highlight w:val="none"/>
                <w:lang w:val="en-US" w:eastAsia="zh-CN" w:bidi="ar"/>
              </w:rPr>
              <w:t>5 施工期生态环境保护措施</w:t>
            </w:r>
          </w:p>
          <w:p w14:paraId="26C4F51E">
            <w:p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建设项目的生态环境保护措施须从生态环境特点及其保护要求考虑，主要采取保护途径有以下内容。</w:t>
            </w:r>
          </w:p>
          <w:p w14:paraId="441E09AD">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szCs w:val="24"/>
                <w:highlight w:val="none"/>
                <w:lang w:val="en-US" w:eastAsia="zh-CN" w:bidi="ar-SA"/>
              </w:rPr>
              <w:t>（1）</w:t>
            </w:r>
            <w:r>
              <w:rPr>
                <w:rFonts w:hint="default" w:ascii="Times New Roman" w:hAnsi="Times New Roman" w:eastAsia="宋体" w:cs="Times New Roman"/>
                <w:snapToGrid w:val="0"/>
                <w:color w:val="000000"/>
                <w:kern w:val="0"/>
                <w:sz w:val="24"/>
                <w:highlight w:val="none"/>
                <w:lang w:val="en-US" w:eastAsia="zh-CN"/>
              </w:rPr>
              <w:t>生态影响的避免</w:t>
            </w:r>
          </w:p>
          <w:p w14:paraId="65DED53E">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施工过程中注意文明施工，尽量不破坏、损伤道路、场地、沟道两侧植被，各种废弃物不要置于路边植被上。</w:t>
            </w:r>
          </w:p>
          <w:p w14:paraId="601CA6EA">
            <w:pPr>
              <w:numPr>
                <w:ilvl w:val="0"/>
                <w:numId w:val="0"/>
              </w:numPr>
              <w:topLinePunct/>
              <w:adjustRightInd w:val="0"/>
              <w:snapToGrid w:val="0"/>
              <w:spacing w:line="360" w:lineRule="auto"/>
              <w:ind w:left="0" w:leftChars="0"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szCs w:val="24"/>
                <w:lang w:val="en-US" w:eastAsia="zh-CN" w:bidi="ar-SA"/>
              </w:rPr>
              <w:t>（</w:t>
            </w:r>
            <w:r>
              <w:rPr>
                <w:rFonts w:hint="eastAsia" w:cs="Times New Roman"/>
                <w:snapToGrid w:val="0"/>
                <w:color w:val="000000"/>
                <w:kern w:val="0"/>
                <w:sz w:val="24"/>
                <w:szCs w:val="24"/>
                <w:lang w:val="en-US" w:eastAsia="zh-CN" w:bidi="ar-SA"/>
              </w:rPr>
              <w:t>2</w:t>
            </w:r>
            <w:r>
              <w:rPr>
                <w:rFonts w:hint="default" w:ascii="Times New Roman" w:hAnsi="Times New Roman" w:eastAsia="宋体" w:cs="Times New Roman"/>
                <w:snapToGrid w:val="0"/>
                <w:color w:val="000000"/>
                <w:kern w:val="0"/>
                <w:sz w:val="24"/>
                <w:szCs w:val="24"/>
                <w:lang w:val="en-US" w:eastAsia="zh-CN" w:bidi="ar-SA"/>
              </w:rPr>
              <w:t>）</w:t>
            </w:r>
            <w:r>
              <w:rPr>
                <w:rFonts w:hint="default" w:ascii="Times New Roman" w:hAnsi="Times New Roman" w:eastAsia="宋体" w:cs="Times New Roman"/>
                <w:snapToGrid w:val="0"/>
                <w:color w:val="000000"/>
                <w:kern w:val="0"/>
                <w:sz w:val="24"/>
                <w:highlight w:val="none"/>
                <w:lang w:val="en-US" w:eastAsia="zh-CN"/>
              </w:rPr>
              <w:t>生态影响的削减</w:t>
            </w:r>
          </w:p>
          <w:p w14:paraId="799D8E10">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禁止施工人员进入非施工占用地区域，标明施工活动区，严令禁止到非施工区活动。</w:t>
            </w:r>
          </w:p>
        </w:tc>
      </w:tr>
      <w:tr w14:paraId="0D9FE5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79" w:hRule="atLeast"/>
          <w:jc w:val="center"/>
        </w:trPr>
        <w:tc>
          <w:tcPr>
            <w:tcW w:w="516" w:type="dxa"/>
            <w:noWrap w:val="0"/>
            <w:tcMar>
              <w:left w:w="28" w:type="dxa"/>
              <w:right w:w="28" w:type="dxa"/>
            </w:tcMar>
            <w:vAlign w:val="center"/>
          </w:tcPr>
          <w:p w14:paraId="78F6183B">
            <w:pPr>
              <w:adjustRightInd w:val="0"/>
              <w:snapToGrid w:val="0"/>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运营</w:t>
            </w:r>
          </w:p>
          <w:p w14:paraId="04CD1CEE">
            <w:pPr>
              <w:adjustRightInd w:val="0"/>
              <w:snapToGrid w:val="0"/>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期环</w:t>
            </w:r>
          </w:p>
          <w:p w14:paraId="6C054FA4">
            <w:pPr>
              <w:adjustRightInd w:val="0"/>
              <w:snapToGrid w:val="0"/>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境影</w:t>
            </w:r>
          </w:p>
          <w:p w14:paraId="0A7C26A2">
            <w:pPr>
              <w:adjustRightInd w:val="0"/>
              <w:snapToGrid w:val="0"/>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响和</w:t>
            </w:r>
          </w:p>
          <w:p w14:paraId="40BE111B">
            <w:pPr>
              <w:adjustRightInd w:val="0"/>
              <w:snapToGrid w:val="0"/>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保护</w:t>
            </w:r>
          </w:p>
          <w:p w14:paraId="133AFE4F">
            <w:pPr>
              <w:adjustRightInd w:val="0"/>
              <w:snapToGrid w:val="0"/>
              <w:jc w:val="center"/>
              <w:rPr>
                <w:rFonts w:hint="default" w:ascii="Times New Roman" w:hAnsi="Times New Roman" w:cs="Times New Roman"/>
                <w:bCs/>
                <w:szCs w:val="21"/>
                <w:highlight w:val="none"/>
              </w:rPr>
            </w:pPr>
            <w:r>
              <w:rPr>
                <w:rFonts w:hint="default" w:ascii="Times New Roman" w:hAnsi="Times New Roman" w:cs="Times New Roman"/>
                <w:bCs/>
                <w:sz w:val="24"/>
                <w:szCs w:val="24"/>
                <w:highlight w:val="none"/>
              </w:rPr>
              <w:t>措施</w:t>
            </w:r>
          </w:p>
        </w:tc>
        <w:tc>
          <w:tcPr>
            <w:tcW w:w="8465" w:type="dxa"/>
            <w:noWrap w:val="0"/>
            <w:vAlign w:val="center"/>
          </w:tcPr>
          <w:p w14:paraId="0E592B3A">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jc w:val="left"/>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1 运营期大气环境影响及保护措施</w:t>
            </w:r>
          </w:p>
          <w:p w14:paraId="60D3474B">
            <w:pPr>
              <w:keepNext w:val="0"/>
              <w:keepLines w:val="0"/>
              <w:pageBreakBefore w:val="0"/>
              <w:widowControl/>
              <w:numPr>
                <w:ilvl w:val="1"/>
                <w:numId w:val="2"/>
              </w:numPr>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废气产生、处置及排放情况</w:t>
            </w:r>
          </w:p>
          <w:p w14:paraId="1747AA34">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w:t>
            </w:r>
            <w:r>
              <w:rPr>
                <w:rFonts w:hint="eastAsia" w:cs="Times New Roman"/>
                <w:snapToGrid w:val="0"/>
                <w:color w:val="000000"/>
                <w:kern w:val="0"/>
                <w:sz w:val="24"/>
                <w:highlight w:val="none"/>
                <w:lang w:val="en-US" w:eastAsia="zh-CN"/>
              </w:rPr>
              <w:t>1</w:t>
            </w:r>
            <w:r>
              <w:rPr>
                <w:rFonts w:hint="default" w:ascii="Times New Roman" w:hAnsi="Times New Roman" w:eastAsia="宋体" w:cs="Times New Roman"/>
                <w:snapToGrid w:val="0"/>
                <w:color w:val="000000"/>
                <w:kern w:val="0"/>
                <w:sz w:val="24"/>
                <w:highlight w:val="none"/>
                <w:lang w:val="en-US" w:eastAsia="zh-CN"/>
              </w:rPr>
              <w:t>）搅拌、浸涂沥青烟废气</w:t>
            </w:r>
            <w:r>
              <w:rPr>
                <w:rFonts w:hint="eastAsia" w:cs="Times New Roman"/>
                <w:snapToGrid w:val="0"/>
                <w:color w:val="000000"/>
                <w:kern w:val="0"/>
                <w:sz w:val="24"/>
                <w:highlight w:val="none"/>
                <w:lang w:val="en-US" w:eastAsia="zh-CN"/>
              </w:rPr>
              <w:t>、覆膜废气、储罐废气</w:t>
            </w:r>
          </w:p>
          <w:p w14:paraId="1C53BF6A">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eastAsia" w:cs="Times New Roman"/>
                <w:snapToGrid w:val="0"/>
                <w:color w:val="000000"/>
                <w:kern w:val="0"/>
                <w:sz w:val="24"/>
                <w:highlight w:val="none"/>
                <w:lang w:val="en-US" w:eastAsia="zh-CN"/>
              </w:rPr>
              <w:t>①</w:t>
            </w:r>
            <w:r>
              <w:rPr>
                <w:rFonts w:hint="default" w:ascii="Times New Roman" w:hAnsi="Times New Roman" w:eastAsia="宋体" w:cs="Times New Roman"/>
                <w:snapToGrid w:val="0"/>
                <w:color w:val="000000"/>
                <w:kern w:val="0"/>
                <w:sz w:val="24"/>
                <w:highlight w:val="none"/>
                <w:lang w:val="en-US" w:eastAsia="zh-CN"/>
              </w:rPr>
              <w:t>搅拌、浸涂沥青烟废气</w:t>
            </w:r>
          </w:p>
          <w:p w14:paraId="13E24AD2">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搅拌、浸涂工序会产生废气，主要为沥青烟、苯并[a]芘和非甲烷总烃。参考前苏联拉扎列夫主编的《工业生产中有害物</w:t>
            </w:r>
            <w:r>
              <w:rPr>
                <w:rFonts w:hint="eastAsia" w:cs="Times New Roman"/>
                <w:snapToGrid w:val="0"/>
                <w:color w:val="000000"/>
                <w:kern w:val="0"/>
                <w:sz w:val="24"/>
                <w:highlight w:val="none"/>
                <w:lang w:val="en-US" w:eastAsia="zh-CN"/>
              </w:rPr>
              <w:t>质</w:t>
            </w:r>
            <w:r>
              <w:rPr>
                <w:rFonts w:hint="default" w:ascii="Times New Roman" w:hAnsi="Times New Roman" w:eastAsia="宋体" w:cs="Times New Roman"/>
                <w:snapToGrid w:val="0"/>
                <w:color w:val="000000"/>
                <w:kern w:val="0"/>
                <w:sz w:val="24"/>
                <w:highlight w:val="none"/>
                <w:lang w:val="en-US" w:eastAsia="zh-CN"/>
              </w:rPr>
              <w:t>手册》第一卷（化学工业出版社，1987年12月出版）及金相灿主编的《有机化合物污染化学》（清华大学出版社，1990年8月出版），每吨沥青可产生苯并[a]芘气体0.10g-0.15g（本项目取其平均值为0.1</w:t>
            </w:r>
            <w:r>
              <w:rPr>
                <w:rFonts w:hint="eastAsia" w:cs="Times New Roman"/>
                <w:snapToGrid w:val="0"/>
                <w:color w:val="000000"/>
                <w:kern w:val="0"/>
                <w:sz w:val="24"/>
                <w:highlight w:val="none"/>
                <w:lang w:val="en-US" w:eastAsia="zh-CN"/>
              </w:rPr>
              <w:t>25</w:t>
            </w:r>
            <w:r>
              <w:rPr>
                <w:rFonts w:hint="default" w:ascii="Times New Roman" w:hAnsi="Times New Roman" w:eastAsia="宋体" w:cs="Times New Roman"/>
                <w:snapToGrid w:val="0"/>
                <w:color w:val="000000"/>
                <w:kern w:val="0"/>
                <w:sz w:val="24"/>
                <w:highlight w:val="none"/>
                <w:lang w:val="en-US" w:eastAsia="zh-CN"/>
              </w:rPr>
              <w:t>g）、沥青烟</w:t>
            </w:r>
            <w:r>
              <w:rPr>
                <w:rFonts w:hint="eastAsia" w:ascii="Times New Roman" w:hAnsi="Times New Roman" w:eastAsia="宋体" w:cs="Times New Roman"/>
                <w:snapToGrid w:val="0"/>
                <w:color w:val="000000"/>
                <w:kern w:val="0"/>
                <w:sz w:val="24"/>
                <w:highlight w:val="none"/>
                <w:lang w:val="en-US" w:eastAsia="zh-CN"/>
              </w:rPr>
              <w:t>450g</w:t>
            </w:r>
            <w:r>
              <w:rPr>
                <w:rFonts w:hint="default" w:ascii="Times New Roman" w:hAnsi="Times New Roman" w:eastAsia="宋体" w:cs="Times New Roman"/>
                <w:snapToGrid w:val="0"/>
                <w:color w:val="000000"/>
                <w:kern w:val="0"/>
                <w:sz w:val="24"/>
                <w:highlight w:val="none"/>
                <w:lang w:val="en-US" w:eastAsia="zh-CN"/>
              </w:rPr>
              <w:t>。非甲烷总烃约占沥青烟的70%。</w:t>
            </w:r>
          </w:p>
          <w:p w14:paraId="3DCA4B82">
            <w:pPr>
              <w:numPr>
                <w:ilvl w:val="0"/>
                <w:numId w:val="0"/>
              </w:numPr>
              <w:topLinePunct/>
              <w:adjustRightInd w:val="0"/>
              <w:snapToGrid w:val="0"/>
              <w:spacing w:line="360" w:lineRule="auto"/>
              <w:ind w:firstLine="480" w:firstLineChars="200"/>
              <w:rPr>
                <w:rFonts w:hint="eastAsia" w:ascii="Times New Roman" w:hAnsi="Times New Roman" w:eastAsia="宋体" w:cs="Times New Roman"/>
                <w:snapToGrid w:val="0"/>
                <w:color w:val="000000"/>
                <w:kern w:val="0"/>
                <w:sz w:val="24"/>
                <w:highlight w:val="none"/>
                <w:lang w:val="en-US" w:eastAsia="zh-CN"/>
              </w:rPr>
            </w:pPr>
            <w:r>
              <w:rPr>
                <w:rFonts w:hint="eastAsia" w:ascii="Times New Roman" w:hAnsi="Times New Roman" w:eastAsia="宋体" w:cs="Times New Roman"/>
                <w:snapToGrid w:val="0"/>
                <w:color w:val="000000"/>
                <w:kern w:val="0"/>
                <w:sz w:val="24"/>
                <w:highlight w:val="none"/>
                <w:lang w:val="en-US" w:eastAsia="zh-CN"/>
              </w:rPr>
              <w:t>本项目沥青年使用量为</w:t>
            </w:r>
            <w:r>
              <w:rPr>
                <w:rFonts w:hint="eastAsia" w:cs="Times New Roman"/>
                <w:snapToGrid w:val="0"/>
                <w:color w:val="000000"/>
                <w:kern w:val="0"/>
                <w:sz w:val="24"/>
                <w:highlight w:val="none"/>
                <w:lang w:val="en-US" w:eastAsia="zh-CN"/>
              </w:rPr>
              <w:t>6000</w:t>
            </w:r>
            <w:r>
              <w:rPr>
                <w:rFonts w:hint="eastAsia" w:ascii="Times New Roman" w:hAnsi="Times New Roman" w:eastAsia="宋体" w:cs="Times New Roman"/>
                <w:snapToGrid w:val="0"/>
                <w:color w:val="000000"/>
                <w:kern w:val="0"/>
                <w:sz w:val="24"/>
                <w:highlight w:val="none"/>
                <w:lang w:val="en-US" w:eastAsia="zh-CN"/>
              </w:rPr>
              <w:t>t，则</w:t>
            </w:r>
            <w:r>
              <w:rPr>
                <w:rFonts w:hint="default" w:ascii="Times New Roman" w:hAnsi="Times New Roman" w:eastAsia="宋体" w:cs="Times New Roman"/>
                <w:snapToGrid w:val="0"/>
                <w:color w:val="000000"/>
                <w:kern w:val="0"/>
                <w:sz w:val="24"/>
                <w:highlight w:val="none"/>
                <w:lang w:val="en-US" w:eastAsia="zh-CN"/>
              </w:rPr>
              <w:t>沥青烟产生量为</w:t>
            </w:r>
            <w:r>
              <w:rPr>
                <w:rFonts w:hint="eastAsia" w:cs="Times New Roman"/>
                <w:snapToGrid w:val="0"/>
                <w:color w:val="000000"/>
                <w:kern w:val="0"/>
                <w:sz w:val="24"/>
                <w:highlight w:val="none"/>
                <w:lang w:val="en-US" w:eastAsia="zh-CN"/>
              </w:rPr>
              <w:t>2.7</w:t>
            </w:r>
            <w:r>
              <w:rPr>
                <w:rFonts w:hint="default" w:ascii="Times New Roman" w:hAnsi="Times New Roman" w:eastAsia="宋体" w:cs="Times New Roman"/>
                <w:snapToGrid w:val="0"/>
                <w:color w:val="000000"/>
                <w:kern w:val="0"/>
                <w:sz w:val="24"/>
                <w:highlight w:val="none"/>
                <w:lang w:val="en-US" w:eastAsia="zh-CN"/>
              </w:rPr>
              <w:t>t/a，苯并[a]芘产生量为</w:t>
            </w:r>
            <w:r>
              <w:rPr>
                <w:rFonts w:hint="eastAsia" w:cs="Times New Roman"/>
                <w:snapToGrid w:val="0"/>
                <w:color w:val="000000"/>
                <w:kern w:val="0"/>
                <w:sz w:val="24"/>
                <w:highlight w:val="none"/>
                <w:lang w:val="en-US" w:eastAsia="zh-CN"/>
              </w:rPr>
              <w:t>0.75kg</w:t>
            </w:r>
            <w:r>
              <w:rPr>
                <w:rFonts w:hint="default" w:ascii="Times New Roman" w:hAnsi="Times New Roman" w:eastAsia="宋体" w:cs="Times New Roman"/>
                <w:snapToGrid w:val="0"/>
                <w:color w:val="000000"/>
                <w:kern w:val="0"/>
                <w:sz w:val="24"/>
                <w:highlight w:val="none"/>
                <w:lang w:val="en-US" w:eastAsia="zh-CN"/>
              </w:rPr>
              <w:t>/a</w:t>
            </w:r>
            <w:r>
              <w:rPr>
                <w:rFonts w:hint="eastAsia" w:ascii="Times New Roman" w:hAnsi="Times New Roman" w:eastAsia="宋体" w:cs="Times New Roman"/>
                <w:snapToGrid w:val="0"/>
                <w:color w:val="000000"/>
                <w:kern w:val="0"/>
                <w:sz w:val="24"/>
                <w:highlight w:val="none"/>
                <w:lang w:val="en-US" w:eastAsia="zh-CN"/>
              </w:rPr>
              <w:t>，非甲烷总烃产生量为</w:t>
            </w:r>
            <w:r>
              <w:rPr>
                <w:rFonts w:hint="eastAsia" w:cs="Times New Roman"/>
                <w:snapToGrid w:val="0"/>
                <w:color w:val="000000"/>
                <w:kern w:val="0"/>
                <w:sz w:val="24"/>
                <w:highlight w:val="none"/>
                <w:lang w:val="en-US" w:eastAsia="zh-CN"/>
              </w:rPr>
              <w:t>1.89</w:t>
            </w:r>
            <w:r>
              <w:rPr>
                <w:rFonts w:hint="eastAsia" w:ascii="Times New Roman" w:hAnsi="Times New Roman" w:eastAsia="宋体" w:cs="Times New Roman"/>
                <w:snapToGrid w:val="0"/>
                <w:color w:val="000000"/>
                <w:kern w:val="0"/>
                <w:sz w:val="24"/>
                <w:highlight w:val="none"/>
                <w:lang w:val="en-US" w:eastAsia="zh-CN"/>
              </w:rPr>
              <w:t>t/a。项目搅拌罐采取密闭措施，搅拌、浸涂沥青烟废气由</w:t>
            </w:r>
            <w:r>
              <w:rPr>
                <w:rFonts w:hint="eastAsia" w:cs="Times New Roman"/>
                <w:snapToGrid w:val="0"/>
                <w:color w:val="000000"/>
                <w:kern w:val="0"/>
                <w:sz w:val="24"/>
                <w:highlight w:val="none"/>
                <w:lang w:val="en-US" w:eastAsia="zh-CN"/>
              </w:rPr>
              <w:t>集气罩</w:t>
            </w:r>
            <w:r>
              <w:rPr>
                <w:rFonts w:hint="eastAsia" w:ascii="Times New Roman" w:hAnsi="Times New Roman" w:eastAsia="宋体" w:cs="Times New Roman"/>
                <w:snapToGrid w:val="0"/>
                <w:color w:val="000000"/>
                <w:kern w:val="0"/>
                <w:sz w:val="24"/>
                <w:highlight w:val="none"/>
                <w:lang w:val="en-US" w:eastAsia="zh-CN"/>
              </w:rPr>
              <w:t>收集，收集效率取90%，年工作</w:t>
            </w:r>
            <w:r>
              <w:rPr>
                <w:rFonts w:hint="eastAsia" w:cs="Times New Roman"/>
                <w:snapToGrid w:val="0"/>
                <w:color w:val="000000"/>
                <w:kern w:val="0"/>
                <w:sz w:val="24"/>
                <w:highlight w:val="none"/>
                <w:lang w:val="en-US" w:eastAsia="zh-CN"/>
              </w:rPr>
              <w:t>3840</w:t>
            </w:r>
            <w:r>
              <w:rPr>
                <w:rFonts w:hint="eastAsia" w:ascii="Times New Roman" w:hAnsi="Times New Roman" w:eastAsia="宋体" w:cs="Times New Roman"/>
                <w:snapToGrid w:val="0"/>
                <w:color w:val="000000"/>
                <w:kern w:val="0"/>
                <w:sz w:val="24"/>
                <w:highlight w:val="none"/>
                <w:lang w:val="en-US" w:eastAsia="zh-CN"/>
              </w:rPr>
              <w:t>h，</w:t>
            </w:r>
            <w:r>
              <w:rPr>
                <w:rFonts w:hint="eastAsia" w:eastAsia="宋体" w:cs="Times New Roman"/>
                <w:snapToGrid w:val="0"/>
                <w:color w:val="000000"/>
                <w:kern w:val="0"/>
                <w:sz w:val="24"/>
                <w:highlight w:val="none"/>
                <w:lang w:val="en-US" w:eastAsia="zh-CN"/>
              </w:rPr>
              <w:t>则</w:t>
            </w:r>
            <w:r>
              <w:rPr>
                <w:rFonts w:hint="default" w:ascii="Times New Roman" w:hAnsi="Times New Roman" w:eastAsia="宋体" w:cs="Times New Roman"/>
                <w:snapToGrid w:val="0"/>
                <w:color w:val="000000"/>
                <w:kern w:val="0"/>
                <w:sz w:val="24"/>
                <w:highlight w:val="none"/>
                <w:lang w:val="en-US" w:eastAsia="zh-CN"/>
              </w:rPr>
              <w:t>搅拌、浸涂</w:t>
            </w:r>
            <w:r>
              <w:rPr>
                <w:rFonts w:hint="eastAsia" w:eastAsia="宋体" w:cs="Times New Roman"/>
                <w:snapToGrid w:val="0"/>
                <w:color w:val="000000"/>
                <w:kern w:val="0"/>
                <w:sz w:val="24"/>
                <w:highlight w:val="none"/>
                <w:lang w:val="en-US" w:eastAsia="zh-CN"/>
              </w:rPr>
              <w:t>工序沥青烟有组织产生量为</w:t>
            </w:r>
            <w:r>
              <w:rPr>
                <w:rFonts w:hint="eastAsia" w:cs="Times New Roman"/>
                <w:snapToGrid w:val="0"/>
                <w:color w:val="000000"/>
                <w:kern w:val="0"/>
                <w:sz w:val="24"/>
                <w:highlight w:val="none"/>
                <w:lang w:val="en-US" w:eastAsia="zh-CN"/>
              </w:rPr>
              <w:t>2.43</w:t>
            </w:r>
            <w:r>
              <w:rPr>
                <w:rFonts w:hint="eastAsia" w:eastAsia="宋体" w:cs="Times New Roman"/>
                <w:snapToGrid w:val="0"/>
                <w:color w:val="000000"/>
                <w:kern w:val="0"/>
                <w:sz w:val="24"/>
                <w:highlight w:val="none"/>
                <w:lang w:val="en-US" w:eastAsia="zh-CN"/>
              </w:rPr>
              <w:t>t/a，</w:t>
            </w:r>
            <w:r>
              <w:rPr>
                <w:rFonts w:hint="default" w:ascii="Times New Roman" w:hAnsi="Times New Roman" w:eastAsia="宋体" w:cs="Times New Roman"/>
                <w:snapToGrid w:val="0"/>
                <w:color w:val="000000"/>
                <w:kern w:val="0"/>
                <w:sz w:val="24"/>
                <w:highlight w:val="none"/>
                <w:lang w:val="en-US" w:eastAsia="zh-CN"/>
              </w:rPr>
              <w:t>苯并[a]芘</w:t>
            </w:r>
            <w:r>
              <w:rPr>
                <w:rFonts w:hint="eastAsia" w:eastAsia="宋体" w:cs="Times New Roman"/>
                <w:snapToGrid w:val="0"/>
                <w:color w:val="000000"/>
                <w:kern w:val="0"/>
                <w:sz w:val="24"/>
                <w:highlight w:val="none"/>
                <w:lang w:val="en-US" w:eastAsia="zh-CN"/>
              </w:rPr>
              <w:t>有组织产生量为</w:t>
            </w:r>
            <w:r>
              <w:rPr>
                <w:rFonts w:hint="eastAsia" w:cs="Times New Roman"/>
                <w:snapToGrid w:val="0"/>
                <w:color w:val="000000"/>
                <w:kern w:val="0"/>
                <w:sz w:val="24"/>
                <w:highlight w:val="none"/>
                <w:lang w:val="en-US" w:eastAsia="zh-CN"/>
              </w:rPr>
              <w:t>0.675kg</w:t>
            </w:r>
            <w:r>
              <w:rPr>
                <w:rFonts w:hint="eastAsia" w:eastAsia="宋体" w:cs="Times New Roman"/>
                <w:snapToGrid w:val="0"/>
                <w:color w:val="000000"/>
                <w:kern w:val="0"/>
                <w:sz w:val="24"/>
                <w:highlight w:val="none"/>
                <w:lang w:val="en-US" w:eastAsia="zh-CN"/>
              </w:rPr>
              <w:t>/a，非甲烷总烃有组织产生量为</w:t>
            </w:r>
            <w:r>
              <w:rPr>
                <w:rFonts w:hint="eastAsia" w:cs="Times New Roman"/>
                <w:snapToGrid w:val="0"/>
                <w:color w:val="000000"/>
                <w:kern w:val="0"/>
                <w:sz w:val="24"/>
                <w:highlight w:val="none"/>
                <w:lang w:val="en-US" w:eastAsia="zh-CN"/>
              </w:rPr>
              <w:t>1.7</w:t>
            </w:r>
            <w:r>
              <w:rPr>
                <w:rFonts w:hint="eastAsia" w:eastAsia="宋体" w:cs="Times New Roman"/>
                <w:snapToGrid w:val="0"/>
                <w:color w:val="000000"/>
                <w:kern w:val="0"/>
                <w:sz w:val="24"/>
                <w:highlight w:val="none"/>
                <w:lang w:val="en-US" w:eastAsia="zh-CN"/>
              </w:rPr>
              <w:t>t/a</w:t>
            </w:r>
            <w:r>
              <w:rPr>
                <w:rFonts w:hint="eastAsia" w:cs="Times New Roman"/>
                <w:snapToGrid w:val="0"/>
                <w:color w:val="000000"/>
                <w:kern w:val="0"/>
                <w:sz w:val="24"/>
                <w:highlight w:val="none"/>
                <w:lang w:val="en-US" w:eastAsia="zh-CN"/>
              </w:rPr>
              <w:t>。</w:t>
            </w:r>
          </w:p>
          <w:p w14:paraId="0260561F">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未被集气罩收集的废气污染为通过生产车间无组织排放，</w:t>
            </w:r>
            <w:r>
              <w:rPr>
                <w:rFonts w:hint="eastAsia" w:cs="Times New Roman"/>
                <w:snapToGrid w:val="0"/>
                <w:color w:val="000000"/>
                <w:kern w:val="0"/>
                <w:sz w:val="24"/>
                <w:highlight w:val="none"/>
                <w:lang w:val="en-US" w:eastAsia="zh-CN"/>
              </w:rPr>
              <w:t>沥青烟</w:t>
            </w:r>
            <w:r>
              <w:rPr>
                <w:rFonts w:hint="default" w:ascii="Times New Roman" w:hAnsi="Times New Roman" w:eastAsia="宋体" w:cs="Times New Roman"/>
                <w:snapToGrid w:val="0"/>
                <w:color w:val="000000"/>
                <w:kern w:val="0"/>
                <w:sz w:val="24"/>
                <w:highlight w:val="none"/>
                <w:lang w:val="en-US" w:eastAsia="zh-CN"/>
              </w:rPr>
              <w:t>无组织排放量为</w:t>
            </w:r>
            <w:r>
              <w:rPr>
                <w:rFonts w:hint="eastAsia" w:cs="Times New Roman"/>
                <w:snapToGrid w:val="0"/>
                <w:color w:val="000000"/>
                <w:kern w:val="0"/>
                <w:sz w:val="24"/>
                <w:highlight w:val="none"/>
                <w:lang w:val="en-US" w:eastAsia="zh-CN"/>
              </w:rPr>
              <w:t>0.27</w:t>
            </w:r>
            <w:r>
              <w:rPr>
                <w:rFonts w:hint="default" w:ascii="Times New Roman" w:hAnsi="Times New Roman" w:eastAsia="宋体" w:cs="Times New Roman"/>
                <w:snapToGrid w:val="0"/>
                <w:color w:val="000000"/>
                <w:kern w:val="0"/>
                <w:sz w:val="24"/>
                <w:highlight w:val="none"/>
                <w:lang w:val="en-US" w:eastAsia="zh-CN"/>
              </w:rPr>
              <w:t>t/a，苯并[a]芘</w:t>
            </w:r>
            <w:r>
              <w:rPr>
                <w:rFonts w:hint="eastAsia" w:cs="Times New Roman"/>
                <w:snapToGrid w:val="0"/>
                <w:color w:val="000000"/>
                <w:kern w:val="0"/>
                <w:sz w:val="24"/>
                <w:highlight w:val="none"/>
                <w:lang w:val="en-US" w:eastAsia="zh-CN"/>
              </w:rPr>
              <w:t>无</w:t>
            </w:r>
            <w:r>
              <w:rPr>
                <w:rFonts w:hint="eastAsia" w:eastAsia="宋体" w:cs="Times New Roman"/>
                <w:snapToGrid w:val="0"/>
                <w:color w:val="000000"/>
                <w:kern w:val="0"/>
                <w:sz w:val="24"/>
                <w:highlight w:val="none"/>
                <w:lang w:val="en-US" w:eastAsia="zh-CN"/>
              </w:rPr>
              <w:t>组织产生量为</w:t>
            </w:r>
            <w:r>
              <w:rPr>
                <w:rFonts w:hint="eastAsia" w:cs="Times New Roman"/>
                <w:snapToGrid w:val="0"/>
                <w:color w:val="000000"/>
                <w:kern w:val="0"/>
                <w:sz w:val="24"/>
                <w:highlight w:val="none"/>
                <w:lang w:val="en-US" w:eastAsia="zh-CN"/>
              </w:rPr>
              <w:t>0.075kg</w:t>
            </w:r>
            <w:r>
              <w:rPr>
                <w:rFonts w:hint="eastAsia" w:eastAsia="宋体" w:cs="Times New Roman"/>
                <w:snapToGrid w:val="0"/>
                <w:color w:val="000000"/>
                <w:kern w:val="0"/>
                <w:sz w:val="24"/>
                <w:highlight w:val="none"/>
                <w:lang w:val="en-US" w:eastAsia="zh-CN"/>
              </w:rPr>
              <w:t>/a，非甲烷总烃</w:t>
            </w:r>
            <w:r>
              <w:rPr>
                <w:rFonts w:hint="eastAsia" w:cs="Times New Roman"/>
                <w:snapToGrid w:val="0"/>
                <w:color w:val="000000"/>
                <w:kern w:val="0"/>
                <w:sz w:val="24"/>
                <w:highlight w:val="none"/>
                <w:lang w:val="en-US" w:eastAsia="zh-CN"/>
              </w:rPr>
              <w:t>无</w:t>
            </w:r>
            <w:r>
              <w:rPr>
                <w:rFonts w:hint="eastAsia" w:eastAsia="宋体" w:cs="Times New Roman"/>
                <w:snapToGrid w:val="0"/>
                <w:color w:val="000000"/>
                <w:kern w:val="0"/>
                <w:sz w:val="24"/>
                <w:highlight w:val="none"/>
                <w:lang w:val="en-US" w:eastAsia="zh-CN"/>
              </w:rPr>
              <w:t>组织产生量为</w:t>
            </w:r>
            <w:r>
              <w:rPr>
                <w:rFonts w:hint="eastAsia" w:cs="Times New Roman"/>
                <w:snapToGrid w:val="0"/>
                <w:color w:val="000000"/>
                <w:kern w:val="0"/>
                <w:sz w:val="24"/>
                <w:highlight w:val="none"/>
                <w:lang w:val="en-US" w:eastAsia="zh-CN"/>
              </w:rPr>
              <w:t>0.19</w:t>
            </w:r>
            <w:r>
              <w:rPr>
                <w:rFonts w:hint="eastAsia" w:eastAsia="宋体" w:cs="Times New Roman"/>
                <w:snapToGrid w:val="0"/>
                <w:color w:val="000000"/>
                <w:kern w:val="0"/>
                <w:sz w:val="24"/>
                <w:highlight w:val="none"/>
                <w:lang w:val="en-US" w:eastAsia="zh-CN"/>
              </w:rPr>
              <w:t>t/a</w:t>
            </w:r>
            <w:r>
              <w:rPr>
                <w:rFonts w:hint="eastAsia" w:cs="Times New Roman"/>
                <w:snapToGrid w:val="0"/>
                <w:color w:val="000000"/>
                <w:kern w:val="0"/>
                <w:sz w:val="24"/>
                <w:highlight w:val="none"/>
                <w:lang w:val="en-US" w:eastAsia="zh-CN"/>
              </w:rPr>
              <w:t>，</w:t>
            </w:r>
            <w:r>
              <w:rPr>
                <w:rFonts w:hint="default" w:ascii="Times New Roman" w:hAnsi="Times New Roman" w:eastAsia="宋体" w:cs="Times New Roman"/>
                <w:snapToGrid w:val="0"/>
                <w:color w:val="000000"/>
                <w:kern w:val="0"/>
                <w:sz w:val="24"/>
                <w:highlight w:val="none"/>
                <w:lang w:val="en-US" w:eastAsia="zh-CN"/>
              </w:rPr>
              <w:t>经车间机械通风系统</w:t>
            </w:r>
            <w:r>
              <w:rPr>
                <w:rFonts w:hint="eastAsia" w:cs="Times New Roman"/>
                <w:snapToGrid w:val="0"/>
                <w:color w:val="000000"/>
                <w:kern w:val="0"/>
                <w:sz w:val="24"/>
                <w:highlight w:val="none"/>
                <w:lang w:val="en-US" w:eastAsia="zh-CN"/>
              </w:rPr>
              <w:t>以无组织形式逸散</w:t>
            </w:r>
            <w:r>
              <w:rPr>
                <w:rFonts w:hint="default" w:ascii="Times New Roman" w:hAnsi="Times New Roman" w:eastAsia="宋体" w:cs="Times New Roman"/>
                <w:snapToGrid w:val="0"/>
                <w:color w:val="000000"/>
                <w:kern w:val="0"/>
                <w:sz w:val="24"/>
                <w:highlight w:val="none"/>
                <w:lang w:val="en-US" w:eastAsia="zh-CN"/>
              </w:rPr>
              <w:t>。</w:t>
            </w:r>
          </w:p>
          <w:p w14:paraId="2CDFBF2B">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auto"/>
                <w:kern w:val="0"/>
                <w:sz w:val="24"/>
                <w:highlight w:val="none"/>
                <w:lang w:val="en-US" w:eastAsia="zh-CN"/>
              </w:rPr>
            </w:pPr>
            <w:r>
              <w:rPr>
                <w:rFonts w:hint="eastAsia" w:cs="Times New Roman"/>
                <w:snapToGrid w:val="0"/>
                <w:color w:val="auto"/>
                <w:kern w:val="0"/>
                <w:sz w:val="24"/>
                <w:highlight w:val="none"/>
                <w:lang w:val="en-US" w:eastAsia="zh-CN"/>
              </w:rPr>
              <w:t>②</w:t>
            </w:r>
            <w:r>
              <w:rPr>
                <w:rFonts w:hint="default" w:ascii="Times New Roman" w:hAnsi="Times New Roman" w:eastAsia="宋体" w:cs="Times New Roman"/>
                <w:snapToGrid w:val="0"/>
                <w:color w:val="auto"/>
                <w:kern w:val="0"/>
                <w:sz w:val="24"/>
                <w:highlight w:val="none"/>
                <w:lang w:val="en-US" w:eastAsia="zh-CN"/>
              </w:rPr>
              <w:t>覆膜废气</w:t>
            </w:r>
          </w:p>
          <w:p w14:paraId="405BC8D0">
            <w:pPr>
              <w:numPr>
                <w:ilvl w:val="0"/>
                <w:numId w:val="0"/>
              </w:numPr>
              <w:topLinePunct/>
              <w:adjustRightInd w:val="0"/>
              <w:snapToGrid w:val="0"/>
              <w:spacing w:line="360" w:lineRule="auto"/>
              <w:ind w:firstLine="480" w:firstLineChars="200"/>
              <w:rPr>
                <w:rFonts w:hint="eastAsia" w:ascii="Times New Roman" w:hAnsi="Times New Roman" w:eastAsia="宋体" w:cs="Times New Roman"/>
                <w:snapToGrid w:val="0"/>
                <w:color w:val="auto"/>
                <w:kern w:val="0"/>
                <w:sz w:val="24"/>
                <w:highlight w:val="none"/>
                <w:lang w:val="en-US" w:eastAsia="zh-CN"/>
              </w:rPr>
            </w:pPr>
            <w:r>
              <w:rPr>
                <w:rFonts w:hint="default" w:ascii="Times New Roman" w:hAnsi="Times New Roman" w:eastAsia="宋体" w:cs="Times New Roman"/>
                <w:snapToGrid w:val="0"/>
                <w:color w:val="auto"/>
                <w:kern w:val="0"/>
                <w:sz w:val="24"/>
                <w:highlight w:val="none"/>
                <w:lang w:val="en-US" w:eastAsia="zh-CN"/>
              </w:rPr>
              <w:t>改性沥青防水卷材生产时，浸涂后的聚酯胎需对其上表面和底面均进行覆</w:t>
            </w:r>
            <w:r>
              <w:rPr>
                <w:rFonts w:hint="eastAsia" w:ascii="Times New Roman" w:hAnsi="Times New Roman" w:eastAsia="宋体" w:cs="Times New Roman"/>
                <w:snapToGrid w:val="0"/>
                <w:color w:val="auto"/>
                <w:kern w:val="0"/>
                <w:sz w:val="24"/>
                <w:highlight w:val="none"/>
                <w:lang w:val="en-US" w:eastAsia="zh-CN"/>
              </w:rPr>
              <w:t>聚乙烯</w:t>
            </w:r>
            <w:r>
              <w:rPr>
                <w:rFonts w:hint="default" w:ascii="Times New Roman" w:hAnsi="Times New Roman" w:eastAsia="宋体" w:cs="Times New Roman"/>
                <w:snapToGrid w:val="0"/>
                <w:color w:val="auto"/>
                <w:kern w:val="0"/>
                <w:sz w:val="24"/>
                <w:highlight w:val="none"/>
                <w:lang w:val="en-US" w:eastAsia="zh-CN"/>
              </w:rPr>
              <w:t>膜</w:t>
            </w:r>
            <w:r>
              <w:rPr>
                <w:rFonts w:hint="eastAsia" w:ascii="Times New Roman" w:hAnsi="Times New Roman" w:eastAsia="宋体" w:cs="Times New Roman"/>
                <w:snapToGrid w:val="0"/>
                <w:color w:val="auto"/>
                <w:kern w:val="0"/>
                <w:sz w:val="24"/>
                <w:highlight w:val="none"/>
                <w:lang w:val="en-US" w:eastAsia="zh-CN"/>
              </w:rPr>
              <w:t>和砂石。</w:t>
            </w:r>
            <w:r>
              <w:rPr>
                <w:rFonts w:hint="default" w:ascii="Times New Roman" w:hAnsi="Times New Roman" w:eastAsia="宋体" w:cs="Times New Roman"/>
                <w:snapToGrid w:val="0"/>
                <w:color w:val="auto"/>
                <w:kern w:val="0"/>
                <w:sz w:val="24"/>
                <w:highlight w:val="none"/>
                <w:lang w:val="en-US" w:eastAsia="zh-CN"/>
              </w:rPr>
              <w:t>覆膜温度约180℃，塑料膜受热会挥发。此过程会产生覆膜有机废气，主要为非甲烷总烃</w:t>
            </w:r>
            <w:r>
              <w:rPr>
                <w:rFonts w:hint="eastAsia" w:ascii="Times New Roman" w:hAnsi="Times New Roman" w:eastAsia="宋体" w:cs="Times New Roman"/>
                <w:snapToGrid w:val="0"/>
                <w:color w:val="auto"/>
                <w:kern w:val="0"/>
                <w:sz w:val="24"/>
                <w:highlight w:val="none"/>
                <w:lang w:val="en-US" w:eastAsia="zh-CN"/>
              </w:rPr>
              <w:t>，</w:t>
            </w:r>
            <w:r>
              <w:rPr>
                <w:rFonts w:hint="default" w:ascii="Times New Roman" w:hAnsi="Times New Roman" w:eastAsia="宋体" w:cs="Times New Roman"/>
                <w:snapToGrid w:val="0"/>
                <w:color w:val="auto"/>
                <w:kern w:val="0"/>
                <w:sz w:val="24"/>
                <w:highlight w:val="none"/>
                <w:lang w:val="en-US" w:eastAsia="zh-CN"/>
              </w:rPr>
              <w:t>参照《排放源统计调查产排污核算方法和系数手册》</w:t>
            </w:r>
            <w:r>
              <w:rPr>
                <w:rFonts w:hint="eastAsia" w:ascii="Times New Roman" w:hAnsi="Times New Roman" w:eastAsia="宋体" w:cs="Times New Roman"/>
                <w:snapToGrid w:val="0"/>
                <w:color w:val="auto"/>
                <w:kern w:val="0"/>
                <w:sz w:val="24"/>
                <w:highlight w:val="none"/>
                <w:lang w:val="en-US" w:eastAsia="zh-CN"/>
              </w:rPr>
              <w:t>-塑料制品业系数手册，非甲烷总烃</w:t>
            </w:r>
            <w:r>
              <w:rPr>
                <w:rFonts w:hint="default" w:ascii="Times New Roman" w:hAnsi="Times New Roman" w:eastAsia="宋体" w:cs="Times New Roman"/>
                <w:snapToGrid w:val="0"/>
                <w:color w:val="auto"/>
                <w:kern w:val="0"/>
                <w:sz w:val="24"/>
                <w:highlight w:val="none"/>
                <w:lang w:val="en-US" w:eastAsia="zh-CN"/>
              </w:rPr>
              <w:t>产污系数为</w:t>
            </w:r>
            <w:r>
              <w:rPr>
                <w:rFonts w:hint="eastAsia" w:ascii="Times New Roman" w:hAnsi="Times New Roman" w:eastAsia="宋体" w:cs="Times New Roman"/>
                <w:snapToGrid w:val="0"/>
                <w:color w:val="auto"/>
                <w:kern w:val="0"/>
                <w:sz w:val="24"/>
                <w:highlight w:val="none"/>
                <w:lang w:val="en-US" w:eastAsia="zh-CN"/>
              </w:rPr>
              <w:t>2.5</w:t>
            </w:r>
            <w:r>
              <w:rPr>
                <w:rFonts w:hint="default" w:ascii="Times New Roman" w:hAnsi="Times New Roman" w:eastAsia="宋体" w:cs="Times New Roman"/>
                <w:snapToGrid w:val="0"/>
                <w:color w:val="auto"/>
                <w:kern w:val="0"/>
                <w:sz w:val="24"/>
                <w:highlight w:val="none"/>
                <w:lang w:val="en-US" w:eastAsia="zh-CN"/>
              </w:rPr>
              <w:t>kg/t</w:t>
            </w:r>
            <w:r>
              <w:rPr>
                <w:rFonts w:hint="eastAsia" w:ascii="Times New Roman" w:hAnsi="Times New Roman" w:eastAsia="宋体" w:cs="Times New Roman"/>
                <w:snapToGrid w:val="0"/>
                <w:color w:val="auto"/>
                <w:kern w:val="0"/>
                <w:sz w:val="24"/>
                <w:highlight w:val="none"/>
                <w:lang w:val="en-US" w:eastAsia="zh-CN"/>
              </w:rPr>
              <w:t>。</w:t>
            </w:r>
          </w:p>
          <w:p w14:paraId="67DB3C87">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auto"/>
                <w:kern w:val="0"/>
                <w:sz w:val="24"/>
                <w:highlight w:val="none"/>
                <w:lang w:val="en-US" w:eastAsia="zh-CN"/>
              </w:rPr>
            </w:pPr>
            <w:r>
              <w:rPr>
                <w:rFonts w:hint="eastAsia" w:ascii="Times New Roman" w:hAnsi="Times New Roman" w:eastAsia="宋体" w:cs="Times New Roman"/>
                <w:snapToGrid w:val="0"/>
                <w:color w:val="auto"/>
                <w:kern w:val="0"/>
                <w:sz w:val="24"/>
                <w:highlight w:val="none"/>
                <w:lang w:val="en-US" w:eastAsia="zh-CN"/>
              </w:rPr>
              <w:t>本项目</w:t>
            </w:r>
            <w:r>
              <w:rPr>
                <w:rFonts w:hint="eastAsia" w:cs="Times New Roman"/>
                <w:snapToGrid w:val="0"/>
                <w:color w:val="auto"/>
                <w:kern w:val="0"/>
                <w:sz w:val="24"/>
                <w:highlight w:val="none"/>
                <w:lang w:val="en-US" w:eastAsia="zh-CN"/>
              </w:rPr>
              <w:t>PE膜</w:t>
            </w:r>
            <w:r>
              <w:rPr>
                <w:rFonts w:hint="eastAsia" w:ascii="Times New Roman" w:hAnsi="Times New Roman" w:eastAsia="宋体" w:cs="Times New Roman"/>
                <w:snapToGrid w:val="0"/>
                <w:color w:val="auto"/>
                <w:kern w:val="0"/>
                <w:sz w:val="24"/>
                <w:highlight w:val="none"/>
                <w:lang w:val="en-US" w:eastAsia="zh-CN"/>
              </w:rPr>
              <w:t>年用量</w:t>
            </w:r>
            <w:r>
              <w:rPr>
                <w:rFonts w:hint="eastAsia" w:cs="Times New Roman"/>
                <w:snapToGrid w:val="0"/>
                <w:color w:val="auto"/>
                <w:kern w:val="0"/>
                <w:sz w:val="24"/>
                <w:highlight w:val="none"/>
                <w:lang w:val="en-US" w:eastAsia="zh-CN"/>
              </w:rPr>
              <w:t>180</w:t>
            </w:r>
            <w:r>
              <w:rPr>
                <w:rFonts w:hint="eastAsia" w:ascii="Times New Roman" w:hAnsi="Times New Roman" w:eastAsia="宋体" w:cs="Times New Roman"/>
                <w:snapToGrid w:val="0"/>
                <w:color w:val="auto"/>
                <w:kern w:val="0"/>
                <w:sz w:val="24"/>
                <w:highlight w:val="none"/>
                <w:lang w:val="en-US" w:eastAsia="zh-CN"/>
              </w:rPr>
              <w:t>t</w:t>
            </w:r>
            <w:r>
              <w:rPr>
                <w:rFonts w:hint="default" w:ascii="Times New Roman" w:hAnsi="Times New Roman" w:eastAsia="宋体" w:cs="Times New Roman"/>
                <w:snapToGrid w:val="0"/>
                <w:color w:val="auto"/>
                <w:kern w:val="0"/>
                <w:sz w:val="24"/>
                <w:highlight w:val="none"/>
                <w:lang w:val="en-US" w:eastAsia="zh-CN"/>
              </w:rPr>
              <w:t>，则非甲烷总烃产生量为</w:t>
            </w:r>
            <w:r>
              <w:rPr>
                <w:rFonts w:hint="eastAsia" w:ascii="Times New Roman" w:hAnsi="Times New Roman" w:eastAsia="宋体" w:cs="Times New Roman"/>
                <w:snapToGrid w:val="0"/>
                <w:color w:val="auto"/>
                <w:kern w:val="0"/>
                <w:sz w:val="24"/>
                <w:highlight w:val="none"/>
                <w:lang w:val="en-US" w:eastAsia="zh-CN"/>
              </w:rPr>
              <w:t>0.</w:t>
            </w:r>
            <w:r>
              <w:rPr>
                <w:rFonts w:hint="eastAsia" w:cs="Times New Roman"/>
                <w:snapToGrid w:val="0"/>
                <w:color w:val="auto"/>
                <w:kern w:val="0"/>
                <w:sz w:val="24"/>
                <w:highlight w:val="none"/>
                <w:lang w:val="en-US" w:eastAsia="zh-CN"/>
              </w:rPr>
              <w:t>45</w:t>
            </w:r>
            <w:r>
              <w:rPr>
                <w:rFonts w:hint="default" w:ascii="Times New Roman" w:hAnsi="Times New Roman" w:eastAsia="宋体" w:cs="Times New Roman"/>
                <w:snapToGrid w:val="0"/>
                <w:color w:val="auto"/>
                <w:kern w:val="0"/>
                <w:sz w:val="24"/>
                <w:highlight w:val="none"/>
                <w:lang w:val="en-US" w:eastAsia="zh-CN"/>
              </w:rPr>
              <w:t>t/a</w:t>
            </w:r>
            <w:r>
              <w:rPr>
                <w:rFonts w:hint="eastAsia" w:ascii="Times New Roman" w:hAnsi="Times New Roman" w:eastAsia="宋体" w:cs="Times New Roman"/>
                <w:snapToGrid w:val="0"/>
                <w:color w:val="auto"/>
                <w:kern w:val="0"/>
                <w:sz w:val="24"/>
                <w:highlight w:val="none"/>
                <w:lang w:val="en-US" w:eastAsia="zh-CN"/>
              </w:rPr>
              <w:t>。</w:t>
            </w:r>
            <w:r>
              <w:rPr>
                <w:rFonts w:hint="default" w:cs="Times New Roman"/>
                <w:snapToGrid w:val="0"/>
                <w:color w:val="auto"/>
                <w:kern w:val="0"/>
                <w:sz w:val="24"/>
                <w:highlight w:val="none"/>
                <w:lang w:val="en-US" w:eastAsia="zh-CN"/>
              </w:rPr>
              <w:t>项目拟采用集气罩收集，收集效率为</w:t>
            </w:r>
            <w:r>
              <w:rPr>
                <w:rFonts w:hint="eastAsia" w:cs="Times New Roman"/>
                <w:snapToGrid w:val="0"/>
                <w:color w:val="auto"/>
                <w:kern w:val="0"/>
                <w:sz w:val="24"/>
                <w:highlight w:val="none"/>
                <w:lang w:val="en-US" w:eastAsia="zh-CN"/>
              </w:rPr>
              <w:t>9</w:t>
            </w:r>
            <w:r>
              <w:rPr>
                <w:rFonts w:hint="default" w:cs="Times New Roman"/>
                <w:snapToGrid w:val="0"/>
                <w:color w:val="auto"/>
                <w:kern w:val="0"/>
                <w:sz w:val="24"/>
                <w:highlight w:val="none"/>
                <w:lang w:val="en-US" w:eastAsia="zh-CN"/>
              </w:rPr>
              <w:t>0%，</w:t>
            </w:r>
            <w:r>
              <w:rPr>
                <w:rFonts w:hint="default" w:ascii="Times New Roman" w:hAnsi="Times New Roman" w:eastAsia="宋体" w:cs="Times New Roman"/>
                <w:b w:val="0"/>
                <w:bCs w:val="0"/>
                <w:snapToGrid w:val="0"/>
                <w:color w:val="auto"/>
                <w:kern w:val="0"/>
                <w:sz w:val="24"/>
                <w:szCs w:val="24"/>
                <w:highlight w:val="none"/>
                <w:lang w:val="en-US" w:eastAsia="zh-CN" w:bidi="ar-SA"/>
              </w:rPr>
              <w:t>年工作</w:t>
            </w:r>
            <w:r>
              <w:rPr>
                <w:rFonts w:hint="eastAsia" w:cs="Times New Roman"/>
                <w:b w:val="0"/>
                <w:bCs w:val="0"/>
                <w:snapToGrid w:val="0"/>
                <w:color w:val="auto"/>
                <w:kern w:val="0"/>
                <w:sz w:val="24"/>
                <w:szCs w:val="24"/>
                <w:highlight w:val="none"/>
                <w:lang w:val="en-US" w:eastAsia="zh-CN" w:bidi="ar-SA"/>
              </w:rPr>
              <w:t>3840</w:t>
            </w:r>
            <w:r>
              <w:rPr>
                <w:rFonts w:hint="default" w:ascii="Times New Roman" w:hAnsi="Times New Roman" w:eastAsia="宋体" w:cs="Times New Roman"/>
                <w:b w:val="0"/>
                <w:bCs w:val="0"/>
                <w:snapToGrid w:val="0"/>
                <w:color w:val="auto"/>
                <w:kern w:val="0"/>
                <w:sz w:val="24"/>
                <w:szCs w:val="24"/>
                <w:highlight w:val="none"/>
                <w:lang w:val="en-US" w:eastAsia="zh-CN" w:bidi="ar-SA"/>
              </w:rPr>
              <w:t>h</w:t>
            </w:r>
            <w:r>
              <w:rPr>
                <w:rFonts w:hint="default" w:cs="Times New Roman"/>
                <w:b w:val="0"/>
                <w:bCs w:val="0"/>
                <w:snapToGrid w:val="0"/>
                <w:color w:val="auto"/>
                <w:kern w:val="0"/>
                <w:sz w:val="24"/>
                <w:szCs w:val="24"/>
                <w:highlight w:val="none"/>
                <w:lang w:val="en-US" w:eastAsia="zh-CN" w:bidi="ar-SA"/>
              </w:rPr>
              <w:t>，</w:t>
            </w:r>
            <w:r>
              <w:rPr>
                <w:rFonts w:hint="eastAsia" w:cs="Times New Roman"/>
                <w:b w:val="0"/>
                <w:bCs w:val="0"/>
                <w:snapToGrid w:val="0"/>
                <w:color w:val="auto"/>
                <w:kern w:val="0"/>
                <w:sz w:val="24"/>
                <w:szCs w:val="24"/>
                <w:highlight w:val="none"/>
                <w:lang w:val="en-US" w:eastAsia="zh-CN" w:bidi="ar-SA"/>
              </w:rPr>
              <w:t>则覆膜工序非甲烷总烃有组织产生量为0.41t/a。</w:t>
            </w:r>
          </w:p>
          <w:p w14:paraId="4B6CDDA4">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auto"/>
                <w:kern w:val="0"/>
                <w:sz w:val="24"/>
                <w:highlight w:val="none"/>
                <w:lang w:val="en-US" w:eastAsia="zh-CN"/>
              </w:rPr>
            </w:pPr>
            <w:r>
              <w:rPr>
                <w:rFonts w:hint="default" w:ascii="Times New Roman" w:hAnsi="Times New Roman" w:eastAsia="宋体" w:cs="Times New Roman"/>
                <w:snapToGrid w:val="0"/>
                <w:color w:val="auto"/>
                <w:kern w:val="0"/>
                <w:sz w:val="24"/>
                <w:highlight w:val="none"/>
                <w:lang w:val="en-US" w:eastAsia="zh-CN"/>
              </w:rPr>
              <w:t>未被集气罩收集的废气污染为通过生产车间无组织排放，</w:t>
            </w:r>
            <w:r>
              <w:rPr>
                <w:rFonts w:hint="eastAsia" w:eastAsia="宋体" w:cs="Times New Roman"/>
                <w:snapToGrid w:val="0"/>
                <w:color w:val="auto"/>
                <w:kern w:val="0"/>
                <w:sz w:val="24"/>
                <w:highlight w:val="none"/>
                <w:lang w:val="en-US" w:eastAsia="zh-CN"/>
              </w:rPr>
              <w:t>非甲烷总烃</w:t>
            </w:r>
            <w:r>
              <w:rPr>
                <w:rFonts w:hint="eastAsia" w:cs="Times New Roman"/>
                <w:snapToGrid w:val="0"/>
                <w:color w:val="auto"/>
                <w:kern w:val="0"/>
                <w:sz w:val="24"/>
                <w:highlight w:val="none"/>
                <w:lang w:val="en-US" w:eastAsia="zh-CN"/>
              </w:rPr>
              <w:t>无</w:t>
            </w:r>
            <w:r>
              <w:rPr>
                <w:rFonts w:hint="eastAsia" w:eastAsia="宋体" w:cs="Times New Roman"/>
                <w:snapToGrid w:val="0"/>
                <w:color w:val="auto"/>
                <w:kern w:val="0"/>
                <w:sz w:val="24"/>
                <w:highlight w:val="none"/>
                <w:lang w:val="en-US" w:eastAsia="zh-CN"/>
              </w:rPr>
              <w:t>组织产生量为</w:t>
            </w:r>
            <w:r>
              <w:rPr>
                <w:rFonts w:hint="eastAsia" w:cs="Times New Roman"/>
                <w:snapToGrid w:val="0"/>
                <w:color w:val="auto"/>
                <w:kern w:val="0"/>
                <w:sz w:val="24"/>
                <w:highlight w:val="none"/>
                <w:lang w:val="en-US" w:eastAsia="zh-CN"/>
              </w:rPr>
              <w:t>0.04</w:t>
            </w:r>
            <w:r>
              <w:rPr>
                <w:rFonts w:hint="eastAsia" w:eastAsia="宋体" w:cs="Times New Roman"/>
                <w:snapToGrid w:val="0"/>
                <w:color w:val="auto"/>
                <w:kern w:val="0"/>
                <w:sz w:val="24"/>
                <w:highlight w:val="none"/>
                <w:lang w:val="en-US" w:eastAsia="zh-CN"/>
              </w:rPr>
              <w:t>t/a</w:t>
            </w:r>
            <w:r>
              <w:rPr>
                <w:rFonts w:hint="eastAsia" w:cs="Times New Roman"/>
                <w:snapToGrid w:val="0"/>
                <w:color w:val="auto"/>
                <w:kern w:val="0"/>
                <w:sz w:val="24"/>
                <w:highlight w:val="none"/>
                <w:lang w:val="en-US" w:eastAsia="zh-CN"/>
              </w:rPr>
              <w:t>，</w:t>
            </w:r>
            <w:r>
              <w:rPr>
                <w:rFonts w:hint="default" w:ascii="Times New Roman" w:hAnsi="Times New Roman" w:eastAsia="宋体" w:cs="Times New Roman"/>
                <w:snapToGrid w:val="0"/>
                <w:color w:val="auto"/>
                <w:kern w:val="0"/>
                <w:sz w:val="24"/>
                <w:highlight w:val="none"/>
                <w:lang w:val="en-US" w:eastAsia="zh-CN"/>
              </w:rPr>
              <w:t>经车间机械通风系统</w:t>
            </w:r>
            <w:r>
              <w:rPr>
                <w:rFonts w:hint="eastAsia" w:cs="Times New Roman"/>
                <w:snapToGrid w:val="0"/>
                <w:color w:val="auto"/>
                <w:kern w:val="0"/>
                <w:sz w:val="24"/>
                <w:highlight w:val="none"/>
                <w:lang w:val="en-US" w:eastAsia="zh-CN"/>
              </w:rPr>
              <w:t>以无组织形式逸散</w:t>
            </w:r>
            <w:r>
              <w:rPr>
                <w:rFonts w:hint="default" w:ascii="Times New Roman" w:hAnsi="Times New Roman" w:eastAsia="宋体" w:cs="Times New Roman"/>
                <w:snapToGrid w:val="0"/>
                <w:color w:val="auto"/>
                <w:kern w:val="0"/>
                <w:sz w:val="24"/>
                <w:highlight w:val="none"/>
                <w:lang w:val="en-US" w:eastAsia="zh-CN"/>
              </w:rPr>
              <w:t>。</w:t>
            </w:r>
          </w:p>
          <w:p w14:paraId="5AB26CFF">
            <w:pPr>
              <w:numPr>
                <w:ilvl w:val="0"/>
                <w:numId w:val="0"/>
              </w:numPr>
              <w:topLinePunct/>
              <w:adjustRightInd w:val="0"/>
              <w:snapToGrid w:val="0"/>
              <w:spacing w:line="360" w:lineRule="auto"/>
              <w:ind w:firstLine="480" w:firstLineChars="200"/>
              <w:rPr>
                <w:rFonts w:hint="default" w:cs="Times New Roman"/>
                <w:snapToGrid w:val="0"/>
                <w:color w:val="auto"/>
                <w:kern w:val="0"/>
                <w:sz w:val="24"/>
                <w:highlight w:val="none"/>
                <w:lang w:val="en-US" w:eastAsia="zh-CN"/>
              </w:rPr>
            </w:pPr>
            <w:r>
              <w:rPr>
                <w:rFonts w:hint="eastAsia" w:cs="Times New Roman"/>
                <w:snapToGrid w:val="0"/>
                <w:color w:val="auto"/>
                <w:kern w:val="0"/>
                <w:sz w:val="24"/>
                <w:highlight w:val="none"/>
                <w:lang w:val="en-US" w:eastAsia="zh-CN"/>
              </w:rPr>
              <w:t>③沥青储罐废气</w:t>
            </w:r>
          </w:p>
          <w:p w14:paraId="3DC8E4CD">
            <w:pPr>
              <w:pStyle w:val="34"/>
              <w:spacing w:line="360" w:lineRule="auto"/>
              <w:ind w:left="0" w:leftChars="0" w:firstLine="480" w:firstLineChars="200"/>
              <w:rPr>
                <w:rFonts w:hint="eastAsia" w:cs="Times New Roman"/>
                <w:color w:val="auto"/>
                <w:highlight w:val="none"/>
                <w:lang w:val="en-US" w:eastAsia="zh-CN"/>
              </w:rPr>
            </w:pPr>
            <w:r>
              <w:rPr>
                <w:rFonts w:hint="eastAsia" w:cs="Times New Roman"/>
                <w:color w:val="auto"/>
                <w:highlight w:val="none"/>
                <w:lang w:val="en-US" w:eastAsia="zh-CN"/>
              </w:rPr>
              <w:t>评价因子：根据《沥青使用过程中对环境的影响研究》(才洪美，中国石油大学，博士论文)，研究表明，温度是导致沥青烟产生的最重要因素，随着温度的增加，沥青烟的产生量增加，主要是因为轻组分属于沥青中的易挥发组分，具有较低的沸点，随着温度的增加，其挥发量增加。由于一般情况下，沥青是原油减压蒸馏后的产物，其沸点大都高于500°C，其中几乎不含有挥发性组分。而沥青烟产生主要是由于氧化所致，当温度较低时，沥青组分的氧化不明显，因此，沥青烟的释放量较小。根据研究，对于较低温度下(140°C以下)，沥青烟成分以饱和烃为主，且饱和烃主要为长直链或带有支链的烷烃和环烷烃组分，以及少量的芳烃化合物，没有检测到高于两环的多环芳烃化合物，可以以非甲烷总烃进行评价，此外，各类石油沥青均在180°C左右时沥青烟释放量急剧增加。</w:t>
            </w:r>
          </w:p>
          <w:p w14:paraId="78A3DA1B">
            <w:pPr>
              <w:pStyle w:val="34"/>
              <w:spacing w:line="360" w:lineRule="auto"/>
              <w:ind w:left="0" w:leftChars="0" w:firstLine="480" w:firstLineChars="200"/>
              <w:rPr>
                <w:rFonts w:hint="eastAsia" w:cs="Times New Roman"/>
                <w:color w:val="auto"/>
                <w:highlight w:val="none"/>
                <w:lang w:val="en-US" w:eastAsia="zh-CN"/>
              </w:rPr>
            </w:pPr>
            <w:r>
              <w:rPr>
                <w:rFonts w:hint="eastAsia" w:cs="Times New Roman"/>
                <w:color w:val="auto"/>
                <w:highlight w:val="none"/>
                <w:lang w:val="en-US" w:eastAsia="zh-CN"/>
              </w:rPr>
              <w:t>各温度下，石油沥青烟产生量见下表。</w:t>
            </w:r>
          </w:p>
          <w:p w14:paraId="58AD5936">
            <w:pPr>
              <w:pStyle w:val="3"/>
              <w:jc w:val="center"/>
              <w:rPr>
                <w:rFonts w:hint="default" w:eastAsia="宋体"/>
                <w:highlight w:val="none"/>
                <w:lang w:val="en-US" w:eastAsia="zh-CN"/>
              </w:rPr>
            </w:pPr>
            <w:r>
              <w:rPr>
                <w:rFonts w:hint="eastAsia"/>
                <w:highlight w:val="none"/>
              </w:rPr>
              <w:t>表4-</w:t>
            </w:r>
            <w:r>
              <w:rPr>
                <w:rFonts w:hint="eastAsia"/>
                <w:highlight w:val="none"/>
                <w:lang w:val="en-US" w:eastAsia="zh-CN"/>
              </w:rPr>
              <w:t>1     不同温度下</w:t>
            </w:r>
            <w:r>
              <w:rPr>
                <w:rFonts w:hint="eastAsia"/>
                <w:highlight w:val="none"/>
              </w:rPr>
              <w:t>石油沥青烟</w:t>
            </w:r>
            <w:r>
              <w:rPr>
                <w:rFonts w:hint="eastAsia"/>
                <w:highlight w:val="none"/>
                <w:lang w:val="en-US" w:eastAsia="zh-CN"/>
              </w:rPr>
              <w:t>各组分含量分析</w:t>
            </w:r>
          </w:p>
          <w:tbl>
            <w:tblPr>
              <w:tblStyle w:val="20"/>
              <w:tblW w:w="82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100"/>
              <w:gridCol w:w="1031"/>
              <w:gridCol w:w="1031"/>
              <w:gridCol w:w="1031"/>
              <w:gridCol w:w="1031"/>
              <w:gridCol w:w="1031"/>
              <w:gridCol w:w="1032"/>
            </w:tblGrid>
            <w:tr w14:paraId="43B19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62" w:type="dxa"/>
                  <w:vMerge w:val="restart"/>
                  <w:vAlign w:val="center"/>
                </w:tcPr>
                <w:p w14:paraId="659A07E8">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b/>
                      <w:bCs/>
                      <w:sz w:val="21"/>
                      <w:szCs w:val="21"/>
                    </w:rPr>
                    <w:t>项目</w:t>
                  </w:r>
                </w:p>
              </w:tc>
              <w:tc>
                <w:tcPr>
                  <w:tcW w:w="1100" w:type="dxa"/>
                  <w:vMerge w:val="restart"/>
                  <w:vAlign w:val="center"/>
                </w:tcPr>
                <w:p w14:paraId="7E2F3A44">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b/>
                      <w:bCs/>
                      <w:sz w:val="21"/>
                      <w:szCs w:val="21"/>
                    </w:rPr>
                    <w:t>化合物</w:t>
                  </w:r>
                </w:p>
              </w:tc>
              <w:tc>
                <w:tcPr>
                  <w:tcW w:w="6187" w:type="dxa"/>
                  <w:gridSpan w:val="6"/>
                  <w:vAlign w:val="center"/>
                </w:tcPr>
                <w:p w14:paraId="23ED8537">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b/>
                      <w:bCs/>
                      <w:sz w:val="21"/>
                      <w:szCs w:val="21"/>
                    </w:rPr>
                    <w:t>含量（mg/kg）</w:t>
                  </w:r>
                </w:p>
              </w:tc>
            </w:tr>
            <w:tr w14:paraId="4B63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vMerge w:val="continue"/>
                  <w:vAlign w:val="center"/>
                </w:tcPr>
                <w:p w14:paraId="5C50270B">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p>
              </w:tc>
              <w:tc>
                <w:tcPr>
                  <w:tcW w:w="1100" w:type="dxa"/>
                  <w:vMerge w:val="continue"/>
                  <w:vAlign w:val="center"/>
                </w:tcPr>
                <w:p w14:paraId="1E864D56">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p>
              </w:tc>
              <w:tc>
                <w:tcPr>
                  <w:tcW w:w="1031" w:type="dxa"/>
                  <w:vAlign w:val="center"/>
                </w:tcPr>
                <w:p w14:paraId="7A2D4620">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90℃</w:t>
                  </w:r>
                </w:p>
              </w:tc>
              <w:tc>
                <w:tcPr>
                  <w:tcW w:w="1031" w:type="dxa"/>
                  <w:vAlign w:val="center"/>
                </w:tcPr>
                <w:p w14:paraId="247C1D30">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120℃</w:t>
                  </w:r>
                </w:p>
              </w:tc>
              <w:tc>
                <w:tcPr>
                  <w:tcW w:w="1031" w:type="dxa"/>
                  <w:vAlign w:val="center"/>
                </w:tcPr>
                <w:p w14:paraId="35B58804">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140℃</w:t>
                  </w:r>
                </w:p>
              </w:tc>
              <w:tc>
                <w:tcPr>
                  <w:tcW w:w="1031" w:type="dxa"/>
                  <w:vAlign w:val="center"/>
                </w:tcPr>
                <w:p w14:paraId="14A8E40F">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165℃</w:t>
                  </w:r>
                </w:p>
              </w:tc>
              <w:tc>
                <w:tcPr>
                  <w:tcW w:w="1031" w:type="dxa"/>
                  <w:vAlign w:val="center"/>
                </w:tcPr>
                <w:p w14:paraId="6CDD5F15">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180℃</w:t>
                  </w:r>
                </w:p>
              </w:tc>
              <w:tc>
                <w:tcPr>
                  <w:tcW w:w="1032" w:type="dxa"/>
                  <w:vAlign w:val="center"/>
                </w:tcPr>
                <w:p w14:paraId="3334082F">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200℃</w:t>
                  </w:r>
                </w:p>
              </w:tc>
            </w:tr>
            <w:tr w14:paraId="2FED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vMerge w:val="restart"/>
                  <w:vAlign w:val="center"/>
                </w:tcPr>
                <w:p w14:paraId="68A617F1">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b w:val="0"/>
                      <w:bCs w:val="0"/>
                      <w:sz w:val="21"/>
                      <w:szCs w:val="21"/>
                    </w:rPr>
                    <w:t>沥青烟组成</w:t>
                  </w:r>
                </w:p>
              </w:tc>
              <w:tc>
                <w:tcPr>
                  <w:tcW w:w="1100" w:type="dxa"/>
                  <w:vAlign w:val="center"/>
                </w:tcPr>
                <w:p w14:paraId="4A4EE4E8">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饱和烃</w:t>
                  </w:r>
                </w:p>
              </w:tc>
              <w:tc>
                <w:tcPr>
                  <w:tcW w:w="1031" w:type="dxa"/>
                  <w:vAlign w:val="center"/>
                </w:tcPr>
                <w:p w14:paraId="0303B9F2">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0.8738</w:t>
                  </w:r>
                </w:p>
              </w:tc>
              <w:tc>
                <w:tcPr>
                  <w:tcW w:w="1031" w:type="dxa"/>
                  <w:vAlign w:val="center"/>
                </w:tcPr>
                <w:p w14:paraId="54091533">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1.7561</w:t>
                  </w:r>
                </w:p>
              </w:tc>
              <w:tc>
                <w:tcPr>
                  <w:tcW w:w="1031" w:type="dxa"/>
                  <w:vAlign w:val="center"/>
                </w:tcPr>
                <w:p w14:paraId="2AE38715">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3.4126</w:t>
                  </w:r>
                </w:p>
              </w:tc>
              <w:tc>
                <w:tcPr>
                  <w:tcW w:w="1031" w:type="dxa"/>
                  <w:vAlign w:val="center"/>
                </w:tcPr>
                <w:p w14:paraId="0480764E">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13.7452</w:t>
                  </w:r>
                </w:p>
              </w:tc>
              <w:tc>
                <w:tcPr>
                  <w:tcW w:w="1031" w:type="dxa"/>
                  <w:vAlign w:val="center"/>
                </w:tcPr>
                <w:p w14:paraId="580A88D6">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28.7318</w:t>
                  </w:r>
                </w:p>
              </w:tc>
              <w:tc>
                <w:tcPr>
                  <w:tcW w:w="1032" w:type="dxa"/>
                  <w:vAlign w:val="center"/>
                </w:tcPr>
                <w:p w14:paraId="2B47799D">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63.7543</w:t>
                  </w:r>
                </w:p>
              </w:tc>
            </w:tr>
            <w:tr w14:paraId="6B35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vMerge w:val="continue"/>
                  <w:vAlign w:val="center"/>
                </w:tcPr>
                <w:p w14:paraId="609F0228">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100" w:type="dxa"/>
                  <w:vAlign w:val="center"/>
                </w:tcPr>
                <w:p w14:paraId="1F671E16">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1环芳烃</w:t>
                  </w:r>
                </w:p>
              </w:tc>
              <w:tc>
                <w:tcPr>
                  <w:tcW w:w="1031" w:type="dxa"/>
                  <w:vAlign w:val="center"/>
                </w:tcPr>
                <w:p w14:paraId="41C47476">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0.0405</w:t>
                  </w:r>
                </w:p>
              </w:tc>
              <w:tc>
                <w:tcPr>
                  <w:tcW w:w="1031" w:type="dxa"/>
                  <w:vAlign w:val="center"/>
                </w:tcPr>
                <w:p w14:paraId="76B8B59C">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0.0876</w:t>
                  </w:r>
                </w:p>
              </w:tc>
              <w:tc>
                <w:tcPr>
                  <w:tcW w:w="1031" w:type="dxa"/>
                  <w:vAlign w:val="center"/>
                </w:tcPr>
                <w:p w14:paraId="156FEE50">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0.2173</w:t>
                  </w:r>
                </w:p>
              </w:tc>
              <w:tc>
                <w:tcPr>
                  <w:tcW w:w="1031" w:type="dxa"/>
                  <w:vAlign w:val="center"/>
                </w:tcPr>
                <w:p w14:paraId="33476BF0">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1.4058</w:t>
                  </w:r>
                </w:p>
              </w:tc>
              <w:tc>
                <w:tcPr>
                  <w:tcW w:w="1031" w:type="dxa"/>
                  <w:vAlign w:val="center"/>
                </w:tcPr>
                <w:p w14:paraId="6EBF32D2">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7.1463</w:t>
                  </w:r>
                </w:p>
              </w:tc>
              <w:tc>
                <w:tcPr>
                  <w:tcW w:w="1032" w:type="dxa"/>
                  <w:vAlign w:val="center"/>
                </w:tcPr>
                <w:p w14:paraId="7C439ACF">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11.6624</w:t>
                  </w:r>
                </w:p>
              </w:tc>
            </w:tr>
            <w:tr w14:paraId="7111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vMerge w:val="continue"/>
                  <w:vAlign w:val="center"/>
                </w:tcPr>
                <w:p w14:paraId="2F94C4CE">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100" w:type="dxa"/>
                  <w:vAlign w:val="center"/>
                </w:tcPr>
                <w:p w14:paraId="0BC7F648">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2环芳烃</w:t>
                  </w:r>
                </w:p>
              </w:tc>
              <w:tc>
                <w:tcPr>
                  <w:tcW w:w="1031" w:type="dxa"/>
                  <w:vAlign w:val="center"/>
                </w:tcPr>
                <w:p w14:paraId="5A4D7E98">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0.0153</w:t>
                  </w:r>
                </w:p>
              </w:tc>
              <w:tc>
                <w:tcPr>
                  <w:tcW w:w="1031" w:type="dxa"/>
                  <w:vAlign w:val="center"/>
                </w:tcPr>
                <w:p w14:paraId="13F0004A">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0.037</w:t>
                  </w:r>
                </w:p>
              </w:tc>
              <w:tc>
                <w:tcPr>
                  <w:tcW w:w="1031" w:type="dxa"/>
                  <w:vAlign w:val="center"/>
                </w:tcPr>
                <w:p w14:paraId="45239104">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0.0744</w:t>
                  </w:r>
                </w:p>
              </w:tc>
              <w:tc>
                <w:tcPr>
                  <w:tcW w:w="1031" w:type="dxa"/>
                  <w:vAlign w:val="center"/>
                </w:tcPr>
                <w:p w14:paraId="7374F4E8">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1.6322</w:t>
                  </w:r>
                </w:p>
              </w:tc>
              <w:tc>
                <w:tcPr>
                  <w:tcW w:w="1031" w:type="dxa"/>
                  <w:vAlign w:val="center"/>
                </w:tcPr>
                <w:p w14:paraId="0D74B721">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3.2859</w:t>
                  </w:r>
                </w:p>
              </w:tc>
              <w:tc>
                <w:tcPr>
                  <w:tcW w:w="1032" w:type="dxa"/>
                  <w:vAlign w:val="center"/>
                </w:tcPr>
                <w:p w14:paraId="39B957E4">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6.2815</w:t>
                  </w:r>
                </w:p>
              </w:tc>
            </w:tr>
            <w:tr w14:paraId="444E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vMerge w:val="continue"/>
                  <w:vAlign w:val="center"/>
                </w:tcPr>
                <w:p w14:paraId="3CECC4D1">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100" w:type="dxa"/>
                  <w:vAlign w:val="center"/>
                </w:tcPr>
                <w:p w14:paraId="63695B49">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3环芳烃</w:t>
                  </w:r>
                </w:p>
              </w:tc>
              <w:tc>
                <w:tcPr>
                  <w:tcW w:w="1031" w:type="dxa"/>
                  <w:vAlign w:val="center"/>
                </w:tcPr>
                <w:p w14:paraId="4AB4A249">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w:t>
                  </w:r>
                </w:p>
              </w:tc>
              <w:tc>
                <w:tcPr>
                  <w:tcW w:w="1031" w:type="dxa"/>
                  <w:vAlign w:val="center"/>
                </w:tcPr>
                <w:p w14:paraId="464DBF50">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w:t>
                  </w:r>
                </w:p>
              </w:tc>
              <w:tc>
                <w:tcPr>
                  <w:tcW w:w="1031" w:type="dxa"/>
                  <w:vAlign w:val="center"/>
                </w:tcPr>
                <w:p w14:paraId="4A3E9472">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w:t>
                  </w:r>
                </w:p>
              </w:tc>
              <w:tc>
                <w:tcPr>
                  <w:tcW w:w="1031" w:type="dxa"/>
                  <w:vAlign w:val="center"/>
                </w:tcPr>
                <w:p w14:paraId="4CAB6E35">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0.1261</w:t>
                  </w:r>
                </w:p>
              </w:tc>
              <w:tc>
                <w:tcPr>
                  <w:tcW w:w="1031" w:type="dxa"/>
                  <w:vAlign w:val="center"/>
                </w:tcPr>
                <w:p w14:paraId="7DDAEA09">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3.1706</w:t>
                  </w:r>
                </w:p>
              </w:tc>
              <w:tc>
                <w:tcPr>
                  <w:tcW w:w="1032" w:type="dxa"/>
                  <w:vAlign w:val="center"/>
                </w:tcPr>
                <w:p w14:paraId="44F862AB">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0.8414</w:t>
                  </w:r>
                </w:p>
              </w:tc>
            </w:tr>
            <w:tr w14:paraId="4FAF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962" w:type="dxa"/>
                  <w:vMerge w:val="continue"/>
                  <w:vAlign w:val="center"/>
                </w:tcPr>
                <w:p w14:paraId="19A63A4A">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100" w:type="dxa"/>
                  <w:vAlign w:val="center"/>
                </w:tcPr>
                <w:p w14:paraId="0FAA37D3">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4环芳烃</w:t>
                  </w:r>
                </w:p>
              </w:tc>
              <w:tc>
                <w:tcPr>
                  <w:tcW w:w="1031" w:type="dxa"/>
                  <w:vAlign w:val="center"/>
                </w:tcPr>
                <w:p w14:paraId="3ED9675F">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w:t>
                  </w:r>
                </w:p>
              </w:tc>
              <w:tc>
                <w:tcPr>
                  <w:tcW w:w="1031" w:type="dxa"/>
                  <w:vAlign w:val="center"/>
                </w:tcPr>
                <w:p w14:paraId="5AC0ED7D">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w:t>
                  </w:r>
                </w:p>
              </w:tc>
              <w:tc>
                <w:tcPr>
                  <w:tcW w:w="1031" w:type="dxa"/>
                  <w:vAlign w:val="center"/>
                </w:tcPr>
                <w:p w14:paraId="1AB2C652">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w:t>
                  </w:r>
                </w:p>
              </w:tc>
              <w:tc>
                <w:tcPr>
                  <w:tcW w:w="1031" w:type="dxa"/>
                  <w:vAlign w:val="center"/>
                </w:tcPr>
                <w:p w14:paraId="799DE589">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0.382</w:t>
                  </w:r>
                </w:p>
              </w:tc>
              <w:tc>
                <w:tcPr>
                  <w:tcW w:w="1031" w:type="dxa"/>
                  <w:vAlign w:val="center"/>
                </w:tcPr>
                <w:p w14:paraId="166E1424">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0.8599</w:t>
                  </w:r>
                </w:p>
              </w:tc>
              <w:tc>
                <w:tcPr>
                  <w:tcW w:w="1032" w:type="dxa"/>
                  <w:vAlign w:val="center"/>
                </w:tcPr>
                <w:p w14:paraId="05F825C2">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2.4304</w:t>
                  </w:r>
                </w:p>
              </w:tc>
            </w:tr>
            <w:tr w14:paraId="7421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vMerge w:val="continue"/>
                  <w:vAlign w:val="center"/>
                </w:tcPr>
                <w:p w14:paraId="4FC34198">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100" w:type="dxa"/>
                  <w:vAlign w:val="center"/>
                </w:tcPr>
                <w:p w14:paraId="6346BDCD">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含硫杂环</w:t>
                  </w:r>
                </w:p>
              </w:tc>
              <w:tc>
                <w:tcPr>
                  <w:tcW w:w="1031" w:type="dxa"/>
                  <w:vAlign w:val="center"/>
                </w:tcPr>
                <w:p w14:paraId="289D8B7E">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w:t>
                  </w:r>
                </w:p>
              </w:tc>
              <w:tc>
                <w:tcPr>
                  <w:tcW w:w="1031" w:type="dxa"/>
                  <w:vAlign w:val="center"/>
                </w:tcPr>
                <w:p w14:paraId="531E1A4F">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0.014</w:t>
                  </w:r>
                </w:p>
              </w:tc>
              <w:tc>
                <w:tcPr>
                  <w:tcW w:w="1031" w:type="dxa"/>
                  <w:vAlign w:val="center"/>
                </w:tcPr>
                <w:p w14:paraId="181C1A52">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0.0655</w:t>
                  </w:r>
                </w:p>
              </w:tc>
              <w:tc>
                <w:tcPr>
                  <w:tcW w:w="1031" w:type="dxa"/>
                  <w:vAlign w:val="center"/>
                </w:tcPr>
                <w:p w14:paraId="1BAB985D">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0.2136</w:t>
                  </w:r>
                </w:p>
              </w:tc>
              <w:tc>
                <w:tcPr>
                  <w:tcW w:w="1031" w:type="dxa"/>
                  <w:vAlign w:val="center"/>
                </w:tcPr>
                <w:p w14:paraId="21A21FAD">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2.0804</w:t>
                  </w:r>
                </w:p>
              </w:tc>
              <w:tc>
                <w:tcPr>
                  <w:tcW w:w="1032" w:type="dxa"/>
                  <w:vAlign w:val="center"/>
                </w:tcPr>
                <w:p w14:paraId="5034E665">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1.2853</w:t>
                  </w:r>
                </w:p>
              </w:tc>
            </w:tr>
            <w:tr w14:paraId="2808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vMerge w:val="continue"/>
                  <w:vAlign w:val="center"/>
                </w:tcPr>
                <w:p w14:paraId="20131A01">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100" w:type="dxa"/>
                  <w:vAlign w:val="center"/>
                </w:tcPr>
                <w:p w14:paraId="5D93DF02">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含氮杂环</w:t>
                  </w:r>
                </w:p>
              </w:tc>
              <w:tc>
                <w:tcPr>
                  <w:tcW w:w="1031" w:type="dxa"/>
                  <w:vAlign w:val="center"/>
                </w:tcPr>
                <w:p w14:paraId="1730226A">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0.0337</w:t>
                  </w:r>
                </w:p>
              </w:tc>
              <w:tc>
                <w:tcPr>
                  <w:tcW w:w="1031" w:type="dxa"/>
                  <w:vAlign w:val="center"/>
                </w:tcPr>
                <w:p w14:paraId="3F012317">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0.0372</w:t>
                  </w:r>
                </w:p>
              </w:tc>
              <w:tc>
                <w:tcPr>
                  <w:tcW w:w="1031" w:type="dxa"/>
                  <w:vAlign w:val="center"/>
                </w:tcPr>
                <w:p w14:paraId="63F40B2D">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0.1031</w:t>
                  </w:r>
                </w:p>
              </w:tc>
              <w:tc>
                <w:tcPr>
                  <w:tcW w:w="1031" w:type="dxa"/>
                  <w:vAlign w:val="center"/>
                </w:tcPr>
                <w:p w14:paraId="27FE5C02">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0.6011</w:t>
                  </w:r>
                </w:p>
              </w:tc>
              <w:tc>
                <w:tcPr>
                  <w:tcW w:w="1031" w:type="dxa"/>
                  <w:vAlign w:val="center"/>
                </w:tcPr>
                <w:p w14:paraId="26C11292">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6.1826</w:t>
                  </w:r>
                </w:p>
              </w:tc>
              <w:tc>
                <w:tcPr>
                  <w:tcW w:w="1032" w:type="dxa"/>
                  <w:vAlign w:val="center"/>
                </w:tcPr>
                <w:p w14:paraId="14CF1B51">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8.2573</w:t>
                  </w:r>
                </w:p>
              </w:tc>
            </w:tr>
            <w:tr w14:paraId="3E16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vMerge w:val="continue"/>
                  <w:vAlign w:val="center"/>
                </w:tcPr>
                <w:p w14:paraId="77BB20E4">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100" w:type="dxa"/>
                  <w:vAlign w:val="center"/>
                </w:tcPr>
                <w:p w14:paraId="30C4AEBE">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含氧杂环</w:t>
                  </w:r>
                </w:p>
              </w:tc>
              <w:tc>
                <w:tcPr>
                  <w:tcW w:w="1031" w:type="dxa"/>
                  <w:vAlign w:val="center"/>
                </w:tcPr>
                <w:p w14:paraId="3FB53690">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0.0156</w:t>
                  </w:r>
                </w:p>
              </w:tc>
              <w:tc>
                <w:tcPr>
                  <w:tcW w:w="1031" w:type="dxa"/>
                  <w:vAlign w:val="center"/>
                </w:tcPr>
                <w:p w14:paraId="01EEB690">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0.0375</w:t>
                  </w:r>
                </w:p>
              </w:tc>
              <w:tc>
                <w:tcPr>
                  <w:tcW w:w="1031" w:type="dxa"/>
                  <w:vAlign w:val="center"/>
                </w:tcPr>
                <w:p w14:paraId="3841FA25">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0.0194</w:t>
                  </w:r>
                </w:p>
              </w:tc>
              <w:tc>
                <w:tcPr>
                  <w:tcW w:w="1031" w:type="dxa"/>
                  <w:vAlign w:val="center"/>
                </w:tcPr>
                <w:p w14:paraId="635976FB">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0.586</w:t>
                  </w:r>
                </w:p>
              </w:tc>
              <w:tc>
                <w:tcPr>
                  <w:tcW w:w="1031" w:type="dxa"/>
                  <w:vAlign w:val="center"/>
                </w:tcPr>
                <w:p w14:paraId="48782279">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3.7692</w:t>
                  </w:r>
                </w:p>
              </w:tc>
              <w:tc>
                <w:tcPr>
                  <w:tcW w:w="1032" w:type="dxa"/>
                  <w:vAlign w:val="center"/>
                </w:tcPr>
                <w:p w14:paraId="77ED2D48">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4.1291</w:t>
                  </w:r>
                </w:p>
              </w:tc>
            </w:tr>
            <w:tr w14:paraId="21467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2" w:type="dxa"/>
                  <w:gridSpan w:val="2"/>
                  <w:vAlign w:val="center"/>
                </w:tcPr>
                <w:p w14:paraId="2F1A7E61">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合并</w:t>
                  </w:r>
                </w:p>
              </w:tc>
              <w:tc>
                <w:tcPr>
                  <w:tcW w:w="1031" w:type="dxa"/>
                  <w:vAlign w:val="center"/>
                </w:tcPr>
                <w:p w14:paraId="32C98003">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0.9787</w:t>
                  </w:r>
                </w:p>
              </w:tc>
              <w:tc>
                <w:tcPr>
                  <w:tcW w:w="1031" w:type="dxa"/>
                  <w:vAlign w:val="center"/>
                </w:tcPr>
                <w:p w14:paraId="153E42AD">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1.9794</w:t>
                  </w:r>
                </w:p>
              </w:tc>
              <w:tc>
                <w:tcPr>
                  <w:tcW w:w="1031" w:type="dxa"/>
                  <w:vAlign w:val="center"/>
                </w:tcPr>
                <w:p w14:paraId="05101BF3">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3.8923</w:t>
                  </w:r>
                </w:p>
              </w:tc>
              <w:tc>
                <w:tcPr>
                  <w:tcW w:w="1031" w:type="dxa"/>
                  <w:vAlign w:val="center"/>
                </w:tcPr>
                <w:p w14:paraId="31F9BD6C">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18.3482</w:t>
                  </w:r>
                </w:p>
              </w:tc>
              <w:tc>
                <w:tcPr>
                  <w:tcW w:w="1031" w:type="dxa"/>
                  <w:vAlign w:val="center"/>
                </w:tcPr>
                <w:p w14:paraId="6C2F2459">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55.2267</w:t>
                  </w:r>
                </w:p>
              </w:tc>
              <w:tc>
                <w:tcPr>
                  <w:tcW w:w="1032" w:type="dxa"/>
                  <w:vAlign w:val="center"/>
                </w:tcPr>
                <w:p w14:paraId="6572F590">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98.6417</w:t>
                  </w:r>
                </w:p>
              </w:tc>
            </w:tr>
          </w:tbl>
          <w:p w14:paraId="19920DF8">
            <w:pPr>
              <w:pStyle w:val="34"/>
              <w:spacing w:line="360" w:lineRule="auto"/>
              <w:ind w:left="0" w:leftChars="0" w:firstLine="400" w:firstLineChars="200"/>
              <w:rPr>
                <w:rFonts w:hint="eastAsia" w:cs="Times New Roman"/>
                <w:color w:val="auto"/>
                <w:sz w:val="20"/>
                <w:szCs w:val="16"/>
                <w:highlight w:val="none"/>
                <w:lang w:val="en-US" w:eastAsia="zh-CN"/>
              </w:rPr>
            </w:pPr>
            <w:r>
              <w:rPr>
                <w:rFonts w:ascii="宋体" w:hAnsi="宋体" w:eastAsia="宋体" w:cs="宋体"/>
                <w:sz w:val="20"/>
                <w:szCs w:val="20"/>
              </w:rPr>
              <w:t>注</w:t>
            </w:r>
            <w:r>
              <w:rPr>
                <w:rFonts w:hint="eastAsia" w:ascii="宋体" w:hAnsi="宋体" w:cs="宋体"/>
                <w:sz w:val="20"/>
                <w:szCs w:val="20"/>
                <w:lang w:eastAsia="zh-CN"/>
              </w:rPr>
              <w:t>：</w:t>
            </w:r>
            <w:r>
              <w:rPr>
                <w:rFonts w:ascii="宋体" w:hAnsi="宋体" w:eastAsia="宋体" w:cs="宋体"/>
                <w:sz w:val="20"/>
                <w:szCs w:val="20"/>
              </w:rPr>
              <w:t>数据引用《沥青使用过程中对环境的影响研究》（才洪美，中国石油大学，博士论文）</w:t>
            </w:r>
          </w:p>
          <w:p w14:paraId="6354238E">
            <w:pPr>
              <w:pStyle w:val="34"/>
              <w:spacing w:line="360" w:lineRule="auto"/>
              <w:ind w:left="0" w:leftChars="0" w:firstLine="480" w:firstLineChars="200"/>
              <w:rPr>
                <w:rFonts w:hint="eastAsia" w:cs="Times New Roman"/>
                <w:color w:val="auto"/>
                <w:highlight w:val="none"/>
                <w:lang w:val="en-US" w:eastAsia="zh-CN"/>
              </w:rPr>
            </w:pPr>
            <w:r>
              <w:rPr>
                <w:rFonts w:hint="eastAsia" w:cs="Times New Roman"/>
                <w:color w:val="auto"/>
                <w:highlight w:val="none"/>
                <w:lang w:val="en-US" w:eastAsia="zh-CN"/>
              </w:rPr>
              <w:t>本项目沥青使用量为6200t/a，租用三个沥青储罐。</w:t>
            </w:r>
          </w:p>
          <w:p w14:paraId="07C5B029">
            <w:pPr>
              <w:pStyle w:val="34"/>
              <w:spacing w:line="360" w:lineRule="auto"/>
              <w:ind w:left="0" w:leftChars="0" w:firstLine="480" w:firstLineChars="200"/>
              <w:rPr>
                <w:rFonts w:hint="default" w:cs="Times New Roman"/>
                <w:color w:val="auto"/>
                <w:highlight w:val="none"/>
                <w:lang w:val="en-US" w:eastAsia="zh-CN"/>
              </w:rPr>
            </w:pPr>
            <w:r>
              <w:rPr>
                <w:rFonts w:hint="default" w:cs="Times New Roman"/>
                <w:color w:val="auto"/>
                <w:highlight w:val="none"/>
                <w:lang w:val="en-US" w:eastAsia="zh-CN"/>
              </w:rPr>
              <w:t xml:space="preserve">沥青烟 </w:t>
            </w:r>
          </w:p>
          <w:p w14:paraId="3CCC3D77">
            <w:pPr>
              <w:pStyle w:val="34"/>
              <w:spacing w:line="360" w:lineRule="auto"/>
              <w:ind w:left="0" w:leftChars="0" w:firstLine="480" w:firstLineChars="200"/>
              <w:rPr>
                <w:rFonts w:hint="default" w:cs="Times New Roman"/>
                <w:color w:val="auto"/>
                <w:highlight w:val="none"/>
                <w:lang w:val="en-US" w:eastAsia="zh-CN"/>
              </w:rPr>
            </w:pPr>
            <w:r>
              <w:rPr>
                <w:rFonts w:hint="default" w:cs="Times New Roman"/>
                <w:color w:val="auto"/>
                <w:highlight w:val="none"/>
                <w:lang w:val="en-US" w:eastAsia="zh-CN"/>
              </w:rPr>
              <w:t>沥青烟是指沥青及沥青制品生产中排放的液态烃类有机颗粒物质和少量在常温下气态烃类物质，它是含有多种化学物质的混合烟气，以烃类混合物为主要成分。沥青冷却过程、加热过程温度不断变化，按平均90℃计算，根据上述研究，沥青90℃的产生系数为0.9787mg/kg，沥青周转量为</w:t>
            </w:r>
            <w:r>
              <w:rPr>
                <w:rFonts w:hint="eastAsia" w:cs="Times New Roman"/>
                <w:color w:val="auto"/>
                <w:highlight w:val="none"/>
                <w:lang w:val="en-US" w:eastAsia="zh-CN"/>
              </w:rPr>
              <w:t>6200</w:t>
            </w:r>
            <w:r>
              <w:rPr>
                <w:rFonts w:hint="default" w:cs="Times New Roman"/>
                <w:color w:val="auto"/>
                <w:highlight w:val="none"/>
                <w:lang w:val="en-US" w:eastAsia="zh-CN"/>
              </w:rPr>
              <w:t>t/a，则沥青烟产生量为0.0</w:t>
            </w:r>
            <w:r>
              <w:rPr>
                <w:rFonts w:hint="eastAsia" w:cs="Times New Roman"/>
                <w:color w:val="auto"/>
                <w:highlight w:val="none"/>
                <w:lang w:val="en-US" w:eastAsia="zh-CN"/>
              </w:rPr>
              <w:t>06</w:t>
            </w:r>
            <w:r>
              <w:rPr>
                <w:rFonts w:hint="default" w:cs="Times New Roman"/>
                <w:color w:val="auto"/>
                <w:highlight w:val="none"/>
                <w:lang w:val="en-US" w:eastAsia="zh-CN"/>
              </w:rPr>
              <w:t>t/a。</w:t>
            </w:r>
          </w:p>
          <w:p w14:paraId="73F11BDC">
            <w:pPr>
              <w:pStyle w:val="34"/>
              <w:spacing w:line="360" w:lineRule="auto"/>
              <w:ind w:firstLine="480"/>
              <w:rPr>
                <w:rFonts w:hint="default" w:cs="Times New Roman"/>
                <w:color w:val="auto"/>
                <w:highlight w:val="none"/>
                <w:lang w:val="en-US" w:eastAsia="zh-CN"/>
              </w:rPr>
            </w:pPr>
            <w:r>
              <w:rPr>
                <w:rFonts w:hint="eastAsia" w:cs="Times New Roman"/>
                <w:color w:val="auto"/>
                <w:highlight w:val="none"/>
                <w:lang w:val="en-US" w:eastAsia="zh-CN"/>
              </w:rPr>
              <w:t>非甲烷总烃</w:t>
            </w:r>
          </w:p>
          <w:p w14:paraId="203F310A">
            <w:pPr>
              <w:pStyle w:val="34"/>
              <w:spacing w:line="360" w:lineRule="auto"/>
              <w:ind w:firstLine="480"/>
              <w:rPr>
                <w:rFonts w:hint="default" w:cs="Times New Roman"/>
                <w:color w:val="auto"/>
                <w:highlight w:val="none"/>
                <w:lang w:val="en-US" w:eastAsia="zh-CN"/>
              </w:rPr>
            </w:pPr>
            <w:r>
              <w:rPr>
                <w:rFonts w:hint="eastAsia" w:cs="Times New Roman"/>
                <w:color w:val="auto"/>
                <w:highlight w:val="none"/>
                <w:lang w:val="en-US" w:eastAsia="zh-CN"/>
              </w:rPr>
              <w:t>本项目租用</w:t>
            </w:r>
            <w:r>
              <w:rPr>
                <w:rFonts w:hint="default" w:ascii="Times New Roman" w:hAnsi="Times New Roman" w:eastAsia="宋体" w:cs="Times New Roman"/>
                <w:sz w:val="24"/>
                <w:szCs w:val="24"/>
                <w:highlight w:val="none"/>
                <w:lang w:val="en-US" w:eastAsia="zh-CN"/>
              </w:rPr>
              <w:t>本项目</w:t>
            </w:r>
            <w:r>
              <w:rPr>
                <w:rFonts w:hint="eastAsia" w:cs="Times New Roman"/>
                <w:sz w:val="24"/>
                <w:szCs w:val="24"/>
                <w:highlight w:val="none"/>
                <w:lang w:val="en-US" w:eastAsia="zh-CN"/>
              </w:rPr>
              <w:t>依托原有项目的</w:t>
            </w:r>
            <w:r>
              <w:rPr>
                <w:rFonts w:hint="eastAsia" w:ascii="Times New Roman" w:hAnsi="Times New Roman" w:eastAsia="宋体" w:cs="Times New Roman"/>
                <w:sz w:val="24"/>
                <w:szCs w:val="24"/>
                <w:highlight w:val="none"/>
                <w:lang w:val="en-US" w:eastAsia="zh-CN"/>
              </w:rPr>
              <w:t>三个沥青</w:t>
            </w:r>
            <w:r>
              <w:rPr>
                <w:rFonts w:hint="eastAsia" w:cs="Times New Roman"/>
                <w:color w:val="auto"/>
                <w:highlight w:val="none"/>
                <w:lang w:val="en-US" w:eastAsia="zh-CN"/>
              </w:rPr>
              <w:t>储罐，容积为2个500m</w:t>
            </w:r>
            <w:r>
              <w:rPr>
                <w:rFonts w:hint="eastAsia" w:cs="Times New Roman"/>
                <w:color w:val="auto"/>
                <w:highlight w:val="none"/>
                <w:vertAlign w:val="superscript"/>
                <w:lang w:val="en-US" w:eastAsia="zh-CN"/>
              </w:rPr>
              <w:t>3</w:t>
            </w:r>
            <w:r>
              <w:rPr>
                <w:rFonts w:hint="eastAsia" w:cs="Times New Roman"/>
                <w:color w:val="auto"/>
                <w:highlight w:val="none"/>
                <w:vertAlign w:val="baseline"/>
                <w:lang w:val="en-US" w:eastAsia="zh-CN"/>
              </w:rPr>
              <w:t>和一个15</w:t>
            </w:r>
            <w:r>
              <w:rPr>
                <w:rFonts w:hint="eastAsia" w:cs="Times New Roman"/>
                <w:color w:val="auto"/>
                <w:highlight w:val="none"/>
                <w:lang w:val="en-US" w:eastAsia="zh-CN"/>
              </w:rPr>
              <w:t>0m</w:t>
            </w:r>
            <w:r>
              <w:rPr>
                <w:rFonts w:hint="eastAsia" w:cs="Times New Roman"/>
                <w:color w:val="auto"/>
                <w:highlight w:val="none"/>
                <w:vertAlign w:val="superscript"/>
                <w:lang w:val="en-US" w:eastAsia="zh-CN"/>
              </w:rPr>
              <w:t>3</w:t>
            </w:r>
            <w:r>
              <w:rPr>
                <w:rFonts w:hint="eastAsia" w:cs="Times New Roman"/>
                <w:color w:val="auto"/>
                <w:highlight w:val="none"/>
                <w:lang w:val="en-US" w:eastAsia="zh-CN"/>
              </w:rPr>
              <w:t>。沥青储罐顶设有呼吸阀，在沥青储存的过程中会产生少量的呼吸废气，主要污染因子为沥青烟、非甲烷总烃和苯并[a]芘。</w:t>
            </w:r>
          </w:p>
          <w:p w14:paraId="0C4FB419">
            <w:pPr>
              <w:pStyle w:val="34"/>
              <w:spacing w:line="360" w:lineRule="auto"/>
              <w:ind w:firstLine="480"/>
              <w:rPr>
                <w:rFonts w:hint="eastAsia" w:cs="Times New Roman"/>
                <w:color w:val="auto"/>
                <w:highlight w:val="none"/>
                <w:lang w:eastAsia="zh-CN"/>
              </w:rPr>
            </w:pPr>
            <w:r>
              <w:rPr>
                <w:rFonts w:hint="eastAsia" w:cs="Times New Roman"/>
                <w:color w:val="auto"/>
                <w:highlight w:val="none"/>
                <w:lang w:val="en-US" w:eastAsia="zh-CN"/>
              </w:rPr>
              <w:t>沥青</w:t>
            </w:r>
            <w:r>
              <w:rPr>
                <w:rFonts w:hint="eastAsia" w:cs="Times New Roman"/>
                <w:color w:val="auto"/>
                <w:highlight w:val="none"/>
                <w:lang w:eastAsia="zh-CN"/>
              </w:rPr>
              <w:t>在进罐和出罐时，由于罐内液面升降使气体容积增减，导致静压差发生变化，而产生呼吸损耗，称为大呼吸损耗。固定顶罐大呼吸废气采用中国石油化工系统经验公式进行估算：</w:t>
            </w:r>
          </w:p>
          <w:p w14:paraId="6C770716">
            <w:pPr>
              <w:keepNext w:val="0"/>
              <w:keepLines w:val="0"/>
              <w:widowControl/>
              <w:suppressLineNumbers w:val="0"/>
              <w:spacing w:line="360" w:lineRule="auto"/>
              <w:jc w:val="center"/>
              <w:rPr>
                <w:color w:val="auto"/>
                <w:sz w:val="24"/>
                <w:szCs w:val="24"/>
                <w:highlight w:val="none"/>
              </w:rPr>
            </w:pPr>
            <w:r>
              <w:rPr>
                <w:rFonts w:hint="default" w:ascii="Times New Roman" w:hAnsi="Times New Roman" w:eastAsia="宋体" w:cs="Times New Roman"/>
                <w:i/>
                <w:iCs/>
                <w:color w:val="auto"/>
                <w:kern w:val="0"/>
                <w:sz w:val="24"/>
                <w:szCs w:val="24"/>
                <w:highlight w:val="none"/>
                <w:lang w:val="en-US" w:eastAsia="zh-CN" w:bidi="ar"/>
              </w:rPr>
              <w:t>L</w:t>
            </w:r>
            <w:r>
              <w:rPr>
                <w:rFonts w:hint="default" w:ascii="Times New Roman" w:hAnsi="Times New Roman" w:eastAsia="宋体" w:cs="Times New Roman"/>
                <w:color w:val="auto"/>
                <w:kern w:val="0"/>
                <w:sz w:val="24"/>
                <w:szCs w:val="24"/>
                <w:highlight w:val="none"/>
                <w:vertAlign w:val="subscript"/>
                <w:lang w:val="en-US" w:eastAsia="zh-CN" w:bidi="ar"/>
              </w:rPr>
              <w:t>w</w:t>
            </w:r>
            <w:r>
              <w:rPr>
                <w:rFonts w:hint="default" w:ascii="Times New Roman" w:hAnsi="Times New Roman" w:eastAsia="宋体" w:cs="Times New Roman"/>
                <w:color w:val="auto"/>
                <w:kern w:val="0"/>
                <w:sz w:val="24"/>
                <w:szCs w:val="24"/>
                <w:highlight w:val="none"/>
                <w:lang w:val="en-US" w:eastAsia="zh-CN" w:bidi="ar"/>
              </w:rPr>
              <w:t>=4.188</w:t>
            </w:r>
            <w:r>
              <w:rPr>
                <w:rFonts w:ascii="Symbol" w:hAnsi="Symbol" w:eastAsia="宋体" w:cs="Symbol"/>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10</w:t>
            </w:r>
            <w:r>
              <w:rPr>
                <w:rFonts w:hint="eastAsia" w:ascii="Times New Roman" w:hAnsi="Times New Roman" w:eastAsia="宋体" w:cs="Times New Roman"/>
                <w:color w:val="auto"/>
                <w:kern w:val="0"/>
                <w:sz w:val="24"/>
                <w:szCs w:val="24"/>
                <w:highlight w:val="none"/>
                <w:vertAlign w:val="superscript"/>
                <w:lang w:val="en-US" w:eastAsia="zh-CN" w:bidi="ar"/>
              </w:rPr>
              <w:t>-</w:t>
            </w:r>
            <w:r>
              <w:rPr>
                <w:rFonts w:hint="default" w:ascii="Times New Roman" w:hAnsi="Times New Roman" w:eastAsia="宋体" w:cs="Times New Roman"/>
                <w:color w:val="auto"/>
                <w:kern w:val="0"/>
                <w:sz w:val="24"/>
                <w:szCs w:val="24"/>
                <w:highlight w:val="none"/>
                <w:vertAlign w:val="superscript"/>
                <w:lang w:val="en-US" w:eastAsia="zh-CN" w:bidi="ar"/>
              </w:rPr>
              <w:t>7</w:t>
            </w:r>
            <w:r>
              <w:rPr>
                <w:rFonts w:hint="default" w:ascii="Symbol" w:hAnsi="Symbol" w:eastAsia="宋体" w:cs="Symbol"/>
                <w:color w:val="auto"/>
                <w:kern w:val="0"/>
                <w:sz w:val="24"/>
                <w:szCs w:val="24"/>
                <w:highlight w:val="none"/>
                <w:lang w:val="en-US" w:eastAsia="zh-CN" w:bidi="ar"/>
              </w:rPr>
              <w:t></w:t>
            </w:r>
            <w:r>
              <w:rPr>
                <w:rFonts w:hint="default" w:ascii="Times New Roman" w:hAnsi="Times New Roman" w:eastAsia="宋体" w:cs="Times New Roman"/>
                <w:i/>
                <w:iCs/>
                <w:color w:val="auto"/>
                <w:kern w:val="0"/>
                <w:sz w:val="24"/>
                <w:szCs w:val="24"/>
                <w:highlight w:val="none"/>
                <w:lang w:val="en-US" w:eastAsia="zh-CN" w:bidi="ar"/>
              </w:rPr>
              <w:t>M</w:t>
            </w:r>
            <w:r>
              <w:rPr>
                <w:rFonts w:hint="default" w:ascii="Symbol" w:hAnsi="Symbol" w:eastAsia="宋体" w:cs="Symbol"/>
                <w:color w:val="auto"/>
                <w:kern w:val="0"/>
                <w:sz w:val="24"/>
                <w:szCs w:val="24"/>
                <w:highlight w:val="none"/>
                <w:lang w:val="en-US" w:eastAsia="zh-CN" w:bidi="ar"/>
              </w:rPr>
              <w:t></w:t>
            </w:r>
            <w:r>
              <w:rPr>
                <w:rFonts w:hint="default" w:ascii="Times New Roman" w:hAnsi="Times New Roman" w:eastAsia="宋体" w:cs="Times New Roman"/>
                <w:i/>
                <w:iCs/>
                <w:color w:val="auto"/>
                <w:kern w:val="0"/>
                <w:sz w:val="24"/>
                <w:szCs w:val="24"/>
                <w:highlight w:val="none"/>
                <w:lang w:val="en-US" w:eastAsia="zh-CN" w:bidi="ar"/>
              </w:rPr>
              <w:t>P</w:t>
            </w:r>
            <w:r>
              <w:rPr>
                <w:rFonts w:hint="default" w:ascii="Symbol" w:hAnsi="Symbol" w:eastAsia="宋体" w:cs="Symbol"/>
                <w:color w:val="auto"/>
                <w:kern w:val="0"/>
                <w:sz w:val="24"/>
                <w:szCs w:val="24"/>
                <w:highlight w:val="none"/>
                <w:lang w:val="en-US" w:eastAsia="zh-CN" w:bidi="ar"/>
              </w:rPr>
              <w:t></w:t>
            </w:r>
            <w:r>
              <w:rPr>
                <w:rFonts w:hint="default" w:ascii="Times New Roman" w:hAnsi="Times New Roman" w:eastAsia="宋体" w:cs="Times New Roman"/>
                <w:i/>
                <w:iCs/>
                <w:color w:val="auto"/>
                <w:kern w:val="0"/>
                <w:sz w:val="24"/>
                <w:szCs w:val="24"/>
                <w:highlight w:val="none"/>
                <w:lang w:val="en-US" w:eastAsia="zh-CN" w:bidi="ar"/>
              </w:rPr>
              <w:t>K</w:t>
            </w:r>
            <w:r>
              <w:rPr>
                <w:rFonts w:hint="default" w:ascii="Times New Roman" w:hAnsi="Times New Roman" w:eastAsia="宋体" w:cs="Times New Roman"/>
                <w:i/>
                <w:iCs/>
                <w:color w:val="auto"/>
                <w:kern w:val="0"/>
                <w:sz w:val="24"/>
                <w:szCs w:val="24"/>
                <w:highlight w:val="none"/>
                <w:vertAlign w:val="subscript"/>
                <w:lang w:val="en-US" w:eastAsia="zh-CN" w:bidi="ar"/>
              </w:rPr>
              <w:t>N</w:t>
            </w:r>
            <w:r>
              <w:rPr>
                <w:rFonts w:hint="default" w:ascii="Symbol" w:hAnsi="Symbol" w:eastAsia="宋体" w:cs="Symbol"/>
                <w:color w:val="auto"/>
                <w:kern w:val="0"/>
                <w:sz w:val="24"/>
                <w:szCs w:val="24"/>
                <w:highlight w:val="none"/>
                <w:lang w:val="en-US" w:eastAsia="zh-CN" w:bidi="ar"/>
              </w:rPr>
              <w:t></w:t>
            </w:r>
            <w:r>
              <w:rPr>
                <w:rFonts w:hint="default" w:ascii="Times New Roman" w:hAnsi="Times New Roman" w:eastAsia="宋体" w:cs="Times New Roman"/>
                <w:i/>
                <w:iCs/>
                <w:color w:val="auto"/>
                <w:kern w:val="0"/>
                <w:sz w:val="24"/>
                <w:szCs w:val="24"/>
                <w:highlight w:val="none"/>
                <w:lang w:val="en-US" w:eastAsia="zh-CN" w:bidi="ar"/>
              </w:rPr>
              <w:t>K</w:t>
            </w:r>
            <w:r>
              <w:rPr>
                <w:rFonts w:hint="default" w:ascii="Times New Roman" w:hAnsi="Times New Roman" w:eastAsia="宋体" w:cs="Times New Roman"/>
                <w:i/>
                <w:iCs/>
                <w:color w:val="auto"/>
                <w:kern w:val="0"/>
                <w:sz w:val="24"/>
                <w:szCs w:val="24"/>
                <w:highlight w:val="none"/>
                <w:vertAlign w:val="subscript"/>
                <w:lang w:val="en-US" w:eastAsia="zh-CN" w:bidi="ar"/>
              </w:rPr>
              <w:t>C</w:t>
            </w:r>
          </w:p>
          <w:p w14:paraId="7EA33FF2">
            <w:pPr>
              <w:keepNext w:val="0"/>
              <w:keepLines w:val="0"/>
              <w:widowControl/>
              <w:suppressLineNumbers w:val="0"/>
              <w:spacing w:line="360" w:lineRule="auto"/>
              <w:jc w:val="center"/>
              <w:rPr>
                <w:color w:val="auto"/>
                <w:sz w:val="24"/>
                <w:szCs w:val="24"/>
                <w:highlight w:val="none"/>
              </w:rPr>
            </w:pPr>
            <w:r>
              <w:rPr>
                <w:rFonts w:hint="default" w:ascii="Times New Roman" w:hAnsi="Times New Roman" w:eastAsia="宋体" w:cs="Times New Roman"/>
                <w:i/>
                <w:iCs/>
                <w:color w:val="auto"/>
                <w:kern w:val="0"/>
                <w:sz w:val="24"/>
                <w:szCs w:val="24"/>
                <w:highlight w:val="none"/>
                <w:lang w:val="en-US" w:eastAsia="zh-CN" w:bidi="ar"/>
              </w:rPr>
              <w:t>G</w:t>
            </w:r>
            <w:r>
              <w:rPr>
                <w:rFonts w:hint="default" w:ascii="Times New Roman" w:hAnsi="Times New Roman" w:eastAsia="宋体" w:cs="Times New Roman"/>
                <w:color w:val="auto"/>
                <w:kern w:val="0"/>
                <w:sz w:val="24"/>
                <w:szCs w:val="24"/>
                <w:highlight w:val="none"/>
                <w:vertAlign w:val="subscript"/>
                <w:lang w:val="en-US" w:eastAsia="zh-CN" w:bidi="ar"/>
              </w:rPr>
              <w:t>1</w:t>
            </w:r>
            <w:r>
              <w:rPr>
                <w:rFonts w:hint="default"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i/>
                <w:iCs/>
                <w:color w:val="auto"/>
                <w:kern w:val="0"/>
                <w:sz w:val="24"/>
                <w:szCs w:val="24"/>
                <w:highlight w:val="none"/>
                <w:lang w:val="en-US" w:eastAsia="zh-CN" w:bidi="ar"/>
              </w:rPr>
              <w:t>L</w:t>
            </w:r>
            <w:r>
              <w:rPr>
                <w:rFonts w:hint="default" w:ascii="Times New Roman" w:hAnsi="Times New Roman" w:eastAsia="宋体" w:cs="Times New Roman"/>
                <w:color w:val="auto"/>
                <w:kern w:val="0"/>
                <w:sz w:val="24"/>
                <w:szCs w:val="24"/>
                <w:highlight w:val="none"/>
                <w:vertAlign w:val="subscript"/>
                <w:lang w:val="en-US" w:eastAsia="zh-CN" w:bidi="ar"/>
              </w:rPr>
              <w:t>W</w:t>
            </w:r>
            <w:r>
              <w:rPr>
                <w:rFonts w:hint="default"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i/>
                <w:iCs/>
                <w:color w:val="auto"/>
                <w:kern w:val="0"/>
                <w:sz w:val="24"/>
                <w:szCs w:val="24"/>
                <w:highlight w:val="none"/>
                <w:lang w:val="en-US" w:eastAsia="zh-CN" w:bidi="ar"/>
              </w:rPr>
              <w:t>N</w:t>
            </w:r>
            <w:r>
              <w:rPr>
                <w:rFonts w:hint="default" w:ascii="Times New Roman" w:hAnsi="Times New Roman" w:eastAsia="宋体" w:cs="Times New Roman"/>
                <w:color w:val="auto"/>
                <w:kern w:val="0"/>
                <w:sz w:val="24"/>
                <w:szCs w:val="24"/>
                <w:highlight w:val="none"/>
                <w:vertAlign w:val="subscript"/>
                <w:lang w:val="en-US" w:eastAsia="zh-CN" w:bidi="ar"/>
              </w:rPr>
              <w:t>1</w:t>
            </w:r>
          </w:p>
          <w:p w14:paraId="5B86E924">
            <w:pPr>
              <w:pStyle w:val="34"/>
              <w:spacing w:line="360" w:lineRule="auto"/>
              <w:ind w:left="0" w:leftChars="0" w:firstLine="0" w:firstLineChars="0"/>
              <w:rPr>
                <w:rFonts w:hint="eastAsia" w:cs="Times New Roman"/>
                <w:color w:val="auto"/>
                <w:highlight w:val="none"/>
                <w:lang w:eastAsia="zh-CN"/>
              </w:rPr>
            </w:pPr>
            <w:r>
              <w:rPr>
                <w:rFonts w:hint="eastAsia" w:cs="Times New Roman"/>
                <w:color w:val="auto"/>
                <w:highlight w:val="none"/>
                <w:lang w:eastAsia="zh-CN"/>
              </w:rPr>
              <w:t>式中：</w:t>
            </w:r>
            <w:r>
              <w:rPr>
                <w:rFonts w:hint="eastAsia" w:cs="Times New Roman"/>
                <w:i/>
                <w:iCs/>
                <w:color w:val="auto"/>
                <w:highlight w:val="none"/>
                <w:lang w:eastAsia="zh-CN"/>
              </w:rPr>
              <w:t>L</w:t>
            </w:r>
            <w:r>
              <w:rPr>
                <w:rFonts w:hint="eastAsia" w:cs="Times New Roman"/>
                <w:strike w:val="0"/>
                <w:dstrike w:val="0"/>
                <w:color w:val="auto"/>
                <w:highlight w:val="none"/>
                <w:vertAlign w:val="subscript"/>
                <w:lang w:eastAsia="zh-CN"/>
              </w:rPr>
              <w:t>W</w:t>
            </w:r>
            <w:r>
              <w:rPr>
                <w:rFonts w:hint="eastAsia" w:cs="Times New Roman"/>
                <w:color w:val="auto"/>
                <w:highlight w:val="none"/>
                <w:lang w:eastAsia="zh-CN"/>
              </w:rPr>
              <w:t>—固定顶罐工作损失（kg/m</w:t>
            </w:r>
            <w:r>
              <w:rPr>
                <w:rFonts w:hint="eastAsia" w:cs="Times New Roman"/>
                <w:color w:val="auto"/>
                <w:highlight w:val="none"/>
                <w:vertAlign w:val="superscript"/>
                <w:lang w:eastAsia="zh-CN"/>
              </w:rPr>
              <w:t>3</w:t>
            </w:r>
            <w:r>
              <w:rPr>
                <w:rFonts w:hint="eastAsia" w:cs="Times New Roman"/>
                <w:color w:val="auto"/>
                <w:highlight w:val="none"/>
                <w:lang w:eastAsia="zh-CN"/>
              </w:rPr>
              <w:t>投入量）；</w:t>
            </w:r>
          </w:p>
          <w:p w14:paraId="5A51884A">
            <w:pPr>
              <w:pStyle w:val="34"/>
              <w:spacing w:line="360" w:lineRule="auto"/>
              <w:ind w:firstLine="720" w:firstLineChars="300"/>
              <w:rPr>
                <w:rFonts w:hint="eastAsia" w:cs="Times New Roman"/>
                <w:color w:val="auto"/>
                <w:highlight w:val="none"/>
                <w:lang w:eastAsia="zh-CN"/>
              </w:rPr>
            </w:pPr>
            <w:r>
              <w:rPr>
                <w:rFonts w:hint="eastAsia" w:cs="Times New Roman"/>
                <w:i/>
                <w:iCs/>
                <w:color w:val="auto"/>
                <w:highlight w:val="none"/>
                <w:lang w:eastAsia="zh-CN"/>
              </w:rPr>
              <w:t>G</w:t>
            </w:r>
            <w:r>
              <w:rPr>
                <w:rFonts w:hint="eastAsia" w:cs="Times New Roman"/>
                <w:color w:val="auto"/>
                <w:highlight w:val="none"/>
                <w:vertAlign w:val="subscript"/>
                <w:lang w:eastAsia="zh-CN"/>
              </w:rPr>
              <w:t>1</w:t>
            </w:r>
            <w:r>
              <w:rPr>
                <w:rFonts w:hint="eastAsia" w:cs="Times New Roman"/>
                <w:color w:val="auto"/>
                <w:highlight w:val="none"/>
                <w:lang w:eastAsia="zh-CN"/>
              </w:rPr>
              <w:t>—固定顶罐的大呼吸量（kg/a）；</w:t>
            </w:r>
          </w:p>
          <w:p w14:paraId="7A18D3AB">
            <w:pPr>
              <w:pStyle w:val="34"/>
              <w:spacing w:line="360" w:lineRule="auto"/>
              <w:ind w:firstLine="720" w:firstLineChars="300"/>
              <w:rPr>
                <w:rFonts w:hint="eastAsia" w:cs="Times New Roman"/>
                <w:color w:val="auto"/>
                <w:highlight w:val="none"/>
                <w:lang w:eastAsia="zh-CN"/>
              </w:rPr>
            </w:pPr>
            <w:r>
              <w:rPr>
                <w:rFonts w:hint="eastAsia" w:cs="Times New Roman"/>
                <w:i/>
                <w:iCs/>
                <w:color w:val="auto"/>
                <w:highlight w:val="none"/>
                <w:lang w:eastAsia="zh-CN"/>
              </w:rPr>
              <w:t>N</w:t>
            </w:r>
            <w:r>
              <w:rPr>
                <w:rFonts w:hint="eastAsia" w:cs="Times New Roman"/>
                <w:color w:val="auto"/>
                <w:highlight w:val="none"/>
                <w:vertAlign w:val="subscript"/>
                <w:lang w:eastAsia="zh-CN"/>
              </w:rPr>
              <w:t>1</w:t>
            </w:r>
            <w:r>
              <w:rPr>
                <w:rFonts w:hint="eastAsia" w:cs="Times New Roman"/>
                <w:color w:val="auto"/>
                <w:highlight w:val="none"/>
                <w:lang w:eastAsia="zh-CN"/>
              </w:rPr>
              <w:t>—投料量（m</w:t>
            </w:r>
            <w:r>
              <w:rPr>
                <w:rFonts w:hint="eastAsia" w:cs="Times New Roman"/>
                <w:color w:val="auto"/>
                <w:highlight w:val="none"/>
                <w:vertAlign w:val="superscript"/>
                <w:lang w:eastAsia="zh-CN"/>
              </w:rPr>
              <w:t>3</w:t>
            </w:r>
            <w:r>
              <w:rPr>
                <w:rFonts w:hint="eastAsia" w:cs="Times New Roman"/>
                <w:color w:val="auto"/>
                <w:highlight w:val="none"/>
                <w:lang w:eastAsia="zh-CN"/>
              </w:rPr>
              <w:t>）；</w:t>
            </w:r>
          </w:p>
          <w:p w14:paraId="2CF3A23B">
            <w:pPr>
              <w:pStyle w:val="34"/>
              <w:spacing w:line="360" w:lineRule="auto"/>
              <w:ind w:firstLine="720" w:firstLineChars="300"/>
              <w:rPr>
                <w:rFonts w:hint="default" w:cs="Times New Roman"/>
                <w:color w:val="auto"/>
                <w:highlight w:val="none"/>
                <w:lang w:val="en-US" w:eastAsia="zh-CN"/>
              </w:rPr>
            </w:pPr>
            <w:r>
              <w:rPr>
                <w:rFonts w:hint="eastAsia" w:cs="Times New Roman"/>
                <w:i/>
                <w:iCs/>
                <w:color w:val="auto"/>
                <w:highlight w:val="none"/>
                <w:lang w:eastAsia="zh-CN"/>
              </w:rPr>
              <w:t>M</w:t>
            </w:r>
            <w:r>
              <w:rPr>
                <w:rFonts w:hint="eastAsia" w:cs="Times New Roman"/>
                <w:color w:val="auto"/>
                <w:highlight w:val="none"/>
                <w:lang w:eastAsia="zh-CN"/>
              </w:rPr>
              <w:t>—储罐内蒸汽分子量，</w:t>
            </w:r>
            <w:r>
              <w:rPr>
                <w:rFonts w:hint="eastAsia" w:cs="Times New Roman"/>
                <w:color w:val="auto"/>
                <w:highlight w:val="none"/>
                <w:lang w:val="en-US" w:eastAsia="zh-CN"/>
              </w:rPr>
              <w:t>呼吸废气</w:t>
            </w:r>
            <w:r>
              <w:rPr>
                <w:rFonts w:hint="eastAsia" w:cs="Times New Roman"/>
                <w:color w:val="auto"/>
                <w:highlight w:val="none"/>
                <w:lang w:eastAsia="zh-CN"/>
              </w:rPr>
              <w:t>分子量</w:t>
            </w:r>
            <w:r>
              <w:rPr>
                <w:rFonts w:hint="eastAsia" w:cs="Times New Roman"/>
                <w:color w:val="auto"/>
                <w:highlight w:val="none"/>
                <w:lang w:val="en-US" w:eastAsia="zh-CN"/>
              </w:rPr>
              <w:t>取250；</w:t>
            </w:r>
          </w:p>
          <w:p w14:paraId="75DD1B90">
            <w:pPr>
              <w:pStyle w:val="34"/>
              <w:spacing w:line="360" w:lineRule="auto"/>
              <w:ind w:firstLine="720" w:firstLineChars="300"/>
              <w:rPr>
                <w:rFonts w:hint="eastAsia" w:cs="Times New Roman"/>
                <w:color w:val="auto"/>
                <w:highlight w:val="none"/>
                <w:lang w:eastAsia="zh-CN"/>
              </w:rPr>
            </w:pPr>
            <w:r>
              <w:rPr>
                <w:rFonts w:hint="eastAsia" w:cs="Times New Roman"/>
                <w:i/>
                <w:iCs/>
                <w:color w:val="auto"/>
                <w:highlight w:val="none"/>
                <w:lang w:eastAsia="zh-CN"/>
              </w:rPr>
              <w:t>P</w:t>
            </w:r>
            <w:r>
              <w:rPr>
                <w:rFonts w:hint="eastAsia" w:cs="Times New Roman"/>
                <w:color w:val="auto"/>
                <w:highlight w:val="none"/>
                <w:lang w:eastAsia="zh-CN"/>
              </w:rPr>
              <w:t>—在大量液体状态下，真实的蒸汽压力，</w:t>
            </w:r>
            <w:r>
              <w:rPr>
                <w:rFonts w:hint="eastAsia" w:cs="Times New Roman"/>
                <w:color w:val="auto"/>
                <w:highlight w:val="none"/>
                <w:lang w:val="en-US" w:eastAsia="zh-CN"/>
              </w:rPr>
              <w:t>呼吸废气蒸汽压为常压0.3k</w:t>
            </w:r>
            <w:r>
              <w:rPr>
                <w:rFonts w:hint="eastAsia" w:cs="Times New Roman"/>
                <w:color w:val="auto"/>
                <w:highlight w:val="none"/>
                <w:lang w:eastAsia="zh-CN"/>
              </w:rPr>
              <w:t>Pa；</w:t>
            </w:r>
          </w:p>
          <w:p w14:paraId="202B417E">
            <w:pPr>
              <w:pStyle w:val="34"/>
              <w:spacing w:line="360" w:lineRule="auto"/>
              <w:ind w:firstLine="720" w:firstLineChars="300"/>
              <w:rPr>
                <w:rFonts w:hint="eastAsia" w:cs="Times New Roman"/>
                <w:color w:val="auto"/>
                <w:highlight w:val="none"/>
                <w:lang w:eastAsia="zh-CN"/>
              </w:rPr>
            </w:pPr>
            <w:r>
              <w:rPr>
                <w:rFonts w:hint="eastAsia" w:cs="Times New Roman"/>
                <w:i/>
                <w:iCs/>
                <w:color w:val="auto"/>
                <w:highlight w:val="none"/>
                <w:lang w:eastAsia="zh-CN"/>
              </w:rPr>
              <w:t>K</w:t>
            </w:r>
            <w:r>
              <w:rPr>
                <w:rFonts w:hint="eastAsia" w:cs="Times New Roman"/>
                <w:i/>
                <w:iCs/>
                <w:color w:val="auto"/>
                <w:highlight w:val="none"/>
                <w:vertAlign w:val="subscript"/>
                <w:lang w:eastAsia="zh-CN"/>
              </w:rPr>
              <w:t>N</w:t>
            </w:r>
            <w:r>
              <w:rPr>
                <w:rFonts w:hint="eastAsia" w:cs="Times New Roman"/>
                <w:color w:val="auto"/>
                <w:highlight w:val="none"/>
                <w:lang w:eastAsia="zh-CN"/>
              </w:rPr>
              <w:t>—周转因子（无量纲），取值按年周转次数（</w:t>
            </w:r>
            <w:r>
              <w:rPr>
                <w:rFonts w:hint="eastAsia" w:cs="Times New Roman"/>
                <w:i/>
                <w:iCs/>
                <w:color w:val="auto"/>
                <w:highlight w:val="none"/>
                <w:lang w:eastAsia="zh-CN"/>
              </w:rPr>
              <w:t>K</w:t>
            </w:r>
            <w:r>
              <w:rPr>
                <w:rFonts w:hint="eastAsia" w:cs="Times New Roman"/>
                <w:color w:val="auto"/>
                <w:highlight w:val="none"/>
                <w:lang w:eastAsia="zh-CN"/>
              </w:rPr>
              <w:t>）确定。</w:t>
            </w:r>
            <w:r>
              <w:rPr>
                <w:rFonts w:hint="eastAsia" w:cs="Times New Roman"/>
                <w:i/>
                <w:iCs/>
                <w:color w:val="auto"/>
                <w:highlight w:val="none"/>
                <w:lang w:eastAsia="zh-CN"/>
              </w:rPr>
              <w:t>K</w:t>
            </w:r>
            <w:r>
              <w:rPr>
                <w:rFonts w:hint="eastAsia" w:cs="Times New Roman"/>
                <w:color w:val="auto"/>
                <w:highlight w:val="none"/>
                <w:lang w:eastAsia="zh-CN"/>
              </w:rPr>
              <w:t>≤36，</w:t>
            </w:r>
            <w:r>
              <w:rPr>
                <w:rFonts w:hint="eastAsia" w:cs="Times New Roman"/>
                <w:i/>
                <w:iCs/>
                <w:color w:val="auto"/>
                <w:highlight w:val="none"/>
                <w:lang w:eastAsia="zh-CN"/>
              </w:rPr>
              <w:t>K</w:t>
            </w:r>
            <w:r>
              <w:rPr>
                <w:rFonts w:hint="eastAsia" w:cs="Times New Roman"/>
                <w:color w:val="auto"/>
                <w:highlight w:val="none"/>
                <w:vertAlign w:val="subscript"/>
                <w:lang w:eastAsia="zh-CN"/>
              </w:rPr>
              <w:t>N</w:t>
            </w:r>
            <w:r>
              <w:rPr>
                <w:rFonts w:hint="eastAsia" w:cs="Times New Roman"/>
                <w:color w:val="auto"/>
                <w:highlight w:val="none"/>
                <w:lang w:eastAsia="zh-CN"/>
              </w:rPr>
              <w:t>=1，36＜</w:t>
            </w:r>
            <w:r>
              <w:rPr>
                <w:rFonts w:hint="eastAsia" w:cs="Times New Roman"/>
                <w:i/>
                <w:iCs/>
                <w:color w:val="auto"/>
                <w:highlight w:val="none"/>
                <w:lang w:eastAsia="zh-CN"/>
              </w:rPr>
              <w:t>K</w:t>
            </w:r>
            <w:r>
              <w:rPr>
                <w:rFonts w:hint="eastAsia" w:cs="Times New Roman"/>
                <w:color w:val="auto"/>
                <w:highlight w:val="none"/>
                <w:lang w:eastAsia="zh-CN"/>
              </w:rPr>
              <w:t>≤220，</w:t>
            </w:r>
            <w:r>
              <w:rPr>
                <w:rFonts w:hint="eastAsia" w:cs="Times New Roman"/>
                <w:i/>
                <w:iCs/>
                <w:color w:val="auto"/>
                <w:highlight w:val="none"/>
                <w:lang w:eastAsia="zh-CN"/>
              </w:rPr>
              <w:t>K</w:t>
            </w:r>
            <w:r>
              <w:rPr>
                <w:rFonts w:hint="eastAsia" w:cs="Times New Roman"/>
                <w:i/>
                <w:iCs/>
                <w:color w:val="auto"/>
                <w:highlight w:val="none"/>
                <w:vertAlign w:val="subscript"/>
                <w:lang w:eastAsia="zh-CN"/>
              </w:rPr>
              <w:t>N</w:t>
            </w:r>
            <w:r>
              <w:rPr>
                <w:rFonts w:hint="eastAsia" w:cs="Times New Roman"/>
                <w:color w:val="auto"/>
                <w:highlight w:val="none"/>
                <w:lang w:eastAsia="zh-CN"/>
              </w:rPr>
              <w:t>=11.467×</w:t>
            </w:r>
            <w:r>
              <w:rPr>
                <w:rFonts w:hint="eastAsia" w:cs="Times New Roman"/>
                <w:i/>
                <w:iCs/>
                <w:color w:val="auto"/>
                <w:highlight w:val="none"/>
                <w:lang w:eastAsia="zh-CN"/>
              </w:rPr>
              <w:t>K</w:t>
            </w:r>
            <w:r>
              <w:rPr>
                <w:rFonts w:hint="eastAsia" w:cs="Times New Roman"/>
                <w:color w:val="auto"/>
                <w:highlight w:val="none"/>
                <w:vertAlign w:val="superscript"/>
                <w:lang w:eastAsia="zh-CN"/>
              </w:rPr>
              <w:t>-0.7026</w:t>
            </w:r>
            <w:r>
              <w:rPr>
                <w:rFonts w:hint="eastAsia" w:cs="Times New Roman"/>
                <w:color w:val="auto"/>
                <w:highlight w:val="none"/>
                <w:lang w:eastAsia="zh-CN"/>
              </w:rPr>
              <w:t>，</w:t>
            </w:r>
            <w:r>
              <w:rPr>
                <w:rFonts w:hint="eastAsia" w:cs="Times New Roman"/>
                <w:i/>
                <w:iCs/>
                <w:color w:val="auto"/>
                <w:highlight w:val="none"/>
                <w:lang w:eastAsia="zh-CN"/>
              </w:rPr>
              <w:t>K</w:t>
            </w:r>
            <w:r>
              <w:rPr>
                <w:rFonts w:hint="eastAsia" w:cs="Times New Roman"/>
                <w:color w:val="auto"/>
                <w:highlight w:val="none"/>
                <w:lang w:eastAsia="zh-CN"/>
              </w:rPr>
              <w:t>﹥220，</w:t>
            </w:r>
            <w:r>
              <w:rPr>
                <w:rFonts w:hint="eastAsia" w:cs="Times New Roman"/>
                <w:i/>
                <w:iCs/>
                <w:color w:val="auto"/>
                <w:highlight w:val="none"/>
                <w:lang w:eastAsia="zh-CN"/>
              </w:rPr>
              <w:t>K</w:t>
            </w:r>
            <w:r>
              <w:rPr>
                <w:rFonts w:hint="eastAsia" w:cs="Times New Roman"/>
                <w:i/>
                <w:iCs/>
                <w:color w:val="auto"/>
                <w:highlight w:val="none"/>
                <w:vertAlign w:val="subscript"/>
                <w:lang w:eastAsia="zh-CN"/>
              </w:rPr>
              <w:t>N</w:t>
            </w:r>
            <w:r>
              <w:rPr>
                <w:rFonts w:hint="eastAsia" w:cs="Times New Roman"/>
                <w:color w:val="auto"/>
                <w:highlight w:val="none"/>
                <w:lang w:eastAsia="zh-CN"/>
              </w:rPr>
              <w:t>=0.26；</w:t>
            </w:r>
          </w:p>
          <w:p w14:paraId="632A75E9">
            <w:pPr>
              <w:pStyle w:val="34"/>
              <w:spacing w:line="360" w:lineRule="auto"/>
              <w:ind w:firstLine="720" w:firstLineChars="300"/>
              <w:rPr>
                <w:rFonts w:hint="eastAsia" w:cs="Times New Roman"/>
                <w:color w:val="auto"/>
                <w:highlight w:val="none"/>
                <w:lang w:eastAsia="zh-CN"/>
              </w:rPr>
            </w:pPr>
            <w:r>
              <w:rPr>
                <w:rFonts w:hint="eastAsia" w:cs="Times New Roman"/>
                <w:i/>
                <w:iCs/>
                <w:color w:val="auto"/>
                <w:highlight w:val="none"/>
                <w:lang w:eastAsia="zh-CN"/>
              </w:rPr>
              <w:t>K</w:t>
            </w:r>
            <w:r>
              <w:rPr>
                <w:rFonts w:hint="eastAsia" w:cs="Times New Roman"/>
                <w:color w:val="auto"/>
                <w:highlight w:val="none"/>
                <w:vertAlign w:val="subscript"/>
                <w:lang w:eastAsia="zh-CN"/>
              </w:rPr>
              <w:t>C</w:t>
            </w:r>
            <w:r>
              <w:rPr>
                <w:rFonts w:hint="eastAsia" w:cs="Times New Roman"/>
                <w:color w:val="auto"/>
                <w:highlight w:val="none"/>
                <w:lang w:eastAsia="zh-CN"/>
              </w:rPr>
              <w:t>—产品因子（石油原油取值0.65，其他液体取值1.0），本项目取1.0。</w:t>
            </w:r>
          </w:p>
          <w:p w14:paraId="18A57C0A">
            <w:pPr>
              <w:pStyle w:val="34"/>
              <w:spacing w:line="360" w:lineRule="auto"/>
              <w:ind w:left="0" w:leftChars="0" w:firstLine="480" w:firstLineChars="200"/>
              <w:rPr>
                <w:rFonts w:hint="default" w:cs="Times New Roman"/>
                <w:color w:val="auto"/>
                <w:highlight w:val="none"/>
                <w:lang w:val="en-US" w:eastAsia="zh-CN"/>
              </w:rPr>
            </w:pPr>
            <w:r>
              <w:rPr>
                <w:rFonts w:hint="eastAsia" w:cs="Times New Roman"/>
                <w:color w:val="auto"/>
                <w:highlight w:val="none"/>
                <w:lang w:val="en-US" w:eastAsia="zh-CN"/>
              </w:rPr>
              <w:t>本项目沥青使用量为6200t/a（在储罐中保温时相对密度取1.2g/cm</w:t>
            </w:r>
            <w:r>
              <w:rPr>
                <w:rFonts w:hint="eastAsia" w:cs="Times New Roman"/>
                <w:color w:val="auto"/>
                <w:highlight w:val="none"/>
                <w:vertAlign w:val="superscript"/>
                <w:lang w:val="en-US" w:eastAsia="zh-CN"/>
              </w:rPr>
              <w:t>3</w:t>
            </w:r>
            <w:r>
              <w:rPr>
                <w:rFonts w:hint="eastAsia" w:cs="Times New Roman"/>
                <w:color w:val="auto"/>
                <w:highlight w:val="none"/>
                <w:vertAlign w:val="baseline"/>
                <w:lang w:val="en-US" w:eastAsia="zh-CN"/>
              </w:rPr>
              <w:t>，即5167m</w:t>
            </w:r>
            <w:r>
              <w:rPr>
                <w:rFonts w:hint="eastAsia" w:cs="Times New Roman"/>
                <w:color w:val="auto"/>
                <w:highlight w:val="none"/>
                <w:vertAlign w:val="superscript"/>
                <w:lang w:val="en-US" w:eastAsia="zh-CN"/>
              </w:rPr>
              <w:t>3</w:t>
            </w:r>
            <w:r>
              <w:rPr>
                <w:rFonts w:hint="eastAsia" w:cs="Times New Roman"/>
                <w:color w:val="auto"/>
                <w:highlight w:val="none"/>
                <w:vertAlign w:val="baseline"/>
                <w:lang w:val="en-US" w:eastAsia="zh-CN"/>
              </w:rPr>
              <w:t>/a</w:t>
            </w:r>
            <w:r>
              <w:rPr>
                <w:rFonts w:hint="eastAsia" w:cs="Times New Roman"/>
                <w:color w:val="auto"/>
                <w:highlight w:val="none"/>
                <w:lang w:val="en-US" w:eastAsia="zh-CN"/>
              </w:rPr>
              <w:t>），租用的三个沥青储罐，容积总量为1150m</w:t>
            </w:r>
            <w:r>
              <w:rPr>
                <w:rFonts w:hint="eastAsia" w:cs="Times New Roman"/>
                <w:color w:val="auto"/>
                <w:highlight w:val="none"/>
                <w:vertAlign w:val="superscript"/>
                <w:lang w:val="en-US" w:eastAsia="zh-CN"/>
              </w:rPr>
              <w:t>3</w:t>
            </w:r>
            <w:r>
              <w:rPr>
                <w:rFonts w:hint="eastAsia" w:cs="Times New Roman"/>
                <w:color w:val="auto"/>
                <w:highlight w:val="none"/>
                <w:lang w:val="en-US" w:eastAsia="zh-CN"/>
              </w:rPr>
              <w:t>，为保证安全，储罐实际容量取最大容量的90%，用完重新采购。</w:t>
            </w:r>
          </w:p>
          <w:p w14:paraId="32AA1BE9">
            <w:pPr>
              <w:pStyle w:val="34"/>
              <w:spacing w:line="360" w:lineRule="auto"/>
              <w:ind w:left="0" w:leftChars="0" w:firstLine="480" w:firstLineChars="200"/>
              <w:rPr>
                <w:rFonts w:hint="default" w:cs="Times New Roman"/>
                <w:color w:val="auto"/>
                <w:highlight w:val="none"/>
                <w:lang w:val="en-US" w:eastAsia="zh-CN"/>
              </w:rPr>
            </w:pPr>
            <w:r>
              <w:rPr>
                <w:rFonts w:hint="eastAsia" w:cs="Times New Roman"/>
                <w:color w:val="auto"/>
                <w:highlight w:val="none"/>
                <w:lang w:val="en-US" w:eastAsia="zh-CN"/>
              </w:rPr>
              <w:t>由此计算，本项目沥青储罐呼吸损耗量为0.0001kg/m3，沥青投料量为5167m3/a，沥青储罐呼吸废气产生量为0.52kg/a。</w:t>
            </w:r>
          </w:p>
          <w:p w14:paraId="4B5F5925">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eastAsia" w:cs="Times New Roman"/>
                <w:snapToGrid w:val="0"/>
                <w:color w:val="000000"/>
                <w:kern w:val="0"/>
                <w:sz w:val="24"/>
                <w:highlight w:val="none"/>
                <w:lang w:val="en-US" w:eastAsia="zh-CN"/>
              </w:rPr>
              <w:t>苯并芘</w:t>
            </w:r>
          </w:p>
          <w:p w14:paraId="050BCE56">
            <w:pPr>
              <w:numPr>
                <w:ilvl w:val="0"/>
                <w:numId w:val="0"/>
              </w:numPr>
              <w:topLinePunct/>
              <w:adjustRightInd w:val="0"/>
              <w:snapToGrid w:val="0"/>
              <w:spacing w:line="360" w:lineRule="auto"/>
              <w:ind w:firstLine="480" w:firstLineChars="200"/>
              <w:rPr>
                <w:rFonts w:hint="eastAsia"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参考前苏联拉扎列夫主编的《工业生产中有害物</w:t>
            </w:r>
            <w:r>
              <w:rPr>
                <w:rFonts w:hint="eastAsia" w:cs="Times New Roman"/>
                <w:snapToGrid w:val="0"/>
                <w:color w:val="000000"/>
                <w:kern w:val="0"/>
                <w:sz w:val="24"/>
                <w:highlight w:val="none"/>
                <w:lang w:val="en-US" w:eastAsia="zh-CN"/>
              </w:rPr>
              <w:t>质</w:t>
            </w:r>
            <w:r>
              <w:rPr>
                <w:rFonts w:hint="default" w:ascii="Times New Roman" w:hAnsi="Times New Roman" w:eastAsia="宋体" w:cs="Times New Roman"/>
                <w:snapToGrid w:val="0"/>
                <w:color w:val="000000"/>
                <w:kern w:val="0"/>
                <w:sz w:val="24"/>
                <w:highlight w:val="none"/>
                <w:lang w:val="en-US" w:eastAsia="zh-CN"/>
              </w:rPr>
              <w:t>手册》第一卷（化学工业出版社，1987年12月出版）及金相灿主编的《有机化合物污染化学》（清华大学出版社，1990年8月出版），每吨沥青可产生苯并[a]芘气体0.10g-0.15g（本项目取其平均值为0.1g）。</w:t>
            </w:r>
            <w:r>
              <w:rPr>
                <w:rFonts w:hint="eastAsia" w:ascii="Times New Roman" w:hAnsi="Times New Roman" w:eastAsia="宋体" w:cs="Times New Roman"/>
                <w:snapToGrid w:val="0"/>
                <w:color w:val="000000"/>
                <w:kern w:val="0"/>
                <w:sz w:val="24"/>
                <w:highlight w:val="none"/>
                <w:lang w:val="en-US" w:eastAsia="zh-CN"/>
              </w:rPr>
              <w:t>本项目沥青使用量为6200t/a</w:t>
            </w:r>
            <w:r>
              <w:rPr>
                <w:rFonts w:hint="eastAsia" w:cs="Times New Roman"/>
                <w:snapToGrid w:val="0"/>
                <w:color w:val="000000"/>
                <w:kern w:val="0"/>
                <w:sz w:val="24"/>
                <w:highlight w:val="none"/>
                <w:lang w:val="en-US" w:eastAsia="zh-CN"/>
              </w:rPr>
              <w:t>，则</w:t>
            </w:r>
            <w:r>
              <w:rPr>
                <w:rFonts w:hint="default" w:ascii="Times New Roman" w:hAnsi="Times New Roman" w:eastAsia="宋体" w:cs="Times New Roman"/>
                <w:snapToGrid w:val="0"/>
                <w:color w:val="000000"/>
                <w:kern w:val="0"/>
                <w:sz w:val="24"/>
                <w:highlight w:val="none"/>
                <w:lang w:val="en-US" w:eastAsia="zh-CN"/>
              </w:rPr>
              <w:t>苯并[a]芘产生量为</w:t>
            </w:r>
            <w:r>
              <w:rPr>
                <w:rFonts w:hint="eastAsia" w:cs="Times New Roman"/>
                <w:snapToGrid w:val="0"/>
                <w:color w:val="000000"/>
                <w:kern w:val="0"/>
                <w:sz w:val="24"/>
                <w:highlight w:val="none"/>
                <w:lang w:val="en-US" w:eastAsia="zh-CN"/>
              </w:rPr>
              <w:t>0.62kg</w:t>
            </w:r>
            <w:r>
              <w:rPr>
                <w:rFonts w:hint="default" w:ascii="Times New Roman" w:hAnsi="Times New Roman" w:eastAsia="宋体" w:cs="Times New Roman"/>
                <w:snapToGrid w:val="0"/>
                <w:color w:val="000000"/>
                <w:kern w:val="0"/>
                <w:sz w:val="24"/>
                <w:highlight w:val="none"/>
                <w:lang w:val="en-US" w:eastAsia="zh-CN"/>
              </w:rPr>
              <w:t>/a</w:t>
            </w:r>
            <w:r>
              <w:rPr>
                <w:rFonts w:hint="eastAsia" w:cs="Times New Roman"/>
                <w:snapToGrid w:val="0"/>
                <w:color w:val="000000"/>
                <w:kern w:val="0"/>
                <w:sz w:val="24"/>
                <w:highlight w:val="none"/>
                <w:lang w:val="en-US" w:eastAsia="zh-CN"/>
              </w:rPr>
              <w:t>。</w:t>
            </w:r>
          </w:p>
          <w:p w14:paraId="48EEC7B6">
            <w:pPr>
              <w:numPr>
                <w:ilvl w:val="0"/>
                <w:numId w:val="0"/>
              </w:numPr>
              <w:topLinePunct/>
              <w:adjustRightInd w:val="0"/>
              <w:snapToGrid w:val="0"/>
              <w:spacing w:line="360" w:lineRule="auto"/>
              <w:ind w:firstLine="480" w:firstLineChars="200"/>
              <w:rPr>
                <w:rFonts w:hint="default" w:cs="Times New Roman"/>
                <w:snapToGrid w:val="0"/>
                <w:color w:val="000000"/>
                <w:kern w:val="0"/>
                <w:sz w:val="24"/>
                <w:highlight w:val="none"/>
                <w:lang w:val="en-US" w:eastAsia="zh-CN"/>
              </w:rPr>
            </w:pPr>
            <w:r>
              <w:rPr>
                <w:rFonts w:hint="eastAsia" w:cs="Times New Roman"/>
                <w:snapToGrid w:val="0"/>
                <w:color w:val="000000"/>
                <w:kern w:val="0"/>
                <w:sz w:val="24"/>
                <w:highlight w:val="none"/>
                <w:lang w:val="en-US" w:eastAsia="zh-CN"/>
              </w:rPr>
              <w:t>综上所述，沥青储罐的废气总排放量为0.007t/a。</w:t>
            </w:r>
          </w:p>
          <w:p w14:paraId="765ACAC6">
            <w:pPr>
              <w:numPr>
                <w:ilvl w:val="0"/>
                <w:numId w:val="0"/>
              </w:numPr>
              <w:topLinePunct/>
              <w:adjustRightInd w:val="0"/>
              <w:snapToGrid w:val="0"/>
              <w:spacing w:line="360" w:lineRule="auto"/>
              <w:ind w:firstLine="480" w:firstLineChars="200"/>
              <w:rPr>
                <w:rFonts w:hint="eastAsia" w:eastAsia="宋体" w:cs="Times New Roman"/>
                <w:snapToGrid w:val="0"/>
                <w:color w:val="auto"/>
                <w:kern w:val="0"/>
                <w:sz w:val="24"/>
                <w:highlight w:val="none"/>
                <w:lang w:val="en-US" w:eastAsia="zh-CN"/>
              </w:rPr>
            </w:pPr>
            <w:r>
              <w:rPr>
                <w:rFonts w:hint="eastAsia" w:cs="Times New Roman"/>
                <w:snapToGrid w:val="0"/>
                <w:color w:val="auto"/>
                <w:kern w:val="0"/>
                <w:sz w:val="24"/>
                <w:highlight w:val="none"/>
                <w:lang w:val="en-US" w:eastAsia="zh-CN"/>
              </w:rPr>
              <w:t>综上所述，本项目按照风机风量为80000m</w:t>
            </w:r>
            <w:r>
              <w:rPr>
                <w:rFonts w:hint="eastAsia" w:cs="Times New Roman"/>
                <w:snapToGrid w:val="0"/>
                <w:color w:val="auto"/>
                <w:kern w:val="0"/>
                <w:sz w:val="24"/>
                <w:highlight w:val="none"/>
                <w:vertAlign w:val="superscript"/>
                <w:lang w:val="en-US" w:eastAsia="zh-CN"/>
              </w:rPr>
              <w:t>3</w:t>
            </w:r>
            <w:r>
              <w:rPr>
                <w:rFonts w:hint="eastAsia" w:cs="Times New Roman"/>
                <w:snapToGrid w:val="0"/>
                <w:color w:val="auto"/>
                <w:kern w:val="0"/>
                <w:sz w:val="24"/>
                <w:highlight w:val="none"/>
                <w:lang w:val="en-US" w:eastAsia="zh-CN"/>
              </w:rPr>
              <w:t>/h，本项目</w:t>
            </w:r>
            <w:r>
              <w:rPr>
                <w:rFonts w:hint="default" w:ascii="Times New Roman" w:hAnsi="Times New Roman" w:eastAsia="宋体" w:cs="Times New Roman"/>
                <w:snapToGrid w:val="0"/>
                <w:color w:val="auto"/>
                <w:kern w:val="0"/>
                <w:sz w:val="24"/>
                <w:highlight w:val="none"/>
                <w:lang w:val="en-US" w:eastAsia="zh-CN"/>
              </w:rPr>
              <w:t>搅拌、浸涂</w:t>
            </w:r>
            <w:r>
              <w:rPr>
                <w:rFonts w:hint="eastAsia" w:eastAsia="宋体" w:cs="Times New Roman"/>
                <w:snapToGrid w:val="0"/>
                <w:color w:val="auto"/>
                <w:kern w:val="0"/>
                <w:sz w:val="24"/>
                <w:highlight w:val="none"/>
                <w:lang w:val="en-US" w:eastAsia="zh-CN"/>
              </w:rPr>
              <w:t>工序</w:t>
            </w:r>
            <w:r>
              <w:rPr>
                <w:rFonts w:hint="eastAsia" w:cs="Times New Roman"/>
                <w:snapToGrid w:val="0"/>
                <w:color w:val="auto"/>
                <w:kern w:val="0"/>
                <w:sz w:val="24"/>
                <w:highlight w:val="none"/>
                <w:lang w:val="en-US" w:eastAsia="zh-CN"/>
              </w:rPr>
              <w:t>、覆膜工序和储罐废气</w:t>
            </w:r>
            <w:r>
              <w:rPr>
                <w:rFonts w:hint="eastAsia" w:eastAsia="宋体" w:cs="Times New Roman"/>
                <w:snapToGrid w:val="0"/>
                <w:color w:val="auto"/>
                <w:kern w:val="0"/>
                <w:sz w:val="24"/>
                <w:highlight w:val="none"/>
                <w:lang w:val="en-US" w:eastAsia="zh-CN"/>
              </w:rPr>
              <w:t>沥青烟有组织产生量为</w:t>
            </w:r>
            <w:r>
              <w:rPr>
                <w:rFonts w:hint="eastAsia" w:cs="Times New Roman"/>
                <w:snapToGrid w:val="0"/>
                <w:color w:val="auto"/>
                <w:kern w:val="0"/>
                <w:sz w:val="24"/>
                <w:highlight w:val="none"/>
                <w:lang w:val="en-US" w:eastAsia="zh-CN"/>
              </w:rPr>
              <w:t>2.44</w:t>
            </w:r>
            <w:r>
              <w:rPr>
                <w:rFonts w:hint="eastAsia" w:eastAsia="宋体" w:cs="Times New Roman"/>
                <w:snapToGrid w:val="0"/>
                <w:color w:val="auto"/>
                <w:kern w:val="0"/>
                <w:sz w:val="24"/>
                <w:highlight w:val="none"/>
                <w:lang w:val="en-US" w:eastAsia="zh-CN"/>
              </w:rPr>
              <w:t>t/a，产生速率为</w:t>
            </w:r>
            <w:r>
              <w:rPr>
                <w:rFonts w:hint="eastAsia" w:cs="Times New Roman"/>
                <w:snapToGrid w:val="0"/>
                <w:color w:val="auto"/>
                <w:kern w:val="0"/>
                <w:sz w:val="24"/>
                <w:highlight w:val="none"/>
                <w:lang w:val="en-US" w:eastAsia="zh-CN"/>
              </w:rPr>
              <w:t>0.635</w:t>
            </w:r>
            <w:r>
              <w:rPr>
                <w:rFonts w:hint="eastAsia" w:eastAsia="宋体" w:cs="Times New Roman"/>
                <w:snapToGrid w:val="0"/>
                <w:color w:val="auto"/>
                <w:kern w:val="0"/>
                <w:sz w:val="24"/>
                <w:highlight w:val="none"/>
                <w:lang w:val="en-US" w:eastAsia="zh-CN"/>
              </w:rPr>
              <w:t>kg/h，产生浓度为</w:t>
            </w:r>
            <w:r>
              <w:rPr>
                <w:rFonts w:hint="eastAsia" w:cs="Times New Roman"/>
                <w:snapToGrid w:val="0"/>
                <w:color w:val="auto"/>
                <w:kern w:val="0"/>
                <w:sz w:val="24"/>
                <w:highlight w:val="none"/>
                <w:lang w:val="en-US" w:eastAsia="zh-CN"/>
              </w:rPr>
              <w:t>7.94</w:t>
            </w:r>
            <w:r>
              <w:rPr>
                <w:rFonts w:hint="eastAsia" w:eastAsia="宋体" w:cs="Times New Roman"/>
                <w:snapToGrid w:val="0"/>
                <w:color w:val="auto"/>
                <w:kern w:val="0"/>
                <w:sz w:val="24"/>
                <w:highlight w:val="none"/>
                <w:lang w:val="en-US" w:eastAsia="zh-CN"/>
              </w:rPr>
              <w:t>mg/m</w:t>
            </w:r>
            <w:r>
              <w:rPr>
                <w:rFonts w:hint="eastAsia" w:eastAsia="宋体" w:cs="Times New Roman"/>
                <w:snapToGrid w:val="0"/>
                <w:color w:val="auto"/>
                <w:kern w:val="0"/>
                <w:sz w:val="24"/>
                <w:highlight w:val="none"/>
                <w:vertAlign w:val="superscript"/>
                <w:lang w:val="en-US" w:eastAsia="zh-CN"/>
              </w:rPr>
              <w:t>3</w:t>
            </w:r>
            <w:r>
              <w:rPr>
                <w:rFonts w:hint="eastAsia" w:eastAsia="宋体" w:cs="Times New Roman"/>
                <w:snapToGrid w:val="0"/>
                <w:color w:val="auto"/>
                <w:kern w:val="0"/>
                <w:sz w:val="24"/>
                <w:highlight w:val="none"/>
                <w:lang w:val="en-US" w:eastAsia="zh-CN"/>
              </w:rPr>
              <w:t>；</w:t>
            </w:r>
            <w:r>
              <w:rPr>
                <w:rFonts w:hint="default" w:ascii="Times New Roman" w:hAnsi="Times New Roman" w:eastAsia="宋体" w:cs="Times New Roman"/>
                <w:snapToGrid w:val="0"/>
                <w:color w:val="auto"/>
                <w:kern w:val="0"/>
                <w:sz w:val="24"/>
                <w:highlight w:val="none"/>
                <w:lang w:val="en-US" w:eastAsia="zh-CN"/>
              </w:rPr>
              <w:t>苯并[a]芘</w:t>
            </w:r>
            <w:r>
              <w:rPr>
                <w:rFonts w:hint="eastAsia" w:eastAsia="宋体" w:cs="Times New Roman"/>
                <w:snapToGrid w:val="0"/>
                <w:color w:val="auto"/>
                <w:kern w:val="0"/>
                <w:sz w:val="24"/>
                <w:highlight w:val="none"/>
                <w:lang w:val="en-US" w:eastAsia="zh-CN"/>
              </w:rPr>
              <w:t>有组织产生量为</w:t>
            </w:r>
            <w:r>
              <w:rPr>
                <w:rFonts w:hint="eastAsia" w:cs="Times New Roman"/>
                <w:snapToGrid w:val="0"/>
                <w:color w:val="auto"/>
                <w:kern w:val="0"/>
                <w:sz w:val="24"/>
                <w:highlight w:val="none"/>
                <w:lang w:val="en-US" w:eastAsia="zh-CN"/>
              </w:rPr>
              <w:t>1.3kg</w:t>
            </w:r>
            <w:r>
              <w:rPr>
                <w:rFonts w:hint="eastAsia" w:eastAsia="宋体" w:cs="Times New Roman"/>
                <w:snapToGrid w:val="0"/>
                <w:color w:val="auto"/>
                <w:kern w:val="0"/>
                <w:sz w:val="24"/>
                <w:highlight w:val="none"/>
                <w:lang w:val="en-US" w:eastAsia="zh-CN"/>
              </w:rPr>
              <w:t>/a，产生速率为0.00</w:t>
            </w:r>
            <w:r>
              <w:rPr>
                <w:rFonts w:hint="eastAsia" w:cs="Times New Roman"/>
                <w:snapToGrid w:val="0"/>
                <w:color w:val="auto"/>
                <w:kern w:val="0"/>
                <w:sz w:val="24"/>
                <w:highlight w:val="none"/>
                <w:lang w:val="en-US" w:eastAsia="zh-CN"/>
              </w:rPr>
              <w:t>03</w:t>
            </w:r>
            <w:r>
              <w:rPr>
                <w:rFonts w:hint="eastAsia" w:eastAsia="宋体" w:cs="Times New Roman"/>
                <w:snapToGrid w:val="0"/>
                <w:color w:val="auto"/>
                <w:kern w:val="0"/>
                <w:sz w:val="24"/>
                <w:highlight w:val="none"/>
                <w:lang w:val="en-US" w:eastAsia="zh-CN"/>
              </w:rPr>
              <w:t>kg/h，产生浓度为0.</w:t>
            </w:r>
            <w:r>
              <w:rPr>
                <w:rFonts w:hint="eastAsia" w:cs="Times New Roman"/>
                <w:snapToGrid w:val="0"/>
                <w:color w:val="auto"/>
                <w:kern w:val="0"/>
                <w:sz w:val="24"/>
                <w:highlight w:val="none"/>
                <w:lang w:val="en-US" w:eastAsia="zh-CN"/>
              </w:rPr>
              <w:t>0</w:t>
            </w:r>
            <w:r>
              <w:rPr>
                <w:rFonts w:hint="eastAsia" w:eastAsia="宋体" w:cs="Times New Roman"/>
                <w:snapToGrid w:val="0"/>
                <w:color w:val="auto"/>
                <w:kern w:val="0"/>
                <w:sz w:val="24"/>
                <w:highlight w:val="none"/>
                <w:lang w:val="en-US" w:eastAsia="zh-CN"/>
              </w:rPr>
              <w:t>0</w:t>
            </w:r>
            <w:r>
              <w:rPr>
                <w:rFonts w:hint="eastAsia" w:cs="Times New Roman"/>
                <w:snapToGrid w:val="0"/>
                <w:color w:val="auto"/>
                <w:kern w:val="0"/>
                <w:sz w:val="24"/>
                <w:highlight w:val="none"/>
                <w:lang w:val="en-US" w:eastAsia="zh-CN"/>
              </w:rPr>
              <w:t>38</w:t>
            </w:r>
            <w:r>
              <w:rPr>
                <w:rFonts w:hint="eastAsia" w:eastAsia="宋体" w:cs="Times New Roman"/>
                <w:snapToGrid w:val="0"/>
                <w:color w:val="auto"/>
                <w:kern w:val="0"/>
                <w:sz w:val="24"/>
                <w:highlight w:val="none"/>
                <w:lang w:val="en-US" w:eastAsia="zh-CN"/>
              </w:rPr>
              <w:t>mg/m</w:t>
            </w:r>
            <w:r>
              <w:rPr>
                <w:rFonts w:hint="eastAsia" w:eastAsia="宋体" w:cs="Times New Roman"/>
                <w:snapToGrid w:val="0"/>
                <w:color w:val="auto"/>
                <w:kern w:val="0"/>
                <w:sz w:val="24"/>
                <w:highlight w:val="none"/>
                <w:vertAlign w:val="superscript"/>
                <w:lang w:val="en-US" w:eastAsia="zh-CN"/>
              </w:rPr>
              <w:t>3</w:t>
            </w:r>
            <w:r>
              <w:rPr>
                <w:rFonts w:hint="eastAsia" w:eastAsia="宋体" w:cs="Times New Roman"/>
                <w:snapToGrid w:val="0"/>
                <w:color w:val="auto"/>
                <w:kern w:val="0"/>
                <w:sz w:val="24"/>
                <w:highlight w:val="none"/>
                <w:lang w:val="en-US" w:eastAsia="zh-CN"/>
              </w:rPr>
              <w:t>；非甲烷总烃有组织产生量为</w:t>
            </w:r>
            <w:r>
              <w:rPr>
                <w:rFonts w:hint="eastAsia" w:cs="Times New Roman"/>
                <w:snapToGrid w:val="0"/>
                <w:color w:val="auto"/>
                <w:kern w:val="0"/>
                <w:sz w:val="24"/>
                <w:highlight w:val="none"/>
                <w:lang w:val="en-US" w:eastAsia="zh-CN"/>
              </w:rPr>
              <w:t>2.11</w:t>
            </w:r>
            <w:r>
              <w:rPr>
                <w:rFonts w:hint="eastAsia" w:eastAsia="宋体" w:cs="Times New Roman"/>
                <w:snapToGrid w:val="0"/>
                <w:color w:val="auto"/>
                <w:kern w:val="0"/>
                <w:sz w:val="24"/>
                <w:highlight w:val="none"/>
                <w:lang w:val="en-US" w:eastAsia="zh-CN"/>
              </w:rPr>
              <w:t>t/a，产生速率为</w:t>
            </w:r>
            <w:r>
              <w:rPr>
                <w:rFonts w:hint="eastAsia" w:cs="Times New Roman"/>
                <w:snapToGrid w:val="0"/>
                <w:color w:val="auto"/>
                <w:kern w:val="0"/>
                <w:sz w:val="24"/>
                <w:highlight w:val="none"/>
                <w:lang w:val="en-US" w:eastAsia="zh-CN"/>
              </w:rPr>
              <w:t>0.55</w:t>
            </w:r>
            <w:r>
              <w:rPr>
                <w:rFonts w:hint="eastAsia" w:eastAsia="宋体" w:cs="Times New Roman"/>
                <w:snapToGrid w:val="0"/>
                <w:color w:val="auto"/>
                <w:kern w:val="0"/>
                <w:sz w:val="24"/>
                <w:highlight w:val="none"/>
                <w:lang w:val="en-US" w:eastAsia="zh-CN"/>
              </w:rPr>
              <w:t>kg/h，产生浓度为</w:t>
            </w:r>
            <w:r>
              <w:rPr>
                <w:rFonts w:hint="eastAsia" w:cs="Times New Roman"/>
                <w:snapToGrid w:val="0"/>
                <w:color w:val="auto"/>
                <w:kern w:val="0"/>
                <w:sz w:val="24"/>
                <w:highlight w:val="none"/>
                <w:lang w:val="en-US" w:eastAsia="zh-CN"/>
              </w:rPr>
              <w:t>6.88</w:t>
            </w:r>
            <w:r>
              <w:rPr>
                <w:rFonts w:hint="eastAsia" w:eastAsia="宋体" w:cs="Times New Roman"/>
                <w:snapToGrid w:val="0"/>
                <w:color w:val="auto"/>
                <w:kern w:val="0"/>
                <w:sz w:val="24"/>
                <w:highlight w:val="none"/>
                <w:lang w:val="en-US" w:eastAsia="zh-CN"/>
              </w:rPr>
              <w:t>mg/m</w:t>
            </w:r>
            <w:r>
              <w:rPr>
                <w:rFonts w:hint="eastAsia" w:eastAsia="宋体" w:cs="Times New Roman"/>
                <w:snapToGrid w:val="0"/>
                <w:color w:val="auto"/>
                <w:kern w:val="0"/>
                <w:sz w:val="24"/>
                <w:highlight w:val="none"/>
                <w:vertAlign w:val="superscript"/>
                <w:lang w:val="en-US" w:eastAsia="zh-CN"/>
              </w:rPr>
              <w:t>3</w:t>
            </w:r>
            <w:r>
              <w:rPr>
                <w:rFonts w:hint="eastAsia" w:eastAsia="宋体" w:cs="Times New Roman"/>
                <w:snapToGrid w:val="0"/>
                <w:color w:val="auto"/>
                <w:kern w:val="0"/>
                <w:sz w:val="24"/>
                <w:highlight w:val="none"/>
                <w:lang w:val="en-US" w:eastAsia="zh-CN"/>
              </w:rPr>
              <w:t>。</w:t>
            </w:r>
          </w:p>
          <w:p w14:paraId="33B2EB36">
            <w:pPr>
              <w:numPr>
                <w:ilvl w:val="0"/>
                <w:numId w:val="0"/>
              </w:numPr>
              <w:topLinePunct/>
              <w:adjustRightInd w:val="0"/>
              <w:snapToGrid w:val="0"/>
              <w:spacing w:line="360" w:lineRule="auto"/>
              <w:ind w:firstLine="480" w:firstLineChars="200"/>
              <w:rPr>
                <w:rFonts w:hint="eastAsia" w:eastAsia="宋体" w:cs="Times New Roman"/>
                <w:snapToGrid w:val="0"/>
                <w:color w:val="000000"/>
                <w:kern w:val="0"/>
                <w:sz w:val="24"/>
                <w:highlight w:val="none"/>
                <w:lang w:val="en-US" w:eastAsia="zh-CN"/>
              </w:rPr>
            </w:pPr>
            <w:r>
              <w:rPr>
                <w:rFonts w:hint="eastAsia" w:cs="Times New Roman"/>
                <w:snapToGrid w:val="0"/>
                <w:color w:val="auto"/>
                <w:kern w:val="0"/>
                <w:sz w:val="24"/>
                <w:highlight w:val="none"/>
                <w:lang w:val="en-US" w:eastAsia="zh-CN"/>
              </w:rPr>
              <w:t>本</w:t>
            </w:r>
            <w:r>
              <w:rPr>
                <w:rFonts w:hint="eastAsia" w:eastAsia="宋体" w:cs="Times New Roman"/>
                <w:snapToGrid w:val="0"/>
                <w:color w:val="auto"/>
                <w:kern w:val="0"/>
                <w:sz w:val="24"/>
                <w:highlight w:val="none"/>
                <w:lang w:val="en-US" w:eastAsia="zh-CN"/>
              </w:rPr>
              <w:t>项目拟采用“水喷淋+</w:t>
            </w:r>
            <w:r>
              <w:rPr>
                <w:rFonts w:hint="eastAsia" w:cs="Times New Roman"/>
                <w:snapToGrid w:val="0"/>
                <w:color w:val="auto"/>
                <w:kern w:val="0"/>
                <w:sz w:val="24"/>
                <w:highlight w:val="none"/>
                <w:lang w:val="en-US" w:eastAsia="zh-CN"/>
              </w:rPr>
              <w:t>电捕焦油器</w:t>
            </w:r>
            <w:r>
              <w:rPr>
                <w:rFonts w:hint="eastAsia" w:eastAsia="宋体" w:cs="Times New Roman"/>
                <w:snapToGrid w:val="0"/>
                <w:color w:val="auto"/>
                <w:kern w:val="0"/>
                <w:sz w:val="24"/>
                <w:highlight w:val="none"/>
                <w:lang w:val="en-US" w:eastAsia="zh-CN"/>
              </w:rPr>
              <w:t>+活性炭吸附”工艺处理后</w:t>
            </w:r>
            <w:r>
              <w:rPr>
                <w:rFonts w:hint="default"/>
                <w:snapToGrid w:val="0"/>
                <w:color w:val="auto"/>
                <w:kern w:val="0"/>
                <w:sz w:val="24"/>
                <w:highlight w:val="none"/>
                <w:lang w:val="en-US" w:eastAsia="zh-CN"/>
              </w:rPr>
              <w:t>通过</w:t>
            </w:r>
            <w:r>
              <w:rPr>
                <w:rFonts w:hint="eastAsia"/>
                <w:snapToGrid w:val="0"/>
                <w:color w:val="auto"/>
                <w:kern w:val="0"/>
                <w:sz w:val="24"/>
                <w:highlight w:val="none"/>
                <w:lang w:val="en-US" w:eastAsia="zh-CN"/>
              </w:rPr>
              <w:t>一根20</w:t>
            </w:r>
            <w:r>
              <w:rPr>
                <w:rFonts w:hint="default"/>
                <w:snapToGrid w:val="0"/>
                <w:color w:val="auto"/>
                <w:kern w:val="0"/>
                <w:sz w:val="24"/>
                <w:highlight w:val="none"/>
                <w:lang w:val="en-US" w:eastAsia="zh-CN"/>
              </w:rPr>
              <w:t>米高排气筒（DA00</w:t>
            </w:r>
            <w:r>
              <w:rPr>
                <w:rFonts w:hint="eastAsia"/>
                <w:snapToGrid w:val="0"/>
                <w:color w:val="auto"/>
                <w:kern w:val="0"/>
                <w:sz w:val="24"/>
                <w:highlight w:val="none"/>
                <w:lang w:val="en-US" w:eastAsia="zh-CN"/>
              </w:rPr>
              <w:t>1</w:t>
            </w:r>
            <w:r>
              <w:rPr>
                <w:rFonts w:hint="default"/>
                <w:snapToGrid w:val="0"/>
                <w:color w:val="auto"/>
                <w:kern w:val="0"/>
                <w:sz w:val="24"/>
                <w:highlight w:val="none"/>
                <w:lang w:val="en-US" w:eastAsia="zh-CN"/>
              </w:rPr>
              <w:t>）排放</w:t>
            </w:r>
            <w:r>
              <w:rPr>
                <w:rFonts w:hint="eastAsia"/>
                <w:snapToGrid w:val="0"/>
                <w:color w:val="auto"/>
                <w:kern w:val="0"/>
                <w:sz w:val="24"/>
                <w:highlight w:val="none"/>
                <w:lang w:val="en-US" w:eastAsia="zh-CN"/>
              </w:rPr>
              <w:t>，沥青烟和</w:t>
            </w:r>
            <w:r>
              <w:rPr>
                <w:rFonts w:hint="eastAsia" w:ascii="Times New Roman" w:hAnsi="Times New Roman" w:eastAsia="宋体" w:cs="Times New Roman"/>
                <w:snapToGrid w:val="0"/>
                <w:color w:val="auto"/>
                <w:kern w:val="0"/>
                <w:sz w:val="24"/>
                <w:highlight w:val="none"/>
                <w:lang w:val="en-US" w:eastAsia="zh-CN"/>
              </w:rPr>
              <w:t>苯并[a]芘</w:t>
            </w:r>
            <w:r>
              <w:rPr>
                <w:rFonts w:hint="eastAsia"/>
                <w:snapToGrid w:val="0"/>
                <w:color w:val="auto"/>
                <w:kern w:val="0"/>
                <w:sz w:val="24"/>
                <w:highlight w:val="none"/>
                <w:lang w:val="en-US" w:eastAsia="zh-CN"/>
              </w:rPr>
              <w:t>的处理效率为93%，</w:t>
            </w:r>
            <w:r>
              <w:rPr>
                <w:rFonts w:hint="eastAsia" w:ascii="Times New Roman" w:hAnsi="Times New Roman" w:eastAsia="宋体" w:cs="Times New Roman"/>
                <w:snapToGrid w:val="0"/>
                <w:color w:val="auto"/>
                <w:kern w:val="0"/>
                <w:sz w:val="24"/>
                <w:highlight w:val="none"/>
                <w:lang w:val="en-US" w:eastAsia="zh-CN"/>
              </w:rPr>
              <w:t>非甲烷总烃</w:t>
            </w:r>
            <w:r>
              <w:rPr>
                <w:rFonts w:hint="eastAsia" w:eastAsia="宋体" w:cs="Times New Roman"/>
                <w:snapToGrid w:val="0"/>
                <w:color w:val="auto"/>
                <w:kern w:val="0"/>
                <w:sz w:val="24"/>
                <w:highlight w:val="none"/>
                <w:lang w:val="en-US" w:eastAsia="zh-CN"/>
              </w:rPr>
              <w:t>的处理效率为</w:t>
            </w:r>
            <w:r>
              <w:rPr>
                <w:rFonts w:hint="eastAsia" w:cs="Times New Roman"/>
                <w:snapToGrid w:val="0"/>
                <w:color w:val="auto"/>
                <w:kern w:val="0"/>
                <w:sz w:val="24"/>
                <w:highlight w:val="none"/>
                <w:lang w:val="en-US" w:eastAsia="zh-CN"/>
              </w:rPr>
              <w:t>40</w:t>
            </w:r>
            <w:r>
              <w:rPr>
                <w:rFonts w:hint="eastAsia" w:eastAsia="宋体" w:cs="Times New Roman"/>
                <w:snapToGrid w:val="0"/>
                <w:color w:val="auto"/>
                <w:kern w:val="0"/>
                <w:sz w:val="24"/>
                <w:highlight w:val="none"/>
                <w:lang w:val="en-US" w:eastAsia="zh-CN"/>
              </w:rPr>
              <w:t>%</w:t>
            </w:r>
            <w:r>
              <w:rPr>
                <w:rFonts w:hint="eastAsia" w:cs="Times New Roman"/>
                <w:snapToGrid w:val="0"/>
                <w:color w:val="auto"/>
                <w:kern w:val="0"/>
                <w:sz w:val="24"/>
                <w:highlight w:val="none"/>
                <w:lang w:val="en-US" w:eastAsia="zh-CN"/>
              </w:rPr>
              <w:t>，则</w:t>
            </w:r>
            <w:r>
              <w:rPr>
                <w:rFonts w:hint="eastAsia" w:eastAsia="宋体" w:cs="Times New Roman"/>
                <w:snapToGrid w:val="0"/>
                <w:color w:val="auto"/>
                <w:kern w:val="0"/>
                <w:sz w:val="24"/>
                <w:highlight w:val="none"/>
                <w:lang w:val="en-US" w:eastAsia="zh-CN"/>
              </w:rPr>
              <w:t>本项目</w:t>
            </w:r>
            <w:r>
              <w:rPr>
                <w:rFonts w:hint="default" w:ascii="Times New Roman" w:hAnsi="Times New Roman" w:eastAsia="宋体" w:cs="Times New Roman"/>
                <w:snapToGrid w:val="0"/>
                <w:color w:val="auto"/>
                <w:kern w:val="0"/>
                <w:sz w:val="24"/>
                <w:highlight w:val="none"/>
                <w:lang w:val="en-US" w:eastAsia="zh-CN"/>
              </w:rPr>
              <w:t>搅拌、浸涂</w:t>
            </w:r>
            <w:r>
              <w:rPr>
                <w:rFonts w:hint="eastAsia" w:eastAsia="宋体" w:cs="Times New Roman"/>
                <w:snapToGrid w:val="0"/>
                <w:color w:val="auto"/>
                <w:kern w:val="0"/>
                <w:sz w:val="24"/>
                <w:highlight w:val="none"/>
                <w:lang w:val="en-US" w:eastAsia="zh-CN"/>
              </w:rPr>
              <w:t>工序沥青烟有组织排放量为</w:t>
            </w:r>
            <w:r>
              <w:rPr>
                <w:rFonts w:hint="eastAsia" w:cs="Times New Roman"/>
                <w:snapToGrid w:val="0"/>
                <w:color w:val="auto"/>
                <w:kern w:val="0"/>
                <w:sz w:val="24"/>
                <w:highlight w:val="none"/>
                <w:lang w:val="en-US" w:eastAsia="zh-CN"/>
              </w:rPr>
              <w:t>0.17</w:t>
            </w:r>
            <w:r>
              <w:rPr>
                <w:rFonts w:hint="eastAsia" w:eastAsia="宋体" w:cs="Times New Roman"/>
                <w:snapToGrid w:val="0"/>
                <w:color w:val="auto"/>
                <w:kern w:val="0"/>
                <w:sz w:val="24"/>
                <w:highlight w:val="none"/>
                <w:lang w:val="en-US" w:eastAsia="zh-CN"/>
              </w:rPr>
              <w:t>t/a</w:t>
            </w:r>
            <w:r>
              <w:rPr>
                <w:rFonts w:hint="eastAsia" w:cs="Times New Roman"/>
                <w:snapToGrid w:val="0"/>
                <w:color w:val="auto"/>
                <w:kern w:val="0"/>
                <w:sz w:val="24"/>
                <w:highlight w:val="none"/>
                <w:lang w:val="en-US" w:eastAsia="zh-CN"/>
              </w:rPr>
              <w:t>，</w:t>
            </w:r>
            <w:r>
              <w:rPr>
                <w:rFonts w:hint="eastAsia" w:eastAsia="宋体" w:cs="Times New Roman"/>
                <w:snapToGrid w:val="0"/>
                <w:color w:val="auto"/>
                <w:kern w:val="0"/>
                <w:sz w:val="24"/>
                <w:highlight w:val="none"/>
                <w:lang w:val="en-US" w:eastAsia="zh-CN"/>
              </w:rPr>
              <w:t>排放速率为</w:t>
            </w:r>
            <w:r>
              <w:rPr>
                <w:rFonts w:hint="eastAsia" w:cs="Times New Roman"/>
                <w:snapToGrid w:val="0"/>
                <w:color w:val="auto"/>
                <w:kern w:val="0"/>
                <w:sz w:val="24"/>
                <w:highlight w:val="none"/>
                <w:lang w:val="en-US" w:eastAsia="zh-CN"/>
              </w:rPr>
              <w:t>0.04</w:t>
            </w:r>
            <w:r>
              <w:rPr>
                <w:rFonts w:hint="eastAsia" w:eastAsia="宋体" w:cs="Times New Roman"/>
                <w:snapToGrid w:val="0"/>
                <w:color w:val="auto"/>
                <w:kern w:val="0"/>
                <w:sz w:val="24"/>
                <w:highlight w:val="none"/>
                <w:lang w:val="en-US" w:eastAsia="zh-CN"/>
              </w:rPr>
              <w:t>kg/h，排放浓度为</w:t>
            </w:r>
            <w:r>
              <w:rPr>
                <w:rFonts w:hint="eastAsia" w:cs="Times New Roman"/>
                <w:snapToGrid w:val="0"/>
                <w:color w:val="auto"/>
                <w:kern w:val="0"/>
                <w:sz w:val="24"/>
                <w:highlight w:val="none"/>
                <w:lang w:val="en-US" w:eastAsia="zh-CN"/>
              </w:rPr>
              <w:t>0.5</w:t>
            </w:r>
            <w:r>
              <w:rPr>
                <w:rFonts w:hint="eastAsia" w:eastAsia="宋体" w:cs="Times New Roman"/>
                <w:snapToGrid w:val="0"/>
                <w:color w:val="auto"/>
                <w:kern w:val="0"/>
                <w:sz w:val="24"/>
                <w:highlight w:val="none"/>
                <w:lang w:val="en-US" w:eastAsia="zh-CN"/>
              </w:rPr>
              <w:t>mg/m</w:t>
            </w:r>
            <w:r>
              <w:rPr>
                <w:rFonts w:hint="eastAsia" w:eastAsia="宋体" w:cs="Times New Roman"/>
                <w:snapToGrid w:val="0"/>
                <w:color w:val="auto"/>
                <w:kern w:val="0"/>
                <w:sz w:val="24"/>
                <w:highlight w:val="none"/>
                <w:vertAlign w:val="superscript"/>
                <w:lang w:val="en-US" w:eastAsia="zh-CN"/>
              </w:rPr>
              <w:t>3</w:t>
            </w:r>
            <w:r>
              <w:rPr>
                <w:rFonts w:hint="eastAsia" w:eastAsia="宋体" w:cs="Times New Roman"/>
                <w:snapToGrid w:val="0"/>
                <w:color w:val="auto"/>
                <w:kern w:val="0"/>
                <w:sz w:val="24"/>
                <w:highlight w:val="none"/>
                <w:lang w:val="en-US" w:eastAsia="zh-CN"/>
              </w:rPr>
              <w:t>；</w:t>
            </w:r>
            <w:r>
              <w:rPr>
                <w:rFonts w:hint="default" w:ascii="Times New Roman" w:hAnsi="Times New Roman" w:eastAsia="宋体" w:cs="Times New Roman"/>
                <w:snapToGrid w:val="0"/>
                <w:color w:val="auto"/>
                <w:kern w:val="0"/>
                <w:sz w:val="24"/>
                <w:highlight w:val="none"/>
                <w:lang w:val="en-US" w:eastAsia="zh-CN"/>
              </w:rPr>
              <w:t>苯并[a]芘</w:t>
            </w:r>
            <w:r>
              <w:rPr>
                <w:rFonts w:hint="eastAsia" w:eastAsia="宋体" w:cs="Times New Roman"/>
                <w:snapToGrid w:val="0"/>
                <w:color w:val="auto"/>
                <w:kern w:val="0"/>
                <w:sz w:val="24"/>
                <w:highlight w:val="none"/>
                <w:lang w:val="en-US" w:eastAsia="zh-CN"/>
              </w:rPr>
              <w:t>有组织排放量为0.</w:t>
            </w:r>
            <w:r>
              <w:rPr>
                <w:rFonts w:hint="eastAsia" w:cs="Times New Roman"/>
                <w:snapToGrid w:val="0"/>
                <w:color w:val="auto"/>
                <w:kern w:val="0"/>
                <w:sz w:val="24"/>
                <w:highlight w:val="none"/>
                <w:lang w:val="en-US" w:eastAsia="zh-CN"/>
              </w:rPr>
              <w:t>09kg</w:t>
            </w:r>
            <w:r>
              <w:rPr>
                <w:rFonts w:hint="eastAsia" w:eastAsia="宋体" w:cs="Times New Roman"/>
                <w:snapToGrid w:val="0"/>
                <w:color w:val="auto"/>
                <w:kern w:val="0"/>
                <w:sz w:val="24"/>
                <w:highlight w:val="none"/>
                <w:lang w:val="en-US" w:eastAsia="zh-CN"/>
              </w:rPr>
              <w:t>/a，排放速率为</w:t>
            </w:r>
            <w:r>
              <w:rPr>
                <w:rFonts w:hint="eastAsia" w:cs="Times New Roman"/>
                <w:snapToGrid w:val="0"/>
                <w:color w:val="auto"/>
                <w:kern w:val="0"/>
                <w:sz w:val="24"/>
                <w:highlight w:val="none"/>
                <w:lang w:val="en-US" w:eastAsia="zh-CN"/>
              </w:rPr>
              <w:t>2.3</w:t>
            </w:r>
            <w:r>
              <w:rPr>
                <w:rFonts w:hint="default" w:ascii="Times New Roman" w:hAnsi="Times New Roman" w:cs="Times New Roman"/>
                <w:snapToGrid w:val="0"/>
                <w:color w:val="auto"/>
                <w:kern w:val="0"/>
                <w:sz w:val="24"/>
                <w:highlight w:val="none"/>
                <w:lang w:val="en-US" w:eastAsia="zh-CN"/>
              </w:rPr>
              <w:t>×</w:t>
            </w:r>
            <w:r>
              <w:rPr>
                <w:rFonts w:hint="eastAsia" w:cs="Times New Roman"/>
                <w:snapToGrid w:val="0"/>
                <w:color w:val="auto"/>
                <w:kern w:val="0"/>
                <w:sz w:val="24"/>
                <w:highlight w:val="none"/>
                <w:lang w:val="en-US" w:eastAsia="zh-CN"/>
              </w:rPr>
              <w:t>10</w:t>
            </w:r>
            <w:r>
              <w:rPr>
                <w:rFonts w:hint="eastAsia" w:cs="Times New Roman"/>
                <w:snapToGrid w:val="0"/>
                <w:color w:val="auto"/>
                <w:kern w:val="0"/>
                <w:sz w:val="24"/>
                <w:highlight w:val="none"/>
                <w:vertAlign w:val="superscript"/>
                <w:lang w:val="en-US" w:eastAsia="zh-CN"/>
              </w:rPr>
              <w:t>-5</w:t>
            </w:r>
            <w:r>
              <w:rPr>
                <w:rFonts w:hint="eastAsia" w:eastAsia="宋体" w:cs="Times New Roman"/>
                <w:snapToGrid w:val="0"/>
                <w:color w:val="auto"/>
                <w:kern w:val="0"/>
                <w:sz w:val="24"/>
                <w:highlight w:val="none"/>
                <w:lang w:val="en-US" w:eastAsia="zh-CN"/>
              </w:rPr>
              <w:t>kg/h，排放浓度为</w:t>
            </w:r>
            <w:r>
              <w:rPr>
                <w:rFonts w:hint="eastAsia" w:cs="Times New Roman"/>
                <w:snapToGrid w:val="0"/>
                <w:color w:val="auto"/>
                <w:kern w:val="0"/>
                <w:sz w:val="24"/>
                <w:highlight w:val="none"/>
                <w:lang w:val="en-US" w:eastAsia="zh-CN"/>
              </w:rPr>
              <w:t>0.29</w:t>
            </w:r>
            <w:r>
              <w:rPr>
                <w:rFonts w:hint="default" w:ascii="Times New Roman" w:hAnsi="Times New Roman" w:cs="Times New Roman"/>
                <w:snapToGrid w:val="0"/>
                <w:color w:val="auto"/>
                <w:kern w:val="0"/>
                <w:sz w:val="24"/>
                <w:highlight w:val="none"/>
                <w:lang w:val="en-US" w:eastAsia="zh-CN"/>
              </w:rPr>
              <w:t>×</w:t>
            </w:r>
            <w:r>
              <w:rPr>
                <w:rFonts w:hint="eastAsia" w:cs="Times New Roman"/>
                <w:snapToGrid w:val="0"/>
                <w:color w:val="auto"/>
                <w:kern w:val="0"/>
                <w:sz w:val="24"/>
                <w:highlight w:val="none"/>
                <w:lang w:val="en-US" w:eastAsia="zh-CN"/>
              </w:rPr>
              <w:t>10</w:t>
            </w:r>
            <w:r>
              <w:rPr>
                <w:rFonts w:hint="eastAsia" w:cs="Times New Roman"/>
                <w:snapToGrid w:val="0"/>
                <w:color w:val="auto"/>
                <w:kern w:val="0"/>
                <w:sz w:val="24"/>
                <w:highlight w:val="none"/>
                <w:vertAlign w:val="superscript"/>
                <w:lang w:val="en-US" w:eastAsia="zh-CN"/>
              </w:rPr>
              <w:t>-3</w:t>
            </w:r>
            <w:r>
              <w:rPr>
                <w:rFonts w:hint="eastAsia" w:eastAsia="宋体" w:cs="Times New Roman"/>
                <w:snapToGrid w:val="0"/>
                <w:color w:val="auto"/>
                <w:kern w:val="0"/>
                <w:sz w:val="24"/>
                <w:highlight w:val="none"/>
                <w:lang w:val="en-US" w:eastAsia="zh-CN"/>
              </w:rPr>
              <w:t>mg/m</w:t>
            </w:r>
            <w:r>
              <w:rPr>
                <w:rFonts w:hint="eastAsia" w:eastAsia="宋体" w:cs="Times New Roman"/>
                <w:snapToGrid w:val="0"/>
                <w:color w:val="auto"/>
                <w:kern w:val="0"/>
                <w:sz w:val="24"/>
                <w:highlight w:val="none"/>
                <w:vertAlign w:val="superscript"/>
                <w:lang w:val="en-US" w:eastAsia="zh-CN"/>
              </w:rPr>
              <w:t>3</w:t>
            </w:r>
            <w:r>
              <w:rPr>
                <w:rFonts w:hint="eastAsia" w:eastAsia="宋体" w:cs="Times New Roman"/>
                <w:snapToGrid w:val="0"/>
                <w:color w:val="auto"/>
                <w:kern w:val="0"/>
                <w:sz w:val="24"/>
                <w:highlight w:val="none"/>
                <w:lang w:val="en-US" w:eastAsia="zh-CN"/>
              </w:rPr>
              <w:t>；非甲烷总烃有组织排放量为</w:t>
            </w:r>
            <w:r>
              <w:rPr>
                <w:rFonts w:hint="eastAsia" w:cs="Times New Roman"/>
                <w:snapToGrid w:val="0"/>
                <w:color w:val="auto"/>
                <w:kern w:val="0"/>
                <w:sz w:val="24"/>
                <w:highlight w:val="none"/>
                <w:lang w:val="en-US" w:eastAsia="zh-CN"/>
              </w:rPr>
              <w:t>1.27</w:t>
            </w:r>
            <w:r>
              <w:rPr>
                <w:rFonts w:hint="eastAsia" w:eastAsia="宋体" w:cs="Times New Roman"/>
                <w:snapToGrid w:val="0"/>
                <w:color w:val="auto"/>
                <w:kern w:val="0"/>
                <w:sz w:val="24"/>
                <w:highlight w:val="none"/>
                <w:lang w:val="en-US" w:eastAsia="zh-CN"/>
              </w:rPr>
              <w:t>t/a，排放速率为</w:t>
            </w:r>
            <w:r>
              <w:rPr>
                <w:rFonts w:hint="eastAsia" w:cs="Times New Roman"/>
                <w:snapToGrid w:val="0"/>
                <w:color w:val="auto"/>
                <w:kern w:val="0"/>
                <w:sz w:val="24"/>
                <w:highlight w:val="none"/>
                <w:lang w:val="en-US" w:eastAsia="zh-CN"/>
              </w:rPr>
              <w:t>0.33</w:t>
            </w:r>
            <w:r>
              <w:rPr>
                <w:rFonts w:hint="eastAsia" w:eastAsia="宋体" w:cs="Times New Roman"/>
                <w:snapToGrid w:val="0"/>
                <w:color w:val="auto"/>
                <w:kern w:val="0"/>
                <w:sz w:val="24"/>
                <w:highlight w:val="none"/>
                <w:lang w:val="en-US" w:eastAsia="zh-CN"/>
              </w:rPr>
              <w:t>kg/h，排放浓度为</w:t>
            </w:r>
            <w:r>
              <w:rPr>
                <w:rFonts w:hint="eastAsia" w:cs="Times New Roman"/>
                <w:snapToGrid w:val="0"/>
                <w:color w:val="auto"/>
                <w:kern w:val="0"/>
                <w:sz w:val="24"/>
                <w:highlight w:val="none"/>
                <w:lang w:val="en-US" w:eastAsia="zh-CN"/>
              </w:rPr>
              <w:t>4.13</w:t>
            </w:r>
            <w:r>
              <w:rPr>
                <w:rFonts w:hint="eastAsia" w:eastAsia="宋体" w:cs="Times New Roman"/>
                <w:snapToGrid w:val="0"/>
                <w:color w:val="auto"/>
                <w:kern w:val="0"/>
                <w:sz w:val="24"/>
                <w:highlight w:val="none"/>
                <w:lang w:val="en-US" w:eastAsia="zh-CN"/>
              </w:rPr>
              <w:t>mg/m</w:t>
            </w:r>
            <w:r>
              <w:rPr>
                <w:rFonts w:hint="eastAsia" w:eastAsia="宋体" w:cs="Times New Roman"/>
                <w:snapToGrid w:val="0"/>
                <w:color w:val="auto"/>
                <w:kern w:val="0"/>
                <w:sz w:val="24"/>
                <w:highlight w:val="none"/>
                <w:vertAlign w:val="superscript"/>
                <w:lang w:val="en-US" w:eastAsia="zh-CN"/>
              </w:rPr>
              <w:t>3</w:t>
            </w:r>
            <w:r>
              <w:rPr>
                <w:rFonts w:hint="eastAsia" w:eastAsia="宋体" w:cs="Times New Roman"/>
                <w:snapToGrid w:val="0"/>
                <w:color w:val="auto"/>
                <w:kern w:val="0"/>
                <w:sz w:val="24"/>
                <w:highlight w:val="none"/>
                <w:lang w:val="en-US" w:eastAsia="zh-CN"/>
              </w:rPr>
              <w:t>。</w:t>
            </w:r>
          </w:p>
          <w:p w14:paraId="5262AB8A">
            <w:pPr>
              <w:numPr>
                <w:ilvl w:val="0"/>
                <w:numId w:val="0"/>
              </w:numPr>
              <w:topLinePunct/>
              <w:adjustRightInd w:val="0"/>
              <w:snapToGrid w:val="0"/>
              <w:spacing w:line="360" w:lineRule="auto"/>
              <w:ind w:firstLine="480" w:firstLineChars="200"/>
              <w:rPr>
                <w:rFonts w:hint="eastAsia" w:cs="Times New Roman"/>
                <w:snapToGrid w:val="0"/>
                <w:color w:val="auto"/>
                <w:kern w:val="0"/>
                <w:sz w:val="24"/>
                <w:highlight w:val="none"/>
                <w:lang w:val="en-US" w:eastAsia="zh-CN"/>
              </w:rPr>
            </w:pPr>
            <w:r>
              <w:rPr>
                <w:rFonts w:hint="eastAsia" w:cs="Times New Roman"/>
                <w:snapToGrid w:val="0"/>
                <w:color w:val="auto"/>
                <w:kern w:val="0"/>
                <w:sz w:val="24"/>
                <w:highlight w:val="none"/>
                <w:lang w:val="en-US" w:eastAsia="zh-CN"/>
              </w:rPr>
              <w:t>④防水涂料废气</w:t>
            </w:r>
          </w:p>
          <w:p w14:paraId="72576EA7">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eastAsia" w:ascii="Times New Roman" w:hAnsi="Times New Roman" w:cs="Times New Roman"/>
                <w:snapToGrid w:val="0"/>
                <w:color w:val="000000"/>
                <w:kern w:val="0"/>
                <w:sz w:val="24"/>
                <w:highlight w:val="none"/>
                <w:lang w:val="en-US" w:eastAsia="zh-CN"/>
              </w:rPr>
              <w:t>在生产</w:t>
            </w:r>
            <w:r>
              <w:rPr>
                <w:rFonts w:hint="eastAsia" w:cs="Times New Roman"/>
                <w:snapToGrid w:val="0"/>
                <w:color w:val="000000"/>
                <w:kern w:val="0"/>
                <w:sz w:val="24"/>
                <w:highlight w:val="none"/>
                <w:lang w:val="en-US" w:eastAsia="zh-CN"/>
              </w:rPr>
              <w:t>防水涂料</w:t>
            </w:r>
            <w:r>
              <w:rPr>
                <w:rFonts w:hint="eastAsia" w:ascii="Times New Roman" w:hAnsi="Times New Roman" w:cs="Times New Roman"/>
                <w:snapToGrid w:val="0"/>
                <w:color w:val="000000"/>
                <w:kern w:val="0"/>
                <w:sz w:val="24"/>
                <w:highlight w:val="none"/>
                <w:lang w:val="en-US" w:eastAsia="zh-CN"/>
              </w:rPr>
              <w:t>过程中</w:t>
            </w:r>
            <w:r>
              <w:rPr>
                <w:rFonts w:hint="default" w:ascii="Times New Roman" w:hAnsi="Times New Roman" w:eastAsia="宋体" w:cs="Times New Roman"/>
                <w:snapToGrid w:val="0"/>
                <w:color w:val="000000"/>
                <w:kern w:val="0"/>
                <w:sz w:val="24"/>
                <w:highlight w:val="none"/>
                <w:lang w:val="en-US" w:eastAsia="zh-CN"/>
              </w:rPr>
              <w:t>会产生废气，主要为沥青烟、苯并[a]芘和非甲烷总烃。参考前苏联拉扎列夫主编的《工业生产中有害物</w:t>
            </w:r>
            <w:r>
              <w:rPr>
                <w:rFonts w:hint="eastAsia" w:cs="Times New Roman"/>
                <w:snapToGrid w:val="0"/>
                <w:color w:val="000000"/>
                <w:kern w:val="0"/>
                <w:sz w:val="24"/>
                <w:highlight w:val="none"/>
                <w:lang w:val="en-US" w:eastAsia="zh-CN"/>
              </w:rPr>
              <w:t>质</w:t>
            </w:r>
            <w:r>
              <w:rPr>
                <w:rFonts w:hint="default" w:ascii="Times New Roman" w:hAnsi="Times New Roman" w:eastAsia="宋体" w:cs="Times New Roman"/>
                <w:snapToGrid w:val="0"/>
                <w:color w:val="000000"/>
                <w:kern w:val="0"/>
                <w:sz w:val="24"/>
                <w:highlight w:val="none"/>
                <w:lang w:val="en-US" w:eastAsia="zh-CN"/>
              </w:rPr>
              <w:t>手册》第一卷（化学工业出版社，1987年12月出版）及金相灿主编的《有机化合物污染化学》（清华大学出版社，1990年8月出版），每吨沥青可产生苯并[a]芘气体0.10g-0.15g（本项目取其平均值为0.1</w:t>
            </w:r>
            <w:r>
              <w:rPr>
                <w:rFonts w:hint="eastAsia" w:cs="Times New Roman"/>
                <w:snapToGrid w:val="0"/>
                <w:color w:val="000000"/>
                <w:kern w:val="0"/>
                <w:sz w:val="24"/>
                <w:highlight w:val="none"/>
                <w:lang w:val="en-US" w:eastAsia="zh-CN"/>
              </w:rPr>
              <w:t>25</w:t>
            </w:r>
            <w:r>
              <w:rPr>
                <w:rFonts w:hint="default" w:ascii="Times New Roman" w:hAnsi="Times New Roman" w:eastAsia="宋体" w:cs="Times New Roman"/>
                <w:snapToGrid w:val="0"/>
                <w:color w:val="000000"/>
                <w:kern w:val="0"/>
                <w:sz w:val="24"/>
                <w:highlight w:val="none"/>
                <w:lang w:val="en-US" w:eastAsia="zh-CN"/>
              </w:rPr>
              <w:t>g）、沥青烟</w:t>
            </w:r>
            <w:r>
              <w:rPr>
                <w:rFonts w:hint="eastAsia" w:ascii="Times New Roman" w:hAnsi="Times New Roman" w:eastAsia="宋体" w:cs="Times New Roman"/>
                <w:snapToGrid w:val="0"/>
                <w:color w:val="000000"/>
                <w:kern w:val="0"/>
                <w:sz w:val="24"/>
                <w:highlight w:val="none"/>
                <w:lang w:val="en-US" w:eastAsia="zh-CN"/>
              </w:rPr>
              <w:t>450g</w:t>
            </w:r>
            <w:r>
              <w:rPr>
                <w:rFonts w:hint="default" w:ascii="Times New Roman" w:hAnsi="Times New Roman" w:eastAsia="宋体" w:cs="Times New Roman"/>
                <w:snapToGrid w:val="0"/>
                <w:color w:val="000000"/>
                <w:kern w:val="0"/>
                <w:sz w:val="24"/>
                <w:highlight w:val="none"/>
                <w:lang w:val="en-US" w:eastAsia="zh-CN"/>
              </w:rPr>
              <w:t>。非甲烷总烃约占沥青烟的70%。</w:t>
            </w:r>
          </w:p>
          <w:p w14:paraId="2A62F8B5">
            <w:pPr>
              <w:numPr>
                <w:ilvl w:val="0"/>
                <w:numId w:val="0"/>
              </w:numPr>
              <w:topLinePunct/>
              <w:adjustRightInd w:val="0"/>
              <w:snapToGrid w:val="0"/>
              <w:spacing w:line="360" w:lineRule="auto"/>
              <w:ind w:firstLine="480" w:firstLineChars="200"/>
              <w:rPr>
                <w:rFonts w:hint="eastAsia" w:ascii="Times New Roman" w:hAnsi="Times New Roman" w:cs="Times New Roman"/>
                <w:snapToGrid w:val="0"/>
                <w:color w:val="000000"/>
                <w:kern w:val="0"/>
                <w:sz w:val="24"/>
                <w:highlight w:val="none"/>
                <w:lang w:val="en-US" w:eastAsia="zh-CN"/>
              </w:rPr>
            </w:pPr>
            <w:r>
              <w:rPr>
                <w:rFonts w:hint="eastAsia" w:ascii="Times New Roman" w:hAnsi="Times New Roman" w:cs="Times New Roman"/>
                <w:snapToGrid w:val="0"/>
                <w:color w:val="000000"/>
                <w:kern w:val="0"/>
                <w:sz w:val="24"/>
                <w:highlight w:val="none"/>
                <w:lang w:val="en-US" w:eastAsia="zh-CN"/>
              </w:rPr>
              <w:t>在生产</w:t>
            </w:r>
            <w:r>
              <w:rPr>
                <w:rFonts w:hint="eastAsia" w:cs="Times New Roman"/>
                <w:snapToGrid w:val="0"/>
                <w:color w:val="000000"/>
                <w:kern w:val="0"/>
                <w:sz w:val="24"/>
                <w:highlight w:val="none"/>
                <w:lang w:val="en-US" w:eastAsia="zh-CN"/>
              </w:rPr>
              <w:t>防水涂料</w:t>
            </w:r>
            <w:r>
              <w:rPr>
                <w:rFonts w:hint="eastAsia" w:ascii="Times New Roman" w:hAnsi="Times New Roman" w:cs="Times New Roman"/>
                <w:snapToGrid w:val="0"/>
                <w:color w:val="000000"/>
                <w:kern w:val="0"/>
                <w:sz w:val="24"/>
                <w:highlight w:val="none"/>
                <w:lang w:val="en-US" w:eastAsia="zh-CN"/>
              </w:rPr>
              <w:t>过程中，</w:t>
            </w:r>
            <w:r>
              <w:rPr>
                <w:rFonts w:hint="eastAsia" w:ascii="Times New Roman" w:hAnsi="Times New Roman" w:eastAsia="宋体" w:cs="Times New Roman"/>
                <w:snapToGrid w:val="0"/>
                <w:color w:val="000000"/>
                <w:kern w:val="0"/>
                <w:sz w:val="24"/>
                <w:highlight w:val="none"/>
                <w:lang w:val="en-US" w:eastAsia="zh-CN"/>
              </w:rPr>
              <w:t>沥青年使用量为</w:t>
            </w:r>
            <w:r>
              <w:rPr>
                <w:rFonts w:hint="eastAsia" w:cs="Times New Roman"/>
                <w:snapToGrid w:val="0"/>
                <w:color w:val="000000"/>
                <w:kern w:val="0"/>
                <w:sz w:val="24"/>
                <w:highlight w:val="none"/>
                <w:lang w:val="en-US" w:eastAsia="zh-CN"/>
              </w:rPr>
              <w:t>200</w:t>
            </w:r>
            <w:r>
              <w:rPr>
                <w:rFonts w:hint="eastAsia" w:ascii="Times New Roman" w:hAnsi="Times New Roman" w:eastAsia="宋体" w:cs="Times New Roman"/>
                <w:snapToGrid w:val="0"/>
                <w:color w:val="000000"/>
                <w:kern w:val="0"/>
                <w:sz w:val="24"/>
                <w:highlight w:val="none"/>
                <w:lang w:val="en-US" w:eastAsia="zh-CN"/>
              </w:rPr>
              <w:t>t，则</w:t>
            </w:r>
            <w:r>
              <w:rPr>
                <w:rFonts w:hint="default" w:ascii="Times New Roman" w:hAnsi="Times New Roman" w:eastAsia="宋体" w:cs="Times New Roman"/>
                <w:snapToGrid w:val="0"/>
                <w:color w:val="000000"/>
                <w:kern w:val="0"/>
                <w:sz w:val="24"/>
                <w:highlight w:val="none"/>
                <w:lang w:val="en-US" w:eastAsia="zh-CN"/>
              </w:rPr>
              <w:t>沥青烟产生量为</w:t>
            </w:r>
            <w:r>
              <w:rPr>
                <w:rFonts w:hint="eastAsia" w:cs="Times New Roman"/>
                <w:snapToGrid w:val="0"/>
                <w:color w:val="000000"/>
                <w:kern w:val="0"/>
                <w:sz w:val="24"/>
                <w:highlight w:val="none"/>
                <w:lang w:val="en-US" w:eastAsia="zh-CN"/>
              </w:rPr>
              <w:t>0.09</w:t>
            </w:r>
            <w:r>
              <w:rPr>
                <w:rFonts w:hint="default" w:ascii="Times New Roman" w:hAnsi="Times New Roman" w:eastAsia="宋体" w:cs="Times New Roman"/>
                <w:snapToGrid w:val="0"/>
                <w:color w:val="000000"/>
                <w:kern w:val="0"/>
                <w:sz w:val="24"/>
                <w:highlight w:val="none"/>
                <w:lang w:val="en-US" w:eastAsia="zh-CN"/>
              </w:rPr>
              <w:t>t/a，苯并[a]芘产生量为</w:t>
            </w:r>
            <w:r>
              <w:rPr>
                <w:rFonts w:hint="eastAsia" w:cs="Times New Roman"/>
                <w:snapToGrid w:val="0"/>
                <w:color w:val="000000"/>
                <w:kern w:val="0"/>
                <w:sz w:val="24"/>
                <w:highlight w:val="none"/>
                <w:lang w:val="en-US" w:eastAsia="zh-CN"/>
              </w:rPr>
              <w:t>0.025kg</w:t>
            </w:r>
            <w:r>
              <w:rPr>
                <w:rFonts w:hint="default" w:ascii="Times New Roman" w:hAnsi="Times New Roman" w:eastAsia="宋体" w:cs="Times New Roman"/>
                <w:snapToGrid w:val="0"/>
                <w:color w:val="000000"/>
                <w:kern w:val="0"/>
                <w:sz w:val="24"/>
                <w:highlight w:val="none"/>
                <w:lang w:val="en-US" w:eastAsia="zh-CN"/>
              </w:rPr>
              <w:t>/a</w:t>
            </w:r>
            <w:r>
              <w:rPr>
                <w:rFonts w:hint="eastAsia" w:ascii="Times New Roman" w:hAnsi="Times New Roman" w:eastAsia="宋体" w:cs="Times New Roman"/>
                <w:snapToGrid w:val="0"/>
                <w:color w:val="000000"/>
                <w:kern w:val="0"/>
                <w:sz w:val="24"/>
                <w:highlight w:val="none"/>
                <w:lang w:val="en-US" w:eastAsia="zh-CN"/>
              </w:rPr>
              <w:t>，非甲烷总烃产生量为</w:t>
            </w:r>
            <w:r>
              <w:rPr>
                <w:rFonts w:hint="eastAsia" w:cs="Times New Roman"/>
                <w:snapToGrid w:val="0"/>
                <w:color w:val="000000"/>
                <w:kern w:val="0"/>
                <w:sz w:val="24"/>
                <w:highlight w:val="none"/>
                <w:lang w:val="en-US" w:eastAsia="zh-CN"/>
              </w:rPr>
              <w:t>0.06</w:t>
            </w:r>
            <w:r>
              <w:rPr>
                <w:rFonts w:hint="eastAsia" w:ascii="Times New Roman" w:hAnsi="Times New Roman" w:eastAsia="宋体" w:cs="Times New Roman"/>
                <w:snapToGrid w:val="0"/>
                <w:color w:val="000000"/>
                <w:kern w:val="0"/>
                <w:sz w:val="24"/>
                <w:highlight w:val="none"/>
                <w:lang w:val="en-US" w:eastAsia="zh-CN"/>
              </w:rPr>
              <w:t>t/a。</w:t>
            </w:r>
            <w:r>
              <w:rPr>
                <w:rFonts w:hint="eastAsia" w:ascii="Times New Roman" w:hAnsi="Times New Roman" w:cs="Times New Roman"/>
                <w:snapToGrid w:val="0"/>
                <w:color w:val="000000"/>
                <w:kern w:val="0"/>
                <w:sz w:val="24"/>
                <w:highlight w:val="none"/>
                <w:lang w:val="en-US" w:eastAsia="zh-CN"/>
              </w:rPr>
              <w:t>在生产</w:t>
            </w:r>
            <w:r>
              <w:rPr>
                <w:rFonts w:hint="eastAsia" w:cs="Times New Roman"/>
                <w:snapToGrid w:val="0"/>
                <w:color w:val="000000"/>
                <w:kern w:val="0"/>
                <w:sz w:val="24"/>
                <w:highlight w:val="none"/>
                <w:lang w:val="en-US" w:eastAsia="zh-CN"/>
              </w:rPr>
              <w:t>防水涂料</w:t>
            </w:r>
            <w:r>
              <w:rPr>
                <w:rFonts w:hint="eastAsia" w:ascii="Times New Roman" w:hAnsi="Times New Roman" w:cs="Times New Roman"/>
                <w:snapToGrid w:val="0"/>
                <w:color w:val="000000"/>
                <w:kern w:val="0"/>
                <w:sz w:val="24"/>
                <w:highlight w:val="none"/>
                <w:lang w:val="en-US" w:eastAsia="zh-CN"/>
              </w:rPr>
              <w:t>过程中产生的污染物排放量较小，本过程废气无组织排放。</w:t>
            </w:r>
          </w:p>
          <w:p w14:paraId="33520D2C">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w:t>
            </w:r>
            <w:r>
              <w:rPr>
                <w:rFonts w:hint="eastAsia" w:cs="Times New Roman"/>
                <w:snapToGrid w:val="0"/>
                <w:color w:val="000000"/>
                <w:kern w:val="0"/>
                <w:sz w:val="24"/>
                <w:highlight w:val="none"/>
                <w:lang w:val="en-US" w:eastAsia="zh-CN"/>
              </w:rPr>
              <w:t>3</w:t>
            </w:r>
            <w:r>
              <w:rPr>
                <w:rFonts w:hint="default" w:ascii="Times New Roman" w:hAnsi="Times New Roman" w:eastAsia="宋体" w:cs="Times New Roman"/>
                <w:snapToGrid w:val="0"/>
                <w:color w:val="000000"/>
                <w:kern w:val="0"/>
                <w:sz w:val="24"/>
                <w:highlight w:val="none"/>
                <w:lang w:val="en-US" w:eastAsia="zh-CN"/>
              </w:rPr>
              <w:t>）导热油炉废气</w:t>
            </w:r>
          </w:p>
          <w:p w14:paraId="7775FBA6">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改性沥青防水卷材生产线</w:t>
            </w:r>
            <w:r>
              <w:rPr>
                <w:rFonts w:hint="eastAsia" w:cs="Times New Roman"/>
                <w:snapToGrid w:val="0"/>
                <w:color w:val="000000"/>
                <w:kern w:val="0"/>
                <w:sz w:val="24"/>
                <w:highlight w:val="none"/>
                <w:lang w:val="en-US" w:eastAsia="zh-CN"/>
              </w:rPr>
              <w:t>依托</w:t>
            </w:r>
            <w:r>
              <w:rPr>
                <w:rFonts w:hint="default" w:ascii="Times New Roman" w:hAnsi="Times New Roman" w:eastAsia="宋体" w:cs="Times New Roman"/>
                <w:snapToGrid w:val="0"/>
                <w:color w:val="000000"/>
                <w:kern w:val="0"/>
                <w:sz w:val="24"/>
                <w:highlight w:val="none"/>
                <w:lang w:val="en-US" w:eastAsia="zh-CN"/>
              </w:rPr>
              <w:t>一</w:t>
            </w:r>
            <w:r>
              <w:rPr>
                <w:rFonts w:hint="eastAsia" w:cs="Times New Roman"/>
                <w:snapToGrid w:val="0"/>
                <w:color w:val="000000"/>
                <w:kern w:val="0"/>
                <w:sz w:val="24"/>
                <w:highlight w:val="none"/>
                <w:lang w:val="en-US" w:eastAsia="zh-CN"/>
              </w:rPr>
              <w:t>期2000kW</w:t>
            </w:r>
            <w:r>
              <w:rPr>
                <w:rFonts w:hint="default" w:ascii="Times New Roman" w:hAnsi="Times New Roman" w:eastAsia="宋体" w:cs="Times New Roman"/>
                <w:snapToGrid w:val="0"/>
                <w:color w:val="000000"/>
                <w:kern w:val="0"/>
                <w:sz w:val="24"/>
                <w:highlight w:val="none"/>
                <w:lang w:val="en-US" w:eastAsia="zh-CN"/>
              </w:rPr>
              <w:t>燃气导热油炉，导热油炉会产生废气，废气通过</w:t>
            </w:r>
            <w:r>
              <w:rPr>
                <w:rFonts w:hint="eastAsia" w:cs="Times New Roman"/>
                <w:snapToGrid w:val="0"/>
                <w:color w:val="000000"/>
                <w:kern w:val="0"/>
                <w:sz w:val="24"/>
                <w:highlight w:val="none"/>
                <w:lang w:val="en-US" w:eastAsia="zh-CN"/>
              </w:rPr>
              <w:t>12</w:t>
            </w:r>
            <w:r>
              <w:rPr>
                <w:rFonts w:hint="eastAsia" w:ascii="Times New Roman" w:hAnsi="Times New Roman" w:eastAsia="宋体" w:cs="Times New Roman"/>
                <w:snapToGrid w:val="0"/>
                <w:color w:val="000000"/>
                <w:kern w:val="0"/>
                <w:sz w:val="24"/>
                <w:highlight w:val="none"/>
                <w:lang w:val="en-US" w:eastAsia="zh-CN"/>
              </w:rPr>
              <w:t>m排气筒</w:t>
            </w:r>
            <w:r>
              <w:rPr>
                <w:rFonts w:hint="default" w:ascii="Times New Roman" w:hAnsi="Times New Roman" w:eastAsia="宋体" w:cs="Times New Roman"/>
                <w:snapToGrid w:val="0"/>
                <w:color w:val="000000"/>
                <w:kern w:val="0"/>
                <w:sz w:val="24"/>
                <w:highlight w:val="none"/>
                <w:lang w:val="en-US" w:eastAsia="zh-CN"/>
              </w:rPr>
              <w:t>排放。导热油炉采用低氮燃烧。</w:t>
            </w:r>
          </w:p>
          <w:p w14:paraId="5921C317">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参考《排放源统计调查产排污核算方法和系数手册》-锅炉产排污量核算系数手册中</w:t>
            </w:r>
            <w:r>
              <w:rPr>
                <w:rFonts w:hint="eastAsia" w:ascii="Times New Roman" w:hAnsi="Times New Roman" w:eastAsia="宋体" w:cs="Times New Roman"/>
                <w:snapToGrid w:val="0"/>
                <w:color w:val="000000"/>
                <w:kern w:val="0"/>
                <w:sz w:val="24"/>
                <w:highlight w:val="none"/>
                <w:lang w:val="en-US" w:eastAsia="zh-CN"/>
              </w:rPr>
              <w:t>“</w:t>
            </w:r>
            <w:r>
              <w:rPr>
                <w:rFonts w:hint="default" w:ascii="Times New Roman" w:hAnsi="Times New Roman" w:eastAsia="宋体" w:cs="Times New Roman"/>
                <w:snapToGrid w:val="0"/>
                <w:color w:val="000000"/>
                <w:kern w:val="0"/>
                <w:sz w:val="24"/>
                <w:highlight w:val="none"/>
                <w:lang w:val="en-US" w:eastAsia="zh-CN"/>
              </w:rPr>
              <w:t>4430工业锅炉（热力生产和供应行业）产污系数表-燃气工业锅炉</w:t>
            </w:r>
            <w:r>
              <w:rPr>
                <w:rFonts w:hint="eastAsia" w:ascii="Times New Roman" w:hAnsi="Times New Roman" w:eastAsia="宋体" w:cs="Times New Roman"/>
                <w:snapToGrid w:val="0"/>
                <w:color w:val="000000"/>
                <w:kern w:val="0"/>
                <w:sz w:val="24"/>
                <w:highlight w:val="none"/>
                <w:lang w:val="en-US" w:eastAsia="zh-CN"/>
              </w:rPr>
              <w:t>”</w:t>
            </w:r>
            <w:r>
              <w:rPr>
                <w:rFonts w:hint="default" w:ascii="Times New Roman" w:hAnsi="Times New Roman" w:eastAsia="宋体" w:cs="Times New Roman"/>
                <w:snapToGrid w:val="0"/>
                <w:color w:val="000000"/>
                <w:kern w:val="0"/>
                <w:sz w:val="24"/>
                <w:highlight w:val="none"/>
                <w:lang w:val="en-US" w:eastAsia="zh-CN"/>
              </w:rPr>
              <w:t>的产污系数，原料为天然气，工艺为室燃炉的工业废气量产污系数为107753m</w:t>
            </w:r>
            <w:r>
              <w:rPr>
                <w:rFonts w:hint="default" w:ascii="Times New Roman" w:hAnsi="Times New Roman" w:eastAsia="宋体" w:cs="Times New Roman"/>
                <w:snapToGrid w:val="0"/>
                <w:color w:val="000000"/>
                <w:kern w:val="0"/>
                <w:sz w:val="24"/>
                <w:highlight w:val="none"/>
                <w:vertAlign w:val="superscript"/>
                <w:lang w:val="en-US" w:eastAsia="zh-CN"/>
              </w:rPr>
              <w:t>3</w:t>
            </w:r>
            <w:r>
              <w:rPr>
                <w:rFonts w:hint="default" w:ascii="Times New Roman" w:hAnsi="Times New Roman" w:eastAsia="宋体" w:cs="Times New Roman"/>
                <w:snapToGrid w:val="0"/>
                <w:color w:val="000000"/>
                <w:kern w:val="0"/>
                <w:sz w:val="24"/>
                <w:highlight w:val="none"/>
                <w:lang w:val="en-US" w:eastAsia="zh-CN"/>
              </w:rPr>
              <w:t>/万m</w:t>
            </w:r>
            <w:r>
              <w:rPr>
                <w:rFonts w:hint="default" w:ascii="Times New Roman" w:hAnsi="Times New Roman" w:eastAsia="宋体" w:cs="Times New Roman"/>
                <w:snapToGrid w:val="0"/>
                <w:color w:val="000000"/>
                <w:kern w:val="0"/>
                <w:sz w:val="24"/>
                <w:highlight w:val="none"/>
                <w:vertAlign w:val="superscript"/>
                <w:lang w:val="en-US" w:eastAsia="zh-CN"/>
              </w:rPr>
              <w:t>3</w:t>
            </w:r>
            <w:r>
              <w:rPr>
                <w:rFonts w:hint="default" w:ascii="Times New Roman" w:hAnsi="Times New Roman" w:eastAsia="宋体" w:cs="Times New Roman"/>
                <w:snapToGrid w:val="0"/>
                <w:color w:val="000000"/>
                <w:kern w:val="0"/>
                <w:sz w:val="24"/>
                <w:highlight w:val="none"/>
                <w:vertAlign w:val="baseline"/>
                <w:lang w:val="en-US" w:eastAsia="zh-CN"/>
              </w:rPr>
              <w:t>·</w:t>
            </w:r>
            <w:r>
              <w:rPr>
                <w:rFonts w:hint="default" w:ascii="Times New Roman" w:hAnsi="Times New Roman" w:eastAsia="宋体" w:cs="Times New Roman"/>
                <w:snapToGrid w:val="0"/>
                <w:color w:val="000000"/>
                <w:kern w:val="0"/>
                <w:sz w:val="24"/>
                <w:highlight w:val="none"/>
                <w:lang w:val="en-US" w:eastAsia="zh-CN"/>
              </w:rPr>
              <w:t>原料，本项目导热油炉天然气的使用量为</w:t>
            </w:r>
            <w:r>
              <w:rPr>
                <w:rFonts w:hint="eastAsia" w:cs="Times New Roman"/>
                <w:snapToGrid w:val="0"/>
                <w:color w:val="000000"/>
                <w:kern w:val="0"/>
                <w:sz w:val="24"/>
                <w:highlight w:val="none"/>
                <w:lang w:val="en-US" w:eastAsia="zh-CN"/>
              </w:rPr>
              <w:t>56</w:t>
            </w:r>
            <w:r>
              <w:rPr>
                <w:rFonts w:hint="default" w:ascii="Times New Roman" w:hAnsi="Times New Roman" w:eastAsia="宋体" w:cs="Times New Roman"/>
                <w:snapToGrid w:val="0"/>
                <w:color w:val="000000"/>
                <w:kern w:val="0"/>
                <w:sz w:val="24"/>
                <w:highlight w:val="none"/>
                <w:lang w:val="en-US" w:eastAsia="zh-CN"/>
              </w:rPr>
              <w:t>万m</w:t>
            </w:r>
            <w:r>
              <w:rPr>
                <w:rFonts w:hint="default" w:ascii="Times New Roman" w:hAnsi="Times New Roman" w:eastAsia="宋体" w:cs="Times New Roman"/>
                <w:snapToGrid w:val="0"/>
                <w:color w:val="000000"/>
                <w:kern w:val="0"/>
                <w:sz w:val="24"/>
                <w:highlight w:val="none"/>
                <w:vertAlign w:val="superscript"/>
                <w:lang w:val="en-US" w:eastAsia="zh-CN"/>
              </w:rPr>
              <w:t>3</w:t>
            </w:r>
            <w:r>
              <w:rPr>
                <w:rFonts w:hint="default" w:ascii="Times New Roman" w:hAnsi="Times New Roman" w:eastAsia="宋体" w:cs="Times New Roman"/>
                <w:snapToGrid w:val="0"/>
                <w:color w:val="000000"/>
                <w:kern w:val="0"/>
                <w:sz w:val="24"/>
                <w:highlight w:val="none"/>
                <w:lang w:val="en-US" w:eastAsia="zh-CN"/>
              </w:rPr>
              <w:t>/a，则本项目导热油炉工业废气的产生量为</w:t>
            </w:r>
            <w:r>
              <w:rPr>
                <w:rFonts w:hint="eastAsia" w:cs="Times New Roman"/>
                <w:snapToGrid w:val="0"/>
                <w:color w:val="000000"/>
                <w:kern w:val="0"/>
                <w:sz w:val="24"/>
                <w:highlight w:val="none"/>
                <w:lang w:val="en-US" w:eastAsia="zh-CN"/>
              </w:rPr>
              <w:t>6034168</w:t>
            </w:r>
            <w:r>
              <w:rPr>
                <w:rFonts w:hint="default" w:ascii="Times New Roman" w:hAnsi="Times New Roman" w:eastAsia="宋体" w:cs="Times New Roman"/>
                <w:snapToGrid w:val="0"/>
                <w:color w:val="000000"/>
                <w:kern w:val="0"/>
                <w:sz w:val="24"/>
                <w:highlight w:val="none"/>
                <w:lang w:val="en-US" w:eastAsia="zh-CN"/>
              </w:rPr>
              <w:t>m</w:t>
            </w:r>
            <w:r>
              <w:rPr>
                <w:rFonts w:hint="default" w:ascii="Times New Roman" w:hAnsi="Times New Roman" w:eastAsia="宋体" w:cs="Times New Roman"/>
                <w:snapToGrid w:val="0"/>
                <w:color w:val="000000"/>
                <w:kern w:val="0"/>
                <w:sz w:val="24"/>
                <w:highlight w:val="none"/>
                <w:vertAlign w:val="superscript"/>
                <w:lang w:val="en-US" w:eastAsia="zh-CN"/>
              </w:rPr>
              <w:t>3</w:t>
            </w:r>
            <w:r>
              <w:rPr>
                <w:rFonts w:hint="default" w:ascii="Times New Roman" w:hAnsi="Times New Roman" w:eastAsia="宋体" w:cs="Times New Roman"/>
                <w:snapToGrid w:val="0"/>
                <w:color w:val="000000"/>
                <w:kern w:val="0"/>
                <w:sz w:val="24"/>
                <w:highlight w:val="none"/>
                <w:lang w:val="en-US" w:eastAsia="zh-CN"/>
              </w:rPr>
              <w:t>/a。</w:t>
            </w:r>
          </w:p>
          <w:p w14:paraId="2BD76E60">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参考《排放源统计调查产排污核算方法和系数手册》-锅炉产排污量核算系数手册中</w:t>
            </w:r>
            <w:r>
              <w:rPr>
                <w:rFonts w:hint="eastAsia" w:ascii="Times New Roman" w:hAnsi="Times New Roman" w:eastAsia="宋体" w:cs="Times New Roman"/>
                <w:snapToGrid w:val="0"/>
                <w:color w:val="000000"/>
                <w:kern w:val="0"/>
                <w:sz w:val="24"/>
                <w:highlight w:val="none"/>
                <w:lang w:val="en-US" w:eastAsia="zh-CN"/>
              </w:rPr>
              <w:t>“</w:t>
            </w:r>
            <w:r>
              <w:rPr>
                <w:rFonts w:hint="default" w:ascii="Times New Roman" w:hAnsi="Times New Roman" w:eastAsia="宋体" w:cs="Times New Roman"/>
                <w:snapToGrid w:val="0"/>
                <w:color w:val="000000"/>
                <w:kern w:val="0"/>
                <w:sz w:val="24"/>
                <w:highlight w:val="none"/>
                <w:lang w:val="en-US" w:eastAsia="zh-CN"/>
              </w:rPr>
              <w:t>4430工业锅炉（热力生产和供应行业）产污系数表-燃气工业锅炉</w:t>
            </w:r>
            <w:r>
              <w:rPr>
                <w:rFonts w:hint="eastAsia" w:ascii="Times New Roman" w:hAnsi="Times New Roman" w:eastAsia="宋体" w:cs="Times New Roman"/>
                <w:snapToGrid w:val="0"/>
                <w:color w:val="000000"/>
                <w:kern w:val="0"/>
                <w:sz w:val="24"/>
                <w:highlight w:val="none"/>
                <w:lang w:val="en-US" w:eastAsia="zh-CN"/>
              </w:rPr>
              <w:t>”</w:t>
            </w:r>
            <w:r>
              <w:rPr>
                <w:rFonts w:hint="default" w:ascii="Times New Roman" w:hAnsi="Times New Roman" w:eastAsia="宋体" w:cs="Times New Roman"/>
                <w:snapToGrid w:val="0"/>
                <w:color w:val="000000"/>
                <w:kern w:val="0"/>
                <w:sz w:val="24"/>
                <w:highlight w:val="none"/>
                <w:lang w:val="en-US" w:eastAsia="zh-CN"/>
              </w:rPr>
              <w:t>的产污系数，原料为天然气，工艺为室燃炉的SO</w:t>
            </w:r>
            <w:r>
              <w:rPr>
                <w:rFonts w:hint="default" w:ascii="Times New Roman" w:hAnsi="Times New Roman" w:eastAsia="宋体" w:cs="Times New Roman"/>
                <w:snapToGrid w:val="0"/>
                <w:color w:val="000000"/>
                <w:kern w:val="0"/>
                <w:sz w:val="24"/>
                <w:highlight w:val="none"/>
                <w:vertAlign w:val="subscript"/>
                <w:lang w:val="en-US" w:eastAsia="zh-CN"/>
              </w:rPr>
              <w:t>2</w:t>
            </w:r>
            <w:r>
              <w:rPr>
                <w:rFonts w:hint="default" w:ascii="Times New Roman" w:hAnsi="Times New Roman" w:eastAsia="宋体" w:cs="Times New Roman"/>
                <w:snapToGrid w:val="0"/>
                <w:color w:val="000000"/>
                <w:kern w:val="0"/>
                <w:sz w:val="24"/>
                <w:highlight w:val="none"/>
                <w:lang w:val="en-US" w:eastAsia="zh-CN"/>
              </w:rPr>
              <w:t>产污系数为0.02Skg/万m</w:t>
            </w:r>
            <w:r>
              <w:rPr>
                <w:rFonts w:hint="default" w:ascii="Times New Roman" w:hAnsi="Times New Roman" w:eastAsia="宋体" w:cs="Times New Roman"/>
                <w:snapToGrid w:val="0"/>
                <w:color w:val="000000"/>
                <w:kern w:val="0"/>
                <w:sz w:val="24"/>
                <w:highlight w:val="none"/>
                <w:vertAlign w:val="superscript"/>
                <w:lang w:val="en-US" w:eastAsia="zh-CN"/>
              </w:rPr>
              <w:t>3</w:t>
            </w:r>
            <w:r>
              <w:rPr>
                <w:rFonts w:hint="default" w:ascii="Times New Roman" w:hAnsi="Times New Roman" w:eastAsia="宋体" w:cs="Times New Roman"/>
                <w:snapToGrid w:val="0"/>
                <w:color w:val="000000"/>
                <w:kern w:val="0"/>
                <w:sz w:val="24"/>
                <w:highlight w:val="none"/>
                <w:lang w:val="en-US" w:eastAsia="zh-CN"/>
              </w:rPr>
              <w:t>·原料</w:t>
            </w:r>
            <w:r>
              <w:rPr>
                <w:rFonts w:hint="eastAsia" w:ascii="Times New Roman" w:hAnsi="Times New Roman" w:eastAsia="宋体" w:cs="Times New Roman"/>
                <w:snapToGrid w:val="0"/>
                <w:color w:val="000000"/>
                <w:kern w:val="0"/>
                <w:sz w:val="24"/>
                <w:highlight w:val="none"/>
                <w:lang w:val="en-US" w:eastAsia="zh-CN"/>
              </w:rPr>
              <w:t>；</w:t>
            </w:r>
            <w:r>
              <w:rPr>
                <w:rFonts w:hint="default" w:ascii="Times New Roman" w:hAnsi="Times New Roman" w:eastAsia="宋体" w:cs="Times New Roman"/>
                <w:snapToGrid w:val="0"/>
                <w:color w:val="000000"/>
                <w:kern w:val="0"/>
                <w:sz w:val="24"/>
                <w:highlight w:val="none"/>
                <w:lang w:val="en-US" w:eastAsia="zh-CN"/>
              </w:rPr>
              <w:t>NO</w:t>
            </w:r>
            <w:r>
              <w:rPr>
                <w:rFonts w:hint="default" w:ascii="Times New Roman" w:hAnsi="Times New Roman" w:eastAsia="宋体" w:cs="Times New Roman"/>
                <w:snapToGrid w:val="0"/>
                <w:color w:val="000000"/>
                <w:kern w:val="0"/>
                <w:sz w:val="24"/>
                <w:highlight w:val="none"/>
                <w:vertAlign w:val="subscript"/>
                <w:lang w:val="en-US" w:eastAsia="zh-CN"/>
              </w:rPr>
              <w:t>x</w:t>
            </w:r>
            <w:r>
              <w:rPr>
                <w:rFonts w:hint="default" w:ascii="Times New Roman" w:hAnsi="Times New Roman" w:eastAsia="宋体" w:cs="Times New Roman"/>
                <w:snapToGrid w:val="0"/>
                <w:color w:val="000000"/>
                <w:kern w:val="0"/>
                <w:sz w:val="24"/>
                <w:highlight w:val="none"/>
                <w:lang w:val="en-US" w:eastAsia="zh-CN"/>
              </w:rPr>
              <w:t>产污系数为</w:t>
            </w:r>
            <w:r>
              <w:rPr>
                <w:rFonts w:hint="eastAsia" w:cs="Times New Roman"/>
                <w:snapToGrid w:val="0"/>
                <w:color w:val="000000"/>
                <w:kern w:val="0"/>
                <w:sz w:val="24"/>
                <w:highlight w:val="none"/>
                <w:lang w:val="en-US" w:eastAsia="zh-CN"/>
              </w:rPr>
              <w:t>3.03</w:t>
            </w:r>
            <w:r>
              <w:rPr>
                <w:rFonts w:hint="default" w:ascii="Times New Roman" w:hAnsi="Times New Roman" w:eastAsia="宋体" w:cs="Times New Roman"/>
                <w:snapToGrid w:val="0"/>
                <w:color w:val="000000"/>
                <w:kern w:val="0"/>
                <w:sz w:val="24"/>
                <w:highlight w:val="none"/>
                <w:lang w:val="en-US" w:eastAsia="zh-CN"/>
              </w:rPr>
              <w:t>kg/万m</w:t>
            </w:r>
            <w:r>
              <w:rPr>
                <w:rFonts w:hint="default" w:ascii="Times New Roman" w:hAnsi="Times New Roman" w:eastAsia="宋体" w:cs="Times New Roman"/>
                <w:snapToGrid w:val="0"/>
                <w:color w:val="000000"/>
                <w:kern w:val="0"/>
                <w:sz w:val="24"/>
                <w:highlight w:val="none"/>
                <w:vertAlign w:val="superscript"/>
                <w:lang w:val="en-US" w:eastAsia="zh-CN"/>
              </w:rPr>
              <w:t>3</w:t>
            </w:r>
            <w:r>
              <w:rPr>
                <w:rFonts w:hint="default" w:ascii="Times New Roman" w:hAnsi="Times New Roman" w:eastAsia="宋体" w:cs="Times New Roman"/>
                <w:snapToGrid w:val="0"/>
                <w:color w:val="000000"/>
                <w:kern w:val="0"/>
                <w:sz w:val="24"/>
                <w:highlight w:val="none"/>
                <w:lang w:val="en-US" w:eastAsia="zh-CN"/>
              </w:rPr>
              <w:t>·原料。本项目导热油炉天然气的使用量为</w:t>
            </w:r>
            <w:r>
              <w:rPr>
                <w:rFonts w:hint="eastAsia" w:cs="Times New Roman"/>
                <w:snapToGrid w:val="0"/>
                <w:color w:val="000000"/>
                <w:kern w:val="0"/>
                <w:sz w:val="24"/>
                <w:highlight w:val="none"/>
                <w:lang w:val="en-US" w:eastAsia="zh-CN"/>
              </w:rPr>
              <w:t>56</w:t>
            </w:r>
            <w:r>
              <w:rPr>
                <w:rFonts w:hint="default" w:ascii="Times New Roman" w:hAnsi="Times New Roman" w:eastAsia="宋体" w:cs="Times New Roman"/>
                <w:snapToGrid w:val="0"/>
                <w:color w:val="000000"/>
                <w:kern w:val="0"/>
                <w:sz w:val="24"/>
                <w:highlight w:val="none"/>
                <w:lang w:val="en-US" w:eastAsia="zh-CN"/>
              </w:rPr>
              <w:t>万m</w:t>
            </w:r>
            <w:r>
              <w:rPr>
                <w:rFonts w:hint="default" w:ascii="Times New Roman" w:hAnsi="Times New Roman" w:eastAsia="宋体" w:cs="Times New Roman"/>
                <w:snapToGrid w:val="0"/>
                <w:color w:val="000000"/>
                <w:kern w:val="0"/>
                <w:sz w:val="24"/>
                <w:highlight w:val="none"/>
                <w:vertAlign w:val="superscript"/>
                <w:lang w:val="en-US" w:eastAsia="zh-CN"/>
              </w:rPr>
              <w:t>3</w:t>
            </w:r>
            <w:r>
              <w:rPr>
                <w:rFonts w:hint="default" w:ascii="Times New Roman" w:hAnsi="Times New Roman" w:eastAsia="宋体" w:cs="Times New Roman"/>
                <w:snapToGrid w:val="0"/>
                <w:color w:val="000000"/>
                <w:kern w:val="0"/>
                <w:sz w:val="24"/>
                <w:highlight w:val="none"/>
                <w:lang w:val="en-US" w:eastAsia="zh-CN"/>
              </w:rPr>
              <w:t>/a，S取</w:t>
            </w:r>
            <w:r>
              <w:rPr>
                <w:rFonts w:hint="eastAsia" w:cs="Times New Roman"/>
                <w:snapToGrid w:val="0"/>
                <w:color w:val="000000"/>
                <w:kern w:val="0"/>
                <w:sz w:val="24"/>
                <w:highlight w:val="none"/>
                <w:lang w:val="en-US" w:eastAsia="zh-CN"/>
              </w:rPr>
              <w:t>200</w:t>
            </w:r>
            <w:r>
              <w:rPr>
                <w:rFonts w:hint="default" w:ascii="Times New Roman" w:hAnsi="Times New Roman" w:eastAsia="宋体" w:cs="Times New Roman"/>
                <w:snapToGrid w:val="0"/>
                <w:color w:val="000000"/>
                <w:kern w:val="0"/>
                <w:sz w:val="24"/>
                <w:highlight w:val="none"/>
                <w:lang w:val="en-US" w:eastAsia="zh-CN"/>
              </w:rPr>
              <w:t>，则本项目锅炉工业废气中SO</w:t>
            </w:r>
            <w:r>
              <w:rPr>
                <w:rFonts w:hint="default" w:ascii="Times New Roman" w:hAnsi="Times New Roman" w:eastAsia="宋体" w:cs="Times New Roman"/>
                <w:snapToGrid w:val="0"/>
                <w:color w:val="000000"/>
                <w:kern w:val="0"/>
                <w:sz w:val="24"/>
                <w:highlight w:val="none"/>
                <w:vertAlign w:val="subscript"/>
                <w:lang w:val="en-US" w:eastAsia="zh-CN"/>
              </w:rPr>
              <w:t>2</w:t>
            </w:r>
            <w:r>
              <w:rPr>
                <w:rFonts w:hint="default" w:ascii="Times New Roman" w:hAnsi="Times New Roman" w:eastAsia="宋体" w:cs="Times New Roman"/>
                <w:snapToGrid w:val="0"/>
                <w:color w:val="000000"/>
                <w:kern w:val="0"/>
                <w:sz w:val="24"/>
                <w:highlight w:val="none"/>
                <w:lang w:val="en-US" w:eastAsia="zh-CN"/>
              </w:rPr>
              <w:t>产生量为0.</w:t>
            </w:r>
            <w:r>
              <w:rPr>
                <w:rFonts w:hint="eastAsia" w:cs="Times New Roman"/>
                <w:snapToGrid w:val="0"/>
                <w:color w:val="000000"/>
                <w:kern w:val="0"/>
                <w:sz w:val="24"/>
                <w:highlight w:val="none"/>
                <w:lang w:val="en-US" w:eastAsia="zh-CN"/>
              </w:rPr>
              <w:t>2</w:t>
            </w:r>
            <w:r>
              <w:rPr>
                <w:rFonts w:hint="default" w:ascii="Times New Roman" w:hAnsi="Times New Roman" w:eastAsia="宋体" w:cs="Times New Roman"/>
                <w:snapToGrid w:val="0"/>
                <w:color w:val="000000"/>
                <w:kern w:val="0"/>
                <w:sz w:val="24"/>
                <w:highlight w:val="none"/>
                <w:lang w:val="en-US" w:eastAsia="zh-CN"/>
              </w:rPr>
              <w:t>2t/a</w:t>
            </w:r>
            <w:r>
              <w:rPr>
                <w:rFonts w:hint="eastAsia" w:ascii="Times New Roman" w:hAnsi="Times New Roman" w:eastAsia="宋体" w:cs="Times New Roman"/>
                <w:snapToGrid w:val="0"/>
                <w:color w:val="000000"/>
                <w:kern w:val="0"/>
                <w:sz w:val="24"/>
                <w:highlight w:val="none"/>
                <w:vertAlign w:val="baseline"/>
                <w:lang w:val="en-US" w:eastAsia="zh-CN"/>
              </w:rPr>
              <w:t>；</w:t>
            </w:r>
            <w:r>
              <w:rPr>
                <w:rFonts w:hint="default" w:ascii="Times New Roman" w:hAnsi="Times New Roman" w:eastAsia="宋体" w:cs="Times New Roman"/>
                <w:snapToGrid w:val="0"/>
                <w:color w:val="000000"/>
                <w:kern w:val="0"/>
                <w:sz w:val="24"/>
                <w:highlight w:val="none"/>
                <w:lang w:val="en-US" w:eastAsia="zh-CN"/>
              </w:rPr>
              <w:t>NO</w:t>
            </w:r>
            <w:r>
              <w:rPr>
                <w:rFonts w:hint="default" w:ascii="Times New Roman" w:hAnsi="Times New Roman" w:eastAsia="宋体" w:cs="Times New Roman"/>
                <w:snapToGrid w:val="0"/>
                <w:color w:val="000000"/>
                <w:kern w:val="0"/>
                <w:sz w:val="24"/>
                <w:highlight w:val="none"/>
                <w:vertAlign w:val="subscript"/>
                <w:lang w:val="en-US" w:eastAsia="zh-CN"/>
              </w:rPr>
              <w:t>x</w:t>
            </w:r>
            <w:r>
              <w:rPr>
                <w:rFonts w:hint="default" w:ascii="Times New Roman" w:hAnsi="Times New Roman" w:eastAsia="宋体" w:cs="Times New Roman"/>
                <w:snapToGrid w:val="0"/>
                <w:color w:val="000000"/>
                <w:kern w:val="0"/>
                <w:sz w:val="24"/>
                <w:highlight w:val="none"/>
                <w:lang w:val="en-US" w:eastAsia="zh-CN"/>
              </w:rPr>
              <w:t>产生量为</w:t>
            </w:r>
            <w:r>
              <w:rPr>
                <w:rFonts w:hint="eastAsia" w:ascii="Times New Roman" w:hAnsi="Times New Roman" w:eastAsia="宋体" w:cs="Times New Roman"/>
                <w:snapToGrid w:val="0"/>
                <w:color w:val="000000"/>
                <w:kern w:val="0"/>
                <w:sz w:val="24"/>
                <w:highlight w:val="none"/>
                <w:lang w:val="en-US" w:eastAsia="zh-CN"/>
              </w:rPr>
              <w:t>0.</w:t>
            </w:r>
            <w:r>
              <w:rPr>
                <w:rFonts w:hint="eastAsia" w:cs="Times New Roman"/>
                <w:snapToGrid w:val="0"/>
                <w:color w:val="000000"/>
                <w:kern w:val="0"/>
                <w:sz w:val="24"/>
                <w:highlight w:val="none"/>
                <w:lang w:val="en-US" w:eastAsia="zh-CN"/>
              </w:rPr>
              <w:t>17</w:t>
            </w:r>
            <w:r>
              <w:rPr>
                <w:rFonts w:hint="default" w:ascii="Times New Roman" w:hAnsi="Times New Roman" w:eastAsia="宋体" w:cs="Times New Roman"/>
                <w:snapToGrid w:val="0"/>
                <w:color w:val="000000"/>
                <w:kern w:val="0"/>
                <w:sz w:val="24"/>
                <w:highlight w:val="none"/>
                <w:lang w:val="en-US" w:eastAsia="zh-CN"/>
              </w:rPr>
              <w:t>t/a。</w:t>
            </w:r>
          </w:p>
          <w:p w14:paraId="0325B82E">
            <w:pPr>
              <w:numPr>
                <w:ilvl w:val="0"/>
                <w:numId w:val="0"/>
              </w:numPr>
              <w:topLinePunct/>
              <w:adjustRightInd w:val="0"/>
              <w:snapToGrid w:val="0"/>
              <w:spacing w:line="360" w:lineRule="auto"/>
              <w:ind w:firstLine="480" w:firstLineChars="200"/>
              <w:rPr>
                <w:rFonts w:hint="eastAsia"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根据《环境保护实用数据手册》（胡名操编）中表2-69工业锅炉燃烧天然气颗粒物产污系数为80-240kg/106m</w:t>
            </w:r>
            <w:r>
              <w:rPr>
                <w:rFonts w:hint="default" w:ascii="Times New Roman" w:hAnsi="Times New Roman" w:eastAsia="宋体" w:cs="Times New Roman"/>
                <w:snapToGrid w:val="0"/>
                <w:color w:val="000000"/>
                <w:kern w:val="0"/>
                <w:sz w:val="24"/>
                <w:highlight w:val="none"/>
                <w:vertAlign w:val="superscript"/>
                <w:lang w:val="en-US" w:eastAsia="zh-CN"/>
              </w:rPr>
              <w:t>3</w:t>
            </w:r>
            <w:r>
              <w:rPr>
                <w:rFonts w:hint="default" w:ascii="Times New Roman" w:hAnsi="Times New Roman" w:eastAsia="宋体" w:cs="Times New Roman"/>
                <w:snapToGrid w:val="0"/>
                <w:color w:val="000000"/>
                <w:kern w:val="0"/>
                <w:sz w:val="24"/>
                <w:highlight w:val="none"/>
                <w:lang w:val="en-US" w:eastAsia="zh-CN"/>
              </w:rPr>
              <w:t>，本项目取</w:t>
            </w:r>
            <w:r>
              <w:rPr>
                <w:rFonts w:hint="eastAsia" w:cs="Times New Roman"/>
                <w:snapToGrid w:val="0"/>
                <w:color w:val="000000"/>
                <w:kern w:val="0"/>
                <w:sz w:val="24"/>
                <w:highlight w:val="none"/>
                <w:lang w:val="en-US" w:eastAsia="zh-CN"/>
              </w:rPr>
              <w:t>20</w:t>
            </w:r>
            <w:r>
              <w:rPr>
                <w:rFonts w:hint="default" w:ascii="Times New Roman" w:hAnsi="Times New Roman" w:eastAsia="宋体" w:cs="Times New Roman"/>
                <w:snapToGrid w:val="0"/>
                <w:color w:val="000000"/>
                <w:kern w:val="0"/>
                <w:sz w:val="24"/>
                <w:highlight w:val="none"/>
                <w:lang w:val="en-US" w:eastAsia="zh-CN"/>
              </w:rPr>
              <w:t>0kg/10</w:t>
            </w:r>
            <w:r>
              <w:rPr>
                <w:rFonts w:hint="default" w:ascii="Times New Roman" w:hAnsi="Times New Roman" w:eastAsia="宋体" w:cs="Times New Roman"/>
                <w:snapToGrid w:val="0"/>
                <w:color w:val="000000"/>
                <w:kern w:val="0"/>
                <w:sz w:val="24"/>
                <w:highlight w:val="none"/>
                <w:vertAlign w:val="superscript"/>
                <w:lang w:val="en-US" w:eastAsia="zh-CN"/>
              </w:rPr>
              <w:t>6</w:t>
            </w:r>
            <w:r>
              <w:rPr>
                <w:rFonts w:hint="default" w:ascii="Times New Roman" w:hAnsi="Times New Roman" w:eastAsia="宋体" w:cs="Times New Roman"/>
                <w:snapToGrid w:val="0"/>
                <w:color w:val="000000"/>
                <w:kern w:val="0"/>
                <w:sz w:val="24"/>
                <w:highlight w:val="none"/>
                <w:lang w:val="en-US" w:eastAsia="zh-CN"/>
              </w:rPr>
              <w:t>m</w:t>
            </w:r>
            <w:r>
              <w:rPr>
                <w:rFonts w:hint="default" w:ascii="Times New Roman" w:hAnsi="Times New Roman" w:eastAsia="宋体" w:cs="Times New Roman"/>
                <w:snapToGrid w:val="0"/>
                <w:color w:val="000000"/>
                <w:kern w:val="0"/>
                <w:sz w:val="24"/>
                <w:highlight w:val="none"/>
                <w:vertAlign w:val="superscript"/>
                <w:lang w:val="en-US" w:eastAsia="zh-CN"/>
              </w:rPr>
              <w:t>3</w:t>
            </w:r>
            <w:r>
              <w:rPr>
                <w:rFonts w:hint="default" w:ascii="Times New Roman" w:hAnsi="Times New Roman" w:eastAsia="宋体" w:cs="Times New Roman"/>
                <w:snapToGrid w:val="0"/>
                <w:color w:val="000000"/>
                <w:kern w:val="0"/>
                <w:sz w:val="24"/>
                <w:highlight w:val="none"/>
                <w:lang w:val="en-US" w:eastAsia="zh-CN"/>
              </w:rPr>
              <w:t>。本项目天然气的使用量为</w:t>
            </w:r>
            <w:r>
              <w:rPr>
                <w:rFonts w:hint="eastAsia" w:cs="Times New Roman"/>
                <w:snapToGrid w:val="0"/>
                <w:color w:val="000000"/>
                <w:kern w:val="0"/>
                <w:sz w:val="24"/>
                <w:highlight w:val="none"/>
                <w:lang w:val="en-US" w:eastAsia="zh-CN"/>
              </w:rPr>
              <w:t>56</w:t>
            </w:r>
            <w:r>
              <w:rPr>
                <w:rFonts w:hint="default" w:ascii="Times New Roman" w:hAnsi="Times New Roman" w:eastAsia="宋体" w:cs="Times New Roman"/>
                <w:snapToGrid w:val="0"/>
                <w:color w:val="000000"/>
                <w:kern w:val="0"/>
                <w:sz w:val="24"/>
                <w:highlight w:val="none"/>
                <w:lang w:val="en-US" w:eastAsia="zh-CN"/>
              </w:rPr>
              <w:t>万m</w:t>
            </w:r>
            <w:r>
              <w:rPr>
                <w:rFonts w:hint="default" w:ascii="Times New Roman" w:hAnsi="Times New Roman" w:eastAsia="宋体" w:cs="Times New Roman"/>
                <w:snapToGrid w:val="0"/>
                <w:color w:val="000000"/>
                <w:kern w:val="0"/>
                <w:sz w:val="24"/>
                <w:highlight w:val="none"/>
                <w:vertAlign w:val="superscript"/>
                <w:lang w:val="en-US" w:eastAsia="zh-CN"/>
              </w:rPr>
              <w:t>3</w:t>
            </w:r>
            <w:r>
              <w:rPr>
                <w:rFonts w:hint="default" w:ascii="Times New Roman" w:hAnsi="Times New Roman" w:eastAsia="宋体" w:cs="Times New Roman"/>
                <w:snapToGrid w:val="0"/>
                <w:color w:val="000000"/>
                <w:kern w:val="0"/>
                <w:sz w:val="24"/>
                <w:highlight w:val="none"/>
                <w:lang w:val="en-US" w:eastAsia="zh-CN"/>
              </w:rPr>
              <w:t>/a，则本项目颗粒物产生量为0.</w:t>
            </w:r>
            <w:r>
              <w:rPr>
                <w:rFonts w:hint="eastAsia" w:cs="Times New Roman"/>
                <w:snapToGrid w:val="0"/>
                <w:color w:val="000000"/>
                <w:kern w:val="0"/>
                <w:sz w:val="24"/>
                <w:highlight w:val="none"/>
                <w:lang w:val="en-US" w:eastAsia="zh-CN"/>
              </w:rPr>
              <w:t>11</w:t>
            </w:r>
            <w:r>
              <w:rPr>
                <w:rFonts w:hint="default" w:ascii="Times New Roman" w:hAnsi="Times New Roman" w:eastAsia="宋体" w:cs="Times New Roman"/>
                <w:snapToGrid w:val="0"/>
                <w:color w:val="000000"/>
                <w:kern w:val="0"/>
                <w:sz w:val="24"/>
                <w:highlight w:val="none"/>
                <w:lang w:val="en-US" w:eastAsia="zh-CN"/>
              </w:rPr>
              <w:t>t/a</w:t>
            </w:r>
            <w:r>
              <w:rPr>
                <w:rFonts w:hint="eastAsia" w:ascii="Times New Roman" w:hAnsi="Times New Roman" w:eastAsia="宋体" w:cs="Times New Roman"/>
                <w:snapToGrid w:val="0"/>
                <w:color w:val="000000"/>
                <w:kern w:val="0"/>
                <w:sz w:val="24"/>
                <w:highlight w:val="none"/>
                <w:lang w:val="en-US" w:eastAsia="zh-CN"/>
              </w:rPr>
              <w:t>。</w:t>
            </w:r>
          </w:p>
          <w:p w14:paraId="544A13F6">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eastAsia" w:cs="Times New Roman"/>
                <w:snapToGrid w:val="0"/>
                <w:color w:val="000000"/>
                <w:kern w:val="0"/>
                <w:sz w:val="24"/>
                <w:highlight w:val="none"/>
                <w:lang w:val="en-US" w:eastAsia="zh-CN"/>
              </w:rPr>
              <w:t>本项目导热油锅炉废气产排污一览表详见表4-1。</w:t>
            </w:r>
          </w:p>
          <w:p w14:paraId="3719BA50">
            <w:pPr>
              <w:pStyle w:val="3"/>
              <w:jc w:val="center"/>
              <w:rPr>
                <w:rFonts w:hint="default"/>
                <w:highlight w:val="none"/>
                <w:lang w:val="en-US" w:eastAsia="zh-CN"/>
              </w:rPr>
            </w:pPr>
            <w:r>
              <w:rPr>
                <w:rFonts w:hint="eastAsia"/>
                <w:highlight w:val="none"/>
              </w:rPr>
              <w:t>表4-</w:t>
            </w:r>
            <w:r>
              <w:rPr>
                <w:rFonts w:hint="eastAsia"/>
                <w:highlight w:val="none"/>
                <w:lang w:val="en-US" w:eastAsia="zh-CN"/>
              </w:rPr>
              <w:t xml:space="preserve">1     </w:t>
            </w:r>
            <w:r>
              <w:rPr>
                <w:rFonts w:hint="eastAsia"/>
                <w:highlight w:val="none"/>
              </w:rPr>
              <w:t>本项目导热油锅炉废气产排污情况一览表</w:t>
            </w:r>
          </w:p>
          <w:tbl>
            <w:tblPr>
              <w:tblStyle w:val="20"/>
              <w:tblW w:w="5000" w:type="pct"/>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0"/>
              <w:gridCol w:w="976"/>
              <w:gridCol w:w="990"/>
              <w:gridCol w:w="974"/>
              <w:gridCol w:w="1631"/>
              <w:gridCol w:w="850"/>
              <w:gridCol w:w="910"/>
              <w:gridCol w:w="1108"/>
            </w:tblGrid>
            <w:tr w14:paraId="47FE1A4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1" w:type="pct"/>
                  <w:vMerge w:val="restart"/>
                  <w:tcBorders>
                    <w:right w:val="single" w:color="auto" w:sz="6" w:space="0"/>
                    <w:tl2br w:val="nil"/>
                    <w:tr2bl w:val="nil"/>
                  </w:tcBorders>
                  <w:noWrap w:val="0"/>
                  <w:vAlign w:val="center"/>
                </w:tcPr>
                <w:p w14:paraId="5A9B9D8A">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r>
                    <w:rPr>
                      <w:rFonts w:hint="default" w:ascii="Times New Roman" w:hAnsi="Times New Roman" w:eastAsia="宋体" w:cs="Times New Roman"/>
                      <w:b/>
                      <w:bCs/>
                      <w:snapToGrid w:val="0"/>
                      <w:color w:val="000000"/>
                      <w:kern w:val="0"/>
                      <w:sz w:val="21"/>
                      <w:szCs w:val="21"/>
                      <w:highlight w:val="none"/>
                      <w:vertAlign w:val="baseline"/>
                      <w:lang w:val="en-US" w:eastAsia="zh-CN"/>
                    </w:rPr>
                    <w:t>污染源</w:t>
                  </w:r>
                </w:p>
              </w:tc>
              <w:tc>
                <w:tcPr>
                  <w:tcW w:w="591" w:type="pct"/>
                  <w:vMerge w:val="restart"/>
                  <w:tcBorders>
                    <w:left w:val="single" w:color="auto" w:sz="6" w:space="0"/>
                    <w:bottom w:val="single" w:color="auto" w:sz="6" w:space="0"/>
                    <w:right w:val="single" w:color="auto" w:sz="6" w:space="0"/>
                  </w:tcBorders>
                  <w:noWrap w:val="0"/>
                  <w:vAlign w:val="center"/>
                </w:tcPr>
                <w:p w14:paraId="138AEDE2">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r>
                    <w:rPr>
                      <w:rFonts w:hint="default" w:ascii="Times New Roman" w:hAnsi="Times New Roman" w:eastAsia="宋体" w:cs="Times New Roman"/>
                      <w:b/>
                      <w:bCs/>
                      <w:snapToGrid w:val="0"/>
                      <w:color w:val="000000"/>
                      <w:kern w:val="0"/>
                      <w:sz w:val="21"/>
                      <w:szCs w:val="21"/>
                      <w:highlight w:val="none"/>
                      <w:vertAlign w:val="baseline"/>
                      <w:lang w:val="en-US" w:eastAsia="zh-CN"/>
                    </w:rPr>
                    <w:t>污染物名称</w:t>
                  </w:r>
                </w:p>
              </w:tc>
              <w:tc>
                <w:tcPr>
                  <w:tcW w:w="1190" w:type="pct"/>
                  <w:gridSpan w:val="2"/>
                  <w:tcBorders>
                    <w:left w:val="single" w:color="auto" w:sz="6" w:space="0"/>
                    <w:bottom w:val="single" w:color="auto" w:sz="6" w:space="0"/>
                    <w:right w:val="single" w:color="auto" w:sz="6" w:space="0"/>
                  </w:tcBorders>
                  <w:noWrap w:val="0"/>
                  <w:vAlign w:val="center"/>
                </w:tcPr>
                <w:p w14:paraId="5A2A36E4">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r>
                    <w:rPr>
                      <w:rFonts w:hint="default" w:ascii="Times New Roman" w:hAnsi="Times New Roman" w:eastAsia="宋体" w:cs="Times New Roman"/>
                      <w:b/>
                      <w:bCs/>
                      <w:snapToGrid w:val="0"/>
                      <w:color w:val="000000"/>
                      <w:kern w:val="0"/>
                      <w:sz w:val="21"/>
                      <w:szCs w:val="21"/>
                      <w:highlight w:val="none"/>
                      <w:vertAlign w:val="baseline"/>
                      <w:lang w:val="en-US" w:eastAsia="zh-CN"/>
                    </w:rPr>
                    <w:t>产生情况</w:t>
                  </w:r>
                </w:p>
              </w:tc>
              <w:tc>
                <w:tcPr>
                  <w:tcW w:w="988" w:type="pct"/>
                  <w:vMerge w:val="restart"/>
                  <w:tcBorders>
                    <w:left w:val="single" w:color="auto" w:sz="6" w:space="0"/>
                    <w:bottom w:val="single" w:color="auto" w:sz="6" w:space="0"/>
                    <w:right w:val="single" w:color="auto" w:sz="6" w:space="0"/>
                  </w:tcBorders>
                  <w:noWrap w:val="0"/>
                  <w:vAlign w:val="center"/>
                </w:tcPr>
                <w:p w14:paraId="511E7147">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r>
                    <w:rPr>
                      <w:rFonts w:hint="default" w:ascii="Times New Roman" w:hAnsi="Times New Roman" w:eastAsia="宋体" w:cs="Times New Roman"/>
                      <w:b/>
                      <w:bCs/>
                      <w:snapToGrid w:val="0"/>
                      <w:color w:val="000000"/>
                      <w:kern w:val="0"/>
                      <w:sz w:val="21"/>
                      <w:szCs w:val="21"/>
                      <w:highlight w:val="none"/>
                      <w:vertAlign w:val="baseline"/>
                      <w:lang w:val="en-US" w:eastAsia="zh-CN"/>
                    </w:rPr>
                    <w:t>治理措施</w:t>
                  </w:r>
                </w:p>
              </w:tc>
              <w:tc>
                <w:tcPr>
                  <w:tcW w:w="1737" w:type="pct"/>
                  <w:gridSpan w:val="3"/>
                  <w:tcBorders>
                    <w:left w:val="single" w:color="auto" w:sz="6" w:space="0"/>
                    <w:bottom w:val="single" w:color="auto" w:sz="6" w:space="0"/>
                  </w:tcBorders>
                  <w:noWrap w:val="0"/>
                  <w:vAlign w:val="center"/>
                </w:tcPr>
                <w:p w14:paraId="667D9444">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r>
                    <w:rPr>
                      <w:rFonts w:hint="default" w:ascii="Times New Roman" w:hAnsi="Times New Roman" w:eastAsia="宋体" w:cs="Times New Roman"/>
                      <w:b/>
                      <w:bCs/>
                      <w:snapToGrid w:val="0"/>
                      <w:color w:val="000000"/>
                      <w:kern w:val="0"/>
                      <w:sz w:val="21"/>
                      <w:szCs w:val="21"/>
                      <w:highlight w:val="none"/>
                      <w:vertAlign w:val="baseline"/>
                      <w:lang w:val="en-US" w:eastAsia="zh-CN"/>
                    </w:rPr>
                    <w:t>排放情况</w:t>
                  </w:r>
                </w:p>
              </w:tc>
            </w:tr>
            <w:tr w14:paraId="3C59655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1" w:type="pct"/>
                  <w:vMerge w:val="continue"/>
                  <w:tcBorders>
                    <w:bottom w:val="single" w:color="auto" w:sz="8" w:space="0"/>
                    <w:right w:val="single" w:color="auto" w:sz="6" w:space="0"/>
                    <w:tl2br w:val="nil"/>
                    <w:tr2bl w:val="nil"/>
                  </w:tcBorders>
                  <w:noWrap w:val="0"/>
                  <w:vAlign w:val="center"/>
                </w:tcPr>
                <w:p w14:paraId="249FDEE5">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p>
              </w:tc>
              <w:tc>
                <w:tcPr>
                  <w:tcW w:w="591" w:type="pct"/>
                  <w:vMerge w:val="continue"/>
                  <w:tcBorders>
                    <w:top w:val="single" w:color="auto" w:sz="6" w:space="0"/>
                    <w:left w:val="single" w:color="auto" w:sz="6" w:space="0"/>
                    <w:bottom w:val="single" w:color="auto" w:sz="8" w:space="0"/>
                    <w:right w:val="single" w:color="auto" w:sz="6" w:space="0"/>
                  </w:tcBorders>
                  <w:noWrap w:val="0"/>
                  <w:vAlign w:val="center"/>
                </w:tcPr>
                <w:p w14:paraId="2FBBF0EA">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p>
              </w:tc>
              <w:tc>
                <w:tcPr>
                  <w:tcW w:w="600" w:type="pct"/>
                  <w:tcBorders>
                    <w:top w:val="single" w:color="auto" w:sz="6" w:space="0"/>
                    <w:left w:val="single" w:color="auto" w:sz="6" w:space="0"/>
                    <w:bottom w:val="single" w:color="auto" w:sz="8" w:space="0"/>
                    <w:right w:val="single" w:color="auto" w:sz="6" w:space="0"/>
                  </w:tcBorders>
                  <w:noWrap w:val="0"/>
                  <w:vAlign w:val="center"/>
                </w:tcPr>
                <w:p w14:paraId="41465970">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r>
                    <w:rPr>
                      <w:rFonts w:hint="default" w:ascii="Times New Roman" w:hAnsi="Times New Roman" w:eastAsia="宋体" w:cs="Times New Roman"/>
                      <w:b/>
                      <w:bCs/>
                      <w:snapToGrid w:val="0"/>
                      <w:color w:val="000000"/>
                      <w:kern w:val="0"/>
                      <w:sz w:val="21"/>
                      <w:szCs w:val="21"/>
                      <w:highlight w:val="none"/>
                      <w:vertAlign w:val="baseline"/>
                      <w:lang w:val="en-US" w:eastAsia="zh-CN"/>
                    </w:rPr>
                    <w:t>产生量t/a</w:t>
                  </w:r>
                </w:p>
              </w:tc>
              <w:tc>
                <w:tcPr>
                  <w:tcW w:w="590" w:type="pct"/>
                  <w:tcBorders>
                    <w:top w:val="single" w:color="auto" w:sz="6" w:space="0"/>
                    <w:left w:val="single" w:color="auto" w:sz="6" w:space="0"/>
                    <w:bottom w:val="single" w:color="auto" w:sz="8" w:space="0"/>
                    <w:right w:val="single" w:color="auto" w:sz="6" w:space="0"/>
                  </w:tcBorders>
                  <w:noWrap w:val="0"/>
                  <w:vAlign w:val="center"/>
                </w:tcPr>
                <w:p w14:paraId="3545BC52">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r>
                    <w:rPr>
                      <w:rFonts w:hint="default" w:ascii="Times New Roman" w:hAnsi="Times New Roman" w:eastAsia="宋体" w:cs="Times New Roman"/>
                      <w:b/>
                      <w:bCs/>
                      <w:snapToGrid w:val="0"/>
                      <w:color w:val="000000"/>
                      <w:kern w:val="0"/>
                      <w:sz w:val="21"/>
                      <w:szCs w:val="21"/>
                      <w:highlight w:val="none"/>
                      <w:vertAlign w:val="baseline"/>
                      <w:lang w:val="en-US" w:eastAsia="zh-CN"/>
                    </w:rPr>
                    <w:t>产生速率kg/h</w:t>
                  </w:r>
                </w:p>
              </w:tc>
              <w:tc>
                <w:tcPr>
                  <w:tcW w:w="988" w:type="pct"/>
                  <w:vMerge w:val="continue"/>
                  <w:tcBorders>
                    <w:top w:val="single" w:color="auto" w:sz="6" w:space="0"/>
                    <w:left w:val="single" w:color="auto" w:sz="6" w:space="0"/>
                    <w:bottom w:val="single" w:color="auto" w:sz="8" w:space="0"/>
                    <w:right w:val="single" w:color="auto" w:sz="6" w:space="0"/>
                  </w:tcBorders>
                  <w:noWrap w:val="0"/>
                  <w:vAlign w:val="center"/>
                </w:tcPr>
                <w:p w14:paraId="25C8C9B3">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p>
              </w:tc>
              <w:tc>
                <w:tcPr>
                  <w:tcW w:w="515" w:type="pct"/>
                  <w:tcBorders>
                    <w:top w:val="single" w:color="auto" w:sz="6" w:space="0"/>
                    <w:left w:val="single" w:color="auto" w:sz="6" w:space="0"/>
                    <w:bottom w:val="single" w:color="auto" w:sz="8" w:space="0"/>
                    <w:right w:val="single" w:color="auto" w:sz="6" w:space="0"/>
                  </w:tcBorders>
                  <w:noWrap w:val="0"/>
                  <w:vAlign w:val="center"/>
                </w:tcPr>
                <w:p w14:paraId="48EC7D4C">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r>
                    <w:rPr>
                      <w:rFonts w:hint="default" w:ascii="Times New Roman" w:hAnsi="Times New Roman" w:eastAsia="宋体" w:cs="Times New Roman"/>
                      <w:b/>
                      <w:bCs/>
                      <w:snapToGrid w:val="0"/>
                      <w:color w:val="000000"/>
                      <w:kern w:val="0"/>
                      <w:sz w:val="21"/>
                      <w:szCs w:val="21"/>
                      <w:highlight w:val="none"/>
                      <w:vertAlign w:val="baseline"/>
                      <w:lang w:val="en-US" w:eastAsia="zh-CN"/>
                    </w:rPr>
                    <w:t>排放量t/a</w:t>
                  </w:r>
                </w:p>
              </w:tc>
              <w:tc>
                <w:tcPr>
                  <w:tcW w:w="551" w:type="pct"/>
                  <w:tcBorders>
                    <w:top w:val="single" w:color="auto" w:sz="6" w:space="0"/>
                    <w:left w:val="single" w:color="auto" w:sz="6" w:space="0"/>
                    <w:bottom w:val="single" w:color="auto" w:sz="8" w:space="0"/>
                    <w:right w:val="single" w:color="auto" w:sz="6" w:space="0"/>
                  </w:tcBorders>
                  <w:noWrap w:val="0"/>
                  <w:vAlign w:val="center"/>
                </w:tcPr>
                <w:p w14:paraId="7C0297AE">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r>
                    <w:rPr>
                      <w:rFonts w:hint="default" w:ascii="Times New Roman" w:hAnsi="Times New Roman" w:eastAsia="宋体" w:cs="Times New Roman"/>
                      <w:b/>
                      <w:bCs/>
                      <w:snapToGrid w:val="0"/>
                      <w:color w:val="000000"/>
                      <w:kern w:val="0"/>
                      <w:sz w:val="21"/>
                      <w:szCs w:val="21"/>
                      <w:highlight w:val="none"/>
                      <w:vertAlign w:val="baseline"/>
                      <w:lang w:val="en-US" w:eastAsia="zh-CN"/>
                    </w:rPr>
                    <w:t>排放速率kg/h</w:t>
                  </w:r>
                </w:p>
              </w:tc>
              <w:tc>
                <w:tcPr>
                  <w:tcW w:w="671" w:type="pct"/>
                  <w:tcBorders>
                    <w:top w:val="single" w:color="auto" w:sz="6" w:space="0"/>
                    <w:left w:val="single" w:color="auto" w:sz="6" w:space="0"/>
                    <w:bottom w:val="single" w:color="auto" w:sz="8" w:space="0"/>
                  </w:tcBorders>
                  <w:noWrap w:val="0"/>
                  <w:vAlign w:val="center"/>
                </w:tcPr>
                <w:p w14:paraId="71C42832">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r>
                    <w:rPr>
                      <w:rFonts w:hint="default" w:ascii="Times New Roman" w:hAnsi="Times New Roman" w:eastAsia="宋体" w:cs="Times New Roman"/>
                      <w:b/>
                      <w:bCs/>
                      <w:snapToGrid w:val="0"/>
                      <w:color w:val="000000"/>
                      <w:kern w:val="0"/>
                      <w:sz w:val="21"/>
                      <w:szCs w:val="21"/>
                      <w:highlight w:val="none"/>
                      <w:vertAlign w:val="baseline"/>
                      <w:lang w:val="en-US" w:eastAsia="zh-CN"/>
                    </w:rPr>
                    <w:t>排放浓度mg/m</w:t>
                  </w:r>
                  <w:r>
                    <w:rPr>
                      <w:rFonts w:hint="default" w:ascii="Times New Roman" w:hAnsi="Times New Roman" w:eastAsia="宋体" w:cs="Times New Roman"/>
                      <w:b/>
                      <w:bCs/>
                      <w:snapToGrid w:val="0"/>
                      <w:color w:val="000000"/>
                      <w:kern w:val="0"/>
                      <w:sz w:val="21"/>
                      <w:szCs w:val="21"/>
                      <w:highlight w:val="none"/>
                      <w:vertAlign w:val="superscript"/>
                      <w:lang w:val="en-US" w:eastAsia="zh-CN"/>
                    </w:rPr>
                    <w:t>3</w:t>
                  </w:r>
                </w:p>
              </w:tc>
            </w:tr>
            <w:tr w14:paraId="14B9FE2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 w:hRule="atLeast"/>
                <w:jc w:val="center"/>
              </w:trPr>
              <w:tc>
                <w:tcPr>
                  <w:tcW w:w="491" w:type="pct"/>
                  <w:vMerge w:val="restart"/>
                  <w:tcBorders>
                    <w:top w:val="single" w:color="auto" w:sz="6" w:space="0"/>
                    <w:bottom w:val="single" w:color="auto" w:sz="6" w:space="0"/>
                    <w:right w:val="single" w:color="auto" w:sz="6" w:space="0"/>
                  </w:tcBorders>
                  <w:noWrap w:val="0"/>
                  <w:vAlign w:val="center"/>
                </w:tcPr>
                <w:p w14:paraId="280B9BE9">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导热油炉废气</w:t>
                  </w:r>
                </w:p>
              </w:tc>
              <w:tc>
                <w:tcPr>
                  <w:tcW w:w="591" w:type="pct"/>
                  <w:tcBorders>
                    <w:top w:val="single" w:color="auto" w:sz="6" w:space="0"/>
                    <w:left w:val="single" w:color="auto" w:sz="6" w:space="0"/>
                    <w:bottom w:val="single" w:color="auto" w:sz="6" w:space="0"/>
                    <w:right w:val="single" w:color="auto" w:sz="6" w:space="0"/>
                  </w:tcBorders>
                  <w:noWrap w:val="0"/>
                  <w:vAlign w:val="center"/>
                </w:tcPr>
                <w:p w14:paraId="667CDDF5">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颗粒物</w:t>
                  </w:r>
                </w:p>
              </w:tc>
              <w:tc>
                <w:tcPr>
                  <w:tcW w:w="600" w:type="pct"/>
                  <w:tcBorders>
                    <w:top w:val="single" w:color="auto" w:sz="6" w:space="0"/>
                    <w:left w:val="single" w:color="auto" w:sz="6" w:space="0"/>
                    <w:bottom w:val="single" w:color="auto" w:sz="6" w:space="0"/>
                    <w:right w:val="single" w:color="auto" w:sz="6" w:space="0"/>
                  </w:tcBorders>
                  <w:noWrap w:val="0"/>
                  <w:vAlign w:val="center"/>
                </w:tcPr>
                <w:p w14:paraId="063F7AC6">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r>
                    <w:rPr>
                      <w:rFonts w:hint="eastAsia" w:cs="Times New Roman"/>
                      <w:b w:val="0"/>
                      <w:bCs w:val="0"/>
                      <w:snapToGrid w:val="0"/>
                      <w:color w:val="000000"/>
                      <w:kern w:val="0"/>
                      <w:sz w:val="21"/>
                      <w:szCs w:val="21"/>
                      <w:highlight w:val="none"/>
                      <w:vertAlign w:val="baseline"/>
                      <w:lang w:val="en-US" w:eastAsia="zh-CN"/>
                    </w:rPr>
                    <w:t>0.11</w:t>
                  </w:r>
                </w:p>
              </w:tc>
              <w:tc>
                <w:tcPr>
                  <w:tcW w:w="590" w:type="pct"/>
                  <w:tcBorders>
                    <w:top w:val="single" w:color="auto" w:sz="6" w:space="0"/>
                    <w:left w:val="single" w:color="auto" w:sz="6" w:space="0"/>
                    <w:bottom w:val="single" w:color="auto" w:sz="6" w:space="0"/>
                    <w:right w:val="single" w:color="auto" w:sz="6" w:space="0"/>
                  </w:tcBorders>
                  <w:noWrap w:val="0"/>
                  <w:vAlign w:val="center"/>
                </w:tcPr>
                <w:p w14:paraId="3C0EB59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highlight w:val="none"/>
                      <w:u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0.</w:t>
                  </w:r>
                  <w:r>
                    <w:rPr>
                      <w:rFonts w:hint="eastAsia" w:cs="Times New Roman"/>
                      <w:i w:val="0"/>
                      <w:iCs w:val="0"/>
                      <w:color w:val="000000"/>
                      <w:kern w:val="0"/>
                      <w:sz w:val="21"/>
                      <w:szCs w:val="21"/>
                      <w:highlight w:val="none"/>
                      <w:u w:val="none"/>
                      <w:lang w:val="en-US" w:eastAsia="zh-CN" w:bidi="ar"/>
                    </w:rPr>
                    <w:t>03</w:t>
                  </w:r>
                </w:p>
              </w:tc>
              <w:tc>
                <w:tcPr>
                  <w:tcW w:w="988" w:type="pct"/>
                  <w:vMerge w:val="restart"/>
                  <w:tcBorders>
                    <w:top w:val="single" w:color="auto" w:sz="6" w:space="0"/>
                    <w:left w:val="single" w:color="auto" w:sz="6" w:space="0"/>
                    <w:bottom w:val="single" w:color="auto" w:sz="6" w:space="0"/>
                    <w:right w:val="single" w:color="auto" w:sz="6" w:space="0"/>
                  </w:tcBorders>
                  <w:noWrap w:val="0"/>
                  <w:vAlign w:val="center"/>
                </w:tcPr>
                <w:p w14:paraId="228AC54D">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低氮燃烧</w:t>
                  </w:r>
                  <w:r>
                    <w:rPr>
                      <w:rFonts w:hint="eastAsia" w:cs="Times New Roman"/>
                      <w:b w:val="0"/>
                      <w:bCs w:val="0"/>
                      <w:snapToGrid w:val="0"/>
                      <w:color w:val="000000"/>
                      <w:kern w:val="0"/>
                      <w:sz w:val="21"/>
                      <w:szCs w:val="21"/>
                      <w:highlight w:val="none"/>
                      <w:vertAlign w:val="baseline"/>
                      <w:lang w:val="en-US" w:eastAsia="zh-CN"/>
                    </w:rPr>
                    <w:t>+12</w:t>
                  </w: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m排气筒（</w:t>
                  </w:r>
                  <w:r>
                    <w:rPr>
                      <w:rFonts w:hint="eastAsia" w:ascii="Times New Roman" w:hAnsi="Times New Roman" w:eastAsia="宋体" w:cs="Times New Roman"/>
                      <w:b w:val="0"/>
                      <w:bCs w:val="0"/>
                      <w:snapToGrid w:val="0"/>
                      <w:color w:val="000000"/>
                      <w:kern w:val="0"/>
                      <w:sz w:val="21"/>
                      <w:szCs w:val="21"/>
                      <w:highlight w:val="none"/>
                      <w:vertAlign w:val="baseline"/>
                      <w:lang w:val="en-US" w:eastAsia="zh-CN"/>
                    </w:rPr>
                    <w:t>DA00</w:t>
                  </w:r>
                  <w:r>
                    <w:rPr>
                      <w:rFonts w:hint="eastAsia" w:cs="Times New Roman"/>
                      <w:b w:val="0"/>
                      <w:bCs w:val="0"/>
                      <w:snapToGrid w:val="0"/>
                      <w:color w:val="000000"/>
                      <w:kern w:val="0"/>
                      <w:sz w:val="21"/>
                      <w:szCs w:val="21"/>
                      <w:highlight w:val="none"/>
                      <w:vertAlign w:val="baseline"/>
                      <w:lang w:val="en-US" w:eastAsia="zh-CN"/>
                    </w:rPr>
                    <w:t>2</w:t>
                  </w: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w:t>
                  </w:r>
                </w:p>
              </w:tc>
              <w:tc>
                <w:tcPr>
                  <w:tcW w:w="515" w:type="pct"/>
                  <w:tcBorders>
                    <w:top w:val="single" w:color="auto" w:sz="6" w:space="0"/>
                    <w:left w:val="single" w:color="auto" w:sz="6" w:space="0"/>
                    <w:bottom w:val="single" w:color="auto" w:sz="6" w:space="0"/>
                    <w:right w:val="single" w:color="auto" w:sz="6" w:space="0"/>
                  </w:tcBorders>
                  <w:noWrap w:val="0"/>
                  <w:vAlign w:val="center"/>
                </w:tcPr>
                <w:p w14:paraId="786E2F87">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bidi="ar-SA"/>
                    </w:rPr>
                  </w:pP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0.</w:t>
                  </w:r>
                  <w:r>
                    <w:rPr>
                      <w:rFonts w:hint="eastAsia" w:cs="Times New Roman"/>
                      <w:b w:val="0"/>
                      <w:bCs w:val="0"/>
                      <w:snapToGrid w:val="0"/>
                      <w:color w:val="000000"/>
                      <w:kern w:val="0"/>
                      <w:sz w:val="21"/>
                      <w:szCs w:val="21"/>
                      <w:highlight w:val="none"/>
                      <w:vertAlign w:val="baseline"/>
                      <w:lang w:val="en-US" w:eastAsia="zh-CN"/>
                    </w:rPr>
                    <w:t>11</w:t>
                  </w:r>
                </w:p>
              </w:tc>
              <w:tc>
                <w:tcPr>
                  <w:tcW w:w="551" w:type="pct"/>
                  <w:tcBorders>
                    <w:top w:val="single" w:color="auto" w:sz="6" w:space="0"/>
                    <w:left w:val="single" w:color="auto" w:sz="6" w:space="0"/>
                    <w:bottom w:val="single" w:color="auto" w:sz="6" w:space="0"/>
                    <w:right w:val="single" w:color="auto" w:sz="6" w:space="0"/>
                  </w:tcBorders>
                  <w:noWrap w:val="0"/>
                  <w:vAlign w:val="center"/>
                </w:tcPr>
                <w:p w14:paraId="0B69BC5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highlight w:val="none"/>
                      <w:u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0.</w:t>
                  </w:r>
                  <w:r>
                    <w:rPr>
                      <w:rFonts w:hint="eastAsia" w:cs="Times New Roman"/>
                      <w:i w:val="0"/>
                      <w:iCs w:val="0"/>
                      <w:color w:val="000000"/>
                      <w:kern w:val="0"/>
                      <w:sz w:val="21"/>
                      <w:szCs w:val="21"/>
                      <w:highlight w:val="none"/>
                      <w:u w:val="none"/>
                      <w:lang w:val="en-US" w:eastAsia="zh-CN" w:bidi="ar"/>
                    </w:rPr>
                    <w:t>03</w:t>
                  </w:r>
                </w:p>
              </w:tc>
              <w:tc>
                <w:tcPr>
                  <w:tcW w:w="671" w:type="pct"/>
                  <w:tcBorders>
                    <w:top w:val="single" w:color="auto" w:sz="6" w:space="0"/>
                    <w:left w:val="single" w:color="auto" w:sz="6" w:space="0"/>
                    <w:bottom w:val="single" w:color="auto" w:sz="6" w:space="0"/>
                  </w:tcBorders>
                  <w:noWrap w:val="0"/>
                  <w:vAlign w:val="center"/>
                </w:tcPr>
                <w:p w14:paraId="5779DC9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highlight w:val="none"/>
                      <w:u w:val="none"/>
                      <w:lang w:val="en-US" w:eastAsia="zh-CN" w:bidi="ar-SA"/>
                    </w:rPr>
                  </w:pPr>
                  <w:r>
                    <w:rPr>
                      <w:rFonts w:hint="eastAsia" w:cs="Times New Roman"/>
                      <w:i w:val="0"/>
                      <w:iCs w:val="0"/>
                      <w:color w:val="000000"/>
                      <w:kern w:val="0"/>
                      <w:sz w:val="21"/>
                      <w:szCs w:val="21"/>
                      <w:highlight w:val="none"/>
                      <w:u w:val="none"/>
                      <w:lang w:val="en-US" w:eastAsia="zh-CN" w:bidi="ar"/>
                    </w:rPr>
                    <w:t>19.09</w:t>
                  </w:r>
                </w:p>
              </w:tc>
            </w:tr>
            <w:tr w14:paraId="20D33FE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jc w:val="center"/>
              </w:trPr>
              <w:tc>
                <w:tcPr>
                  <w:tcW w:w="491" w:type="pct"/>
                  <w:vMerge w:val="continue"/>
                  <w:tcBorders>
                    <w:top w:val="single" w:color="auto" w:sz="6" w:space="0"/>
                    <w:bottom w:val="single" w:color="auto" w:sz="6" w:space="0"/>
                    <w:right w:val="single" w:color="auto" w:sz="6" w:space="0"/>
                  </w:tcBorders>
                  <w:noWrap w:val="0"/>
                  <w:vAlign w:val="center"/>
                </w:tcPr>
                <w:p w14:paraId="40D46924">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p>
              </w:tc>
              <w:tc>
                <w:tcPr>
                  <w:tcW w:w="591" w:type="pct"/>
                  <w:tcBorders>
                    <w:top w:val="single" w:color="auto" w:sz="6" w:space="0"/>
                    <w:left w:val="single" w:color="auto" w:sz="6" w:space="0"/>
                    <w:bottom w:val="single" w:color="auto" w:sz="6" w:space="0"/>
                    <w:right w:val="single" w:color="auto" w:sz="6" w:space="0"/>
                  </w:tcBorders>
                  <w:noWrap w:val="0"/>
                  <w:vAlign w:val="center"/>
                </w:tcPr>
                <w:p w14:paraId="7A5439C0">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SO</w:t>
                  </w:r>
                  <w:r>
                    <w:rPr>
                      <w:rFonts w:hint="default" w:ascii="Times New Roman" w:hAnsi="Times New Roman" w:eastAsia="宋体" w:cs="Times New Roman"/>
                      <w:b w:val="0"/>
                      <w:bCs w:val="0"/>
                      <w:snapToGrid w:val="0"/>
                      <w:color w:val="000000"/>
                      <w:kern w:val="0"/>
                      <w:sz w:val="21"/>
                      <w:szCs w:val="21"/>
                      <w:highlight w:val="none"/>
                      <w:vertAlign w:val="subscript"/>
                      <w:lang w:val="en-US" w:eastAsia="zh-CN"/>
                    </w:rPr>
                    <w:t>2</w:t>
                  </w:r>
                </w:p>
              </w:tc>
              <w:tc>
                <w:tcPr>
                  <w:tcW w:w="600" w:type="pct"/>
                  <w:tcBorders>
                    <w:top w:val="single" w:color="auto" w:sz="6" w:space="0"/>
                    <w:left w:val="single" w:color="auto" w:sz="6" w:space="0"/>
                    <w:bottom w:val="single" w:color="auto" w:sz="6" w:space="0"/>
                    <w:right w:val="single" w:color="auto" w:sz="6" w:space="0"/>
                  </w:tcBorders>
                  <w:noWrap w:val="0"/>
                  <w:vAlign w:val="center"/>
                </w:tcPr>
                <w:p w14:paraId="668C206D">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0.</w:t>
                  </w:r>
                  <w:r>
                    <w:rPr>
                      <w:rFonts w:hint="eastAsia" w:cs="Times New Roman"/>
                      <w:b w:val="0"/>
                      <w:bCs w:val="0"/>
                      <w:snapToGrid w:val="0"/>
                      <w:color w:val="000000"/>
                      <w:kern w:val="0"/>
                      <w:sz w:val="21"/>
                      <w:szCs w:val="21"/>
                      <w:highlight w:val="none"/>
                      <w:vertAlign w:val="baseline"/>
                      <w:lang w:val="en-US" w:eastAsia="zh-CN"/>
                    </w:rPr>
                    <w:t>22</w:t>
                  </w:r>
                </w:p>
              </w:tc>
              <w:tc>
                <w:tcPr>
                  <w:tcW w:w="590" w:type="pct"/>
                  <w:tcBorders>
                    <w:top w:val="single" w:color="auto" w:sz="6" w:space="0"/>
                    <w:left w:val="single" w:color="auto" w:sz="6" w:space="0"/>
                    <w:bottom w:val="single" w:color="auto" w:sz="6" w:space="0"/>
                    <w:right w:val="single" w:color="auto" w:sz="6" w:space="0"/>
                  </w:tcBorders>
                  <w:noWrap w:val="0"/>
                  <w:vAlign w:val="center"/>
                </w:tcPr>
                <w:p w14:paraId="25120EC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highlight w:val="none"/>
                      <w:u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0.0</w:t>
                  </w:r>
                  <w:r>
                    <w:rPr>
                      <w:rFonts w:hint="eastAsia" w:cs="Times New Roman"/>
                      <w:i w:val="0"/>
                      <w:iCs w:val="0"/>
                      <w:color w:val="000000"/>
                      <w:kern w:val="0"/>
                      <w:sz w:val="21"/>
                      <w:szCs w:val="21"/>
                      <w:highlight w:val="none"/>
                      <w:u w:val="none"/>
                      <w:lang w:val="en-US" w:eastAsia="zh-CN" w:bidi="ar"/>
                    </w:rPr>
                    <w:t>6</w:t>
                  </w:r>
                </w:p>
              </w:tc>
              <w:tc>
                <w:tcPr>
                  <w:tcW w:w="988" w:type="pct"/>
                  <w:vMerge w:val="continue"/>
                  <w:tcBorders>
                    <w:top w:val="single" w:color="auto" w:sz="6" w:space="0"/>
                    <w:left w:val="single" w:color="auto" w:sz="6" w:space="0"/>
                    <w:bottom w:val="single" w:color="auto" w:sz="6" w:space="0"/>
                    <w:right w:val="single" w:color="auto" w:sz="6" w:space="0"/>
                  </w:tcBorders>
                  <w:noWrap w:val="0"/>
                  <w:vAlign w:val="center"/>
                </w:tcPr>
                <w:p w14:paraId="3E47AF76">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p>
              </w:tc>
              <w:tc>
                <w:tcPr>
                  <w:tcW w:w="515" w:type="pct"/>
                  <w:tcBorders>
                    <w:top w:val="single" w:color="auto" w:sz="6" w:space="0"/>
                    <w:left w:val="single" w:color="auto" w:sz="6" w:space="0"/>
                    <w:bottom w:val="single" w:color="auto" w:sz="6" w:space="0"/>
                    <w:right w:val="single" w:color="auto" w:sz="6" w:space="0"/>
                  </w:tcBorders>
                  <w:noWrap w:val="0"/>
                  <w:vAlign w:val="center"/>
                </w:tcPr>
                <w:p w14:paraId="4014E6B1">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bidi="ar-SA"/>
                    </w:rPr>
                  </w:pP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0.</w:t>
                  </w:r>
                  <w:r>
                    <w:rPr>
                      <w:rFonts w:hint="eastAsia" w:cs="Times New Roman"/>
                      <w:b w:val="0"/>
                      <w:bCs w:val="0"/>
                      <w:snapToGrid w:val="0"/>
                      <w:color w:val="000000"/>
                      <w:kern w:val="0"/>
                      <w:sz w:val="21"/>
                      <w:szCs w:val="21"/>
                      <w:highlight w:val="none"/>
                      <w:vertAlign w:val="baseline"/>
                      <w:lang w:val="en-US" w:eastAsia="zh-CN"/>
                    </w:rPr>
                    <w:t>2</w:t>
                  </w: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2</w:t>
                  </w:r>
                </w:p>
              </w:tc>
              <w:tc>
                <w:tcPr>
                  <w:tcW w:w="551" w:type="pct"/>
                  <w:tcBorders>
                    <w:top w:val="single" w:color="auto" w:sz="6" w:space="0"/>
                    <w:left w:val="single" w:color="auto" w:sz="6" w:space="0"/>
                    <w:bottom w:val="single" w:color="auto" w:sz="6" w:space="0"/>
                    <w:right w:val="single" w:color="auto" w:sz="6" w:space="0"/>
                  </w:tcBorders>
                  <w:noWrap w:val="0"/>
                  <w:vAlign w:val="center"/>
                </w:tcPr>
                <w:p w14:paraId="20AE461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highlight w:val="none"/>
                      <w:u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0.0</w:t>
                  </w:r>
                  <w:r>
                    <w:rPr>
                      <w:rFonts w:hint="eastAsia" w:cs="Times New Roman"/>
                      <w:i w:val="0"/>
                      <w:iCs w:val="0"/>
                      <w:color w:val="000000"/>
                      <w:kern w:val="0"/>
                      <w:sz w:val="21"/>
                      <w:szCs w:val="21"/>
                      <w:highlight w:val="none"/>
                      <w:u w:val="none"/>
                      <w:lang w:val="en-US" w:eastAsia="zh-CN" w:bidi="ar"/>
                    </w:rPr>
                    <w:t>6</w:t>
                  </w:r>
                </w:p>
              </w:tc>
              <w:tc>
                <w:tcPr>
                  <w:tcW w:w="671" w:type="pct"/>
                  <w:tcBorders>
                    <w:top w:val="single" w:color="auto" w:sz="6" w:space="0"/>
                    <w:left w:val="single" w:color="auto" w:sz="6" w:space="0"/>
                    <w:bottom w:val="single" w:color="auto" w:sz="6" w:space="0"/>
                  </w:tcBorders>
                  <w:noWrap w:val="0"/>
                  <w:vAlign w:val="center"/>
                </w:tcPr>
                <w:p w14:paraId="10AF3B9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highlight w:val="none"/>
                      <w:u w:val="none"/>
                      <w:lang w:val="en-US" w:eastAsia="zh-CN" w:bidi="ar-SA"/>
                    </w:rPr>
                  </w:pPr>
                  <w:r>
                    <w:rPr>
                      <w:rFonts w:hint="eastAsia" w:cs="Times New Roman"/>
                      <w:i w:val="0"/>
                      <w:iCs w:val="0"/>
                      <w:color w:val="000000"/>
                      <w:kern w:val="0"/>
                      <w:sz w:val="21"/>
                      <w:szCs w:val="21"/>
                      <w:highlight w:val="none"/>
                      <w:u w:val="none"/>
                      <w:lang w:val="en-US" w:eastAsia="zh-CN" w:bidi="ar"/>
                    </w:rPr>
                    <w:t>37.12</w:t>
                  </w:r>
                </w:p>
              </w:tc>
            </w:tr>
            <w:tr w14:paraId="7C69DE8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1" w:type="pct"/>
                  <w:vMerge w:val="continue"/>
                  <w:tcBorders>
                    <w:top w:val="single" w:color="auto" w:sz="6" w:space="0"/>
                    <w:right w:val="single" w:color="auto" w:sz="6" w:space="0"/>
                  </w:tcBorders>
                  <w:noWrap w:val="0"/>
                  <w:vAlign w:val="center"/>
                </w:tcPr>
                <w:p w14:paraId="0CCE1A4D">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p>
              </w:tc>
              <w:tc>
                <w:tcPr>
                  <w:tcW w:w="591" w:type="pct"/>
                  <w:tcBorders>
                    <w:top w:val="single" w:color="auto" w:sz="6" w:space="0"/>
                    <w:left w:val="single" w:color="auto" w:sz="6" w:space="0"/>
                    <w:right w:val="single" w:color="auto" w:sz="6" w:space="0"/>
                  </w:tcBorders>
                  <w:noWrap w:val="0"/>
                  <w:vAlign w:val="center"/>
                </w:tcPr>
                <w:p w14:paraId="27CA781B">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NO</w:t>
                  </w:r>
                  <w:r>
                    <w:rPr>
                      <w:rFonts w:hint="default" w:ascii="Times New Roman" w:hAnsi="Times New Roman" w:eastAsia="宋体" w:cs="Times New Roman"/>
                      <w:b w:val="0"/>
                      <w:bCs w:val="0"/>
                      <w:snapToGrid w:val="0"/>
                      <w:color w:val="000000"/>
                      <w:kern w:val="0"/>
                      <w:sz w:val="21"/>
                      <w:szCs w:val="21"/>
                      <w:highlight w:val="none"/>
                      <w:vertAlign w:val="subscript"/>
                      <w:lang w:val="en-US" w:eastAsia="zh-CN"/>
                    </w:rPr>
                    <w:t>x</w:t>
                  </w:r>
                </w:p>
              </w:tc>
              <w:tc>
                <w:tcPr>
                  <w:tcW w:w="600" w:type="pct"/>
                  <w:tcBorders>
                    <w:top w:val="single" w:color="auto" w:sz="6" w:space="0"/>
                    <w:left w:val="single" w:color="auto" w:sz="6" w:space="0"/>
                    <w:right w:val="single" w:color="auto" w:sz="6" w:space="0"/>
                  </w:tcBorders>
                  <w:noWrap w:val="0"/>
                  <w:vAlign w:val="center"/>
                </w:tcPr>
                <w:p w14:paraId="2894AD46">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r>
                    <w:rPr>
                      <w:rFonts w:hint="default" w:ascii="Times New Roman" w:hAnsi="Times New Roman" w:eastAsia="宋体" w:cs="Times New Roman"/>
                      <w:b w:val="0"/>
                      <w:bCs w:val="0"/>
                      <w:snapToGrid w:val="0"/>
                      <w:color w:val="000000"/>
                      <w:kern w:val="0"/>
                      <w:sz w:val="21"/>
                      <w:szCs w:val="21"/>
                      <w:highlight w:val="none"/>
                      <w:vertAlign w:val="baseline"/>
                      <w:lang w:val="en-US" w:eastAsia="zh-CN" w:bidi="ar-SA"/>
                    </w:rPr>
                    <w:t>0.</w:t>
                  </w:r>
                  <w:r>
                    <w:rPr>
                      <w:rFonts w:hint="eastAsia" w:cs="Times New Roman"/>
                      <w:b w:val="0"/>
                      <w:bCs w:val="0"/>
                      <w:snapToGrid w:val="0"/>
                      <w:color w:val="000000"/>
                      <w:kern w:val="0"/>
                      <w:sz w:val="21"/>
                      <w:szCs w:val="21"/>
                      <w:highlight w:val="none"/>
                      <w:vertAlign w:val="baseline"/>
                      <w:lang w:val="en-US" w:eastAsia="zh-CN" w:bidi="ar-SA"/>
                    </w:rPr>
                    <w:t>19</w:t>
                  </w:r>
                </w:p>
              </w:tc>
              <w:tc>
                <w:tcPr>
                  <w:tcW w:w="590" w:type="pct"/>
                  <w:tcBorders>
                    <w:top w:val="single" w:color="auto" w:sz="6" w:space="0"/>
                    <w:left w:val="single" w:color="auto" w:sz="6" w:space="0"/>
                    <w:right w:val="single" w:color="auto" w:sz="6" w:space="0"/>
                  </w:tcBorders>
                  <w:noWrap w:val="0"/>
                  <w:vAlign w:val="center"/>
                </w:tcPr>
                <w:p w14:paraId="59D19A0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highlight w:val="none"/>
                      <w:u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0.</w:t>
                  </w:r>
                  <w:r>
                    <w:rPr>
                      <w:rFonts w:hint="eastAsia" w:cs="Times New Roman"/>
                      <w:i w:val="0"/>
                      <w:iCs w:val="0"/>
                      <w:color w:val="000000"/>
                      <w:kern w:val="0"/>
                      <w:sz w:val="21"/>
                      <w:szCs w:val="21"/>
                      <w:highlight w:val="none"/>
                      <w:u w:val="none"/>
                      <w:lang w:val="en-US" w:eastAsia="zh-CN" w:bidi="ar"/>
                    </w:rPr>
                    <w:t>05</w:t>
                  </w:r>
                </w:p>
              </w:tc>
              <w:tc>
                <w:tcPr>
                  <w:tcW w:w="988" w:type="pct"/>
                  <w:vMerge w:val="continue"/>
                  <w:tcBorders>
                    <w:top w:val="single" w:color="auto" w:sz="6" w:space="0"/>
                    <w:left w:val="single" w:color="auto" w:sz="6" w:space="0"/>
                    <w:right w:val="single" w:color="auto" w:sz="6" w:space="0"/>
                  </w:tcBorders>
                  <w:noWrap w:val="0"/>
                  <w:vAlign w:val="center"/>
                </w:tcPr>
                <w:p w14:paraId="6836884C">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p>
              </w:tc>
              <w:tc>
                <w:tcPr>
                  <w:tcW w:w="515" w:type="pct"/>
                  <w:tcBorders>
                    <w:top w:val="single" w:color="auto" w:sz="6" w:space="0"/>
                    <w:left w:val="single" w:color="auto" w:sz="6" w:space="0"/>
                    <w:right w:val="single" w:color="auto" w:sz="6" w:space="0"/>
                  </w:tcBorders>
                  <w:noWrap w:val="0"/>
                  <w:vAlign w:val="center"/>
                </w:tcPr>
                <w:p w14:paraId="1F580180">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r>
                    <w:rPr>
                      <w:rFonts w:hint="default" w:ascii="Times New Roman" w:hAnsi="Times New Roman" w:eastAsia="宋体" w:cs="Times New Roman"/>
                      <w:b w:val="0"/>
                      <w:bCs w:val="0"/>
                      <w:snapToGrid w:val="0"/>
                      <w:color w:val="000000"/>
                      <w:kern w:val="0"/>
                      <w:sz w:val="21"/>
                      <w:szCs w:val="21"/>
                      <w:highlight w:val="none"/>
                      <w:vertAlign w:val="baseline"/>
                      <w:lang w:val="en-US" w:eastAsia="zh-CN" w:bidi="ar-SA"/>
                    </w:rPr>
                    <w:t>0.</w:t>
                  </w:r>
                  <w:r>
                    <w:rPr>
                      <w:rFonts w:hint="eastAsia" w:cs="Times New Roman"/>
                      <w:b w:val="0"/>
                      <w:bCs w:val="0"/>
                      <w:snapToGrid w:val="0"/>
                      <w:color w:val="000000"/>
                      <w:kern w:val="0"/>
                      <w:sz w:val="21"/>
                      <w:szCs w:val="21"/>
                      <w:highlight w:val="none"/>
                      <w:vertAlign w:val="baseline"/>
                      <w:lang w:val="en-US" w:eastAsia="zh-CN" w:bidi="ar-SA"/>
                    </w:rPr>
                    <w:t>19</w:t>
                  </w:r>
                </w:p>
              </w:tc>
              <w:tc>
                <w:tcPr>
                  <w:tcW w:w="551" w:type="pct"/>
                  <w:tcBorders>
                    <w:top w:val="single" w:color="auto" w:sz="6" w:space="0"/>
                    <w:left w:val="single" w:color="auto" w:sz="6" w:space="0"/>
                    <w:right w:val="single" w:color="auto" w:sz="6" w:space="0"/>
                  </w:tcBorders>
                  <w:noWrap w:val="0"/>
                  <w:vAlign w:val="center"/>
                </w:tcPr>
                <w:p w14:paraId="0928EA7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highlight w:val="none"/>
                      <w:u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0.</w:t>
                  </w:r>
                  <w:r>
                    <w:rPr>
                      <w:rFonts w:hint="eastAsia" w:cs="Times New Roman"/>
                      <w:i w:val="0"/>
                      <w:iCs w:val="0"/>
                      <w:color w:val="000000"/>
                      <w:kern w:val="0"/>
                      <w:sz w:val="21"/>
                      <w:szCs w:val="21"/>
                      <w:highlight w:val="none"/>
                      <w:u w:val="none"/>
                      <w:lang w:val="en-US" w:eastAsia="zh-CN" w:bidi="ar"/>
                    </w:rPr>
                    <w:t>05</w:t>
                  </w:r>
                </w:p>
              </w:tc>
              <w:tc>
                <w:tcPr>
                  <w:tcW w:w="671" w:type="pct"/>
                  <w:tcBorders>
                    <w:top w:val="single" w:color="auto" w:sz="6" w:space="0"/>
                    <w:left w:val="single" w:color="auto" w:sz="6" w:space="0"/>
                  </w:tcBorders>
                  <w:noWrap w:val="0"/>
                  <w:vAlign w:val="center"/>
                </w:tcPr>
                <w:p w14:paraId="4C44348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highlight w:val="none"/>
                      <w:u w:val="none"/>
                      <w:lang w:val="en-US" w:eastAsia="zh-CN" w:bidi="ar-SA"/>
                    </w:rPr>
                  </w:pPr>
                  <w:r>
                    <w:rPr>
                      <w:rFonts w:hint="eastAsia" w:cs="Times New Roman"/>
                      <w:i w:val="0"/>
                      <w:iCs w:val="0"/>
                      <w:color w:val="000000"/>
                      <w:kern w:val="0"/>
                      <w:sz w:val="21"/>
                      <w:szCs w:val="21"/>
                      <w:highlight w:val="none"/>
                      <w:u w:val="none"/>
                      <w:lang w:val="en-US" w:eastAsia="zh-CN" w:bidi="ar"/>
                    </w:rPr>
                    <w:t>31.82</w:t>
                  </w:r>
                </w:p>
              </w:tc>
            </w:tr>
          </w:tbl>
          <w:p w14:paraId="05C247B2">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left"/>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1.2</w:t>
            </w:r>
            <w:r>
              <w:rPr>
                <w:rFonts w:hint="eastAsia" w:ascii="Times New Roman" w:hAnsi="Times New Roman" w:eastAsia="宋体" w:cs="Times New Roman"/>
                <w:b/>
                <w:bCs/>
                <w:color w:val="000000"/>
                <w:kern w:val="0"/>
                <w:sz w:val="24"/>
                <w:szCs w:val="24"/>
                <w:highlight w:val="none"/>
                <w:lang w:val="en-US" w:eastAsia="zh-CN" w:bidi="ar"/>
              </w:rPr>
              <w:t xml:space="preserve"> </w:t>
            </w:r>
            <w:r>
              <w:rPr>
                <w:rFonts w:hint="default" w:ascii="Times New Roman" w:hAnsi="Times New Roman" w:eastAsia="宋体" w:cs="Times New Roman"/>
                <w:b/>
                <w:bCs/>
                <w:color w:val="000000"/>
                <w:kern w:val="0"/>
                <w:sz w:val="24"/>
                <w:szCs w:val="24"/>
                <w:highlight w:val="none"/>
                <w:lang w:val="en-US" w:eastAsia="zh-CN" w:bidi="ar"/>
              </w:rPr>
              <w:t>大气污染治理措施</w:t>
            </w:r>
            <w:r>
              <w:rPr>
                <w:rFonts w:hint="eastAsia" w:ascii="Times New Roman" w:hAnsi="Times New Roman" w:eastAsia="宋体" w:cs="Times New Roman"/>
                <w:b/>
                <w:bCs/>
                <w:color w:val="000000"/>
                <w:kern w:val="0"/>
                <w:sz w:val="24"/>
                <w:szCs w:val="24"/>
                <w:highlight w:val="none"/>
                <w:lang w:val="en-US" w:eastAsia="zh-CN" w:bidi="ar"/>
              </w:rPr>
              <w:t>可行性分析</w:t>
            </w:r>
          </w:p>
          <w:p w14:paraId="0B14001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left"/>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1.2.1</w:t>
            </w:r>
            <w:r>
              <w:rPr>
                <w:rFonts w:hint="eastAsia" w:ascii="Times New Roman" w:hAnsi="Times New Roman" w:eastAsia="宋体" w:cs="Times New Roman"/>
                <w:b/>
                <w:bCs/>
                <w:color w:val="000000"/>
                <w:kern w:val="0"/>
                <w:sz w:val="24"/>
                <w:szCs w:val="24"/>
                <w:highlight w:val="none"/>
                <w:lang w:val="en-US" w:eastAsia="zh-CN" w:bidi="ar"/>
              </w:rPr>
              <w:t xml:space="preserve"> </w:t>
            </w:r>
            <w:r>
              <w:rPr>
                <w:rFonts w:hint="default" w:ascii="Times New Roman" w:hAnsi="Times New Roman" w:eastAsia="宋体" w:cs="Times New Roman"/>
                <w:b/>
                <w:bCs/>
                <w:color w:val="000000"/>
                <w:kern w:val="0"/>
                <w:sz w:val="24"/>
                <w:szCs w:val="24"/>
                <w:highlight w:val="none"/>
                <w:lang w:val="en-US" w:eastAsia="zh-CN" w:bidi="ar"/>
              </w:rPr>
              <w:t>有组织废气治理措施可行性分析</w:t>
            </w:r>
          </w:p>
          <w:p w14:paraId="1288E093">
            <w:pPr>
              <w:pStyle w:val="34"/>
              <w:spacing w:line="360" w:lineRule="auto"/>
              <w:ind w:firstLine="48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（1）废气治理措施工作原理</w:t>
            </w:r>
          </w:p>
          <w:p w14:paraId="5BA81BFC">
            <w:pPr>
              <w:numPr>
                <w:ilvl w:val="0"/>
                <w:numId w:val="0"/>
              </w:numPr>
              <w:topLinePunct/>
              <w:adjustRightInd w:val="0"/>
              <w:snapToGrid w:val="0"/>
              <w:spacing w:line="360" w:lineRule="auto"/>
              <w:ind w:firstLine="480" w:firstLineChars="20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①低氮燃烧器工作原理</w:t>
            </w:r>
          </w:p>
          <w:p w14:paraId="1FA9BABA">
            <w:pPr>
              <w:numPr>
                <w:ilvl w:val="0"/>
                <w:numId w:val="0"/>
              </w:numPr>
              <w:topLinePunct/>
              <w:adjustRightInd w:val="0"/>
              <w:snapToGrid w:val="0"/>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低氮燃烧技术通过优化燃烧过程抑制NO</w:t>
            </w:r>
            <w:r>
              <w:rPr>
                <w:rFonts w:hint="default" w:ascii="Times New Roman" w:hAnsi="Times New Roman" w:eastAsia="宋体" w:cs="Times New Roman"/>
                <w:b w:val="0"/>
                <w:bCs w:val="0"/>
                <w:snapToGrid w:val="0"/>
                <w:color w:val="000000"/>
                <w:kern w:val="0"/>
                <w:sz w:val="24"/>
                <w:szCs w:val="24"/>
                <w:highlight w:val="none"/>
                <w:vertAlign w:val="subscript"/>
                <w:lang w:val="en-US" w:eastAsia="zh-CN" w:bidi="ar-SA"/>
              </w:rPr>
              <w:t>x</w:t>
            </w:r>
            <w:r>
              <w:rPr>
                <w:rFonts w:hint="default" w:ascii="Times New Roman" w:hAnsi="Times New Roman" w:eastAsia="宋体" w:cs="Times New Roman"/>
                <w:b w:val="0"/>
                <w:bCs w:val="0"/>
                <w:snapToGrid w:val="0"/>
                <w:color w:val="000000"/>
                <w:kern w:val="0"/>
                <w:sz w:val="24"/>
                <w:szCs w:val="24"/>
                <w:highlight w:val="none"/>
                <w:lang w:val="en-US" w:eastAsia="zh-CN" w:bidi="ar-SA"/>
              </w:rPr>
              <w:t>生成，主要采用三项关键措施：一是分级燃烧控制，将燃烧区分成主燃区和燃尽区，使燃烧温度控制在950-1050℃的低温范围；二是烟气再循环FGR技术，将15-25%的低温烟气200℃混入助燃空气，通过稀释氧气浓度和降低火焰温度来抑制NO</w:t>
            </w:r>
            <w:r>
              <w:rPr>
                <w:rFonts w:hint="default" w:ascii="Times New Roman" w:hAnsi="Times New Roman" w:eastAsia="宋体" w:cs="Times New Roman"/>
                <w:b w:val="0"/>
                <w:bCs w:val="0"/>
                <w:snapToGrid w:val="0"/>
                <w:color w:val="000000"/>
                <w:kern w:val="0"/>
                <w:sz w:val="24"/>
                <w:szCs w:val="24"/>
                <w:highlight w:val="none"/>
                <w:vertAlign w:val="subscript"/>
                <w:lang w:val="en-US" w:eastAsia="zh-CN" w:bidi="ar-SA"/>
              </w:rPr>
              <w:t>x</w:t>
            </w:r>
            <w:r>
              <w:rPr>
                <w:rFonts w:hint="default" w:ascii="Times New Roman" w:hAnsi="Times New Roman" w:eastAsia="宋体" w:cs="Times New Roman"/>
                <w:b w:val="0"/>
                <w:bCs w:val="0"/>
                <w:snapToGrid w:val="0"/>
                <w:color w:val="000000"/>
                <w:kern w:val="0"/>
                <w:sz w:val="24"/>
                <w:szCs w:val="24"/>
                <w:highlight w:val="none"/>
                <w:lang w:val="en-US" w:eastAsia="zh-CN" w:bidi="ar-SA"/>
              </w:rPr>
              <w:t>形成；三是特殊燃烧器设计，采用多孔介质或表面燃烧结构实现均匀燃烧，避免局部高温。系统通过实时监测和自动调节，在保持92-95%热效率的同时，将NO</w:t>
            </w:r>
            <w:r>
              <w:rPr>
                <w:rFonts w:hint="default" w:ascii="Times New Roman" w:hAnsi="Times New Roman" w:eastAsia="宋体" w:cs="Times New Roman"/>
                <w:b w:val="0"/>
                <w:bCs w:val="0"/>
                <w:snapToGrid w:val="0"/>
                <w:color w:val="000000"/>
                <w:kern w:val="0"/>
                <w:sz w:val="24"/>
                <w:szCs w:val="24"/>
                <w:highlight w:val="none"/>
                <w:vertAlign w:val="subscript"/>
                <w:lang w:val="en-US" w:eastAsia="zh-CN" w:bidi="ar-SA"/>
              </w:rPr>
              <w:t>x</w:t>
            </w:r>
            <w:r>
              <w:rPr>
                <w:rFonts w:hint="default" w:ascii="Times New Roman" w:hAnsi="Times New Roman" w:eastAsia="宋体" w:cs="Times New Roman"/>
                <w:b w:val="0"/>
                <w:bCs w:val="0"/>
                <w:snapToGrid w:val="0"/>
                <w:color w:val="000000"/>
                <w:kern w:val="0"/>
                <w:sz w:val="24"/>
                <w:szCs w:val="24"/>
                <w:highlight w:val="none"/>
                <w:lang w:val="en-US" w:eastAsia="zh-CN" w:bidi="ar-SA"/>
              </w:rPr>
              <w:t>排放控制在较低浓度。</w:t>
            </w:r>
          </w:p>
          <w:p w14:paraId="57881FB6">
            <w:pPr>
              <w:pStyle w:val="34"/>
              <w:spacing w:line="360" w:lineRule="auto"/>
              <w:ind w:firstLine="48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②喷淋塔工作</w:t>
            </w:r>
            <w:r>
              <w:rPr>
                <w:rFonts w:hint="default" w:ascii="Times New Roman" w:hAnsi="Times New Roman" w:eastAsia="宋体" w:cs="Times New Roman"/>
                <w:b w:val="0"/>
                <w:bCs w:val="0"/>
                <w:snapToGrid w:val="0"/>
                <w:color w:val="000000"/>
                <w:kern w:val="0"/>
                <w:sz w:val="24"/>
                <w:szCs w:val="24"/>
                <w:highlight w:val="none"/>
                <w:lang w:val="en-US" w:eastAsia="zh-CN" w:bidi="ar-SA"/>
              </w:rPr>
              <w:t>原理</w:t>
            </w:r>
          </w:p>
          <w:p w14:paraId="351AEDA2">
            <w:pPr>
              <w:pStyle w:val="34"/>
              <w:spacing w:line="360" w:lineRule="auto"/>
              <w:ind w:firstLine="48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水喷淋系统主要通过物理拦截和吸收双重作用处理污染物。系统采用多层喷淋设计，喷淋液通过高压雾化喷嘴形成细小液滴，与逆向流动的废气充分接</w:t>
            </w:r>
            <w:r>
              <w:rPr>
                <w:rFonts w:hint="eastAsia" w:ascii="Times New Roman" w:hAnsi="Times New Roman" w:eastAsia="宋体" w:cs="Times New Roman"/>
                <w:b w:val="0"/>
                <w:bCs w:val="0"/>
                <w:snapToGrid w:val="0"/>
                <w:color w:val="000000"/>
                <w:spacing w:val="-6"/>
                <w:kern w:val="0"/>
                <w:sz w:val="24"/>
                <w:szCs w:val="24"/>
                <w:highlight w:val="none"/>
                <w:lang w:val="en-US" w:eastAsia="zh-CN" w:bidi="ar-SA"/>
              </w:rPr>
              <w:t>触。在0.3-0.5MPa的工作压力下，喷淋液形成密集的水幕，通过以下机制实现净化：</w:t>
            </w:r>
          </w:p>
          <w:p w14:paraId="198EAFA3">
            <w:pPr>
              <w:pStyle w:val="34"/>
              <w:spacing w:line="360" w:lineRule="auto"/>
              <w:ind w:firstLine="48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惯性碰撞：大颗粒物（&gt;5</w:t>
            </w:r>
            <w:r>
              <w:rPr>
                <w:rFonts w:hint="default" w:ascii="Times New Roman" w:hAnsi="Times New Roman" w:eastAsia="宋体" w:cs="Times New Roman"/>
                <w:b w:val="0"/>
                <w:bCs w:val="0"/>
                <w:snapToGrid w:val="0"/>
                <w:color w:val="000000"/>
                <w:kern w:val="0"/>
                <w:sz w:val="24"/>
                <w:szCs w:val="24"/>
                <w:highlight w:val="none"/>
                <w:lang w:val="en-US" w:eastAsia="zh-CN" w:bidi="ar-SA"/>
              </w:rPr>
              <w:t>μ</w:t>
            </w:r>
            <w:r>
              <w:rPr>
                <w:rFonts w:hint="eastAsia" w:ascii="Times New Roman" w:hAnsi="Times New Roman" w:eastAsia="宋体" w:cs="Times New Roman"/>
                <w:b w:val="0"/>
                <w:bCs w:val="0"/>
                <w:snapToGrid w:val="0"/>
                <w:color w:val="000000"/>
                <w:kern w:val="0"/>
                <w:sz w:val="24"/>
                <w:szCs w:val="24"/>
                <w:highlight w:val="none"/>
                <w:lang w:val="en-US" w:eastAsia="zh-CN" w:bidi="ar-SA"/>
              </w:rPr>
              <w:t>m）因惯性作用被液滴捕获；</w:t>
            </w:r>
          </w:p>
          <w:p w14:paraId="3D2431D2">
            <w:pPr>
              <w:pStyle w:val="34"/>
              <w:spacing w:line="360" w:lineRule="auto"/>
              <w:ind w:firstLine="48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扩散沉降：亚微米级颗粒通过布朗运动与液滴结合；</w:t>
            </w:r>
          </w:p>
          <w:p w14:paraId="005FF614">
            <w:pPr>
              <w:pStyle w:val="34"/>
              <w:spacing w:line="360" w:lineRule="auto"/>
              <w:ind w:firstLine="48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溶解吸收：水溶性组分（如酚类、醛类）被喷淋液吸收；</w:t>
            </w:r>
          </w:p>
          <w:p w14:paraId="57B614F2">
            <w:pPr>
              <w:pStyle w:val="34"/>
              <w:spacing w:line="360" w:lineRule="auto"/>
              <w:ind w:firstLine="48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冷凝作用：高温废气遇冷液化，使部分气态沥青烟、有机废气转化为液态。</w:t>
            </w:r>
          </w:p>
          <w:p w14:paraId="11DD3709">
            <w:pPr>
              <w:pStyle w:val="34"/>
              <w:spacing w:line="360" w:lineRule="auto"/>
              <w:ind w:firstLine="48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系统采用循环水设计，配备自动补水装置和pH调节系统（维持pH8-9），并设置油水分离器处理分离出的沥青油污，同时可降低废气温度至50℃以下。</w:t>
            </w:r>
          </w:p>
          <w:p w14:paraId="7F7D51E3">
            <w:pPr>
              <w:pStyle w:val="34"/>
              <w:spacing w:line="360" w:lineRule="auto"/>
              <w:ind w:firstLine="48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④</w:t>
            </w:r>
            <w:r>
              <w:rPr>
                <w:rFonts w:hint="eastAsia" w:cs="Times New Roman"/>
                <w:b w:val="0"/>
                <w:bCs w:val="0"/>
                <w:snapToGrid w:val="0"/>
                <w:color w:val="000000"/>
                <w:kern w:val="0"/>
                <w:sz w:val="24"/>
                <w:szCs w:val="24"/>
                <w:highlight w:val="none"/>
                <w:lang w:val="en-US" w:eastAsia="zh-CN" w:bidi="ar-SA"/>
              </w:rPr>
              <w:t>电捕焦油器</w:t>
            </w:r>
            <w:r>
              <w:rPr>
                <w:rFonts w:hint="eastAsia" w:ascii="Times New Roman" w:hAnsi="Times New Roman" w:eastAsia="宋体" w:cs="Times New Roman"/>
                <w:b w:val="0"/>
                <w:bCs w:val="0"/>
                <w:snapToGrid w:val="0"/>
                <w:color w:val="000000"/>
                <w:kern w:val="0"/>
                <w:sz w:val="24"/>
                <w:szCs w:val="24"/>
                <w:highlight w:val="none"/>
                <w:lang w:val="en-US" w:eastAsia="zh-CN" w:bidi="ar-SA"/>
              </w:rPr>
              <w:t>工作</w:t>
            </w:r>
            <w:r>
              <w:rPr>
                <w:rFonts w:hint="default" w:ascii="Times New Roman" w:hAnsi="Times New Roman" w:eastAsia="宋体" w:cs="Times New Roman"/>
                <w:b w:val="0"/>
                <w:bCs w:val="0"/>
                <w:snapToGrid w:val="0"/>
                <w:color w:val="000000"/>
                <w:kern w:val="0"/>
                <w:sz w:val="24"/>
                <w:szCs w:val="24"/>
                <w:highlight w:val="none"/>
                <w:lang w:val="en-US" w:eastAsia="zh-CN" w:bidi="ar-SA"/>
              </w:rPr>
              <w:t>原理</w:t>
            </w:r>
          </w:p>
          <w:p w14:paraId="1490A214">
            <w:pPr>
              <w:pStyle w:val="34"/>
              <w:spacing w:line="360" w:lineRule="auto"/>
              <w:ind w:firstLine="48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电捕焦油器采用结构形式有同心圆式、管式和蜂窝式等三种。无论哪种结构，其工作原理，即在金属导线与金属管壁〔或极板〕间施加高压直流电，以维持足以使气体产生电离的电场，使阴阳极之间形成电晕区</w:t>
            </w:r>
            <w:r>
              <w:rPr>
                <w:rFonts w:hint="eastAsia"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由于沥青烟气含油、湿度大，粉尘易流动，因此无需振打即可通过清洗水清除粉尘，减少噪音和堵塞问题，其核心原理包含三个阶段：</w:t>
            </w:r>
          </w:p>
          <w:p w14:paraId="64F7E354">
            <w:pPr>
              <w:pStyle w:val="34"/>
              <w:spacing w:line="360" w:lineRule="auto"/>
              <w:ind w:firstLine="48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电离阶段：烟气通过-30kV至-100kV的高压直流电场，电晕极放电使气体分子电离，沥青烟颗粒物带电；</w:t>
            </w:r>
          </w:p>
          <w:p w14:paraId="454BD0D3">
            <w:pPr>
              <w:pStyle w:val="34"/>
              <w:spacing w:line="360" w:lineRule="auto"/>
              <w:ind w:firstLine="48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捕集阶段：带电颗粒在电场力作用下向阳极板迁移，阳极表面持续喷淋碱性吸收液（pH8-10），形成动态水膜；</w:t>
            </w:r>
          </w:p>
          <w:p w14:paraId="65A5644D">
            <w:pPr>
              <w:pStyle w:val="34"/>
              <w:spacing w:line="360" w:lineRule="auto"/>
              <w:ind w:firstLine="48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清除阶段：被捕集颗粒随液膜排入循环水系统，不溶性焦油类物质通过旋流分离器分离。</w:t>
            </w:r>
          </w:p>
          <w:p w14:paraId="7BB84700">
            <w:pPr>
              <w:pStyle w:val="34"/>
              <w:spacing w:line="360" w:lineRule="auto"/>
              <w:ind w:firstLine="48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⑤</w:t>
            </w:r>
            <w:r>
              <w:rPr>
                <w:rFonts w:hint="default" w:ascii="Times New Roman" w:hAnsi="Times New Roman" w:eastAsia="宋体" w:cs="Times New Roman"/>
                <w:b w:val="0"/>
                <w:bCs w:val="0"/>
                <w:snapToGrid w:val="0"/>
                <w:color w:val="000000"/>
                <w:kern w:val="0"/>
                <w:sz w:val="24"/>
                <w:szCs w:val="24"/>
                <w:highlight w:val="none"/>
                <w:lang w:val="en-US" w:eastAsia="zh-CN" w:bidi="ar-SA"/>
              </w:rPr>
              <w:t>活性炭吸附原理</w:t>
            </w:r>
          </w:p>
          <w:p w14:paraId="1A908CD6">
            <w:pPr>
              <w:numPr>
                <w:ilvl w:val="0"/>
                <w:numId w:val="0"/>
              </w:numPr>
              <w:topLinePunct/>
              <w:adjustRightInd w:val="0"/>
              <w:snapToGrid w:val="0"/>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活性炭吸附设备箱体主要采用碳钢或玻璃钢、PP制作，内部进行了防腐蚀处理，具有抗强酸碱及</w:t>
            </w:r>
            <w:r>
              <w:rPr>
                <w:rFonts w:hint="eastAsia" w:cs="Times New Roman"/>
                <w:b w:val="0"/>
                <w:bCs w:val="0"/>
                <w:snapToGrid w:val="0"/>
                <w:color w:val="000000"/>
                <w:kern w:val="0"/>
                <w:sz w:val="24"/>
                <w:szCs w:val="24"/>
                <w:highlight w:val="none"/>
                <w:lang w:val="en-US" w:eastAsia="zh-CN" w:bidi="ar-SA"/>
              </w:rPr>
              <w:t>盐分的</w:t>
            </w:r>
            <w:r>
              <w:rPr>
                <w:rFonts w:hint="default" w:ascii="Times New Roman" w:hAnsi="Times New Roman" w:eastAsia="宋体" w:cs="Times New Roman"/>
                <w:b w:val="0"/>
                <w:bCs w:val="0"/>
                <w:snapToGrid w:val="0"/>
                <w:color w:val="000000"/>
                <w:kern w:val="0"/>
                <w:sz w:val="24"/>
                <w:szCs w:val="24"/>
                <w:highlight w:val="none"/>
                <w:lang w:val="en-US" w:eastAsia="zh-CN" w:bidi="ar-SA"/>
              </w:rPr>
              <w:t>腐蚀，在长期运转使用状况下，不受其它因素氧化腐蚀。吸附单元是废气净化器内安装的核心部件。吸附单元在设备箱体内分层抽屉式安装，能够非常方便从两侧的检查门取出。并且检查门开启方便、密封严密。内部吸附材料活性炭固体表面上存在着未平衡未饱和的分子引力或化学键力，因此</w:t>
            </w:r>
            <w:r>
              <w:rPr>
                <w:rFonts w:hint="eastAsia" w:cs="Times New Roman"/>
                <w:b w:val="0"/>
                <w:bCs w:val="0"/>
                <w:snapToGrid w:val="0"/>
                <w:color w:val="000000"/>
                <w:kern w:val="0"/>
                <w:sz w:val="24"/>
                <w:szCs w:val="24"/>
                <w:highlight w:val="none"/>
                <w:lang w:val="en-US" w:eastAsia="zh-CN" w:bidi="ar-SA"/>
              </w:rPr>
              <w:t>当</w:t>
            </w:r>
            <w:r>
              <w:rPr>
                <w:rFonts w:hint="default" w:ascii="Times New Roman" w:hAnsi="Times New Roman" w:eastAsia="宋体" w:cs="Times New Roman"/>
                <w:b w:val="0"/>
                <w:bCs w:val="0"/>
                <w:snapToGrid w:val="0"/>
                <w:color w:val="000000"/>
                <w:kern w:val="0"/>
                <w:sz w:val="24"/>
                <w:szCs w:val="24"/>
                <w:highlight w:val="none"/>
                <w:lang w:val="en-US" w:eastAsia="zh-CN" w:bidi="ar-SA"/>
              </w:rPr>
              <w:t>固体表面与气体接触时，就能吸引气体分子，使其保持在固体表面。利用固体表面的吸附能力，使废气与大面积的多孔性固体物质相接触，废气中的污染物被吸附在固体表面上，使其与气体混合物分离，达到净化目的。机柜内部采用迷宫式布局，活性炭在环保箱内部多层排布。该结构有效降低废气穿透风速，增加废气与活性炭的接触面积，实现对废气的多层吸附过滤提高对废气的吸附效率。</w:t>
            </w:r>
          </w:p>
          <w:p w14:paraId="49D63653">
            <w:pPr>
              <w:numPr>
                <w:ilvl w:val="0"/>
                <w:numId w:val="0"/>
              </w:numPr>
              <w:topLinePunct/>
              <w:adjustRightInd w:val="0"/>
              <w:snapToGrid w:val="0"/>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（2）治理措施可行性分析</w:t>
            </w:r>
          </w:p>
          <w:p w14:paraId="402E4FC6">
            <w:pPr>
              <w:numPr>
                <w:ilvl w:val="0"/>
                <w:numId w:val="0"/>
              </w:numPr>
              <w:topLinePunct/>
              <w:adjustRightInd w:val="0"/>
              <w:snapToGrid w:val="0"/>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本项目导热油炉产生的废气采用低氮燃烧器为《排污许可证申请与核发技术规范 陶瓷砖瓦工业》中</w:t>
            </w:r>
            <w:r>
              <w:rPr>
                <w:rFonts w:hint="eastAsia" w:ascii="Times New Roman" w:hAnsi="Times New Roman" w:eastAsia="宋体" w:cs="Times New Roman"/>
                <w:b w:val="0"/>
                <w:bCs w:val="0"/>
                <w:snapToGrid w:val="0"/>
                <w:color w:val="000000"/>
                <w:kern w:val="0"/>
                <w:sz w:val="24"/>
                <w:szCs w:val="24"/>
                <w:highlight w:val="none"/>
                <w:lang w:val="en-US" w:eastAsia="zh-CN" w:bidi="ar-SA"/>
              </w:rPr>
              <w:t>“</w:t>
            </w:r>
            <w:r>
              <w:rPr>
                <w:rFonts w:hint="default" w:ascii="Times New Roman" w:hAnsi="Times New Roman" w:eastAsia="宋体" w:cs="Times New Roman"/>
                <w:b w:val="0"/>
                <w:bCs w:val="0"/>
                <w:snapToGrid w:val="0"/>
                <w:color w:val="000000"/>
                <w:kern w:val="0"/>
                <w:sz w:val="24"/>
                <w:szCs w:val="24"/>
                <w:highlight w:val="none"/>
                <w:lang w:val="en-US" w:eastAsia="zh-CN" w:bidi="ar-SA"/>
              </w:rPr>
              <w:t>表30防水建筑材料工业排污单位废气污染防治可行技术</w:t>
            </w:r>
            <w:r>
              <w:rPr>
                <w:rFonts w:hint="eastAsia" w:ascii="Times New Roman" w:hAnsi="Times New Roman" w:eastAsia="宋体" w:cs="Times New Roman"/>
                <w:b w:val="0"/>
                <w:bCs w:val="0"/>
                <w:snapToGrid w:val="0"/>
                <w:color w:val="000000"/>
                <w:kern w:val="0"/>
                <w:sz w:val="24"/>
                <w:szCs w:val="24"/>
                <w:highlight w:val="none"/>
                <w:lang w:val="en-US" w:eastAsia="zh-CN" w:bidi="ar-SA"/>
              </w:rPr>
              <w:t>”中所推荐</w:t>
            </w:r>
            <w:r>
              <w:rPr>
                <w:rFonts w:hint="default" w:ascii="Times New Roman" w:hAnsi="Times New Roman" w:eastAsia="宋体" w:cs="Times New Roman"/>
                <w:b w:val="0"/>
                <w:bCs w:val="0"/>
                <w:snapToGrid w:val="0"/>
                <w:color w:val="000000"/>
                <w:kern w:val="0"/>
                <w:sz w:val="24"/>
                <w:szCs w:val="24"/>
                <w:highlight w:val="none"/>
                <w:lang w:val="en-US" w:eastAsia="zh-CN" w:bidi="ar-SA"/>
              </w:rPr>
              <w:t>的</w:t>
            </w:r>
            <w:r>
              <w:rPr>
                <w:rFonts w:hint="eastAsia" w:ascii="Times New Roman" w:hAnsi="Times New Roman" w:eastAsia="宋体" w:cs="Times New Roman"/>
                <w:b w:val="0"/>
                <w:bCs w:val="0"/>
                <w:snapToGrid w:val="0"/>
                <w:color w:val="000000"/>
                <w:kern w:val="0"/>
                <w:sz w:val="24"/>
                <w:szCs w:val="24"/>
                <w:highlight w:val="none"/>
                <w:lang w:val="en-US" w:eastAsia="zh-CN" w:bidi="ar-SA"/>
              </w:rPr>
              <w:t>治理技术</w:t>
            </w:r>
            <w:r>
              <w:rPr>
                <w:rFonts w:hint="default" w:ascii="Times New Roman" w:hAnsi="Times New Roman" w:eastAsia="宋体" w:cs="Times New Roman"/>
                <w:b w:val="0"/>
                <w:bCs w:val="0"/>
                <w:snapToGrid w:val="0"/>
                <w:color w:val="000000"/>
                <w:kern w:val="0"/>
                <w:sz w:val="24"/>
                <w:szCs w:val="24"/>
                <w:highlight w:val="none"/>
                <w:lang w:val="en-US" w:eastAsia="zh-CN" w:bidi="ar-SA"/>
              </w:rPr>
              <w:t>。</w:t>
            </w:r>
          </w:p>
          <w:p w14:paraId="472BBD44">
            <w:pPr>
              <w:numPr>
                <w:ilvl w:val="0"/>
                <w:numId w:val="0"/>
              </w:numPr>
              <w:topLinePunct/>
              <w:adjustRightInd w:val="0"/>
              <w:snapToGrid w:val="0"/>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本项目生产线产生的</w:t>
            </w:r>
            <w:r>
              <w:rPr>
                <w:rFonts w:hint="eastAsia" w:ascii="Times New Roman" w:hAnsi="Times New Roman" w:eastAsia="宋体" w:cs="Times New Roman"/>
                <w:b w:val="0"/>
                <w:bCs w:val="0"/>
                <w:snapToGrid w:val="0"/>
                <w:color w:val="000000"/>
                <w:kern w:val="0"/>
                <w:sz w:val="24"/>
                <w:szCs w:val="24"/>
                <w:highlight w:val="none"/>
                <w:lang w:val="en-US" w:eastAsia="zh-CN" w:bidi="ar-SA"/>
              </w:rPr>
              <w:t>废</w:t>
            </w:r>
            <w:r>
              <w:rPr>
                <w:rFonts w:hint="default" w:ascii="Times New Roman" w:hAnsi="Times New Roman" w:eastAsia="宋体" w:cs="Times New Roman"/>
                <w:b w:val="0"/>
                <w:bCs w:val="0"/>
                <w:snapToGrid w:val="0"/>
                <w:color w:val="000000"/>
                <w:kern w:val="0"/>
                <w:sz w:val="24"/>
                <w:szCs w:val="24"/>
                <w:highlight w:val="none"/>
                <w:lang w:val="en-US" w:eastAsia="zh-CN" w:bidi="ar-SA"/>
              </w:rPr>
              <w:t>气采用</w:t>
            </w:r>
            <w:r>
              <w:rPr>
                <w:rFonts w:hint="eastAsia" w:cs="Times New Roman"/>
                <w:b w:val="0"/>
                <w:bCs w:val="0"/>
                <w:snapToGrid w:val="0"/>
                <w:color w:val="000000"/>
                <w:kern w:val="0"/>
                <w:sz w:val="24"/>
                <w:szCs w:val="24"/>
                <w:highlight w:val="none"/>
                <w:lang w:val="en-US" w:eastAsia="zh-CN" w:bidi="ar-SA"/>
              </w:rPr>
              <w:t>水淋塔+电捕焦油器+活性炭吸附</w:t>
            </w:r>
            <w:r>
              <w:rPr>
                <w:rFonts w:hint="default" w:ascii="Times New Roman" w:hAnsi="Times New Roman" w:eastAsia="宋体"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喷淋</w:t>
            </w:r>
            <w:r>
              <w:rPr>
                <w:rFonts w:hint="eastAsia" w:cs="Times New Roman"/>
                <w:b w:val="0"/>
                <w:bCs w:val="0"/>
                <w:snapToGrid w:val="0"/>
                <w:color w:val="000000"/>
                <w:kern w:val="0"/>
                <w:sz w:val="24"/>
                <w:szCs w:val="24"/>
                <w:highlight w:val="none"/>
                <w:lang w:val="en-US" w:eastAsia="zh-CN" w:bidi="ar-SA"/>
              </w:rPr>
              <w:t>、电捕焦和</w:t>
            </w:r>
            <w:r>
              <w:rPr>
                <w:rFonts w:hint="eastAsia" w:ascii="Times New Roman" w:hAnsi="Times New Roman" w:eastAsia="宋体" w:cs="Times New Roman"/>
                <w:b w:val="0"/>
                <w:bCs w:val="0"/>
                <w:snapToGrid w:val="0"/>
                <w:color w:val="000000"/>
                <w:kern w:val="0"/>
                <w:sz w:val="24"/>
                <w:szCs w:val="24"/>
                <w:highlight w:val="none"/>
                <w:lang w:val="en-US" w:eastAsia="zh-CN" w:bidi="ar-SA"/>
              </w:rPr>
              <w:t>活性炭吸附</w:t>
            </w:r>
            <w:r>
              <w:rPr>
                <w:rFonts w:hint="eastAsia" w:cs="Times New Roman"/>
                <w:b w:val="0"/>
                <w:bCs w:val="0"/>
                <w:snapToGrid w:val="0"/>
                <w:color w:val="000000"/>
                <w:kern w:val="0"/>
                <w:sz w:val="24"/>
                <w:szCs w:val="24"/>
                <w:highlight w:val="none"/>
                <w:lang w:val="en-US" w:eastAsia="zh-CN" w:bidi="ar-SA"/>
              </w:rPr>
              <w:t>均</w:t>
            </w:r>
            <w:r>
              <w:rPr>
                <w:rFonts w:hint="eastAsia" w:ascii="Times New Roman" w:hAnsi="Times New Roman" w:eastAsia="宋体" w:cs="Times New Roman"/>
                <w:b w:val="0"/>
                <w:bCs w:val="0"/>
                <w:snapToGrid w:val="0"/>
                <w:color w:val="000000"/>
                <w:kern w:val="0"/>
                <w:sz w:val="24"/>
                <w:szCs w:val="24"/>
                <w:highlight w:val="none"/>
                <w:lang w:val="en-US" w:eastAsia="zh-CN" w:bidi="ar-SA"/>
              </w:rPr>
              <w:t>为</w:t>
            </w:r>
            <w:r>
              <w:rPr>
                <w:rFonts w:hint="default" w:ascii="Times New Roman" w:hAnsi="Times New Roman" w:eastAsia="宋体" w:cs="Times New Roman"/>
                <w:b w:val="0"/>
                <w:bCs w:val="0"/>
                <w:snapToGrid w:val="0"/>
                <w:color w:val="000000"/>
                <w:kern w:val="0"/>
                <w:sz w:val="24"/>
                <w:szCs w:val="24"/>
                <w:highlight w:val="none"/>
                <w:lang w:val="en-US" w:eastAsia="zh-CN" w:bidi="ar-SA"/>
              </w:rPr>
              <w:t>《排污许可证申请与核发技术</w:t>
            </w:r>
            <w:r>
              <w:rPr>
                <w:rFonts w:hint="eastAsia" w:cs="Times New Roman"/>
                <w:b w:val="0"/>
                <w:bCs w:val="0"/>
                <w:snapToGrid w:val="0"/>
                <w:color w:val="000000"/>
                <w:kern w:val="0"/>
                <w:sz w:val="24"/>
                <w:szCs w:val="24"/>
                <w:highlight w:val="none"/>
                <w:lang w:val="en-US" w:eastAsia="zh-CN" w:bidi="ar-SA"/>
              </w:rPr>
              <w:t>规范</w:t>
            </w:r>
            <w:r>
              <w:rPr>
                <w:rFonts w:hint="eastAsia" w:ascii="Times New Roman" w:hAnsi="Times New Roman" w:eastAsia="宋体" w:cs="Times New Roman"/>
                <w:b w:val="0"/>
                <w:bCs w:val="0"/>
                <w:snapToGrid w:val="0"/>
                <w:color w:val="000000"/>
                <w:kern w:val="0"/>
                <w:sz w:val="24"/>
                <w:szCs w:val="24"/>
                <w:highlight w:val="none"/>
                <w:lang w:val="en-US" w:eastAsia="zh-CN" w:bidi="ar-SA"/>
              </w:rPr>
              <w:t xml:space="preserve"> </w:t>
            </w:r>
            <w:r>
              <w:rPr>
                <w:rFonts w:hint="default" w:ascii="Times New Roman" w:hAnsi="Times New Roman" w:eastAsia="宋体" w:cs="Times New Roman"/>
                <w:b w:val="0"/>
                <w:bCs w:val="0"/>
                <w:snapToGrid w:val="0"/>
                <w:color w:val="000000"/>
                <w:kern w:val="0"/>
                <w:sz w:val="24"/>
                <w:szCs w:val="24"/>
                <w:highlight w:val="none"/>
                <w:lang w:val="en-US" w:eastAsia="zh-CN" w:bidi="ar-SA"/>
              </w:rPr>
              <w:t>陶瓷砖瓦工业》中</w:t>
            </w:r>
            <w:r>
              <w:rPr>
                <w:rFonts w:hint="eastAsia" w:ascii="Times New Roman" w:hAnsi="Times New Roman" w:eastAsia="宋体" w:cs="Times New Roman"/>
                <w:b w:val="0"/>
                <w:bCs w:val="0"/>
                <w:snapToGrid w:val="0"/>
                <w:color w:val="000000"/>
                <w:kern w:val="0"/>
                <w:sz w:val="24"/>
                <w:szCs w:val="24"/>
                <w:highlight w:val="none"/>
                <w:lang w:val="en-US" w:eastAsia="zh-CN" w:bidi="ar-SA"/>
              </w:rPr>
              <w:t>“</w:t>
            </w:r>
            <w:r>
              <w:rPr>
                <w:rFonts w:hint="default" w:ascii="Times New Roman" w:hAnsi="Times New Roman" w:eastAsia="宋体" w:cs="Times New Roman"/>
                <w:b w:val="0"/>
                <w:bCs w:val="0"/>
                <w:snapToGrid w:val="0"/>
                <w:color w:val="000000"/>
                <w:kern w:val="0"/>
                <w:sz w:val="24"/>
                <w:szCs w:val="24"/>
                <w:highlight w:val="none"/>
                <w:lang w:val="en-US" w:eastAsia="zh-CN" w:bidi="ar-SA"/>
              </w:rPr>
              <w:t>表30防水建筑材料工业排污单位废气污染防治可行技术</w:t>
            </w:r>
            <w:r>
              <w:rPr>
                <w:rFonts w:hint="eastAsia" w:ascii="Times New Roman" w:hAnsi="Times New Roman" w:eastAsia="宋体" w:cs="Times New Roman"/>
                <w:b w:val="0"/>
                <w:bCs w:val="0"/>
                <w:snapToGrid w:val="0"/>
                <w:color w:val="000000"/>
                <w:kern w:val="0"/>
                <w:sz w:val="24"/>
                <w:szCs w:val="24"/>
                <w:highlight w:val="none"/>
                <w:lang w:val="en-US" w:eastAsia="zh-CN" w:bidi="ar-SA"/>
              </w:rPr>
              <w:t>”中所推荐</w:t>
            </w:r>
            <w:r>
              <w:rPr>
                <w:rFonts w:hint="default" w:ascii="Times New Roman" w:hAnsi="Times New Roman" w:eastAsia="宋体" w:cs="Times New Roman"/>
                <w:b w:val="0"/>
                <w:bCs w:val="0"/>
                <w:snapToGrid w:val="0"/>
                <w:color w:val="000000"/>
                <w:kern w:val="0"/>
                <w:sz w:val="24"/>
                <w:szCs w:val="24"/>
                <w:highlight w:val="none"/>
                <w:lang w:val="en-US" w:eastAsia="zh-CN" w:bidi="ar-SA"/>
              </w:rPr>
              <w:t>的</w:t>
            </w:r>
            <w:r>
              <w:rPr>
                <w:rFonts w:hint="eastAsia" w:ascii="Times New Roman" w:hAnsi="Times New Roman" w:eastAsia="宋体" w:cs="Times New Roman"/>
                <w:b w:val="0"/>
                <w:bCs w:val="0"/>
                <w:snapToGrid w:val="0"/>
                <w:color w:val="000000"/>
                <w:kern w:val="0"/>
                <w:sz w:val="24"/>
                <w:szCs w:val="24"/>
                <w:highlight w:val="none"/>
                <w:lang w:val="en-US" w:eastAsia="zh-CN" w:bidi="ar-SA"/>
              </w:rPr>
              <w:t>治理技术，故采取的大气污染技术是可行的</w:t>
            </w:r>
            <w:r>
              <w:rPr>
                <w:rFonts w:hint="default" w:ascii="Times New Roman" w:hAnsi="Times New Roman" w:eastAsia="宋体" w:cs="Times New Roman"/>
                <w:b w:val="0"/>
                <w:bCs w:val="0"/>
                <w:snapToGrid w:val="0"/>
                <w:color w:val="000000"/>
                <w:kern w:val="0"/>
                <w:sz w:val="24"/>
                <w:szCs w:val="24"/>
                <w:highlight w:val="none"/>
                <w:lang w:val="en-US" w:eastAsia="zh-CN" w:bidi="ar-SA"/>
              </w:rPr>
              <w:t>。</w:t>
            </w:r>
          </w:p>
          <w:p w14:paraId="2A2B38D3">
            <w:pPr>
              <w:numPr>
                <w:ilvl w:val="0"/>
                <w:numId w:val="0"/>
              </w:numPr>
              <w:topLinePunct/>
              <w:adjustRightInd w:val="0"/>
              <w:snapToGrid w:val="0"/>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(3)废气治理依托可行性分析</w:t>
            </w:r>
          </w:p>
          <w:p w14:paraId="2F0E9D3F">
            <w:pPr>
              <w:numPr>
                <w:ilvl w:val="0"/>
                <w:numId w:val="0"/>
              </w:numPr>
              <w:topLinePunct/>
              <w:adjustRightInd w:val="0"/>
              <w:snapToGrid w:val="0"/>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原有项目已建设</w:t>
            </w:r>
            <w:r>
              <w:rPr>
                <w:rFonts w:hint="eastAsia" w:cs="Times New Roman"/>
                <w:b w:val="0"/>
                <w:bCs w:val="0"/>
                <w:snapToGrid w:val="0"/>
                <w:color w:val="000000"/>
                <w:kern w:val="0"/>
                <w:sz w:val="24"/>
                <w:szCs w:val="24"/>
                <w:highlight w:val="none"/>
                <w:lang w:val="en-US" w:eastAsia="zh-CN" w:bidi="ar-SA"/>
              </w:rPr>
              <w:t>水淋塔+电捕焦油器+UV光氧催化，本项目建成后UV光氧替换为活性炭吸收，业主使用集气罩收集，把两条沥青防水卷材的生产线上集气罩收集的废气通向废气处理设施后达标排放。</w:t>
            </w:r>
          </w:p>
          <w:p w14:paraId="56821CCE">
            <w:pPr>
              <w:numPr>
                <w:ilvl w:val="0"/>
                <w:numId w:val="0"/>
              </w:numPr>
              <w:topLinePunct/>
              <w:adjustRightInd w:val="0"/>
              <w:snapToGrid w:val="0"/>
              <w:spacing w:line="360" w:lineRule="auto"/>
              <w:ind w:firstLine="480" w:firstLineChars="200"/>
              <w:rPr>
                <w:rFonts w:hint="eastAsia"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本项目生产线产生的</w:t>
            </w:r>
            <w:r>
              <w:rPr>
                <w:rFonts w:hint="eastAsia" w:ascii="Times New Roman" w:hAnsi="Times New Roman" w:eastAsia="宋体" w:cs="Times New Roman"/>
                <w:b w:val="0"/>
                <w:bCs w:val="0"/>
                <w:snapToGrid w:val="0"/>
                <w:color w:val="000000"/>
                <w:kern w:val="0"/>
                <w:sz w:val="24"/>
                <w:szCs w:val="24"/>
                <w:highlight w:val="none"/>
                <w:lang w:val="en-US" w:eastAsia="zh-CN" w:bidi="ar-SA"/>
              </w:rPr>
              <w:t>废</w:t>
            </w:r>
            <w:r>
              <w:rPr>
                <w:rFonts w:hint="default" w:ascii="Times New Roman" w:hAnsi="Times New Roman" w:eastAsia="宋体" w:cs="Times New Roman"/>
                <w:b w:val="0"/>
                <w:bCs w:val="0"/>
                <w:snapToGrid w:val="0"/>
                <w:color w:val="000000"/>
                <w:kern w:val="0"/>
                <w:sz w:val="24"/>
                <w:szCs w:val="24"/>
                <w:highlight w:val="none"/>
                <w:lang w:val="en-US" w:eastAsia="zh-CN" w:bidi="ar-SA"/>
              </w:rPr>
              <w:t>气采用</w:t>
            </w:r>
            <w:r>
              <w:rPr>
                <w:rFonts w:hint="eastAsia" w:cs="Times New Roman"/>
                <w:b w:val="0"/>
                <w:bCs w:val="0"/>
                <w:snapToGrid w:val="0"/>
                <w:color w:val="000000"/>
                <w:kern w:val="0"/>
                <w:sz w:val="24"/>
                <w:szCs w:val="24"/>
                <w:highlight w:val="none"/>
                <w:lang w:val="en-US" w:eastAsia="zh-CN" w:bidi="ar-SA"/>
              </w:rPr>
              <w:t>水淋塔+电捕焦油器+活性炭吸附</w:t>
            </w:r>
            <w:r>
              <w:rPr>
                <w:rFonts w:hint="default" w:ascii="Times New Roman" w:hAnsi="Times New Roman" w:eastAsia="宋体"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喷淋</w:t>
            </w:r>
            <w:r>
              <w:rPr>
                <w:rFonts w:hint="eastAsia" w:cs="Times New Roman"/>
                <w:b w:val="0"/>
                <w:bCs w:val="0"/>
                <w:snapToGrid w:val="0"/>
                <w:color w:val="000000"/>
                <w:kern w:val="0"/>
                <w:sz w:val="24"/>
                <w:szCs w:val="24"/>
                <w:highlight w:val="none"/>
                <w:lang w:val="en-US" w:eastAsia="zh-CN" w:bidi="ar-SA"/>
              </w:rPr>
              <w:t>、电捕焦和</w:t>
            </w:r>
            <w:r>
              <w:rPr>
                <w:rFonts w:hint="eastAsia" w:ascii="Times New Roman" w:hAnsi="Times New Roman" w:eastAsia="宋体" w:cs="Times New Roman"/>
                <w:b w:val="0"/>
                <w:bCs w:val="0"/>
                <w:snapToGrid w:val="0"/>
                <w:color w:val="000000"/>
                <w:kern w:val="0"/>
                <w:sz w:val="24"/>
                <w:szCs w:val="24"/>
                <w:highlight w:val="none"/>
                <w:lang w:val="en-US" w:eastAsia="zh-CN" w:bidi="ar-SA"/>
              </w:rPr>
              <w:t>活性炭吸附</w:t>
            </w:r>
            <w:r>
              <w:rPr>
                <w:rFonts w:hint="eastAsia" w:cs="Times New Roman"/>
                <w:b w:val="0"/>
                <w:bCs w:val="0"/>
                <w:snapToGrid w:val="0"/>
                <w:color w:val="000000"/>
                <w:kern w:val="0"/>
                <w:sz w:val="24"/>
                <w:szCs w:val="24"/>
                <w:highlight w:val="none"/>
                <w:lang w:val="en-US" w:eastAsia="zh-CN" w:bidi="ar-SA"/>
              </w:rPr>
              <w:t>均</w:t>
            </w:r>
            <w:r>
              <w:rPr>
                <w:rFonts w:hint="eastAsia" w:ascii="Times New Roman" w:hAnsi="Times New Roman" w:eastAsia="宋体" w:cs="Times New Roman"/>
                <w:b w:val="0"/>
                <w:bCs w:val="0"/>
                <w:snapToGrid w:val="0"/>
                <w:color w:val="000000"/>
                <w:kern w:val="0"/>
                <w:sz w:val="24"/>
                <w:szCs w:val="24"/>
                <w:highlight w:val="none"/>
                <w:lang w:val="en-US" w:eastAsia="zh-CN" w:bidi="ar-SA"/>
              </w:rPr>
              <w:t>为</w:t>
            </w:r>
            <w:r>
              <w:rPr>
                <w:rFonts w:hint="default" w:ascii="Times New Roman" w:hAnsi="Times New Roman" w:eastAsia="宋体" w:cs="Times New Roman"/>
                <w:b w:val="0"/>
                <w:bCs w:val="0"/>
                <w:snapToGrid w:val="0"/>
                <w:color w:val="000000"/>
                <w:kern w:val="0"/>
                <w:sz w:val="24"/>
                <w:szCs w:val="24"/>
                <w:highlight w:val="none"/>
                <w:lang w:val="en-US" w:eastAsia="zh-CN" w:bidi="ar-SA"/>
              </w:rPr>
              <w:t>《排污许可证申请与核发技术</w:t>
            </w:r>
            <w:r>
              <w:rPr>
                <w:rFonts w:hint="eastAsia" w:cs="Times New Roman"/>
                <w:b w:val="0"/>
                <w:bCs w:val="0"/>
                <w:snapToGrid w:val="0"/>
                <w:color w:val="000000"/>
                <w:kern w:val="0"/>
                <w:sz w:val="24"/>
                <w:szCs w:val="24"/>
                <w:highlight w:val="none"/>
                <w:lang w:val="en-US" w:eastAsia="zh-CN" w:bidi="ar-SA"/>
              </w:rPr>
              <w:t>规范</w:t>
            </w:r>
            <w:r>
              <w:rPr>
                <w:rFonts w:hint="eastAsia" w:ascii="Times New Roman" w:hAnsi="Times New Roman" w:eastAsia="宋体" w:cs="Times New Roman"/>
                <w:b w:val="0"/>
                <w:bCs w:val="0"/>
                <w:snapToGrid w:val="0"/>
                <w:color w:val="000000"/>
                <w:kern w:val="0"/>
                <w:sz w:val="24"/>
                <w:szCs w:val="24"/>
                <w:highlight w:val="none"/>
                <w:lang w:val="en-US" w:eastAsia="zh-CN" w:bidi="ar-SA"/>
              </w:rPr>
              <w:t xml:space="preserve"> </w:t>
            </w:r>
            <w:r>
              <w:rPr>
                <w:rFonts w:hint="default" w:ascii="Times New Roman" w:hAnsi="Times New Roman" w:eastAsia="宋体" w:cs="Times New Roman"/>
                <w:b w:val="0"/>
                <w:bCs w:val="0"/>
                <w:snapToGrid w:val="0"/>
                <w:color w:val="000000"/>
                <w:kern w:val="0"/>
                <w:sz w:val="24"/>
                <w:szCs w:val="24"/>
                <w:highlight w:val="none"/>
                <w:lang w:val="en-US" w:eastAsia="zh-CN" w:bidi="ar-SA"/>
              </w:rPr>
              <w:t>陶瓷砖瓦工业》中</w:t>
            </w:r>
            <w:r>
              <w:rPr>
                <w:rFonts w:hint="eastAsia" w:ascii="Times New Roman" w:hAnsi="Times New Roman" w:eastAsia="宋体" w:cs="Times New Roman"/>
                <w:b w:val="0"/>
                <w:bCs w:val="0"/>
                <w:snapToGrid w:val="0"/>
                <w:color w:val="000000"/>
                <w:kern w:val="0"/>
                <w:sz w:val="24"/>
                <w:szCs w:val="24"/>
                <w:highlight w:val="none"/>
                <w:lang w:val="en-US" w:eastAsia="zh-CN" w:bidi="ar-SA"/>
              </w:rPr>
              <w:t>“</w:t>
            </w:r>
            <w:r>
              <w:rPr>
                <w:rFonts w:hint="default" w:ascii="Times New Roman" w:hAnsi="Times New Roman" w:eastAsia="宋体" w:cs="Times New Roman"/>
                <w:b w:val="0"/>
                <w:bCs w:val="0"/>
                <w:snapToGrid w:val="0"/>
                <w:color w:val="000000"/>
                <w:kern w:val="0"/>
                <w:sz w:val="24"/>
                <w:szCs w:val="24"/>
                <w:highlight w:val="none"/>
                <w:lang w:val="en-US" w:eastAsia="zh-CN" w:bidi="ar-SA"/>
              </w:rPr>
              <w:t>表30防水建筑材料工业排污单位废气污染防治可行技术</w:t>
            </w:r>
            <w:r>
              <w:rPr>
                <w:rFonts w:hint="eastAsia" w:ascii="Times New Roman" w:hAnsi="Times New Roman" w:eastAsia="宋体" w:cs="Times New Roman"/>
                <w:b w:val="0"/>
                <w:bCs w:val="0"/>
                <w:snapToGrid w:val="0"/>
                <w:color w:val="000000"/>
                <w:kern w:val="0"/>
                <w:sz w:val="24"/>
                <w:szCs w:val="24"/>
                <w:highlight w:val="none"/>
                <w:lang w:val="en-US" w:eastAsia="zh-CN" w:bidi="ar-SA"/>
              </w:rPr>
              <w:t>”中所推荐</w:t>
            </w:r>
            <w:r>
              <w:rPr>
                <w:rFonts w:hint="default" w:ascii="Times New Roman" w:hAnsi="Times New Roman" w:eastAsia="宋体" w:cs="Times New Roman"/>
                <w:b w:val="0"/>
                <w:bCs w:val="0"/>
                <w:snapToGrid w:val="0"/>
                <w:color w:val="000000"/>
                <w:kern w:val="0"/>
                <w:sz w:val="24"/>
                <w:szCs w:val="24"/>
                <w:highlight w:val="none"/>
                <w:lang w:val="en-US" w:eastAsia="zh-CN" w:bidi="ar-SA"/>
              </w:rPr>
              <w:t>的</w:t>
            </w:r>
            <w:r>
              <w:rPr>
                <w:rFonts w:hint="eastAsia" w:ascii="Times New Roman" w:hAnsi="Times New Roman" w:eastAsia="宋体" w:cs="Times New Roman"/>
                <w:b w:val="0"/>
                <w:bCs w:val="0"/>
                <w:snapToGrid w:val="0"/>
                <w:color w:val="000000"/>
                <w:kern w:val="0"/>
                <w:sz w:val="24"/>
                <w:szCs w:val="24"/>
                <w:highlight w:val="none"/>
                <w:lang w:val="en-US" w:eastAsia="zh-CN" w:bidi="ar-SA"/>
              </w:rPr>
              <w:t>治理技术，</w:t>
            </w:r>
            <w:r>
              <w:rPr>
                <w:rFonts w:hint="eastAsia" w:cs="Times New Roman"/>
                <w:b w:val="0"/>
                <w:bCs w:val="0"/>
                <w:snapToGrid w:val="0"/>
                <w:color w:val="000000"/>
                <w:kern w:val="0"/>
                <w:sz w:val="24"/>
                <w:szCs w:val="24"/>
                <w:highlight w:val="none"/>
                <w:lang w:val="en-US" w:eastAsia="zh-CN" w:bidi="ar-SA"/>
              </w:rPr>
              <w:t>根据原环评及批复，</w:t>
            </w:r>
            <w:r>
              <w:rPr>
                <w:rFonts w:hint="eastAsia" w:ascii="Times New Roman" w:hAnsi="Times New Roman" w:eastAsia="宋体" w:cs="Times New Roman"/>
                <w:b w:val="0"/>
                <w:bCs w:val="0"/>
                <w:snapToGrid w:val="0"/>
                <w:color w:val="000000"/>
                <w:kern w:val="0"/>
                <w:sz w:val="24"/>
                <w:szCs w:val="24"/>
                <w:highlight w:val="none"/>
                <w:lang w:val="en-US" w:eastAsia="zh-CN" w:bidi="ar-SA"/>
              </w:rPr>
              <w:t>原有项目在原来建设</w:t>
            </w:r>
            <w:r>
              <w:rPr>
                <w:rFonts w:hint="eastAsia" w:cs="Times New Roman"/>
                <w:b w:val="0"/>
                <w:bCs w:val="0"/>
                <w:snapToGrid w:val="0"/>
                <w:color w:val="000000"/>
                <w:kern w:val="0"/>
                <w:sz w:val="24"/>
                <w:szCs w:val="24"/>
                <w:highlight w:val="none"/>
                <w:lang w:val="en-US" w:eastAsia="zh-CN" w:bidi="ar-SA"/>
              </w:rPr>
              <w:t>过程中是按照1000万m</w:t>
            </w:r>
            <w:r>
              <w:rPr>
                <w:rFonts w:hint="eastAsia" w:cs="Times New Roman"/>
                <w:b w:val="0"/>
                <w:bCs w:val="0"/>
                <w:snapToGrid w:val="0"/>
                <w:color w:val="000000"/>
                <w:kern w:val="0"/>
                <w:sz w:val="24"/>
                <w:szCs w:val="24"/>
                <w:highlight w:val="none"/>
                <w:vertAlign w:val="superscript"/>
                <w:lang w:val="en-US" w:eastAsia="zh-CN" w:bidi="ar-SA"/>
              </w:rPr>
              <w:t>2</w:t>
            </w:r>
            <w:r>
              <w:rPr>
                <w:rFonts w:hint="eastAsia" w:cs="Times New Roman"/>
                <w:b w:val="0"/>
                <w:bCs w:val="0"/>
                <w:snapToGrid w:val="0"/>
                <w:color w:val="000000"/>
                <w:kern w:val="0"/>
                <w:sz w:val="24"/>
                <w:szCs w:val="24"/>
                <w:highlight w:val="none"/>
                <w:lang w:val="en-US" w:eastAsia="zh-CN" w:bidi="ar-SA"/>
              </w:rPr>
              <w:t>的防水卷材进行建造，本次评价废气处理规模还是按照规模为1000万m</w:t>
            </w:r>
            <w:r>
              <w:rPr>
                <w:rFonts w:hint="eastAsia" w:cs="Times New Roman"/>
                <w:b w:val="0"/>
                <w:bCs w:val="0"/>
                <w:snapToGrid w:val="0"/>
                <w:color w:val="000000"/>
                <w:kern w:val="0"/>
                <w:sz w:val="24"/>
                <w:szCs w:val="24"/>
                <w:highlight w:val="none"/>
                <w:vertAlign w:val="superscript"/>
                <w:lang w:val="en-US" w:eastAsia="zh-CN" w:bidi="ar-SA"/>
              </w:rPr>
              <w:t>2</w:t>
            </w:r>
            <w:r>
              <w:rPr>
                <w:rFonts w:hint="eastAsia" w:cs="Times New Roman"/>
                <w:b w:val="0"/>
                <w:bCs w:val="0"/>
                <w:snapToGrid w:val="0"/>
                <w:color w:val="000000"/>
                <w:kern w:val="0"/>
                <w:sz w:val="24"/>
                <w:szCs w:val="24"/>
                <w:highlight w:val="none"/>
                <w:lang w:val="en-US" w:eastAsia="zh-CN" w:bidi="ar-SA"/>
              </w:rPr>
              <w:t>评价，因此依托可行。</w:t>
            </w:r>
          </w:p>
          <w:p w14:paraId="06BEEFBD">
            <w:pPr>
              <w:pStyle w:val="34"/>
              <w:spacing w:line="360" w:lineRule="auto"/>
              <w:ind w:firstLine="480"/>
              <w:rPr>
                <w:rFonts w:hint="default" w:cs="Times New Roman"/>
                <w:color w:val="auto"/>
                <w:highlight w:val="none"/>
                <w:lang w:val="en-US" w:eastAsia="zh-CN"/>
              </w:rPr>
            </w:pPr>
            <w:r>
              <w:rPr>
                <w:rFonts w:hint="eastAsia" w:cs="Times New Roman"/>
                <w:color w:val="auto"/>
                <w:highlight w:val="none"/>
                <w:lang w:eastAsia="zh-CN"/>
              </w:rPr>
              <w:t>（</w:t>
            </w:r>
            <w:r>
              <w:rPr>
                <w:rFonts w:hint="eastAsia" w:cs="Times New Roman"/>
                <w:color w:val="auto"/>
                <w:highlight w:val="none"/>
                <w:lang w:val="en-US" w:eastAsia="zh-CN"/>
              </w:rPr>
              <w:t>4</w:t>
            </w:r>
            <w:r>
              <w:rPr>
                <w:rFonts w:hint="eastAsia" w:cs="Times New Roman"/>
                <w:color w:val="auto"/>
                <w:highlight w:val="none"/>
                <w:lang w:eastAsia="zh-CN"/>
              </w:rPr>
              <w:t>）</w:t>
            </w:r>
            <w:r>
              <w:rPr>
                <w:rFonts w:hint="eastAsia" w:cs="Times New Roman"/>
                <w:color w:val="auto"/>
                <w:highlight w:val="none"/>
                <w:lang w:val="en-US" w:eastAsia="zh-CN"/>
              </w:rPr>
              <w:t>沥青储罐可行性分析</w:t>
            </w:r>
          </w:p>
          <w:p w14:paraId="558AD8E2">
            <w:pPr>
              <w:pStyle w:val="34"/>
              <w:spacing w:line="360" w:lineRule="auto"/>
              <w:ind w:firstLine="480"/>
              <w:rPr>
                <w:rFonts w:hint="default"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color w:val="auto"/>
                <w:highlight w:val="none"/>
                <w:lang w:val="en-US" w:eastAsia="zh-CN"/>
              </w:rPr>
              <w:t>本项目与原有项目共用这三个沥青储罐，经过上述分析，原有项目和新建项目共使用沥青量为12200t/a（10166.67m</w:t>
            </w:r>
            <w:r>
              <w:rPr>
                <w:rFonts w:hint="eastAsia" w:ascii="Times New Roman" w:hAnsi="Times New Roman" w:eastAsia="宋体" w:cs="Times New Roman"/>
                <w:color w:val="auto"/>
                <w:highlight w:val="none"/>
                <w:vertAlign w:val="superscript"/>
                <w:lang w:val="en-US" w:eastAsia="zh-CN"/>
              </w:rPr>
              <w:t>3</w:t>
            </w:r>
            <w:r>
              <w:rPr>
                <w:rFonts w:hint="eastAsia" w:ascii="Times New Roman" w:hAnsi="Times New Roman" w:eastAsia="宋体" w:cs="Times New Roman"/>
                <w:color w:val="auto"/>
                <w:highlight w:val="none"/>
                <w:lang w:val="en-US" w:eastAsia="zh-CN"/>
              </w:rPr>
              <w:t>/a），租用3个沥青罐的总容量为1150m</w:t>
            </w:r>
            <w:r>
              <w:rPr>
                <w:rFonts w:hint="eastAsia" w:ascii="Times New Roman" w:hAnsi="Times New Roman" w:eastAsia="宋体" w:cs="Times New Roman"/>
                <w:color w:val="auto"/>
                <w:highlight w:val="none"/>
                <w:vertAlign w:val="superscript"/>
                <w:lang w:val="en-US" w:eastAsia="zh-CN"/>
              </w:rPr>
              <w:t>3</w:t>
            </w:r>
            <w:r>
              <w:rPr>
                <w:rFonts w:hint="eastAsia" w:ascii="Times New Roman" w:hAnsi="Times New Roman" w:eastAsia="宋体" w:cs="Times New Roman"/>
                <w:color w:val="auto"/>
                <w:highlight w:val="none"/>
                <w:lang w:val="en-US" w:eastAsia="zh-CN"/>
              </w:rPr>
              <w:t>，需每年往沥青罐内充入9次可满足本项目与原有项目的沥青使用量。故本项目可依托原有项目储罐进行生产，依托可行。</w:t>
            </w:r>
          </w:p>
          <w:p w14:paraId="5248ECB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left"/>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1.2.2</w:t>
            </w:r>
            <w:r>
              <w:rPr>
                <w:rFonts w:hint="eastAsia" w:ascii="Times New Roman" w:hAnsi="Times New Roman" w:eastAsia="宋体" w:cs="Times New Roman"/>
                <w:b/>
                <w:bCs/>
                <w:color w:val="000000"/>
                <w:kern w:val="0"/>
                <w:sz w:val="24"/>
                <w:szCs w:val="24"/>
                <w:highlight w:val="none"/>
                <w:lang w:val="en-US" w:eastAsia="zh-CN" w:bidi="ar"/>
              </w:rPr>
              <w:t xml:space="preserve"> </w:t>
            </w:r>
            <w:r>
              <w:rPr>
                <w:rFonts w:hint="default" w:ascii="Times New Roman" w:hAnsi="Times New Roman" w:eastAsia="宋体" w:cs="Times New Roman"/>
                <w:b/>
                <w:bCs/>
                <w:color w:val="000000"/>
                <w:kern w:val="0"/>
                <w:sz w:val="24"/>
                <w:szCs w:val="24"/>
                <w:highlight w:val="none"/>
                <w:lang w:val="en-US" w:eastAsia="zh-CN" w:bidi="ar"/>
              </w:rPr>
              <w:t>无组织废气治理措施可行性分析</w:t>
            </w:r>
          </w:p>
          <w:p w14:paraId="1F64ADE8">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本项目生产线</w:t>
            </w:r>
            <w:r>
              <w:rPr>
                <w:rFonts w:hint="eastAsia" w:ascii="Times New Roman" w:hAnsi="Times New Roman" w:eastAsia="宋体" w:cs="Times New Roman"/>
                <w:snapToGrid w:val="0"/>
                <w:color w:val="000000"/>
                <w:kern w:val="0"/>
                <w:sz w:val="24"/>
                <w:highlight w:val="none"/>
                <w:lang w:val="en-US" w:eastAsia="zh-CN"/>
              </w:rPr>
              <w:t>位于封闭式车间内，</w:t>
            </w:r>
            <w:r>
              <w:rPr>
                <w:rFonts w:hint="default" w:ascii="Times New Roman" w:hAnsi="Times New Roman" w:eastAsia="宋体" w:cs="Times New Roman"/>
                <w:snapToGrid w:val="0"/>
                <w:color w:val="000000"/>
                <w:kern w:val="0"/>
                <w:sz w:val="24"/>
                <w:highlight w:val="none"/>
                <w:lang w:val="en-US" w:eastAsia="zh-CN"/>
              </w:rPr>
              <w:t>沥青储存于密闭储罐，输送过程全密闭</w:t>
            </w:r>
            <w:r>
              <w:rPr>
                <w:rFonts w:hint="eastAsia" w:ascii="Times New Roman" w:hAnsi="Times New Roman" w:eastAsia="宋体" w:cs="Times New Roman"/>
                <w:snapToGrid w:val="0"/>
                <w:color w:val="000000"/>
                <w:kern w:val="0"/>
                <w:sz w:val="24"/>
                <w:highlight w:val="none"/>
                <w:lang w:val="en-US" w:eastAsia="zh-CN"/>
              </w:rPr>
              <w:t>；滑</w:t>
            </w:r>
            <w:r>
              <w:rPr>
                <w:rFonts w:hint="default" w:ascii="Times New Roman" w:hAnsi="Times New Roman" w:eastAsia="宋体" w:cs="Times New Roman"/>
                <w:snapToGrid w:val="0"/>
                <w:color w:val="000000"/>
                <w:kern w:val="0"/>
                <w:sz w:val="24"/>
                <w:highlight w:val="none"/>
                <w:lang w:val="en-US" w:eastAsia="zh-CN"/>
              </w:rPr>
              <w:t>石粉、</w:t>
            </w:r>
            <w:r>
              <w:rPr>
                <w:rFonts w:hint="eastAsia" w:ascii="Times New Roman" w:hAnsi="Times New Roman" w:eastAsia="宋体" w:cs="Times New Roman"/>
                <w:snapToGrid w:val="0"/>
                <w:color w:val="000000"/>
                <w:kern w:val="0"/>
                <w:sz w:val="24"/>
                <w:highlight w:val="none"/>
                <w:lang w:val="en-US" w:eastAsia="zh-CN"/>
              </w:rPr>
              <w:t>粉煤灰存放于密闭筒仓内；改性剂</w:t>
            </w:r>
            <w:r>
              <w:rPr>
                <w:rFonts w:hint="default" w:ascii="Times New Roman" w:hAnsi="Times New Roman" w:eastAsia="宋体" w:cs="Times New Roman"/>
                <w:snapToGrid w:val="0"/>
                <w:color w:val="000000"/>
                <w:kern w:val="0"/>
                <w:sz w:val="24"/>
                <w:highlight w:val="none"/>
                <w:lang w:val="en-US" w:eastAsia="zh-CN"/>
              </w:rPr>
              <w:t>等原料存放于厂房内；</w:t>
            </w:r>
            <w:r>
              <w:rPr>
                <w:rFonts w:hint="eastAsia" w:ascii="Times New Roman" w:hAnsi="Times New Roman" w:eastAsia="宋体" w:cs="Times New Roman"/>
                <w:snapToGrid w:val="0"/>
                <w:color w:val="000000"/>
                <w:kern w:val="0"/>
                <w:sz w:val="24"/>
                <w:highlight w:val="none"/>
                <w:lang w:val="en-US" w:eastAsia="zh-CN"/>
              </w:rPr>
              <w:t>搅拌罐密闭处理，投料、覆膜、</w:t>
            </w:r>
            <w:r>
              <w:rPr>
                <w:rFonts w:hint="eastAsia" w:cs="Times New Roman"/>
                <w:snapToGrid w:val="0"/>
                <w:color w:val="000000"/>
                <w:kern w:val="0"/>
                <w:sz w:val="24"/>
                <w:highlight w:val="none"/>
                <w:lang w:val="en-US" w:eastAsia="zh-CN"/>
              </w:rPr>
              <w:t>沥青储罐</w:t>
            </w:r>
            <w:r>
              <w:rPr>
                <w:rFonts w:hint="default" w:ascii="Times New Roman" w:hAnsi="Times New Roman" w:eastAsia="宋体" w:cs="Times New Roman"/>
                <w:snapToGrid w:val="0"/>
                <w:color w:val="000000"/>
                <w:kern w:val="0"/>
                <w:sz w:val="24"/>
                <w:highlight w:val="none"/>
                <w:lang w:val="en-US" w:eastAsia="zh-CN"/>
              </w:rPr>
              <w:t>生产过程</w:t>
            </w:r>
            <w:r>
              <w:rPr>
                <w:rFonts w:hint="eastAsia" w:ascii="Times New Roman" w:hAnsi="Times New Roman" w:eastAsia="宋体" w:cs="Times New Roman"/>
                <w:snapToGrid w:val="0"/>
                <w:color w:val="000000"/>
                <w:kern w:val="0"/>
                <w:sz w:val="24"/>
                <w:highlight w:val="none"/>
                <w:lang w:val="en-US" w:eastAsia="zh-CN"/>
              </w:rPr>
              <w:t>废气</w:t>
            </w:r>
            <w:r>
              <w:rPr>
                <w:rFonts w:hint="default" w:ascii="Times New Roman" w:hAnsi="Times New Roman" w:eastAsia="宋体" w:cs="Times New Roman"/>
                <w:snapToGrid w:val="0"/>
                <w:color w:val="000000"/>
                <w:kern w:val="0"/>
                <w:sz w:val="24"/>
                <w:highlight w:val="none"/>
                <w:lang w:val="en-US" w:eastAsia="zh-CN"/>
              </w:rPr>
              <w:t>采取了</w:t>
            </w:r>
            <w:r>
              <w:rPr>
                <w:rFonts w:hint="eastAsia" w:ascii="Times New Roman" w:hAnsi="Times New Roman" w:eastAsia="宋体" w:cs="Times New Roman"/>
                <w:snapToGrid w:val="0"/>
                <w:color w:val="000000"/>
                <w:kern w:val="0"/>
                <w:sz w:val="24"/>
                <w:highlight w:val="none"/>
                <w:lang w:val="en-US" w:eastAsia="zh-CN"/>
              </w:rPr>
              <w:t>集气罩收集</w:t>
            </w:r>
            <w:r>
              <w:rPr>
                <w:rFonts w:hint="default" w:ascii="Times New Roman" w:hAnsi="Times New Roman" w:eastAsia="宋体" w:cs="Times New Roman"/>
                <w:snapToGrid w:val="0"/>
                <w:color w:val="000000"/>
                <w:kern w:val="0"/>
                <w:sz w:val="24"/>
                <w:highlight w:val="none"/>
                <w:lang w:val="en-US" w:eastAsia="zh-CN"/>
              </w:rPr>
              <w:t>，无可见烟气外溢，综上所述，改性沥青防水卷材生产线和非固化沥青涂料生产线采取的无组织废气措施均符合《排污许可证申请与核发技术规范 陶瓷砖瓦工业》中</w:t>
            </w:r>
            <w:r>
              <w:rPr>
                <w:rFonts w:hint="eastAsia" w:ascii="Times New Roman" w:hAnsi="Times New Roman" w:eastAsia="宋体" w:cs="Times New Roman"/>
                <w:snapToGrid w:val="0"/>
                <w:color w:val="000000"/>
                <w:kern w:val="0"/>
                <w:sz w:val="24"/>
                <w:highlight w:val="none"/>
                <w:lang w:val="en-US" w:eastAsia="zh-CN"/>
              </w:rPr>
              <w:t>“</w:t>
            </w:r>
            <w:r>
              <w:rPr>
                <w:rFonts w:hint="default" w:ascii="Times New Roman" w:hAnsi="Times New Roman" w:eastAsia="宋体" w:cs="Times New Roman"/>
                <w:snapToGrid w:val="0"/>
                <w:color w:val="000000"/>
                <w:kern w:val="0"/>
                <w:sz w:val="24"/>
                <w:highlight w:val="none"/>
                <w:lang w:val="en-US" w:eastAsia="zh-CN"/>
              </w:rPr>
              <w:t>表24防水建筑材料工业排污单位无组织排放控制要求</w:t>
            </w:r>
            <w:r>
              <w:rPr>
                <w:rFonts w:hint="eastAsia" w:ascii="Times New Roman" w:hAnsi="Times New Roman" w:eastAsia="宋体" w:cs="Times New Roman"/>
                <w:snapToGrid w:val="0"/>
                <w:color w:val="000000"/>
                <w:kern w:val="0"/>
                <w:sz w:val="24"/>
                <w:highlight w:val="none"/>
                <w:lang w:val="en-US" w:eastAsia="zh-CN"/>
              </w:rPr>
              <w:t>”</w:t>
            </w:r>
            <w:r>
              <w:rPr>
                <w:rFonts w:hint="default" w:ascii="Times New Roman" w:hAnsi="Times New Roman" w:eastAsia="宋体" w:cs="Times New Roman"/>
                <w:snapToGrid w:val="0"/>
                <w:color w:val="000000"/>
                <w:kern w:val="0"/>
                <w:sz w:val="24"/>
                <w:highlight w:val="none"/>
                <w:lang w:val="en-US" w:eastAsia="zh-CN"/>
              </w:rPr>
              <w:t>。</w:t>
            </w:r>
          </w:p>
          <w:p w14:paraId="1AE46767">
            <w:pPr>
              <w:numPr>
                <w:ilvl w:val="0"/>
                <w:numId w:val="0"/>
              </w:numPr>
              <w:topLinePunct/>
              <w:adjustRightInd w:val="0"/>
              <w:snapToGrid w:val="0"/>
              <w:spacing w:line="360" w:lineRule="auto"/>
              <w:ind w:firstLine="480" w:firstLineChars="200"/>
              <w:rPr>
                <w:rFonts w:hint="default" w:ascii="Times New Roman" w:hAnsi="Times New Roman" w:eastAsia="宋体" w:cs="Times New Roman"/>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厂区地面进行硬化处理，对运输和装卸人员进行专业培训，规范操作，可有效减少原料在装卸、运输及风蚀过程中堆场扬尘的产生。综上所述，本项目无组织废气采取措施是可行的。</w:t>
            </w:r>
          </w:p>
          <w:p w14:paraId="071247A8">
            <w:pPr>
              <w:keepNext w:val="0"/>
              <w:keepLines w:val="0"/>
              <w:pageBreakBefore w:val="0"/>
              <w:widowControl/>
              <w:numPr>
                <w:ilvl w:val="0"/>
                <w:numId w:val="0"/>
              </w:numPr>
              <w:suppressLineNumbers w:val="0"/>
              <w:kinsoku/>
              <w:wordWrap/>
              <w:overflowPunct/>
              <w:topLinePunct w:val="0"/>
              <w:autoSpaceDE/>
              <w:autoSpaceDN/>
              <w:bidi w:val="0"/>
              <w:adjustRightInd/>
              <w:snapToGrid/>
              <w:spacing w:before="157" w:beforeLines="50" w:line="360" w:lineRule="auto"/>
              <w:ind w:leftChars="0"/>
              <w:jc w:val="left"/>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1.</w:t>
            </w:r>
            <w:r>
              <w:rPr>
                <w:rFonts w:hint="eastAsia" w:cs="Times New Roman"/>
                <w:b/>
                <w:bCs/>
                <w:color w:val="000000"/>
                <w:kern w:val="0"/>
                <w:sz w:val="24"/>
                <w:szCs w:val="24"/>
                <w:highlight w:val="none"/>
                <w:lang w:val="en-US" w:eastAsia="zh-CN" w:bidi="ar"/>
              </w:rPr>
              <w:t>3</w:t>
            </w:r>
            <w:r>
              <w:rPr>
                <w:rFonts w:hint="eastAsia" w:ascii="Times New Roman" w:hAnsi="Times New Roman" w:eastAsia="宋体" w:cs="Times New Roman"/>
                <w:b/>
                <w:bCs/>
                <w:color w:val="000000"/>
                <w:kern w:val="0"/>
                <w:sz w:val="24"/>
                <w:szCs w:val="24"/>
                <w:highlight w:val="none"/>
                <w:lang w:val="en-US" w:eastAsia="zh-CN" w:bidi="ar"/>
              </w:rPr>
              <w:t xml:space="preserve"> 排放口设置情况</w:t>
            </w:r>
          </w:p>
          <w:p w14:paraId="6D8EFABE">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本项目</w:t>
            </w:r>
            <w:r>
              <w:rPr>
                <w:rFonts w:hint="eastAsia" w:cs="Times New Roman"/>
                <w:snapToGrid w:val="0"/>
                <w:color w:val="000000"/>
                <w:kern w:val="0"/>
                <w:sz w:val="24"/>
                <w:highlight w:val="none"/>
                <w:lang w:val="en-US" w:eastAsia="zh-CN"/>
              </w:rPr>
              <w:t>扩建不新增排口，全部依托一期排口，</w:t>
            </w:r>
            <w:r>
              <w:rPr>
                <w:rFonts w:hint="default" w:ascii="Times New Roman" w:hAnsi="Times New Roman" w:eastAsia="宋体" w:cs="Times New Roman"/>
                <w:snapToGrid w:val="0"/>
                <w:color w:val="000000"/>
                <w:kern w:val="0"/>
                <w:sz w:val="24"/>
                <w:highlight w:val="none"/>
                <w:lang w:val="en-US" w:eastAsia="zh-CN"/>
              </w:rPr>
              <w:t>有组织废气排放口情况见表</w:t>
            </w:r>
            <w:r>
              <w:rPr>
                <w:rFonts w:hint="eastAsia" w:ascii="Times New Roman" w:hAnsi="Times New Roman" w:eastAsia="宋体" w:cs="Times New Roman"/>
                <w:snapToGrid w:val="0"/>
                <w:color w:val="000000"/>
                <w:kern w:val="0"/>
                <w:sz w:val="24"/>
                <w:highlight w:val="none"/>
                <w:lang w:val="en-US" w:eastAsia="zh-CN"/>
              </w:rPr>
              <w:t>4-</w:t>
            </w:r>
            <w:r>
              <w:rPr>
                <w:rFonts w:hint="eastAsia" w:cs="Times New Roman"/>
                <w:snapToGrid w:val="0"/>
                <w:color w:val="000000"/>
                <w:kern w:val="0"/>
                <w:sz w:val="24"/>
                <w:highlight w:val="none"/>
                <w:lang w:val="en-US" w:eastAsia="zh-CN"/>
              </w:rPr>
              <w:t>4</w:t>
            </w:r>
            <w:r>
              <w:rPr>
                <w:rFonts w:hint="default" w:ascii="Times New Roman" w:hAnsi="Times New Roman" w:eastAsia="宋体" w:cs="Times New Roman"/>
                <w:snapToGrid w:val="0"/>
                <w:color w:val="000000"/>
                <w:kern w:val="0"/>
                <w:sz w:val="24"/>
                <w:highlight w:val="none"/>
                <w:lang w:val="en-US" w:eastAsia="zh-CN"/>
              </w:rPr>
              <w:t>。</w:t>
            </w:r>
          </w:p>
          <w:p w14:paraId="28915C39">
            <w:pPr>
              <w:pStyle w:val="25"/>
              <w:tabs>
                <w:tab w:val="left" w:pos="360"/>
                <w:tab w:val="left" w:pos="1620"/>
              </w:tabs>
              <w:rPr>
                <w:rFonts w:hint="default" w:ascii="Times New Roman" w:hAnsi="Times New Roman" w:cs="Times New Roman"/>
                <w:highlight w:val="none"/>
              </w:rPr>
            </w:pPr>
            <w:r>
              <w:rPr>
                <w:rFonts w:hint="default" w:ascii="Times New Roman" w:hAnsi="Times New Roman" w:cs="Times New Roman"/>
                <w:highlight w:val="none"/>
              </w:rPr>
              <w:t>表4-</w:t>
            </w:r>
            <w:r>
              <w:rPr>
                <w:rFonts w:hint="eastAsia" w:cs="Times New Roman"/>
                <w:highlight w:val="none"/>
                <w:lang w:val="en-US" w:eastAsia="zh-CN"/>
              </w:rPr>
              <w:t>4</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rPr>
              <w:t>废气排放口基本情况</w:t>
            </w:r>
          </w:p>
          <w:tbl>
            <w:tblPr>
              <w:tblStyle w:val="19"/>
              <w:tblW w:w="4998"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6"/>
              <w:gridCol w:w="643"/>
              <w:gridCol w:w="648"/>
              <w:gridCol w:w="683"/>
              <w:gridCol w:w="700"/>
              <w:gridCol w:w="777"/>
              <w:gridCol w:w="698"/>
              <w:gridCol w:w="665"/>
              <w:gridCol w:w="620"/>
              <w:gridCol w:w="442"/>
              <w:gridCol w:w="647"/>
              <w:gridCol w:w="837"/>
            </w:tblGrid>
            <w:tr w14:paraId="649509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7" w:type="pct"/>
                  <w:vMerge w:val="restart"/>
                  <w:vAlign w:val="center"/>
                </w:tcPr>
                <w:p w14:paraId="00410E15">
                  <w:pPr>
                    <w:pStyle w:val="35"/>
                    <w:spacing w:before="0" w:beforeLines="0"/>
                    <w:ind w:firstLine="0" w:firstLineChars="0"/>
                    <w:rPr>
                      <w:b/>
                      <w:bCs w:val="0"/>
                      <w:color w:val="auto"/>
                      <w:spacing w:val="-10"/>
                      <w:highlight w:val="none"/>
                    </w:rPr>
                  </w:pPr>
                  <w:r>
                    <w:rPr>
                      <w:b/>
                      <w:bCs w:val="0"/>
                      <w:color w:val="auto"/>
                      <w:spacing w:val="-10"/>
                      <w:highlight w:val="none"/>
                    </w:rPr>
                    <w:t>排放口名称及编号</w:t>
                  </w:r>
                </w:p>
              </w:tc>
              <w:tc>
                <w:tcPr>
                  <w:tcW w:w="782" w:type="pct"/>
                  <w:gridSpan w:val="2"/>
                  <w:vAlign w:val="center"/>
                </w:tcPr>
                <w:p w14:paraId="23A2C888">
                  <w:pPr>
                    <w:pStyle w:val="35"/>
                    <w:spacing w:before="0" w:beforeLines="0"/>
                    <w:ind w:firstLine="0" w:firstLineChars="0"/>
                    <w:rPr>
                      <w:b/>
                      <w:bCs w:val="0"/>
                      <w:color w:val="auto"/>
                      <w:spacing w:val="-10"/>
                      <w:highlight w:val="none"/>
                    </w:rPr>
                  </w:pPr>
                  <w:r>
                    <w:rPr>
                      <w:b/>
                      <w:bCs w:val="0"/>
                      <w:color w:val="auto"/>
                      <w:spacing w:val="-17"/>
                      <w:sz w:val="21"/>
                      <w:highlight w:val="none"/>
                    </w:rPr>
                    <w:t>排气筒底部中心坐标</w:t>
                  </w:r>
                </w:p>
              </w:tc>
              <w:tc>
                <w:tcPr>
                  <w:tcW w:w="414" w:type="pct"/>
                  <w:vMerge w:val="restart"/>
                  <w:vAlign w:val="center"/>
                </w:tcPr>
                <w:p w14:paraId="1EC30252">
                  <w:pPr>
                    <w:pStyle w:val="35"/>
                    <w:spacing w:before="0" w:beforeLines="0"/>
                    <w:ind w:firstLine="0" w:firstLineChars="0"/>
                    <w:rPr>
                      <w:b/>
                      <w:bCs w:val="0"/>
                      <w:color w:val="auto"/>
                      <w:spacing w:val="-10"/>
                      <w:highlight w:val="none"/>
                    </w:rPr>
                  </w:pPr>
                  <w:r>
                    <w:rPr>
                      <w:b/>
                      <w:bCs w:val="0"/>
                      <w:color w:val="auto"/>
                      <w:spacing w:val="-10"/>
                      <w:highlight w:val="none"/>
                    </w:rPr>
                    <w:t>排气筒底部</w:t>
                  </w:r>
                  <w:r>
                    <w:rPr>
                      <w:rFonts w:hint="eastAsia"/>
                      <w:b/>
                      <w:bCs w:val="0"/>
                      <w:color w:val="auto"/>
                      <w:spacing w:val="-10"/>
                      <w:highlight w:val="none"/>
                      <w:lang w:eastAsia="zh-CN"/>
                    </w:rPr>
                    <w:t>海拔</w:t>
                  </w:r>
                  <w:r>
                    <w:rPr>
                      <w:b/>
                      <w:bCs w:val="0"/>
                      <w:color w:val="auto"/>
                      <w:spacing w:val="-10"/>
                      <w:highlight w:val="none"/>
                    </w:rPr>
                    <w:t>(m)</w:t>
                  </w:r>
                </w:p>
              </w:tc>
              <w:tc>
                <w:tcPr>
                  <w:tcW w:w="1722" w:type="pct"/>
                  <w:gridSpan w:val="4"/>
                  <w:vAlign w:val="center"/>
                </w:tcPr>
                <w:p w14:paraId="13FCF23B">
                  <w:pPr>
                    <w:pStyle w:val="35"/>
                    <w:spacing w:before="0" w:beforeLines="0"/>
                    <w:ind w:firstLine="0" w:firstLineChars="0"/>
                    <w:rPr>
                      <w:b/>
                      <w:bCs w:val="0"/>
                      <w:color w:val="auto"/>
                      <w:spacing w:val="-10"/>
                      <w:highlight w:val="none"/>
                    </w:rPr>
                  </w:pPr>
                  <w:r>
                    <w:rPr>
                      <w:b/>
                      <w:bCs w:val="0"/>
                      <w:color w:val="auto"/>
                      <w:spacing w:val="-10"/>
                      <w:highlight w:val="none"/>
                    </w:rPr>
                    <w:t>排气筒参数</w:t>
                  </w:r>
                </w:p>
              </w:tc>
              <w:tc>
                <w:tcPr>
                  <w:tcW w:w="643" w:type="pct"/>
                  <w:gridSpan w:val="2"/>
                  <w:vAlign w:val="center"/>
                </w:tcPr>
                <w:p w14:paraId="67B541C7">
                  <w:pPr>
                    <w:pStyle w:val="35"/>
                    <w:spacing w:before="0" w:beforeLines="0"/>
                    <w:ind w:firstLine="0" w:firstLineChars="0"/>
                    <w:rPr>
                      <w:b/>
                      <w:bCs w:val="0"/>
                      <w:color w:val="auto"/>
                      <w:spacing w:val="-10"/>
                      <w:highlight w:val="none"/>
                    </w:rPr>
                  </w:pPr>
                  <w:r>
                    <w:rPr>
                      <w:b/>
                      <w:bCs w:val="0"/>
                      <w:color w:val="auto"/>
                      <w:spacing w:val="-10"/>
                      <w:highlight w:val="none"/>
                    </w:rPr>
                    <w:t>运行参数</w:t>
                  </w:r>
                </w:p>
              </w:tc>
              <w:tc>
                <w:tcPr>
                  <w:tcW w:w="899" w:type="pct"/>
                  <w:gridSpan w:val="2"/>
                  <w:vAlign w:val="center"/>
                </w:tcPr>
                <w:p w14:paraId="421843FF">
                  <w:pPr>
                    <w:pStyle w:val="35"/>
                    <w:spacing w:before="0" w:beforeLines="0"/>
                    <w:ind w:firstLine="0" w:firstLineChars="0"/>
                    <w:rPr>
                      <w:b/>
                      <w:bCs w:val="0"/>
                      <w:color w:val="auto"/>
                      <w:spacing w:val="-10"/>
                      <w:highlight w:val="none"/>
                    </w:rPr>
                  </w:pPr>
                  <w:r>
                    <w:rPr>
                      <w:b/>
                      <w:bCs w:val="0"/>
                      <w:color w:val="auto"/>
                      <w:spacing w:val="-10"/>
                      <w:highlight w:val="none"/>
                    </w:rPr>
                    <w:t>运行参数</w:t>
                  </w:r>
                </w:p>
              </w:tc>
            </w:tr>
            <w:tr w14:paraId="2DD8AB5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7" w:type="pct"/>
                  <w:vMerge w:val="continue"/>
                  <w:vAlign w:val="center"/>
                </w:tcPr>
                <w:p w14:paraId="275FD3F0">
                  <w:pPr>
                    <w:pStyle w:val="35"/>
                    <w:spacing w:before="0" w:beforeLines="0"/>
                    <w:ind w:firstLine="0" w:firstLineChars="0"/>
                    <w:rPr>
                      <w:b/>
                      <w:bCs w:val="0"/>
                      <w:color w:val="auto"/>
                      <w:spacing w:val="-10"/>
                      <w:highlight w:val="none"/>
                    </w:rPr>
                  </w:pPr>
                </w:p>
              </w:tc>
              <w:tc>
                <w:tcPr>
                  <w:tcW w:w="389" w:type="pct"/>
                  <w:vAlign w:val="center"/>
                </w:tcPr>
                <w:p w14:paraId="5C631391">
                  <w:pPr>
                    <w:pStyle w:val="35"/>
                    <w:spacing w:before="0" w:beforeLines="0"/>
                    <w:ind w:firstLine="0" w:firstLineChars="0"/>
                    <w:rPr>
                      <w:b/>
                      <w:bCs w:val="0"/>
                      <w:color w:val="auto"/>
                      <w:spacing w:val="-10"/>
                      <w:highlight w:val="none"/>
                    </w:rPr>
                  </w:pPr>
                  <w:r>
                    <w:rPr>
                      <w:b/>
                      <w:bCs w:val="0"/>
                      <w:color w:val="auto"/>
                      <w:spacing w:val="0"/>
                      <w:sz w:val="21"/>
                      <w:highlight w:val="none"/>
                    </w:rPr>
                    <w:t>经度</w:t>
                  </w:r>
                </w:p>
              </w:tc>
              <w:tc>
                <w:tcPr>
                  <w:tcW w:w="392" w:type="pct"/>
                  <w:vAlign w:val="center"/>
                </w:tcPr>
                <w:p w14:paraId="79B8E943">
                  <w:pPr>
                    <w:pStyle w:val="35"/>
                    <w:spacing w:before="0" w:beforeLines="0"/>
                    <w:ind w:firstLine="0" w:firstLineChars="0"/>
                    <w:rPr>
                      <w:b/>
                      <w:bCs w:val="0"/>
                      <w:color w:val="auto"/>
                      <w:spacing w:val="-10"/>
                      <w:highlight w:val="none"/>
                    </w:rPr>
                  </w:pPr>
                  <w:r>
                    <w:rPr>
                      <w:b/>
                      <w:bCs w:val="0"/>
                      <w:color w:val="auto"/>
                      <w:spacing w:val="0"/>
                      <w:sz w:val="21"/>
                      <w:highlight w:val="none"/>
                    </w:rPr>
                    <w:t>纬度</w:t>
                  </w:r>
                </w:p>
              </w:tc>
              <w:tc>
                <w:tcPr>
                  <w:tcW w:w="414" w:type="pct"/>
                  <w:vMerge w:val="continue"/>
                  <w:vAlign w:val="center"/>
                </w:tcPr>
                <w:p w14:paraId="73098266">
                  <w:pPr>
                    <w:pStyle w:val="35"/>
                    <w:spacing w:before="0" w:beforeLines="0"/>
                    <w:ind w:firstLine="0" w:firstLineChars="0"/>
                    <w:rPr>
                      <w:b/>
                      <w:bCs w:val="0"/>
                      <w:color w:val="auto"/>
                      <w:spacing w:val="-10"/>
                      <w:highlight w:val="none"/>
                    </w:rPr>
                  </w:pPr>
                </w:p>
              </w:tc>
              <w:tc>
                <w:tcPr>
                  <w:tcW w:w="424" w:type="pct"/>
                  <w:vAlign w:val="center"/>
                </w:tcPr>
                <w:p w14:paraId="1E52DBB1">
                  <w:pPr>
                    <w:pStyle w:val="35"/>
                    <w:spacing w:before="0" w:beforeLines="0"/>
                    <w:ind w:firstLine="0" w:firstLineChars="0"/>
                    <w:rPr>
                      <w:b/>
                      <w:bCs w:val="0"/>
                      <w:color w:val="auto"/>
                      <w:spacing w:val="-10"/>
                      <w:highlight w:val="none"/>
                    </w:rPr>
                  </w:pPr>
                  <w:r>
                    <w:rPr>
                      <w:b/>
                      <w:bCs w:val="0"/>
                      <w:color w:val="auto"/>
                      <w:highlight w:val="none"/>
                    </w:rPr>
                    <w:t>排气筒高度(m)</w:t>
                  </w:r>
                </w:p>
              </w:tc>
              <w:tc>
                <w:tcPr>
                  <w:tcW w:w="471" w:type="pct"/>
                  <w:vAlign w:val="center"/>
                </w:tcPr>
                <w:p w14:paraId="6876FF4C">
                  <w:pPr>
                    <w:pStyle w:val="35"/>
                    <w:spacing w:before="0" w:beforeLines="0"/>
                    <w:ind w:firstLine="0" w:firstLineChars="0"/>
                    <w:rPr>
                      <w:b/>
                      <w:bCs w:val="0"/>
                      <w:color w:val="auto"/>
                      <w:spacing w:val="-10"/>
                      <w:highlight w:val="none"/>
                    </w:rPr>
                  </w:pPr>
                  <w:r>
                    <w:rPr>
                      <w:b/>
                      <w:bCs w:val="0"/>
                      <w:color w:val="auto"/>
                      <w:spacing w:val="-10"/>
                      <w:highlight w:val="none"/>
                    </w:rPr>
                    <w:t>排气筒出口</w:t>
                  </w:r>
                  <w:r>
                    <w:rPr>
                      <w:rFonts w:hint="eastAsia"/>
                      <w:b/>
                      <w:bCs w:val="0"/>
                      <w:color w:val="auto"/>
                      <w:spacing w:val="-10"/>
                      <w:highlight w:val="none"/>
                      <w:lang w:eastAsia="zh-CN"/>
                    </w:rPr>
                    <w:t>内径</w:t>
                  </w:r>
                  <w:r>
                    <w:rPr>
                      <w:b/>
                      <w:bCs w:val="0"/>
                      <w:color w:val="auto"/>
                      <w:spacing w:val="-10"/>
                      <w:highlight w:val="none"/>
                    </w:rPr>
                    <w:t>(m)</w:t>
                  </w:r>
                </w:p>
              </w:tc>
              <w:tc>
                <w:tcPr>
                  <w:tcW w:w="423" w:type="pct"/>
                  <w:vAlign w:val="center"/>
                </w:tcPr>
                <w:p w14:paraId="22C298D6">
                  <w:pPr>
                    <w:pStyle w:val="35"/>
                    <w:spacing w:before="0" w:beforeLines="0"/>
                    <w:ind w:firstLine="0" w:firstLineChars="0"/>
                    <w:rPr>
                      <w:b/>
                      <w:bCs w:val="0"/>
                      <w:color w:val="auto"/>
                      <w:spacing w:val="-10"/>
                      <w:highlight w:val="none"/>
                    </w:rPr>
                  </w:pPr>
                  <w:r>
                    <w:rPr>
                      <w:b/>
                      <w:bCs w:val="0"/>
                      <w:color w:val="auto"/>
                      <w:spacing w:val="-10"/>
                      <w:highlight w:val="none"/>
                    </w:rPr>
                    <w:t>烟气流速(m/s)</w:t>
                  </w:r>
                </w:p>
              </w:tc>
              <w:tc>
                <w:tcPr>
                  <w:tcW w:w="403" w:type="pct"/>
                  <w:vAlign w:val="center"/>
                </w:tcPr>
                <w:p w14:paraId="019CA5E4">
                  <w:pPr>
                    <w:pStyle w:val="35"/>
                    <w:spacing w:before="0" w:beforeLines="0"/>
                    <w:ind w:firstLine="0" w:firstLineChars="0"/>
                    <w:rPr>
                      <w:b/>
                      <w:bCs w:val="0"/>
                      <w:color w:val="auto"/>
                      <w:spacing w:val="-10"/>
                      <w:highlight w:val="none"/>
                    </w:rPr>
                  </w:pPr>
                  <w:r>
                    <w:rPr>
                      <w:b/>
                      <w:bCs w:val="0"/>
                      <w:color w:val="auto"/>
                      <w:spacing w:val="-10"/>
                      <w:highlight w:val="none"/>
                    </w:rPr>
                    <w:t>烟气温度(℃)</w:t>
                  </w:r>
                </w:p>
              </w:tc>
              <w:tc>
                <w:tcPr>
                  <w:tcW w:w="375" w:type="pct"/>
                  <w:vAlign w:val="center"/>
                </w:tcPr>
                <w:p w14:paraId="7405D89A">
                  <w:pPr>
                    <w:pStyle w:val="35"/>
                    <w:spacing w:before="0" w:beforeLines="0"/>
                    <w:ind w:firstLine="0" w:firstLineChars="0"/>
                    <w:rPr>
                      <w:b/>
                      <w:bCs w:val="0"/>
                      <w:color w:val="auto"/>
                      <w:spacing w:val="-10"/>
                      <w:highlight w:val="none"/>
                    </w:rPr>
                  </w:pPr>
                  <w:r>
                    <w:rPr>
                      <w:b/>
                      <w:bCs w:val="0"/>
                      <w:color w:val="auto"/>
                      <w:spacing w:val="-10"/>
                      <w:highlight w:val="none"/>
                    </w:rPr>
                    <w:t>年排放小时数(h)</w:t>
                  </w:r>
                </w:p>
              </w:tc>
              <w:tc>
                <w:tcPr>
                  <w:tcW w:w="268" w:type="pct"/>
                  <w:vAlign w:val="center"/>
                </w:tcPr>
                <w:p w14:paraId="598D35CF">
                  <w:pPr>
                    <w:pStyle w:val="35"/>
                    <w:spacing w:before="0" w:beforeLines="0"/>
                    <w:ind w:firstLine="0" w:firstLineChars="0"/>
                    <w:rPr>
                      <w:b/>
                      <w:bCs w:val="0"/>
                      <w:color w:val="auto"/>
                      <w:spacing w:val="-10"/>
                      <w:highlight w:val="none"/>
                    </w:rPr>
                  </w:pPr>
                  <w:r>
                    <w:rPr>
                      <w:b/>
                      <w:bCs w:val="0"/>
                      <w:color w:val="auto"/>
                      <w:spacing w:val="-10"/>
                      <w:highlight w:val="none"/>
                    </w:rPr>
                    <w:t>排放工况</w:t>
                  </w:r>
                </w:p>
              </w:tc>
              <w:tc>
                <w:tcPr>
                  <w:tcW w:w="392" w:type="pct"/>
                  <w:vAlign w:val="center"/>
                </w:tcPr>
                <w:p w14:paraId="49454E26">
                  <w:pPr>
                    <w:pStyle w:val="35"/>
                    <w:spacing w:before="0" w:beforeLines="0"/>
                    <w:ind w:firstLine="0" w:firstLineChars="0"/>
                    <w:rPr>
                      <w:b/>
                      <w:bCs w:val="0"/>
                      <w:color w:val="auto"/>
                      <w:spacing w:val="-10"/>
                      <w:highlight w:val="none"/>
                    </w:rPr>
                  </w:pPr>
                  <w:r>
                    <w:rPr>
                      <w:b/>
                      <w:bCs w:val="0"/>
                      <w:color w:val="auto"/>
                      <w:spacing w:val="-10"/>
                      <w:highlight w:val="none"/>
                    </w:rPr>
                    <w:t>污染源名称</w:t>
                  </w:r>
                </w:p>
              </w:tc>
              <w:tc>
                <w:tcPr>
                  <w:tcW w:w="507" w:type="pct"/>
                  <w:vAlign w:val="center"/>
                </w:tcPr>
                <w:p w14:paraId="5504A9F3">
                  <w:pPr>
                    <w:pStyle w:val="35"/>
                    <w:spacing w:before="0" w:beforeLines="0"/>
                    <w:ind w:firstLine="0" w:firstLineChars="0"/>
                    <w:rPr>
                      <w:b/>
                      <w:bCs w:val="0"/>
                      <w:color w:val="auto"/>
                      <w:spacing w:val="-10"/>
                      <w:highlight w:val="none"/>
                    </w:rPr>
                  </w:pPr>
                  <w:r>
                    <w:rPr>
                      <w:b/>
                      <w:bCs w:val="0"/>
                      <w:color w:val="auto"/>
                      <w:spacing w:val="-10"/>
                      <w:highlight w:val="none"/>
                    </w:rPr>
                    <w:t>污染物排放速率(kg/h)</w:t>
                  </w:r>
                </w:p>
              </w:tc>
            </w:tr>
            <w:tr w14:paraId="25CC7EC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7" w:type="pct"/>
                  <w:vMerge w:val="restart"/>
                  <w:tcBorders>
                    <w:tl2br w:val="nil"/>
                    <w:tr2bl w:val="nil"/>
                  </w:tcBorders>
                  <w:vAlign w:val="center"/>
                </w:tcPr>
                <w:p w14:paraId="7E02FB02">
                  <w:pPr>
                    <w:pStyle w:val="35"/>
                    <w:spacing w:before="0" w:beforeLines="0"/>
                    <w:ind w:firstLine="0" w:firstLineChars="0"/>
                    <w:rPr>
                      <w:rFonts w:hint="default" w:eastAsia="宋体"/>
                      <w:color w:val="auto"/>
                      <w:spacing w:val="-10"/>
                      <w:highlight w:val="none"/>
                      <w:lang w:val="en-US" w:eastAsia="zh-CN"/>
                    </w:rPr>
                  </w:pPr>
                  <w:r>
                    <w:rPr>
                      <w:rFonts w:hint="eastAsia"/>
                      <w:color w:val="auto"/>
                      <w:spacing w:val="0"/>
                      <w:highlight w:val="none"/>
                      <w:lang w:val="en-US" w:eastAsia="zh-CN"/>
                    </w:rPr>
                    <w:t>搅拌、浸涂、覆膜、储罐废气排口（DA001）</w:t>
                  </w:r>
                </w:p>
              </w:tc>
              <w:tc>
                <w:tcPr>
                  <w:tcW w:w="389" w:type="pct"/>
                  <w:vMerge w:val="restart"/>
                  <w:tcBorders>
                    <w:tl2br w:val="nil"/>
                    <w:tr2bl w:val="nil"/>
                  </w:tcBorders>
                  <w:vAlign w:val="center"/>
                </w:tcPr>
                <w:p w14:paraId="62EB2FD3">
                  <w:pPr>
                    <w:pStyle w:val="35"/>
                    <w:spacing w:before="0" w:beforeLines="0"/>
                    <w:ind w:firstLine="0" w:firstLineChars="0"/>
                    <w:rPr>
                      <w:rFonts w:hint="default" w:ascii="Times New Roman" w:hAnsi="Times New Roman" w:cs="Times New Roman"/>
                      <w:color w:val="auto"/>
                      <w:spacing w:val="-10"/>
                      <w:highlight w:val="none"/>
                    </w:rPr>
                  </w:pPr>
                  <w:r>
                    <w:rPr>
                      <w:rFonts w:hint="default" w:ascii="Times New Roman" w:hAnsi="Times New Roman" w:cs="Times New Roman"/>
                      <w:color w:val="auto"/>
                      <w:spacing w:val="-10"/>
                      <w:highlight w:val="none"/>
                    </w:rPr>
                    <w:t>87°0</w:t>
                  </w:r>
                  <w:r>
                    <w:rPr>
                      <w:rFonts w:hint="eastAsia" w:cs="Times New Roman"/>
                      <w:color w:val="auto"/>
                      <w:spacing w:val="-10"/>
                      <w:highlight w:val="none"/>
                      <w:lang w:val="en-US" w:eastAsia="zh-CN"/>
                    </w:rPr>
                    <w:t>7</w:t>
                  </w:r>
                  <w:r>
                    <w:rPr>
                      <w:rFonts w:hint="default" w:ascii="Times New Roman" w:hAnsi="Times New Roman" w:cs="Times New Roman"/>
                      <w:color w:val="auto"/>
                      <w:spacing w:val="-10"/>
                      <w:highlight w:val="none"/>
                    </w:rPr>
                    <w:t>'</w:t>
                  </w:r>
                  <w:r>
                    <w:rPr>
                      <w:rFonts w:hint="eastAsia" w:cs="Times New Roman"/>
                      <w:color w:val="auto"/>
                      <w:spacing w:val="-10"/>
                      <w:highlight w:val="none"/>
                      <w:lang w:val="en-US" w:eastAsia="zh-CN"/>
                    </w:rPr>
                    <w:t>49</w:t>
                  </w:r>
                  <w:r>
                    <w:rPr>
                      <w:rFonts w:hint="default" w:ascii="Times New Roman" w:hAnsi="Times New Roman" w:cs="Times New Roman"/>
                      <w:color w:val="auto"/>
                      <w:spacing w:val="-10"/>
                      <w:highlight w:val="none"/>
                    </w:rPr>
                    <w:t>.</w:t>
                  </w:r>
                  <w:r>
                    <w:rPr>
                      <w:rFonts w:hint="eastAsia" w:cs="Times New Roman"/>
                      <w:color w:val="auto"/>
                      <w:spacing w:val="-10"/>
                      <w:highlight w:val="none"/>
                      <w:lang w:val="en-US" w:eastAsia="zh-CN"/>
                    </w:rPr>
                    <w:t>98</w:t>
                  </w:r>
                  <w:r>
                    <w:rPr>
                      <w:rFonts w:hint="default" w:ascii="Times New Roman" w:hAnsi="Times New Roman" w:cs="Times New Roman"/>
                      <w:color w:val="auto"/>
                      <w:spacing w:val="-10"/>
                      <w:highlight w:val="none"/>
                    </w:rPr>
                    <w:t>"</w:t>
                  </w:r>
                </w:p>
              </w:tc>
              <w:tc>
                <w:tcPr>
                  <w:tcW w:w="392" w:type="pct"/>
                  <w:vMerge w:val="restart"/>
                  <w:tcBorders>
                    <w:tl2br w:val="nil"/>
                    <w:tr2bl w:val="nil"/>
                  </w:tcBorders>
                  <w:vAlign w:val="center"/>
                </w:tcPr>
                <w:p w14:paraId="40482A45">
                  <w:pPr>
                    <w:pStyle w:val="35"/>
                    <w:spacing w:before="0" w:beforeLines="0"/>
                    <w:ind w:firstLine="0" w:firstLineChars="0"/>
                    <w:rPr>
                      <w:rFonts w:hint="default" w:ascii="Times New Roman" w:hAnsi="Times New Roman" w:cs="Times New Roman"/>
                      <w:color w:val="auto"/>
                      <w:spacing w:val="-10"/>
                      <w:highlight w:val="none"/>
                    </w:rPr>
                  </w:pPr>
                  <w:r>
                    <w:rPr>
                      <w:rFonts w:hint="default" w:ascii="Times New Roman" w:hAnsi="Times New Roman" w:cs="Times New Roman"/>
                      <w:color w:val="auto"/>
                      <w:spacing w:val="-10"/>
                      <w:highlight w:val="none"/>
                    </w:rPr>
                    <w:t>44°0</w:t>
                  </w:r>
                  <w:r>
                    <w:rPr>
                      <w:rFonts w:hint="eastAsia" w:cs="Times New Roman"/>
                      <w:color w:val="auto"/>
                      <w:spacing w:val="-10"/>
                      <w:highlight w:val="none"/>
                      <w:lang w:val="en-US" w:eastAsia="zh-CN"/>
                    </w:rPr>
                    <w:t>5</w:t>
                  </w:r>
                  <w:r>
                    <w:rPr>
                      <w:rFonts w:hint="default" w:ascii="Times New Roman" w:hAnsi="Times New Roman" w:cs="Times New Roman"/>
                      <w:color w:val="auto"/>
                      <w:spacing w:val="-10"/>
                      <w:highlight w:val="none"/>
                    </w:rPr>
                    <w:t>'</w:t>
                  </w:r>
                  <w:r>
                    <w:rPr>
                      <w:rFonts w:hint="eastAsia" w:cs="Times New Roman"/>
                      <w:color w:val="auto"/>
                      <w:spacing w:val="-10"/>
                      <w:highlight w:val="none"/>
                      <w:lang w:val="en-US" w:eastAsia="zh-CN"/>
                    </w:rPr>
                    <w:t>11</w:t>
                  </w:r>
                  <w:r>
                    <w:rPr>
                      <w:rFonts w:hint="default" w:ascii="Times New Roman" w:hAnsi="Times New Roman" w:cs="Times New Roman"/>
                      <w:color w:val="auto"/>
                      <w:spacing w:val="-10"/>
                      <w:highlight w:val="none"/>
                    </w:rPr>
                    <w:t>.</w:t>
                  </w:r>
                  <w:r>
                    <w:rPr>
                      <w:rFonts w:hint="eastAsia" w:cs="Times New Roman"/>
                      <w:color w:val="auto"/>
                      <w:spacing w:val="-10"/>
                      <w:highlight w:val="none"/>
                      <w:lang w:val="en-US" w:eastAsia="zh-CN"/>
                    </w:rPr>
                    <w:t>83</w:t>
                  </w:r>
                  <w:r>
                    <w:rPr>
                      <w:rFonts w:hint="default" w:ascii="Times New Roman" w:hAnsi="Times New Roman" w:cs="Times New Roman"/>
                      <w:color w:val="auto"/>
                      <w:spacing w:val="-10"/>
                      <w:highlight w:val="none"/>
                    </w:rPr>
                    <w:t>"</w:t>
                  </w:r>
                </w:p>
              </w:tc>
              <w:tc>
                <w:tcPr>
                  <w:tcW w:w="414" w:type="pct"/>
                  <w:vMerge w:val="restart"/>
                  <w:tcBorders>
                    <w:tl2br w:val="nil"/>
                    <w:tr2bl w:val="nil"/>
                  </w:tcBorders>
                  <w:vAlign w:val="center"/>
                </w:tcPr>
                <w:p w14:paraId="6DC2ABA3">
                  <w:pPr>
                    <w:pStyle w:val="35"/>
                    <w:spacing w:before="0" w:beforeLines="0"/>
                    <w:ind w:firstLine="0" w:firstLineChars="0"/>
                    <w:rPr>
                      <w:rFonts w:hint="default" w:eastAsia="宋体"/>
                      <w:color w:val="auto"/>
                      <w:spacing w:val="-10"/>
                      <w:highlight w:val="none"/>
                      <w:lang w:val="en-US" w:eastAsia="zh-CN"/>
                    </w:rPr>
                  </w:pPr>
                  <w:r>
                    <w:rPr>
                      <w:rFonts w:hint="eastAsia"/>
                      <w:color w:val="auto"/>
                      <w:spacing w:val="-10"/>
                      <w:highlight w:val="none"/>
                      <w:lang w:val="en-US" w:eastAsia="zh-CN"/>
                    </w:rPr>
                    <w:t>560</w:t>
                  </w:r>
                </w:p>
              </w:tc>
              <w:tc>
                <w:tcPr>
                  <w:tcW w:w="424" w:type="pct"/>
                  <w:vMerge w:val="restart"/>
                  <w:tcBorders>
                    <w:tl2br w:val="nil"/>
                    <w:tr2bl w:val="nil"/>
                  </w:tcBorders>
                  <w:vAlign w:val="center"/>
                </w:tcPr>
                <w:p w14:paraId="34BDCBB7">
                  <w:pPr>
                    <w:pStyle w:val="35"/>
                    <w:spacing w:before="0" w:beforeLines="0"/>
                    <w:ind w:firstLine="0" w:firstLineChars="0"/>
                    <w:rPr>
                      <w:rFonts w:hint="default" w:eastAsia="宋体"/>
                      <w:color w:val="auto"/>
                      <w:spacing w:val="-10"/>
                      <w:highlight w:val="none"/>
                      <w:lang w:val="en-US" w:eastAsia="zh-CN"/>
                    </w:rPr>
                  </w:pPr>
                  <w:r>
                    <w:rPr>
                      <w:rFonts w:hint="eastAsia"/>
                      <w:color w:val="auto"/>
                      <w:spacing w:val="-10"/>
                      <w:highlight w:val="none"/>
                      <w:lang w:val="en-US" w:eastAsia="zh-CN"/>
                    </w:rPr>
                    <w:t>20</w:t>
                  </w:r>
                </w:p>
              </w:tc>
              <w:tc>
                <w:tcPr>
                  <w:tcW w:w="471" w:type="pct"/>
                  <w:vMerge w:val="restart"/>
                  <w:tcBorders>
                    <w:tl2br w:val="nil"/>
                    <w:tr2bl w:val="nil"/>
                  </w:tcBorders>
                  <w:vAlign w:val="center"/>
                </w:tcPr>
                <w:p w14:paraId="6C4A463B">
                  <w:pPr>
                    <w:pStyle w:val="35"/>
                    <w:spacing w:before="0" w:beforeLines="0"/>
                    <w:ind w:firstLine="0" w:firstLineChars="0"/>
                    <w:rPr>
                      <w:rFonts w:hint="default" w:eastAsia="宋体"/>
                      <w:color w:val="auto"/>
                      <w:spacing w:val="-10"/>
                      <w:highlight w:val="none"/>
                      <w:lang w:val="en-US" w:eastAsia="zh-CN"/>
                    </w:rPr>
                  </w:pPr>
                  <w:r>
                    <w:rPr>
                      <w:rFonts w:hint="eastAsia"/>
                      <w:color w:val="auto"/>
                      <w:spacing w:val="-10"/>
                      <w:highlight w:val="none"/>
                      <w:lang w:val="en-US" w:eastAsia="zh-CN"/>
                    </w:rPr>
                    <w:t>0.6</w:t>
                  </w:r>
                </w:p>
              </w:tc>
              <w:tc>
                <w:tcPr>
                  <w:tcW w:w="423" w:type="pct"/>
                  <w:vMerge w:val="restart"/>
                  <w:tcBorders>
                    <w:tl2br w:val="nil"/>
                    <w:tr2bl w:val="nil"/>
                  </w:tcBorders>
                  <w:vAlign w:val="center"/>
                </w:tcPr>
                <w:p w14:paraId="3E440696">
                  <w:pPr>
                    <w:pStyle w:val="35"/>
                    <w:spacing w:before="0" w:beforeLines="0"/>
                    <w:ind w:firstLine="0" w:firstLineChars="0"/>
                    <w:rPr>
                      <w:rFonts w:hint="default" w:eastAsia="宋体"/>
                      <w:color w:val="auto"/>
                      <w:spacing w:val="-10"/>
                      <w:highlight w:val="none"/>
                      <w:lang w:val="en-US" w:eastAsia="zh-CN"/>
                    </w:rPr>
                  </w:pPr>
                  <w:r>
                    <w:rPr>
                      <w:rFonts w:hint="eastAsia"/>
                      <w:color w:val="auto"/>
                      <w:spacing w:val="-10"/>
                      <w:highlight w:val="none"/>
                      <w:lang w:val="en-US" w:eastAsia="zh-CN"/>
                    </w:rPr>
                    <w:t>9.8</w:t>
                  </w:r>
                </w:p>
              </w:tc>
              <w:tc>
                <w:tcPr>
                  <w:tcW w:w="403" w:type="pct"/>
                  <w:vMerge w:val="restart"/>
                  <w:tcBorders>
                    <w:tl2br w:val="nil"/>
                    <w:tr2bl w:val="nil"/>
                  </w:tcBorders>
                  <w:vAlign w:val="center"/>
                </w:tcPr>
                <w:p w14:paraId="7AF8C765">
                  <w:pPr>
                    <w:pStyle w:val="35"/>
                    <w:spacing w:before="0" w:beforeLines="0"/>
                    <w:ind w:firstLine="0" w:firstLineChars="0"/>
                    <w:rPr>
                      <w:rFonts w:hint="default" w:eastAsia="宋体"/>
                      <w:color w:val="auto"/>
                      <w:spacing w:val="-10"/>
                      <w:highlight w:val="none"/>
                      <w:lang w:val="en-US" w:eastAsia="zh-CN"/>
                    </w:rPr>
                  </w:pPr>
                  <w:r>
                    <w:rPr>
                      <w:rFonts w:hint="eastAsia"/>
                      <w:color w:val="auto"/>
                      <w:spacing w:val="-10"/>
                      <w:highlight w:val="none"/>
                      <w:lang w:val="en-US" w:eastAsia="zh-CN"/>
                    </w:rPr>
                    <w:t>常温</w:t>
                  </w:r>
                </w:p>
              </w:tc>
              <w:tc>
                <w:tcPr>
                  <w:tcW w:w="375" w:type="pct"/>
                  <w:vMerge w:val="restart"/>
                  <w:tcBorders>
                    <w:tl2br w:val="nil"/>
                    <w:tr2bl w:val="nil"/>
                  </w:tcBorders>
                  <w:vAlign w:val="center"/>
                </w:tcPr>
                <w:p w14:paraId="62CB9177">
                  <w:pPr>
                    <w:pStyle w:val="35"/>
                    <w:spacing w:before="0" w:beforeLines="0"/>
                    <w:ind w:firstLine="0" w:firstLineChars="0"/>
                    <w:rPr>
                      <w:rFonts w:hint="default" w:eastAsia="宋体"/>
                      <w:color w:val="auto"/>
                      <w:spacing w:val="-10"/>
                      <w:highlight w:val="none"/>
                      <w:lang w:val="en-US" w:eastAsia="zh-CN"/>
                    </w:rPr>
                  </w:pPr>
                  <w:r>
                    <w:rPr>
                      <w:rFonts w:hint="eastAsia"/>
                      <w:color w:val="auto"/>
                      <w:spacing w:val="-10"/>
                      <w:highlight w:val="none"/>
                      <w:lang w:val="en-US" w:eastAsia="zh-CN"/>
                    </w:rPr>
                    <w:t>3840</w:t>
                  </w:r>
                </w:p>
              </w:tc>
              <w:tc>
                <w:tcPr>
                  <w:tcW w:w="268" w:type="pct"/>
                  <w:vMerge w:val="restart"/>
                  <w:tcBorders>
                    <w:tl2br w:val="nil"/>
                    <w:tr2bl w:val="nil"/>
                  </w:tcBorders>
                  <w:shd w:val="clear" w:color="auto" w:fill="auto"/>
                  <w:vAlign w:val="center"/>
                </w:tcPr>
                <w:p w14:paraId="78EFBA50">
                  <w:pPr>
                    <w:pStyle w:val="35"/>
                    <w:spacing w:before="0" w:beforeLines="0"/>
                    <w:ind w:firstLine="0" w:firstLineChars="0"/>
                    <w:rPr>
                      <w:rFonts w:hint="default" w:ascii="Times New Roman" w:hAnsi="Times New Roman" w:eastAsia="宋体" w:cs="Times New Roman"/>
                      <w:b w:val="0"/>
                      <w:bCs/>
                      <w:color w:val="auto"/>
                      <w:spacing w:val="-10"/>
                      <w:kern w:val="2"/>
                      <w:sz w:val="21"/>
                      <w:szCs w:val="21"/>
                      <w:highlight w:val="none"/>
                      <w:lang w:val="en-US" w:eastAsia="zh-CN" w:bidi="ar-SA"/>
                    </w:rPr>
                  </w:pPr>
                  <w:r>
                    <w:rPr>
                      <w:rFonts w:hint="eastAsia" w:cs="Times New Roman"/>
                      <w:b w:val="0"/>
                      <w:bCs/>
                      <w:color w:val="auto"/>
                      <w:spacing w:val="-10"/>
                      <w:kern w:val="2"/>
                      <w:sz w:val="21"/>
                      <w:szCs w:val="21"/>
                      <w:highlight w:val="none"/>
                      <w:lang w:val="en-US" w:eastAsia="zh-CN" w:bidi="ar-SA"/>
                    </w:rPr>
                    <w:t>正常</w:t>
                  </w:r>
                </w:p>
              </w:tc>
              <w:tc>
                <w:tcPr>
                  <w:tcW w:w="392" w:type="pct"/>
                  <w:tcBorders>
                    <w:tl2br w:val="nil"/>
                    <w:tr2bl w:val="nil"/>
                  </w:tcBorders>
                  <w:vAlign w:val="center"/>
                </w:tcPr>
                <w:p w14:paraId="6CA48EA5">
                  <w:pPr>
                    <w:pStyle w:val="35"/>
                    <w:spacing w:before="0" w:beforeLines="0"/>
                    <w:ind w:firstLine="0" w:firstLineChars="0"/>
                    <w:rPr>
                      <w:rFonts w:hint="default" w:eastAsia="宋体"/>
                      <w:color w:val="auto"/>
                      <w:spacing w:val="-10"/>
                      <w:highlight w:val="none"/>
                      <w:lang w:val="en-US" w:eastAsia="zh-CN"/>
                    </w:rPr>
                  </w:pPr>
                  <w:r>
                    <w:rPr>
                      <w:rFonts w:hint="eastAsia"/>
                      <w:color w:val="auto"/>
                      <w:spacing w:val="-10"/>
                      <w:highlight w:val="none"/>
                      <w:lang w:val="en-US" w:eastAsia="zh-CN"/>
                    </w:rPr>
                    <w:t>沥青烟</w:t>
                  </w:r>
                </w:p>
              </w:tc>
              <w:tc>
                <w:tcPr>
                  <w:tcW w:w="507" w:type="pct"/>
                  <w:tcBorders>
                    <w:tl2br w:val="nil"/>
                    <w:tr2bl w:val="nil"/>
                  </w:tcBorders>
                  <w:vAlign w:val="center"/>
                </w:tcPr>
                <w:p w14:paraId="61FD05CF">
                  <w:pPr>
                    <w:pStyle w:val="35"/>
                    <w:spacing w:before="0" w:beforeLines="0"/>
                    <w:ind w:firstLine="0" w:firstLineChars="0"/>
                    <w:rPr>
                      <w:rFonts w:hint="default" w:eastAsia="宋体"/>
                      <w:color w:val="auto"/>
                      <w:spacing w:val="-10"/>
                      <w:highlight w:val="none"/>
                      <w:lang w:val="en-US" w:eastAsia="zh-CN"/>
                    </w:rPr>
                  </w:pPr>
                  <w:r>
                    <w:rPr>
                      <w:rFonts w:hint="eastAsia"/>
                      <w:color w:val="auto"/>
                      <w:spacing w:val="0"/>
                      <w:highlight w:val="none"/>
                      <w:lang w:val="en-US" w:eastAsia="zh-CN"/>
                    </w:rPr>
                    <w:t>0.06</w:t>
                  </w:r>
                </w:p>
              </w:tc>
            </w:tr>
            <w:tr w14:paraId="1567F36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7" w:type="pct"/>
                  <w:vMerge w:val="continue"/>
                  <w:tcBorders>
                    <w:tl2br w:val="nil"/>
                    <w:tr2bl w:val="nil"/>
                  </w:tcBorders>
                  <w:vAlign w:val="center"/>
                </w:tcPr>
                <w:p w14:paraId="4E03F11C">
                  <w:pPr>
                    <w:pStyle w:val="35"/>
                    <w:spacing w:before="0" w:beforeLines="0"/>
                    <w:ind w:firstLine="0" w:firstLineChars="0"/>
                    <w:rPr>
                      <w:rFonts w:hint="eastAsia"/>
                      <w:color w:val="auto"/>
                      <w:spacing w:val="0"/>
                      <w:highlight w:val="none"/>
                      <w:lang w:val="en-US" w:eastAsia="zh-CN"/>
                    </w:rPr>
                  </w:pPr>
                </w:p>
              </w:tc>
              <w:tc>
                <w:tcPr>
                  <w:tcW w:w="389" w:type="pct"/>
                  <w:vMerge w:val="continue"/>
                  <w:tcBorders>
                    <w:tl2br w:val="nil"/>
                    <w:tr2bl w:val="nil"/>
                  </w:tcBorders>
                  <w:vAlign w:val="center"/>
                </w:tcPr>
                <w:p w14:paraId="7F35A352">
                  <w:pPr>
                    <w:pStyle w:val="35"/>
                    <w:spacing w:before="0" w:beforeLines="0"/>
                    <w:ind w:firstLine="0" w:firstLineChars="0"/>
                    <w:rPr>
                      <w:rFonts w:hint="default" w:ascii="Times New Roman" w:hAnsi="Times New Roman" w:cs="Times New Roman"/>
                      <w:color w:val="auto"/>
                      <w:spacing w:val="-10"/>
                      <w:highlight w:val="none"/>
                    </w:rPr>
                  </w:pPr>
                </w:p>
              </w:tc>
              <w:tc>
                <w:tcPr>
                  <w:tcW w:w="392" w:type="pct"/>
                  <w:vMerge w:val="continue"/>
                  <w:tcBorders>
                    <w:tl2br w:val="nil"/>
                    <w:tr2bl w:val="nil"/>
                  </w:tcBorders>
                  <w:vAlign w:val="center"/>
                </w:tcPr>
                <w:p w14:paraId="43E9E2D3">
                  <w:pPr>
                    <w:pStyle w:val="35"/>
                    <w:spacing w:before="0" w:beforeLines="0"/>
                    <w:ind w:firstLine="0" w:firstLineChars="0"/>
                    <w:rPr>
                      <w:rFonts w:hint="default" w:ascii="Times New Roman" w:hAnsi="Times New Roman" w:cs="Times New Roman"/>
                      <w:color w:val="auto"/>
                      <w:spacing w:val="-10"/>
                      <w:highlight w:val="none"/>
                    </w:rPr>
                  </w:pPr>
                </w:p>
              </w:tc>
              <w:tc>
                <w:tcPr>
                  <w:tcW w:w="414" w:type="pct"/>
                  <w:vMerge w:val="continue"/>
                  <w:tcBorders>
                    <w:tl2br w:val="nil"/>
                    <w:tr2bl w:val="nil"/>
                  </w:tcBorders>
                  <w:vAlign w:val="center"/>
                </w:tcPr>
                <w:p w14:paraId="4E3E2204">
                  <w:pPr>
                    <w:pStyle w:val="35"/>
                    <w:spacing w:before="0" w:beforeLines="0"/>
                    <w:ind w:firstLine="0" w:firstLineChars="0"/>
                    <w:rPr>
                      <w:rFonts w:hint="eastAsia"/>
                      <w:color w:val="auto"/>
                      <w:spacing w:val="-10"/>
                      <w:highlight w:val="none"/>
                      <w:lang w:val="en-US" w:eastAsia="zh-CN"/>
                    </w:rPr>
                  </w:pPr>
                </w:p>
              </w:tc>
              <w:tc>
                <w:tcPr>
                  <w:tcW w:w="424" w:type="pct"/>
                  <w:vMerge w:val="continue"/>
                  <w:tcBorders>
                    <w:tl2br w:val="nil"/>
                    <w:tr2bl w:val="nil"/>
                  </w:tcBorders>
                  <w:vAlign w:val="center"/>
                </w:tcPr>
                <w:p w14:paraId="00CF3150">
                  <w:pPr>
                    <w:pStyle w:val="35"/>
                    <w:spacing w:before="0" w:beforeLines="0"/>
                    <w:ind w:firstLine="0" w:firstLineChars="0"/>
                    <w:rPr>
                      <w:rFonts w:hint="eastAsia"/>
                      <w:color w:val="auto"/>
                      <w:spacing w:val="-10"/>
                      <w:highlight w:val="none"/>
                      <w:lang w:val="en-US" w:eastAsia="zh-CN"/>
                    </w:rPr>
                  </w:pPr>
                </w:p>
              </w:tc>
              <w:tc>
                <w:tcPr>
                  <w:tcW w:w="471" w:type="pct"/>
                  <w:vMerge w:val="continue"/>
                  <w:tcBorders>
                    <w:tl2br w:val="nil"/>
                    <w:tr2bl w:val="nil"/>
                  </w:tcBorders>
                  <w:vAlign w:val="center"/>
                </w:tcPr>
                <w:p w14:paraId="082B79F5">
                  <w:pPr>
                    <w:pStyle w:val="35"/>
                    <w:spacing w:before="0" w:beforeLines="0"/>
                    <w:ind w:firstLine="0" w:firstLineChars="0"/>
                    <w:rPr>
                      <w:rFonts w:hint="default" w:eastAsia="宋体"/>
                      <w:color w:val="auto"/>
                      <w:spacing w:val="-10"/>
                      <w:highlight w:val="none"/>
                      <w:lang w:val="en-US" w:eastAsia="zh-CN"/>
                    </w:rPr>
                  </w:pPr>
                </w:p>
              </w:tc>
              <w:tc>
                <w:tcPr>
                  <w:tcW w:w="423" w:type="pct"/>
                  <w:vMerge w:val="continue"/>
                  <w:tcBorders>
                    <w:tl2br w:val="nil"/>
                    <w:tr2bl w:val="nil"/>
                  </w:tcBorders>
                  <w:vAlign w:val="center"/>
                </w:tcPr>
                <w:p w14:paraId="2A3EA391">
                  <w:pPr>
                    <w:pStyle w:val="35"/>
                    <w:spacing w:before="0" w:beforeLines="0"/>
                    <w:ind w:firstLine="0" w:firstLineChars="0"/>
                    <w:rPr>
                      <w:rFonts w:hint="default" w:eastAsia="宋体"/>
                      <w:color w:val="auto"/>
                      <w:spacing w:val="-10"/>
                      <w:highlight w:val="none"/>
                      <w:lang w:val="en-US" w:eastAsia="zh-CN"/>
                    </w:rPr>
                  </w:pPr>
                </w:p>
              </w:tc>
              <w:tc>
                <w:tcPr>
                  <w:tcW w:w="403" w:type="pct"/>
                  <w:vMerge w:val="continue"/>
                  <w:tcBorders>
                    <w:tl2br w:val="nil"/>
                    <w:tr2bl w:val="nil"/>
                  </w:tcBorders>
                  <w:vAlign w:val="center"/>
                </w:tcPr>
                <w:p w14:paraId="6A00E18A">
                  <w:pPr>
                    <w:pStyle w:val="35"/>
                    <w:spacing w:before="0" w:beforeLines="0"/>
                    <w:ind w:firstLine="0" w:firstLineChars="0"/>
                    <w:rPr>
                      <w:rFonts w:hint="eastAsia"/>
                      <w:color w:val="auto"/>
                      <w:spacing w:val="-10"/>
                      <w:highlight w:val="none"/>
                      <w:lang w:val="en-US" w:eastAsia="zh-CN"/>
                    </w:rPr>
                  </w:pPr>
                </w:p>
              </w:tc>
              <w:tc>
                <w:tcPr>
                  <w:tcW w:w="375" w:type="pct"/>
                  <w:vMerge w:val="continue"/>
                  <w:tcBorders>
                    <w:tl2br w:val="nil"/>
                    <w:tr2bl w:val="nil"/>
                  </w:tcBorders>
                  <w:vAlign w:val="center"/>
                </w:tcPr>
                <w:p w14:paraId="1C6C52EA">
                  <w:pPr>
                    <w:pStyle w:val="35"/>
                    <w:spacing w:before="0" w:beforeLines="0"/>
                    <w:ind w:firstLine="0" w:firstLineChars="0"/>
                    <w:rPr>
                      <w:rFonts w:hint="eastAsia"/>
                      <w:color w:val="auto"/>
                      <w:spacing w:val="-10"/>
                      <w:highlight w:val="none"/>
                      <w:lang w:val="en-US" w:eastAsia="zh-CN"/>
                    </w:rPr>
                  </w:pPr>
                </w:p>
              </w:tc>
              <w:tc>
                <w:tcPr>
                  <w:tcW w:w="268" w:type="pct"/>
                  <w:vMerge w:val="continue"/>
                  <w:tcBorders>
                    <w:tl2br w:val="nil"/>
                    <w:tr2bl w:val="nil"/>
                  </w:tcBorders>
                  <w:shd w:val="clear" w:color="auto" w:fill="auto"/>
                  <w:vAlign w:val="center"/>
                </w:tcPr>
                <w:p w14:paraId="25354D07">
                  <w:pPr>
                    <w:pStyle w:val="35"/>
                    <w:spacing w:before="0" w:beforeLines="0"/>
                    <w:ind w:firstLine="0" w:firstLineChars="0"/>
                    <w:rPr>
                      <w:rFonts w:hint="eastAsia" w:cs="Times New Roman"/>
                      <w:b w:val="0"/>
                      <w:bCs/>
                      <w:color w:val="auto"/>
                      <w:spacing w:val="-10"/>
                      <w:kern w:val="2"/>
                      <w:sz w:val="21"/>
                      <w:szCs w:val="21"/>
                      <w:highlight w:val="none"/>
                      <w:lang w:val="en-US" w:eastAsia="zh-CN" w:bidi="ar-SA"/>
                    </w:rPr>
                  </w:pPr>
                </w:p>
              </w:tc>
              <w:tc>
                <w:tcPr>
                  <w:tcW w:w="392" w:type="pct"/>
                  <w:tcBorders>
                    <w:tl2br w:val="nil"/>
                    <w:tr2bl w:val="nil"/>
                  </w:tcBorders>
                  <w:vAlign w:val="center"/>
                </w:tcPr>
                <w:p w14:paraId="4079079E">
                  <w:pPr>
                    <w:pStyle w:val="35"/>
                    <w:spacing w:before="0" w:beforeLines="0"/>
                    <w:ind w:firstLine="0" w:firstLineChars="0"/>
                    <w:rPr>
                      <w:rFonts w:hint="eastAsia"/>
                      <w:color w:val="auto"/>
                      <w:spacing w:val="-10"/>
                      <w:highlight w:val="none"/>
                      <w:lang w:val="en-US" w:eastAsia="zh-CN"/>
                    </w:rPr>
                  </w:pPr>
                  <w:r>
                    <w:rPr>
                      <w:rFonts w:hint="eastAsia"/>
                      <w:color w:val="auto"/>
                      <w:spacing w:val="-10"/>
                      <w:highlight w:val="none"/>
                      <w:lang w:val="en-US" w:eastAsia="zh-CN"/>
                    </w:rPr>
                    <w:t>苯并[a]芘</w:t>
                  </w:r>
                </w:p>
              </w:tc>
              <w:tc>
                <w:tcPr>
                  <w:tcW w:w="507" w:type="pct"/>
                  <w:tcBorders>
                    <w:tl2br w:val="nil"/>
                    <w:tr2bl w:val="nil"/>
                  </w:tcBorders>
                  <w:vAlign w:val="center"/>
                </w:tcPr>
                <w:p w14:paraId="393F19FB">
                  <w:pPr>
                    <w:pStyle w:val="35"/>
                    <w:spacing w:before="0" w:beforeLines="0"/>
                    <w:ind w:firstLine="0" w:firstLineChars="0"/>
                    <w:rPr>
                      <w:rFonts w:hint="default"/>
                      <w:color w:val="auto"/>
                      <w:spacing w:val="-10"/>
                      <w:highlight w:val="none"/>
                      <w:lang w:val="en-US" w:eastAsia="zh-CN"/>
                    </w:rPr>
                  </w:pPr>
                  <w:r>
                    <w:rPr>
                      <w:rFonts w:hint="default" w:ascii="Times New Roman" w:hAnsi="Times New Roman" w:cs="Times New Roman"/>
                      <w:color w:val="auto"/>
                      <w:spacing w:val="0"/>
                      <w:highlight w:val="none"/>
                      <w:lang w:val="en-US" w:eastAsia="zh-CN"/>
                    </w:rPr>
                    <w:t>2.</w:t>
                  </w:r>
                  <w:r>
                    <w:rPr>
                      <w:rFonts w:hint="eastAsia" w:cs="Times New Roman"/>
                      <w:color w:val="auto"/>
                      <w:spacing w:val="0"/>
                      <w:highlight w:val="none"/>
                      <w:lang w:val="en-US" w:eastAsia="zh-CN"/>
                    </w:rPr>
                    <w:t>5</w:t>
                  </w:r>
                  <w:r>
                    <w:rPr>
                      <w:rFonts w:hint="default" w:ascii="Times New Roman" w:hAnsi="Times New Roman" w:cs="Times New Roman"/>
                      <w:color w:val="auto"/>
                      <w:spacing w:val="0"/>
                      <w:highlight w:val="none"/>
                      <w:lang w:val="en-US" w:eastAsia="zh-CN"/>
                    </w:rPr>
                    <w:t>×10</w:t>
                  </w:r>
                  <w:r>
                    <w:rPr>
                      <w:rFonts w:hint="default" w:ascii="Times New Roman" w:hAnsi="Times New Roman" w:cs="Times New Roman"/>
                      <w:color w:val="auto"/>
                      <w:spacing w:val="0"/>
                      <w:highlight w:val="none"/>
                      <w:vertAlign w:val="superscript"/>
                      <w:lang w:val="en-US" w:eastAsia="zh-CN"/>
                    </w:rPr>
                    <w:t>-5</w:t>
                  </w:r>
                </w:p>
              </w:tc>
            </w:tr>
            <w:tr w14:paraId="29A85B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7" w:type="pct"/>
                  <w:vMerge w:val="continue"/>
                  <w:tcBorders>
                    <w:tl2br w:val="nil"/>
                    <w:tr2bl w:val="nil"/>
                  </w:tcBorders>
                  <w:vAlign w:val="center"/>
                </w:tcPr>
                <w:p w14:paraId="6A9A0EC4">
                  <w:pPr>
                    <w:pStyle w:val="35"/>
                    <w:spacing w:before="0" w:beforeLines="0"/>
                    <w:ind w:firstLine="0" w:firstLineChars="0"/>
                    <w:rPr>
                      <w:color w:val="auto"/>
                      <w:highlight w:val="none"/>
                    </w:rPr>
                  </w:pPr>
                </w:p>
              </w:tc>
              <w:tc>
                <w:tcPr>
                  <w:tcW w:w="389" w:type="pct"/>
                  <w:vMerge w:val="continue"/>
                  <w:tcBorders>
                    <w:tl2br w:val="nil"/>
                    <w:tr2bl w:val="nil"/>
                  </w:tcBorders>
                  <w:vAlign w:val="center"/>
                </w:tcPr>
                <w:p w14:paraId="4F610B93">
                  <w:pPr>
                    <w:pStyle w:val="35"/>
                    <w:spacing w:before="0" w:beforeLines="0"/>
                    <w:ind w:firstLine="0" w:firstLineChars="0"/>
                    <w:rPr>
                      <w:color w:val="auto"/>
                      <w:highlight w:val="none"/>
                    </w:rPr>
                  </w:pPr>
                </w:p>
              </w:tc>
              <w:tc>
                <w:tcPr>
                  <w:tcW w:w="392" w:type="pct"/>
                  <w:vMerge w:val="continue"/>
                  <w:tcBorders>
                    <w:tl2br w:val="nil"/>
                    <w:tr2bl w:val="nil"/>
                  </w:tcBorders>
                  <w:vAlign w:val="center"/>
                </w:tcPr>
                <w:p w14:paraId="61C61BC7">
                  <w:pPr>
                    <w:pStyle w:val="35"/>
                    <w:spacing w:before="0" w:beforeLines="0"/>
                    <w:ind w:firstLine="0" w:firstLineChars="0"/>
                    <w:rPr>
                      <w:color w:val="auto"/>
                      <w:highlight w:val="none"/>
                    </w:rPr>
                  </w:pPr>
                </w:p>
              </w:tc>
              <w:tc>
                <w:tcPr>
                  <w:tcW w:w="414" w:type="pct"/>
                  <w:vMerge w:val="continue"/>
                  <w:tcBorders>
                    <w:tl2br w:val="nil"/>
                    <w:tr2bl w:val="nil"/>
                  </w:tcBorders>
                  <w:vAlign w:val="center"/>
                </w:tcPr>
                <w:p w14:paraId="512C7979">
                  <w:pPr>
                    <w:pStyle w:val="35"/>
                    <w:spacing w:before="0" w:beforeLines="0"/>
                    <w:ind w:firstLine="0" w:firstLineChars="0"/>
                    <w:rPr>
                      <w:color w:val="auto"/>
                      <w:highlight w:val="none"/>
                    </w:rPr>
                  </w:pPr>
                </w:p>
              </w:tc>
              <w:tc>
                <w:tcPr>
                  <w:tcW w:w="424" w:type="pct"/>
                  <w:vMerge w:val="continue"/>
                  <w:tcBorders>
                    <w:tl2br w:val="nil"/>
                    <w:tr2bl w:val="nil"/>
                  </w:tcBorders>
                  <w:vAlign w:val="center"/>
                </w:tcPr>
                <w:p w14:paraId="234922A1">
                  <w:pPr>
                    <w:pStyle w:val="35"/>
                    <w:spacing w:before="0" w:beforeLines="0"/>
                    <w:ind w:firstLine="0" w:firstLineChars="0"/>
                    <w:rPr>
                      <w:color w:val="auto"/>
                      <w:highlight w:val="none"/>
                    </w:rPr>
                  </w:pPr>
                </w:p>
              </w:tc>
              <w:tc>
                <w:tcPr>
                  <w:tcW w:w="471" w:type="pct"/>
                  <w:vMerge w:val="continue"/>
                  <w:tcBorders>
                    <w:tl2br w:val="nil"/>
                    <w:tr2bl w:val="nil"/>
                  </w:tcBorders>
                  <w:vAlign w:val="center"/>
                </w:tcPr>
                <w:p w14:paraId="6F739B51">
                  <w:pPr>
                    <w:pStyle w:val="35"/>
                    <w:spacing w:before="0" w:beforeLines="0"/>
                    <w:ind w:firstLine="0" w:firstLineChars="0"/>
                    <w:rPr>
                      <w:color w:val="auto"/>
                      <w:highlight w:val="none"/>
                    </w:rPr>
                  </w:pPr>
                </w:p>
              </w:tc>
              <w:tc>
                <w:tcPr>
                  <w:tcW w:w="423" w:type="pct"/>
                  <w:vMerge w:val="continue"/>
                  <w:tcBorders>
                    <w:tl2br w:val="nil"/>
                    <w:tr2bl w:val="nil"/>
                  </w:tcBorders>
                  <w:vAlign w:val="center"/>
                </w:tcPr>
                <w:p w14:paraId="6E61532C">
                  <w:pPr>
                    <w:pStyle w:val="35"/>
                    <w:spacing w:before="0" w:beforeLines="0"/>
                    <w:ind w:firstLine="0" w:firstLineChars="0"/>
                    <w:rPr>
                      <w:color w:val="auto"/>
                      <w:highlight w:val="none"/>
                    </w:rPr>
                  </w:pPr>
                </w:p>
              </w:tc>
              <w:tc>
                <w:tcPr>
                  <w:tcW w:w="403" w:type="pct"/>
                  <w:vMerge w:val="continue"/>
                  <w:tcBorders>
                    <w:tl2br w:val="nil"/>
                    <w:tr2bl w:val="nil"/>
                  </w:tcBorders>
                  <w:vAlign w:val="center"/>
                </w:tcPr>
                <w:p w14:paraId="2D8CCDB9">
                  <w:pPr>
                    <w:pStyle w:val="35"/>
                    <w:spacing w:before="0" w:beforeLines="0"/>
                    <w:ind w:firstLine="0" w:firstLineChars="0"/>
                    <w:rPr>
                      <w:color w:val="auto"/>
                      <w:highlight w:val="none"/>
                    </w:rPr>
                  </w:pPr>
                </w:p>
              </w:tc>
              <w:tc>
                <w:tcPr>
                  <w:tcW w:w="375" w:type="pct"/>
                  <w:vMerge w:val="continue"/>
                  <w:tcBorders>
                    <w:tl2br w:val="nil"/>
                    <w:tr2bl w:val="nil"/>
                  </w:tcBorders>
                  <w:vAlign w:val="center"/>
                </w:tcPr>
                <w:p w14:paraId="57A00E65">
                  <w:pPr>
                    <w:pStyle w:val="35"/>
                    <w:spacing w:before="0" w:beforeLines="0"/>
                    <w:ind w:firstLine="0" w:firstLineChars="0"/>
                    <w:rPr>
                      <w:color w:val="auto"/>
                      <w:highlight w:val="none"/>
                    </w:rPr>
                  </w:pPr>
                </w:p>
              </w:tc>
              <w:tc>
                <w:tcPr>
                  <w:tcW w:w="268" w:type="pct"/>
                  <w:vMerge w:val="continue"/>
                  <w:tcBorders>
                    <w:tl2br w:val="nil"/>
                    <w:tr2bl w:val="nil"/>
                  </w:tcBorders>
                  <w:shd w:val="clear" w:color="auto" w:fill="auto"/>
                  <w:vAlign w:val="center"/>
                </w:tcPr>
                <w:p w14:paraId="16B959B8">
                  <w:pPr>
                    <w:pStyle w:val="35"/>
                    <w:spacing w:before="0" w:beforeLines="0"/>
                    <w:ind w:firstLine="0" w:firstLineChars="0"/>
                    <w:rPr>
                      <w:color w:val="auto"/>
                      <w:highlight w:val="none"/>
                    </w:rPr>
                  </w:pPr>
                </w:p>
              </w:tc>
              <w:tc>
                <w:tcPr>
                  <w:tcW w:w="392" w:type="pct"/>
                  <w:tcBorders>
                    <w:tl2br w:val="nil"/>
                    <w:tr2bl w:val="nil"/>
                  </w:tcBorders>
                  <w:vAlign w:val="center"/>
                </w:tcPr>
                <w:p w14:paraId="10BB8D8B">
                  <w:pPr>
                    <w:pStyle w:val="35"/>
                    <w:spacing w:before="0" w:beforeLines="0"/>
                    <w:ind w:firstLine="0" w:firstLineChars="0"/>
                    <w:rPr>
                      <w:rFonts w:hint="default" w:eastAsia="宋体"/>
                      <w:color w:val="auto"/>
                      <w:spacing w:val="-10"/>
                      <w:highlight w:val="none"/>
                      <w:lang w:val="en-US" w:eastAsia="zh-CN"/>
                    </w:rPr>
                  </w:pPr>
                  <w:r>
                    <w:rPr>
                      <w:rFonts w:hint="eastAsia"/>
                      <w:color w:val="auto"/>
                      <w:spacing w:val="-10"/>
                      <w:highlight w:val="none"/>
                      <w:lang w:val="en-US" w:eastAsia="zh-CN"/>
                    </w:rPr>
                    <w:t>非甲烷总烃</w:t>
                  </w:r>
                </w:p>
              </w:tc>
              <w:tc>
                <w:tcPr>
                  <w:tcW w:w="507" w:type="pct"/>
                  <w:tcBorders>
                    <w:tl2br w:val="nil"/>
                    <w:tr2bl w:val="nil"/>
                  </w:tcBorders>
                  <w:vAlign w:val="center"/>
                </w:tcPr>
                <w:p w14:paraId="20C6BE01">
                  <w:pPr>
                    <w:pStyle w:val="35"/>
                    <w:spacing w:before="0" w:beforeLines="0"/>
                    <w:ind w:firstLine="0" w:firstLineChars="0"/>
                    <w:rPr>
                      <w:rFonts w:hint="default" w:eastAsia="宋体"/>
                      <w:color w:val="auto"/>
                      <w:spacing w:val="-10"/>
                      <w:highlight w:val="none"/>
                      <w:lang w:val="en-US" w:eastAsia="zh-CN"/>
                    </w:rPr>
                  </w:pPr>
                  <w:r>
                    <w:rPr>
                      <w:rFonts w:hint="eastAsia"/>
                      <w:color w:val="auto"/>
                      <w:spacing w:val="0"/>
                      <w:highlight w:val="none"/>
                      <w:lang w:val="en-US" w:eastAsia="zh-CN"/>
                    </w:rPr>
                    <w:t>0.89</w:t>
                  </w:r>
                </w:p>
              </w:tc>
            </w:tr>
            <w:tr w14:paraId="2303CBC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7" w:type="pct"/>
                  <w:vMerge w:val="restart"/>
                  <w:tcBorders>
                    <w:tl2br w:val="nil"/>
                    <w:tr2bl w:val="nil"/>
                  </w:tcBorders>
                  <w:vAlign w:val="center"/>
                </w:tcPr>
                <w:p w14:paraId="1638A8D1">
                  <w:pPr>
                    <w:pStyle w:val="35"/>
                    <w:spacing w:before="0" w:beforeLines="0"/>
                    <w:ind w:firstLine="0" w:firstLineChars="0"/>
                    <w:rPr>
                      <w:rFonts w:hint="default"/>
                      <w:color w:val="auto"/>
                      <w:highlight w:val="none"/>
                      <w:lang w:val="en-US" w:eastAsia="zh-CN"/>
                    </w:rPr>
                  </w:pPr>
                  <w:r>
                    <w:rPr>
                      <w:rFonts w:hint="eastAsia"/>
                      <w:color w:val="auto"/>
                      <w:highlight w:val="none"/>
                      <w:lang w:val="en-US" w:eastAsia="zh-CN"/>
                    </w:rPr>
                    <w:t>导热油炉废气排口（DA002）</w:t>
                  </w:r>
                </w:p>
              </w:tc>
              <w:tc>
                <w:tcPr>
                  <w:tcW w:w="389" w:type="pct"/>
                  <w:vMerge w:val="restart"/>
                  <w:tcBorders>
                    <w:tl2br w:val="nil"/>
                    <w:tr2bl w:val="nil"/>
                  </w:tcBorders>
                  <w:vAlign w:val="center"/>
                </w:tcPr>
                <w:p w14:paraId="48E7701D">
                  <w:pPr>
                    <w:pStyle w:val="35"/>
                    <w:spacing w:before="0" w:beforeLines="0"/>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87°0</w:t>
                  </w:r>
                  <w:r>
                    <w:rPr>
                      <w:rFonts w:hint="eastAsia" w:cs="Times New Roman"/>
                      <w:color w:val="auto"/>
                      <w:sz w:val="21"/>
                      <w:szCs w:val="21"/>
                      <w:highlight w:val="none"/>
                      <w:lang w:val="en-US" w:eastAsia="zh-CN"/>
                    </w:rPr>
                    <w:t>7</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49</w:t>
                  </w:r>
                  <w:r>
                    <w:rPr>
                      <w:rFonts w:hint="default" w:ascii="Times New Roman" w:hAnsi="Times New Roman" w:cs="Times New Roman"/>
                      <w:color w:val="auto"/>
                      <w:sz w:val="21"/>
                      <w:szCs w:val="21"/>
                      <w:highlight w:val="none"/>
                    </w:rPr>
                    <w:t>.9</w:t>
                  </w:r>
                  <w:r>
                    <w:rPr>
                      <w:rFonts w:hint="eastAsia"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w:t>
                  </w:r>
                </w:p>
              </w:tc>
              <w:tc>
                <w:tcPr>
                  <w:tcW w:w="392" w:type="pct"/>
                  <w:vMerge w:val="restart"/>
                  <w:tcBorders>
                    <w:tl2br w:val="nil"/>
                    <w:tr2bl w:val="nil"/>
                  </w:tcBorders>
                  <w:vAlign w:val="center"/>
                </w:tcPr>
                <w:p w14:paraId="16EAF90C">
                  <w:pPr>
                    <w:pStyle w:val="35"/>
                    <w:spacing w:before="0" w:beforeLines="0"/>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44°0</w:t>
                  </w:r>
                  <w:r>
                    <w:rPr>
                      <w:rFonts w:hint="eastAsia"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13</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09</w:t>
                  </w:r>
                  <w:r>
                    <w:rPr>
                      <w:rFonts w:hint="default" w:ascii="Times New Roman" w:hAnsi="Times New Roman" w:cs="Times New Roman"/>
                      <w:color w:val="auto"/>
                      <w:sz w:val="21"/>
                      <w:szCs w:val="21"/>
                      <w:highlight w:val="none"/>
                    </w:rPr>
                    <w:t>"</w:t>
                  </w:r>
                </w:p>
              </w:tc>
              <w:tc>
                <w:tcPr>
                  <w:tcW w:w="414" w:type="pct"/>
                  <w:vMerge w:val="restart"/>
                  <w:tcBorders>
                    <w:tl2br w:val="nil"/>
                    <w:tr2bl w:val="nil"/>
                  </w:tcBorders>
                  <w:vAlign w:val="center"/>
                </w:tcPr>
                <w:p w14:paraId="17777600">
                  <w:pPr>
                    <w:pStyle w:val="35"/>
                    <w:spacing w:before="0" w:beforeLines="0"/>
                    <w:ind w:firstLine="0" w:firstLineChars="0"/>
                    <w:rPr>
                      <w:rFonts w:hint="default"/>
                      <w:color w:val="auto"/>
                      <w:highlight w:val="none"/>
                      <w:lang w:val="en-US" w:eastAsia="zh-CN"/>
                    </w:rPr>
                  </w:pPr>
                  <w:r>
                    <w:rPr>
                      <w:rFonts w:hint="eastAsia"/>
                      <w:color w:val="auto"/>
                      <w:highlight w:val="none"/>
                      <w:lang w:val="en-US" w:eastAsia="zh-CN"/>
                    </w:rPr>
                    <w:t>560</w:t>
                  </w:r>
                </w:p>
              </w:tc>
              <w:tc>
                <w:tcPr>
                  <w:tcW w:w="424" w:type="pct"/>
                  <w:vMerge w:val="restart"/>
                  <w:tcBorders>
                    <w:tl2br w:val="nil"/>
                    <w:tr2bl w:val="nil"/>
                  </w:tcBorders>
                  <w:vAlign w:val="center"/>
                </w:tcPr>
                <w:p w14:paraId="1696EFE7">
                  <w:pPr>
                    <w:pStyle w:val="35"/>
                    <w:spacing w:before="0" w:beforeLines="0"/>
                    <w:ind w:firstLine="0" w:firstLineChars="0"/>
                    <w:rPr>
                      <w:rFonts w:hint="default"/>
                      <w:color w:val="auto"/>
                      <w:highlight w:val="none"/>
                      <w:lang w:val="en-US" w:eastAsia="zh-CN"/>
                    </w:rPr>
                  </w:pPr>
                  <w:r>
                    <w:rPr>
                      <w:rFonts w:hint="eastAsia" w:cs="Times New Roman"/>
                      <w:sz w:val="21"/>
                      <w:szCs w:val="21"/>
                      <w:highlight w:val="none"/>
                      <w:lang w:val="en-US" w:eastAsia="zh-CN"/>
                    </w:rPr>
                    <w:t>12</w:t>
                  </w:r>
                </w:p>
              </w:tc>
              <w:tc>
                <w:tcPr>
                  <w:tcW w:w="471" w:type="pct"/>
                  <w:vMerge w:val="restart"/>
                  <w:tcBorders>
                    <w:tl2br w:val="nil"/>
                    <w:tr2bl w:val="nil"/>
                  </w:tcBorders>
                  <w:vAlign w:val="center"/>
                </w:tcPr>
                <w:p w14:paraId="609E0879">
                  <w:pPr>
                    <w:pStyle w:val="35"/>
                    <w:spacing w:before="0" w:beforeLines="0"/>
                    <w:ind w:firstLine="0" w:firstLineChars="0"/>
                    <w:rPr>
                      <w:rFonts w:hint="default"/>
                      <w:color w:val="auto"/>
                      <w:highlight w:val="none"/>
                      <w:lang w:val="en-US" w:eastAsia="zh-CN"/>
                    </w:rPr>
                  </w:pPr>
                  <w:r>
                    <w:rPr>
                      <w:rFonts w:hint="eastAsia"/>
                      <w:color w:val="auto"/>
                      <w:highlight w:val="none"/>
                      <w:lang w:val="en-US" w:eastAsia="zh-CN"/>
                    </w:rPr>
                    <w:t>0.4</w:t>
                  </w:r>
                </w:p>
              </w:tc>
              <w:tc>
                <w:tcPr>
                  <w:tcW w:w="423" w:type="pct"/>
                  <w:vMerge w:val="restart"/>
                  <w:tcBorders>
                    <w:tl2br w:val="nil"/>
                    <w:tr2bl w:val="nil"/>
                  </w:tcBorders>
                  <w:vAlign w:val="center"/>
                </w:tcPr>
                <w:p w14:paraId="09ED1669">
                  <w:pPr>
                    <w:pStyle w:val="35"/>
                    <w:spacing w:before="0" w:beforeLines="0"/>
                    <w:ind w:firstLine="0" w:firstLineChars="0"/>
                    <w:rPr>
                      <w:rFonts w:hint="default"/>
                      <w:color w:val="auto"/>
                      <w:highlight w:val="none"/>
                      <w:lang w:val="en-US" w:eastAsia="zh-CN"/>
                    </w:rPr>
                  </w:pPr>
                  <w:r>
                    <w:rPr>
                      <w:rFonts w:hint="eastAsia"/>
                      <w:color w:val="auto"/>
                      <w:highlight w:val="none"/>
                      <w:lang w:val="en-US" w:eastAsia="zh-CN"/>
                    </w:rPr>
                    <w:t>11</w:t>
                  </w:r>
                </w:p>
              </w:tc>
              <w:tc>
                <w:tcPr>
                  <w:tcW w:w="403" w:type="pct"/>
                  <w:vMerge w:val="restart"/>
                  <w:tcBorders>
                    <w:tl2br w:val="nil"/>
                    <w:tr2bl w:val="nil"/>
                  </w:tcBorders>
                  <w:vAlign w:val="center"/>
                </w:tcPr>
                <w:p w14:paraId="79758ADE">
                  <w:pPr>
                    <w:pStyle w:val="35"/>
                    <w:spacing w:before="0" w:beforeLines="0"/>
                    <w:ind w:firstLine="0" w:firstLineChars="0"/>
                    <w:rPr>
                      <w:rFonts w:hint="default"/>
                      <w:color w:val="auto"/>
                      <w:highlight w:val="none"/>
                      <w:lang w:val="en-US" w:eastAsia="zh-CN"/>
                    </w:rPr>
                  </w:pPr>
                  <w:r>
                    <w:rPr>
                      <w:rFonts w:hint="eastAsia"/>
                      <w:color w:val="auto"/>
                      <w:highlight w:val="none"/>
                      <w:lang w:val="en-US" w:eastAsia="zh-CN"/>
                    </w:rPr>
                    <w:t>60</w:t>
                  </w:r>
                </w:p>
              </w:tc>
              <w:tc>
                <w:tcPr>
                  <w:tcW w:w="375" w:type="pct"/>
                  <w:vMerge w:val="restart"/>
                  <w:tcBorders>
                    <w:tl2br w:val="nil"/>
                    <w:tr2bl w:val="nil"/>
                  </w:tcBorders>
                  <w:vAlign w:val="center"/>
                </w:tcPr>
                <w:p w14:paraId="6A503E0B">
                  <w:pPr>
                    <w:pStyle w:val="35"/>
                    <w:spacing w:before="0" w:beforeLines="0"/>
                    <w:ind w:firstLine="0" w:firstLineChars="0"/>
                    <w:rPr>
                      <w:rFonts w:hint="default"/>
                      <w:color w:val="auto"/>
                      <w:highlight w:val="none"/>
                      <w:lang w:val="en-US" w:eastAsia="zh-CN"/>
                    </w:rPr>
                  </w:pPr>
                  <w:r>
                    <w:rPr>
                      <w:rFonts w:hint="eastAsia" w:cs="Times New Roman"/>
                      <w:color w:val="auto"/>
                      <w:spacing w:val="-10"/>
                      <w:highlight w:val="none"/>
                      <w:lang w:val="en-US" w:eastAsia="zh-CN"/>
                    </w:rPr>
                    <w:t>3840</w:t>
                  </w:r>
                </w:p>
              </w:tc>
              <w:tc>
                <w:tcPr>
                  <w:tcW w:w="268" w:type="pct"/>
                  <w:vMerge w:val="restart"/>
                  <w:tcBorders>
                    <w:tl2br w:val="nil"/>
                    <w:tr2bl w:val="nil"/>
                  </w:tcBorders>
                  <w:shd w:val="clear" w:color="auto" w:fill="auto"/>
                  <w:vAlign w:val="center"/>
                </w:tcPr>
                <w:p w14:paraId="437131D4">
                  <w:pPr>
                    <w:pStyle w:val="35"/>
                    <w:spacing w:before="0" w:beforeLines="0"/>
                    <w:ind w:firstLine="0" w:firstLineChars="0"/>
                    <w:rPr>
                      <w:rFonts w:hint="default"/>
                      <w:color w:val="auto"/>
                      <w:highlight w:val="none"/>
                      <w:lang w:val="en-US" w:eastAsia="zh-CN"/>
                    </w:rPr>
                  </w:pPr>
                  <w:r>
                    <w:rPr>
                      <w:rFonts w:hint="eastAsia"/>
                      <w:color w:val="auto"/>
                      <w:highlight w:val="none"/>
                      <w:lang w:val="en-US" w:eastAsia="zh-CN"/>
                    </w:rPr>
                    <w:t>正常</w:t>
                  </w:r>
                </w:p>
              </w:tc>
              <w:tc>
                <w:tcPr>
                  <w:tcW w:w="392" w:type="pct"/>
                  <w:tcBorders>
                    <w:tl2br w:val="nil"/>
                    <w:tr2bl w:val="nil"/>
                  </w:tcBorders>
                  <w:vAlign w:val="center"/>
                </w:tcPr>
                <w:p w14:paraId="4F423498">
                  <w:pPr>
                    <w:pStyle w:val="35"/>
                    <w:spacing w:before="0" w:beforeLines="0"/>
                    <w:ind w:firstLine="0" w:firstLineChars="0"/>
                    <w:rPr>
                      <w:rFonts w:hint="default"/>
                      <w:color w:val="auto"/>
                      <w:spacing w:val="-10"/>
                      <w:highlight w:val="none"/>
                      <w:lang w:val="en-US" w:eastAsia="zh-CN"/>
                    </w:rPr>
                  </w:pPr>
                  <w:r>
                    <w:rPr>
                      <w:rFonts w:hint="eastAsia"/>
                      <w:color w:val="auto"/>
                      <w:spacing w:val="-10"/>
                      <w:highlight w:val="none"/>
                      <w:lang w:val="en-US" w:eastAsia="zh-CN"/>
                    </w:rPr>
                    <w:t>颗粒物</w:t>
                  </w:r>
                </w:p>
              </w:tc>
              <w:tc>
                <w:tcPr>
                  <w:tcW w:w="507" w:type="pct"/>
                  <w:tcBorders>
                    <w:tl2br w:val="nil"/>
                    <w:tr2bl w:val="nil"/>
                  </w:tcBorders>
                  <w:vAlign w:val="center"/>
                </w:tcPr>
                <w:p w14:paraId="417DCB4F">
                  <w:pPr>
                    <w:pStyle w:val="35"/>
                    <w:spacing w:before="0" w:beforeLines="0"/>
                    <w:ind w:firstLine="0" w:firstLineChars="0"/>
                    <w:rPr>
                      <w:rFonts w:hint="default"/>
                      <w:color w:val="auto"/>
                      <w:spacing w:val="0"/>
                      <w:highlight w:val="none"/>
                      <w:lang w:val="en-US" w:eastAsia="zh-CN"/>
                    </w:rPr>
                  </w:pPr>
                  <w:r>
                    <w:rPr>
                      <w:rFonts w:hint="eastAsia"/>
                      <w:color w:val="auto"/>
                      <w:spacing w:val="0"/>
                      <w:highlight w:val="none"/>
                      <w:lang w:val="en-US" w:eastAsia="zh-CN"/>
                    </w:rPr>
                    <w:t>0.03</w:t>
                  </w:r>
                </w:p>
              </w:tc>
            </w:tr>
            <w:tr w14:paraId="7679AAA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7" w:type="pct"/>
                  <w:vMerge w:val="continue"/>
                  <w:tcBorders>
                    <w:tl2br w:val="nil"/>
                    <w:tr2bl w:val="nil"/>
                  </w:tcBorders>
                  <w:vAlign w:val="center"/>
                </w:tcPr>
                <w:p w14:paraId="3871A43C">
                  <w:pPr>
                    <w:pStyle w:val="35"/>
                    <w:spacing w:before="0" w:beforeLines="0"/>
                    <w:ind w:firstLine="0" w:firstLineChars="0"/>
                  </w:pPr>
                </w:p>
              </w:tc>
              <w:tc>
                <w:tcPr>
                  <w:tcW w:w="389" w:type="pct"/>
                  <w:vMerge w:val="continue"/>
                  <w:tcBorders>
                    <w:tl2br w:val="nil"/>
                    <w:tr2bl w:val="nil"/>
                  </w:tcBorders>
                  <w:vAlign w:val="center"/>
                </w:tcPr>
                <w:p w14:paraId="126CCECD">
                  <w:pPr>
                    <w:pStyle w:val="35"/>
                    <w:spacing w:before="0" w:beforeLines="0"/>
                    <w:ind w:firstLine="0" w:firstLineChars="0"/>
                  </w:pPr>
                </w:p>
              </w:tc>
              <w:tc>
                <w:tcPr>
                  <w:tcW w:w="392" w:type="pct"/>
                  <w:vMerge w:val="continue"/>
                  <w:tcBorders>
                    <w:tl2br w:val="nil"/>
                    <w:tr2bl w:val="nil"/>
                  </w:tcBorders>
                  <w:vAlign w:val="center"/>
                </w:tcPr>
                <w:p w14:paraId="7EA2B14B">
                  <w:pPr>
                    <w:pStyle w:val="35"/>
                    <w:spacing w:before="0" w:beforeLines="0"/>
                    <w:ind w:firstLine="0" w:firstLineChars="0"/>
                  </w:pPr>
                </w:p>
              </w:tc>
              <w:tc>
                <w:tcPr>
                  <w:tcW w:w="414" w:type="pct"/>
                  <w:vMerge w:val="continue"/>
                  <w:tcBorders>
                    <w:tl2br w:val="nil"/>
                    <w:tr2bl w:val="nil"/>
                  </w:tcBorders>
                  <w:vAlign w:val="center"/>
                </w:tcPr>
                <w:p w14:paraId="16CDB6A8">
                  <w:pPr>
                    <w:pStyle w:val="35"/>
                    <w:spacing w:before="0" w:beforeLines="0"/>
                    <w:ind w:firstLine="0" w:firstLineChars="0"/>
                  </w:pPr>
                </w:p>
              </w:tc>
              <w:tc>
                <w:tcPr>
                  <w:tcW w:w="424" w:type="pct"/>
                  <w:vMerge w:val="continue"/>
                  <w:tcBorders>
                    <w:tl2br w:val="nil"/>
                    <w:tr2bl w:val="nil"/>
                  </w:tcBorders>
                  <w:vAlign w:val="center"/>
                </w:tcPr>
                <w:p w14:paraId="35B02C7E">
                  <w:pPr>
                    <w:pStyle w:val="35"/>
                    <w:spacing w:before="0" w:beforeLines="0"/>
                    <w:ind w:firstLine="0" w:firstLineChars="0"/>
                  </w:pPr>
                </w:p>
              </w:tc>
              <w:tc>
                <w:tcPr>
                  <w:tcW w:w="471" w:type="pct"/>
                  <w:vMerge w:val="continue"/>
                  <w:tcBorders>
                    <w:tl2br w:val="nil"/>
                    <w:tr2bl w:val="nil"/>
                  </w:tcBorders>
                  <w:vAlign w:val="center"/>
                </w:tcPr>
                <w:p w14:paraId="58BBCAE2">
                  <w:pPr>
                    <w:pStyle w:val="35"/>
                    <w:spacing w:before="0" w:beforeLines="0"/>
                    <w:ind w:firstLine="0" w:firstLineChars="0"/>
                  </w:pPr>
                </w:p>
              </w:tc>
              <w:tc>
                <w:tcPr>
                  <w:tcW w:w="423" w:type="pct"/>
                  <w:vMerge w:val="continue"/>
                  <w:tcBorders>
                    <w:tl2br w:val="nil"/>
                    <w:tr2bl w:val="nil"/>
                  </w:tcBorders>
                  <w:vAlign w:val="center"/>
                </w:tcPr>
                <w:p w14:paraId="26241DD8">
                  <w:pPr>
                    <w:pStyle w:val="35"/>
                    <w:spacing w:before="0" w:beforeLines="0"/>
                    <w:ind w:firstLine="0" w:firstLineChars="0"/>
                  </w:pPr>
                </w:p>
              </w:tc>
              <w:tc>
                <w:tcPr>
                  <w:tcW w:w="403" w:type="pct"/>
                  <w:vMerge w:val="continue"/>
                  <w:tcBorders>
                    <w:tl2br w:val="nil"/>
                    <w:tr2bl w:val="nil"/>
                  </w:tcBorders>
                  <w:vAlign w:val="center"/>
                </w:tcPr>
                <w:p w14:paraId="440C93D2">
                  <w:pPr>
                    <w:pStyle w:val="35"/>
                    <w:spacing w:before="0" w:beforeLines="0"/>
                    <w:ind w:firstLine="0" w:firstLineChars="0"/>
                  </w:pPr>
                </w:p>
              </w:tc>
              <w:tc>
                <w:tcPr>
                  <w:tcW w:w="375" w:type="pct"/>
                  <w:vMerge w:val="continue"/>
                  <w:tcBorders>
                    <w:tl2br w:val="nil"/>
                    <w:tr2bl w:val="nil"/>
                  </w:tcBorders>
                  <w:vAlign w:val="center"/>
                </w:tcPr>
                <w:p w14:paraId="60E46761">
                  <w:pPr>
                    <w:pStyle w:val="35"/>
                    <w:spacing w:before="0" w:beforeLines="0"/>
                    <w:ind w:firstLine="0" w:firstLineChars="0"/>
                  </w:pPr>
                </w:p>
              </w:tc>
              <w:tc>
                <w:tcPr>
                  <w:tcW w:w="268" w:type="pct"/>
                  <w:vMerge w:val="continue"/>
                  <w:tcBorders>
                    <w:tl2br w:val="nil"/>
                    <w:tr2bl w:val="nil"/>
                  </w:tcBorders>
                  <w:shd w:val="clear" w:color="auto" w:fill="auto"/>
                  <w:vAlign w:val="center"/>
                </w:tcPr>
                <w:p w14:paraId="6EC95490">
                  <w:pPr>
                    <w:pStyle w:val="35"/>
                    <w:spacing w:before="0" w:beforeLines="0"/>
                    <w:ind w:firstLine="0" w:firstLineChars="0"/>
                  </w:pPr>
                </w:p>
              </w:tc>
              <w:tc>
                <w:tcPr>
                  <w:tcW w:w="392" w:type="pct"/>
                  <w:tcBorders>
                    <w:tl2br w:val="nil"/>
                    <w:tr2bl w:val="nil"/>
                  </w:tcBorders>
                  <w:vAlign w:val="center"/>
                </w:tcPr>
                <w:p w14:paraId="57101D9D">
                  <w:pPr>
                    <w:pStyle w:val="35"/>
                    <w:spacing w:before="0" w:beforeLines="0"/>
                    <w:ind w:firstLine="0" w:firstLineChars="0"/>
                    <w:rPr>
                      <w:rFonts w:hint="default"/>
                      <w:color w:val="auto"/>
                      <w:spacing w:val="-10"/>
                      <w:highlight w:val="none"/>
                      <w:lang w:val="en-US" w:eastAsia="zh-CN"/>
                    </w:rPr>
                  </w:pPr>
                  <w:r>
                    <w:rPr>
                      <w:rFonts w:hint="eastAsia"/>
                      <w:color w:val="auto"/>
                      <w:spacing w:val="-10"/>
                      <w:highlight w:val="none"/>
                      <w:lang w:val="en-US" w:eastAsia="zh-CN"/>
                    </w:rPr>
                    <w:t>SO</w:t>
                  </w:r>
                  <w:r>
                    <w:rPr>
                      <w:rFonts w:hint="eastAsia"/>
                      <w:color w:val="auto"/>
                      <w:spacing w:val="-10"/>
                      <w:highlight w:val="none"/>
                      <w:vertAlign w:val="subscript"/>
                      <w:lang w:val="en-US" w:eastAsia="zh-CN"/>
                    </w:rPr>
                    <w:t>2</w:t>
                  </w:r>
                </w:p>
              </w:tc>
              <w:tc>
                <w:tcPr>
                  <w:tcW w:w="507" w:type="pct"/>
                  <w:tcBorders>
                    <w:tl2br w:val="nil"/>
                    <w:tr2bl w:val="nil"/>
                  </w:tcBorders>
                  <w:vAlign w:val="center"/>
                </w:tcPr>
                <w:p w14:paraId="0E6D4FC0">
                  <w:pPr>
                    <w:pStyle w:val="35"/>
                    <w:spacing w:before="0" w:beforeLines="0"/>
                    <w:ind w:firstLine="0" w:firstLineChars="0"/>
                    <w:rPr>
                      <w:rFonts w:hint="default"/>
                      <w:color w:val="auto"/>
                      <w:spacing w:val="0"/>
                      <w:highlight w:val="none"/>
                      <w:lang w:val="en-US" w:eastAsia="zh-CN"/>
                    </w:rPr>
                  </w:pPr>
                  <w:r>
                    <w:rPr>
                      <w:rFonts w:hint="eastAsia"/>
                      <w:color w:val="auto"/>
                      <w:spacing w:val="0"/>
                      <w:highlight w:val="none"/>
                      <w:lang w:val="en-US" w:eastAsia="zh-CN"/>
                    </w:rPr>
                    <w:t>0.06</w:t>
                  </w:r>
                </w:p>
              </w:tc>
            </w:tr>
            <w:tr w14:paraId="25CD573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7" w:type="pct"/>
                  <w:vMerge w:val="continue"/>
                  <w:tcBorders>
                    <w:tl2br w:val="nil"/>
                    <w:tr2bl w:val="nil"/>
                  </w:tcBorders>
                  <w:vAlign w:val="center"/>
                </w:tcPr>
                <w:p w14:paraId="5862AC35">
                  <w:pPr>
                    <w:pStyle w:val="35"/>
                    <w:spacing w:before="0" w:beforeLines="0"/>
                    <w:ind w:firstLine="0" w:firstLineChars="0"/>
                    <w:rPr>
                      <w:rFonts w:hint="eastAsia"/>
                      <w:color w:val="auto"/>
                      <w:spacing w:val="-10"/>
                      <w:highlight w:val="none"/>
                      <w:lang w:val="en-US" w:eastAsia="zh-CN"/>
                    </w:rPr>
                  </w:pPr>
                </w:p>
              </w:tc>
              <w:tc>
                <w:tcPr>
                  <w:tcW w:w="389" w:type="pct"/>
                  <w:vMerge w:val="continue"/>
                  <w:tcBorders>
                    <w:tl2br w:val="nil"/>
                    <w:tr2bl w:val="nil"/>
                  </w:tcBorders>
                  <w:vAlign w:val="center"/>
                </w:tcPr>
                <w:p w14:paraId="05007114">
                  <w:pPr>
                    <w:pStyle w:val="35"/>
                    <w:spacing w:before="0" w:beforeLines="0"/>
                    <w:ind w:firstLine="0" w:firstLineChars="0"/>
                    <w:rPr>
                      <w:rFonts w:hint="eastAsia"/>
                      <w:color w:val="auto"/>
                      <w:spacing w:val="-10"/>
                      <w:highlight w:val="none"/>
                      <w:lang w:val="en-US" w:eastAsia="zh-CN"/>
                    </w:rPr>
                  </w:pPr>
                </w:p>
              </w:tc>
              <w:tc>
                <w:tcPr>
                  <w:tcW w:w="392" w:type="pct"/>
                  <w:vMerge w:val="continue"/>
                  <w:tcBorders>
                    <w:tl2br w:val="nil"/>
                    <w:tr2bl w:val="nil"/>
                  </w:tcBorders>
                  <w:vAlign w:val="center"/>
                </w:tcPr>
                <w:p w14:paraId="04FBB059">
                  <w:pPr>
                    <w:pStyle w:val="35"/>
                    <w:spacing w:before="0" w:beforeLines="0"/>
                    <w:ind w:firstLine="0" w:firstLineChars="0"/>
                    <w:rPr>
                      <w:rFonts w:hint="eastAsia"/>
                      <w:color w:val="auto"/>
                      <w:spacing w:val="-10"/>
                      <w:highlight w:val="none"/>
                      <w:lang w:val="en-US" w:eastAsia="zh-CN"/>
                    </w:rPr>
                  </w:pPr>
                </w:p>
              </w:tc>
              <w:tc>
                <w:tcPr>
                  <w:tcW w:w="414" w:type="pct"/>
                  <w:vMerge w:val="continue"/>
                  <w:tcBorders>
                    <w:tl2br w:val="nil"/>
                    <w:tr2bl w:val="nil"/>
                  </w:tcBorders>
                  <w:vAlign w:val="center"/>
                </w:tcPr>
                <w:p w14:paraId="2FFD315C">
                  <w:pPr>
                    <w:pStyle w:val="35"/>
                    <w:spacing w:before="0" w:beforeLines="0"/>
                    <w:ind w:firstLine="0" w:firstLineChars="0"/>
                    <w:rPr>
                      <w:rFonts w:hint="eastAsia"/>
                      <w:color w:val="auto"/>
                      <w:spacing w:val="-10"/>
                      <w:highlight w:val="none"/>
                      <w:lang w:val="en-US" w:eastAsia="zh-CN"/>
                    </w:rPr>
                  </w:pPr>
                </w:p>
              </w:tc>
              <w:tc>
                <w:tcPr>
                  <w:tcW w:w="424" w:type="pct"/>
                  <w:vMerge w:val="continue"/>
                  <w:tcBorders>
                    <w:tl2br w:val="nil"/>
                    <w:tr2bl w:val="nil"/>
                  </w:tcBorders>
                  <w:vAlign w:val="center"/>
                </w:tcPr>
                <w:p w14:paraId="77C809E5">
                  <w:pPr>
                    <w:pStyle w:val="35"/>
                    <w:spacing w:before="0" w:beforeLines="0"/>
                    <w:ind w:firstLine="0" w:firstLineChars="0"/>
                    <w:rPr>
                      <w:rFonts w:hint="eastAsia"/>
                      <w:color w:val="auto"/>
                      <w:spacing w:val="-10"/>
                      <w:highlight w:val="none"/>
                      <w:lang w:val="en-US" w:eastAsia="zh-CN"/>
                    </w:rPr>
                  </w:pPr>
                </w:p>
              </w:tc>
              <w:tc>
                <w:tcPr>
                  <w:tcW w:w="471" w:type="pct"/>
                  <w:vMerge w:val="continue"/>
                  <w:tcBorders>
                    <w:tl2br w:val="nil"/>
                    <w:tr2bl w:val="nil"/>
                  </w:tcBorders>
                  <w:vAlign w:val="center"/>
                </w:tcPr>
                <w:p w14:paraId="4E9AB3DB">
                  <w:pPr>
                    <w:pStyle w:val="35"/>
                    <w:spacing w:before="0" w:beforeLines="0"/>
                    <w:ind w:firstLine="0" w:firstLineChars="0"/>
                    <w:rPr>
                      <w:rFonts w:hint="eastAsia"/>
                      <w:color w:val="auto"/>
                      <w:spacing w:val="-10"/>
                      <w:highlight w:val="none"/>
                      <w:lang w:val="en-US" w:eastAsia="zh-CN"/>
                    </w:rPr>
                  </w:pPr>
                </w:p>
              </w:tc>
              <w:tc>
                <w:tcPr>
                  <w:tcW w:w="423" w:type="pct"/>
                  <w:vMerge w:val="continue"/>
                  <w:tcBorders>
                    <w:tl2br w:val="nil"/>
                    <w:tr2bl w:val="nil"/>
                  </w:tcBorders>
                  <w:vAlign w:val="center"/>
                </w:tcPr>
                <w:p w14:paraId="0E535DB4">
                  <w:pPr>
                    <w:pStyle w:val="35"/>
                    <w:spacing w:before="0" w:beforeLines="0"/>
                    <w:ind w:firstLine="0" w:firstLineChars="0"/>
                    <w:rPr>
                      <w:rFonts w:hint="eastAsia"/>
                      <w:color w:val="auto"/>
                      <w:spacing w:val="-10"/>
                      <w:highlight w:val="none"/>
                      <w:lang w:val="en-US" w:eastAsia="zh-CN"/>
                    </w:rPr>
                  </w:pPr>
                </w:p>
              </w:tc>
              <w:tc>
                <w:tcPr>
                  <w:tcW w:w="403" w:type="pct"/>
                  <w:vMerge w:val="continue"/>
                  <w:tcBorders>
                    <w:tl2br w:val="nil"/>
                    <w:tr2bl w:val="nil"/>
                  </w:tcBorders>
                  <w:vAlign w:val="center"/>
                </w:tcPr>
                <w:p w14:paraId="16666BE7">
                  <w:pPr>
                    <w:pStyle w:val="35"/>
                    <w:spacing w:before="0" w:beforeLines="0"/>
                    <w:ind w:firstLine="0" w:firstLineChars="0"/>
                    <w:rPr>
                      <w:rFonts w:hint="eastAsia"/>
                      <w:color w:val="auto"/>
                      <w:spacing w:val="-10"/>
                      <w:highlight w:val="none"/>
                      <w:lang w:val="en-US" w:eastAsia="zh-CN"/>
                    </w:rPr>
                  </w:pPr>
                </w:p>
              </w:tc>
              <w:tc>
                <w:tcPr>
                  <w:tcW w:w="375" w:type="pct"/>
                  <w:vMerge w:val="continue"/>
                  <w:tcBorders>
                    <w:tl2br w:val="nil"/>
                    <w:tr2bl w:val="nil"/>
                  </w:tcBorders>
                  <w:vAlign w:val="center"/>
                </w:tcPr>
                <w:p w14:paraId="0FC6603B">
                  <w:pPr>
                    <w:pStyle w:val="35"/>
                    <w:spacing w:before="0" w:beforeLines="0"/>
                    <w:ind w:firstLine="0" w:firstLineChars="0"/>
                    <w:rPr>
                      <w:rFonts w:hint="eastAsia"/>
                      <w:color w:val="auto"/>
                      <w:spacing w:val="-10"/>
                      <w:highlight w:val="none"/>
                      <w:lang w:val="en-US" w:eastAsia="zh-CN"/>
                    </w:rPr>
                  </w:pPr>
                </w:p>
              </w:tc>
              <w:tc>
                <w:tcPr>
                  <w:tcW w:w="268" w:type="pct"/>
                  <w:vMerge w:val="continue"/>
                  <w:tcBorders>
                    <w:tl2br w:val="nil"/>
                    <w:tr2bl w:val="nil"/>
                  </w:tcBorders>
                  <w:shd w:val="clear" w:color="auto" w:fill="auto"/>
                  <w:vAlign w:val="center"/>
                </w:tcPr>
                <w:p w14:paraId="6F1192F2">
                  <w:pPr>
                    <w:pStyle w:val="35"/>
                    <w:spacing w:before="0" w:beforeLines="0"/>
                    <w:ind w:firstLine="0" w:firstLineChars="0"/>
                    <w:rPr>
                      <w:rFonts w:hint="eastAsia"/>
                      <w:color w:val="auto"/>
                      <w:spacing w:val="-10"/>
                      <w:highlight w:val="none"/>
                      <w:lang w:val="en-US" w:eastAsia="zh-CN"/>
                    </w:rPr>
                  </w:pPr>
                </w:p>
              </w:tc>
              <w:tc>
                <w:tcPr>
                  <w:tcW w:w="392" w:type="pct"/>
                  <w:tcBorders>
                    <w:tl2br w:val="nil"/>
                    <w:tr2bl w:val="nil"/>
                  </w:tcBorders>
                  <w:vAlign w:val="center"/>
                </w:tcPr>
                <w:p w14:paraId="10F37645">
                  <w:pPr>
                    <w:pStyle w:val="35"/>
                    <w:spacing w:before="0" w:beforeLines="0"/>
                    <w:ind w:firstLine="0" w:firstLineChars="0"/>
                    <w:rPr>
                      <w:rFonts w:hint="default"/>
                      <w:color w:val="auto"/>
                      <w:spacing w:val="-10"/>
                      <w:highlight w:val="none"/>
                      <w:lang w:val="en-US" w:eastAsia="zh-CN"/>
                    </w:rPr>
                  </w:pPr>
                  <w:r>
                    <w:rPr>
                      <w:rFonts w:hint="eastAsia"/>
                      <w:color w:val="auto"/>
                      <w:spacing w:val="-10"/>
                      <w:highlight w:val="none"/>
                      <w:lang w:val="en-US" w:eastAsia="zh-CN"/>
                    </w:rPr>
                    <w:t>NOx</w:t>
                  </w:r>
                </w:p>
              </w:tc>
              <w:tc>
                <w:tcPr>
                  <w:tcW w:w="507" w:type="pct"/>
                  <w:tcBorders>
                    <w:tl2br w:val="nil"/>
                    <w:tr2bl w:val="nil"/>
                  </w:tcBorders>
                  <w:vAlign w:val="center"/>
                </w:tcPr>
                <w:p w14:paraId="3CF1AFE6">
                  <w:pPr>
                    <w:pStyle w:val="35"/>
                    <w:spacing w:before="0" w:beforeLines="0"/>
                    <w:ind w:firstLine="0" w:firstLineChars="0"/>
                    <w:rPr>
                      <w:rFonts w:hint="default"/>
                      <w:color w:val="auto"/>
                      <w:spacing w:val="0"/>
                      <w:highlight w:val="none"/>
                      <w:lang w:val="en-US" w:eastAsia="zh-CN"/>
                    </w:rPr>
                  </w:pPr>
                  <w:r>
                    <w:rPr>
                      <w:rFonts w:hint="eastAsia"/>
                      <w:color w:val="auto"/>
                      <w:spacing w:val="0"/>
                      <w:highlight w:val="none"/>
                      <w:lang w:val="en-US" w:eastAsia="zh-CN"/>
                    </w:rPr>
                    <w:t>0.05</w:t>
                  </w:r>
                </w:p>
              </w:tc>
            </w:tr>
          </w:tbl>
          <w:p w14:paraId="437987FB">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color w:val="000000"/>
                <w:sz w:val="24"/>
                <w:szCs w:val="24"/>
                <w:highlight w:val="none"/>
                <w:lang w:val="en-US"/>
              </w:rPr>
            </w:pPr>
            <w:r>
              <w:rPr>
                <w:rFonts w:hint="default" w:ascii="Times New Roman" w:hAnsi="Times New Roman" w:cs="Times New Roman"/>
                <w:b/>
                <w:bCs/>
                <w:color w:val="000000"/>
                <w:sz w:val="24"/>
                <w:szCs w:val="24"/>
                <w:highlight w:val="none"/>
              </w:rPr>
              <w:t>1.</w:t>
            </w:r>
            <w:r>
              <w:rPr>
                <w:rFonts w:hint="eastAsia" w:ascii="Times New Roman" w:hAnsi="Times New Roman" w:cs="Times New Roman"/>
                <w:b/>
                <w:bCs/>
                <w:color w:val="000000"/>
                <w:sz w:val="24"/>
                <w:szCs w:val="24"/>
                <w:highlight w:val="none"/>
                <w:lang w:val="en-US" w:eastAsia="zh-CN"/>
              </w:rPr>
              <w:t>5 非正常工况</w:t>
            </w:r>
          </w:p>
          <w:p w14:paraId="6C8DC063">
            <w:pPr>
              <w:spacing w:line="360" w:lineRule="auto"/>
              <w:ind w:firstLine="480"/>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根据《污染源源强核算技术指南 准则》（</w:t>
            </w:r>
            <w:r>
              <w:rPr>
                <w:rFonts w:hint="default" w:ascii="Times New Roman" w:hAnsi="Times New Roman" w:eastAsia="宋体" w:cs="Times New Roman"/>
                <w:color w:val="000000"/>
                <w:sz w:val="24"/>
                <w:szCs w:val="24"/>
                <w:highlight w:val="none"/>
              </w:rPr>
              <w:t>HJ884-2018</w:t>
            </w:r>
            <w:r>
              <w:rPr>
                <w:rFonts w:hint="eastAsia" w:ascii="Times New Roman" w:hAnsi="Times New Roman" w:eastAsia="宋体" w:cs="Times New Roman"/>
                <w:color w:val="000000"/>
                <w:sz w:val="24"/>
                <w:szCs w:val="24"/>
                <w:highlight w:val="none"/>
              </w:rPr>
              <w:t>）中相关规定，非正常工况是指生产设施非正常工况或污染防治（控制）设施非正常工况，其中生产设施非正常工况指开停炉（机）、设备检修、工艺设备运转异常等工况，污染防治（控制）设施非正常状况达不到应有治理效率或同步运转率等情况。</w:t>
            </w:r>
          </w:p>
          <w:p w14:paraId="090CBD53">
            <w:pPr>
              <w:spacing w:line="360" w:lineRule="auto"/>
              <w:ind w:firstLine="480"/>
              <w:rPr>
                <w:rFonts w:hint="eastAsia"/>
                <w:highlight w:val="none"/>
              </w:rPr>
            </w:pPr>
            <w:r>
              <w:rPr>
                <w:rFonts w:hint="eastAsia"/>
                <w:bCs/>
                <w:color w:val="000000"/>
                <w:sz w:val="24"/>
                <w:highlight w:val="none"/>
                <w:lang w:val="en-US" w:eastAsia="zh-CN"/>
              </w:rPr>
              <w:t>本次评价按所有</w:t>
            </w:r>
            <w:r>
              <w:rPr>
                <w:rFonts w:hint="eastAsia"/>
                <w:bCs/>
                <w:color w:val="000000"/>
                <w:sz w:val="24"/>
                <w:highlight w:val="none"/>
              </w:rPr>
              <w:t>废气处理设施全部失效，去除率为</w:t>
            </w:r>
            <w:r>
              <w:rPr>
                <w:bCs/>
                <w:color w:val="000000"/>
                <w:sz w:val="24"/>
                <w:highlight w:val="none"/>
              </w:rPr>
              <w:t>0</w:t>
            </w:r>
            <w:r>
              <w:rPr>
                <w:rFonts w:hint="eastAsia"/>
                <w:bCs/>
                <w:color w:val="000000"/>
                <w:sz w:val="24"/>
                <w:highlight w:val="none"/>
                <w:lang w:val="en-US" w:eastAsia="zh-CN"/>
              </w:rPr>
              <w:t>进行分析</w:t>
            </w:r>
            <w:r>
              <w:rPr>
                <w:rFonts w:hint="eastAsia"/>
                <w:bCs/>
                <w:color w:val="000000"/>
                <w:sz w:val="24"/>
                <w:highlight w:val="none"/>
              </w:rPr>
              <w:t>，</w:t>
            </w:r>
            <w:r>
              <w:rPr>
                <w:rFonts w:hint="eastAsia"/>
                <w:bCs/>
                <w:color w:val="000000"/>
                <w:sz w:val="24"/>
                <w:highlight w:val="none"/>
                <w:lang w:val="en-US" w:eastAsia="zh-CN"/>
              </w:rPr>
              <w:t>发生频率按每年两次，每次1h计，则</w:t>
            </w:r>
            <w:r>
              <w:rPr>
                <w:rFonts w:hint="eastAsia"/>
                <w:bCs/>
                <w:color w:val="000000"/>
                <w:sz w:val="24"/>
                <w:highlight w:val="none"/>
              </w:rPr>
              <w:t>非正常工况下，废气污染物排放情况见表4-</w:t>
            </w:r>
            <w:r>
              <w:rPr>
                <w:rFonts w:hint="eastAsia"/>
                <w:bCs/>
                <w:color w:val="000000"/>
                <w:sz w:val="24"/>
                <w:highlight w:val="none"/>
                <w:lang w:val="en-US" w:eastAsia="zh-CN"/>
              </w:rPr>
              <w:t>5</w:t>
            </w:r>
            <w:r>
              <w:rPr>
                <w:rFonts w:hint="eastAsia"/>
                <w:bCs/>
                <w:color w:val="000000"/>
                <w:sz w:val="24"/>
                <w:highlight w:val="none"/>
              </w:rPr>
              <w:t>。</w:t>
            </w:r>
          </w:p>
          <w:p w14:paraId="2335EB91">
            <w:pPr>
              <w:pStyle w:val="36"/>
              <w:rPr>
                <w:rFonts w:hint="eastAsia"/>
                <w:color w:val="auto"/>
                <w:sz w:val="21"/>
                <w:szCs w:val="21"/>
                <w:highlight w:val="none"/>
              </w:rPr>
            </w:pPr>
            <w:r>
              <w:rPr>
                <w:rFonts w:hint="eastAsia"/>
                <w:color w:val="auto"/>
                <w:sz w:val="21"/>
                <w:szCs w:val="21"/>
                <w:highlight w:val="none"/>
              </w:rPr>
              <w:t>表4-</w:t>
            </w:r>
            <w:r>
              <w:rPr>
                <w:rFonts w:hint="eastAsia"/>
                <w:color w:val="auto"/>
                <w:sz w:val="21"/>
                <w:szCs w:val="21"/>
                <w:highlight w:val="none"/>
                <w:lang w:val="en-US" w:eastAsia="zh-CN"/>
              </w:rPr>
              <w:t xml:space="preserve">5     </w:t>
            </w:r>
            <w:r>
              <w:rPr>
                <w:rFonts w:hint="eastAsia"/>
                <w:color w:val="auto"/>
                <w:sz w:val="21"/>
                <w:szCs w:val="21"/>
                <w:highlight w:val="none"/>
              </w:rPr>
              <w:t>污染源非正常排放量核算表</w:t>
            </w:r>
          </w:p>
          <w:tbl>
            <w:tblPr>
              <w:tblStyle w:val="19"/>
              <w:tblW w:w="4993" w:type="pct"/>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934"/>
              <w:gridCol w:w="1328"/>
              <w:gridCol w:w="1045"/>
              <w:gridCol w:w="1349"/>
              <w:gridCol w:w="998"/>
              <w:gridCol w:w="1023"/>
              <w:gridCol w:w="1562"/>
            </w:tblGrid>
            <w:tr w14:paraId="6DE3FE0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66" w:type="pct"/>
                  <w:tcBorders>
                    <w:bottom w:val="single" w:color="auto" w:sz="8" w:space="0"/>
                  </w:tcBorders>
                  <w:noWrap w:val="0"/>
                  <w:vAlign w:val="center"/>
                </w:tcPr>
                <w:p w14:paraId="3DD2AA21">
                  <w:pPr>
                    <w:pStyle w:val="37"/>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排放口</w:t>
                  </w:r>
                </w:p>
              </w:tc>
              <w:tc>
                <w:tcPr>
                  <w:tcW w:w="805" w:type="pct"/>
                  <w:tcBorders>
                    <w:bottom w:val="single" w:color="auto" w:sz="8" w:space="0"/>
                  </w:tcBorders>
                  <w:noWrap w:val="0"/>
                  <w:vAlign w:val="center"/>
                </w:tcPr>
                <w:p w14:paraId="12D06D2B">
                  <w:pPr>
                    <w:pStyle w:val="37"/>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污染物</w:t>
                  </w:r>
                </w:p>
              </w:tc>
              <w:tc>
                <w:tcPr>
                  <w:tcW w:w="634" w:type="pct"/>
                  <w:tcBorders>
                    <w:bottom w:val="single" w:color="auto" w:sz="8" w:space="0"/>
                  </w:tcBorders>
                  <w:noWrap w:val="0"/>
                  <w:vAlign w:val="center"/>
                </w:tcPr>
                <w:p w14:paraId="074AF859">
                  <w:pPr>
                    <w:pStyle w:val="37"/>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非正常排放速率</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kg/h</w:t>
                  </w:r>
                  <w:r>
                    <w:rPr>
                      <w:rFonts w:hint="default" w:ascii="Times New Roman" w:hAnsi="Times New Roman" w:cs="Times New Roman"/>
                      <w:color w:val="auto"/>
                      <w:sz w:val="21"/>
                      <w:szCs w:val="21"/>
                      <w:highlight w:val="none"/>
                      <w:lang w:eastAsia="zh-CN"/>
                    </w:rPr>
                    <w:t>）</w:t>
                  </w:r>
                </w:p>
              </w:tc>
              <w:tc>
                <w:tcPr>
                  <w:tcW w:w="818" w:type="pct"/>
                  <w:tcBorders>
                    <w:bottom w:val="single" w:color="auto" w:sz="8" w:space="0"/>
                  </w:tcBorders>
                  <w:noWrap w:val="0"/>
                  <w:vAlign w:val="center"/>
                </w:tcPr>
                <w:p w14:paraId="7E8C3252">
                  <w:pPr>
                    <w:pStyle w:val="37"/>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非正常排放</w:t>
                  </w:r>
                  <w:r>
                    <w:rPr>
                      <w:rFonts w:hint="eastAsia" w:cs="Times New Roman"/>
                      <w:color w:val="auto"/>
                      <w:sz w:val="21"/>
                      <w:szCs w:val="21"/>
                      <w:highlight w:val="none"/>
                      <w:lang w:val="en-US" w:eastAsia="zh-CN"/>
                    </w:rPr>
                    <w:t>浓度</w:t>
                  </w:r>
                  <w:r>
                    <w:rPr>
                      <w:rFonts w:hint="default" w:ascii="Times New Roman" w:hAnsi="Times New Roman" w:cs="Times New Roman"/>
                      <w:color w:val="auto"/>
                      <w:sz w:val="21"/>
                      <w:szCs w:val="21"/>
                      <w:highlight w:val="none"/>
                      <w:lang w:eastAsia="zh-CN"/>
                    </w:rPr>
                    <w:t>（</w:t>
                  </w:r>
                  <w:r>
                    <w:rPr>
                      <w:rFonts w:hint="eastAsia" w:cs="Times New Roman"/>
                      <w:color w:val="auto"/>
                      <w:sz w:val="21"/>
                      <w:szCs w:val="21"/>
                      <w:highlight w:val="none"/>
                      <w:lang w:val="en-US" w:eastAsia="zh-CN"/>
                    </w:rPr>
                    <w:t>mg</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m3</w:t>
                  </w:r>
                  <w:r>
                    <w:rPr>
                      <w:rFonts w:hint="default" w:ascii="Times New Roman" w:hAnsi="Times New Roman" w:cs="Times New Roman"/>
                      <w:color w:val="auto"/>
                      <w:sz w:val="21"/>
                      <w:szCs w:val="21"/>
                      <w:highlight w:val="none"/>
                      <w:lang w:eastAsia="zh-CN"/>
                    </w:rPr>
                    <w:t>）</w:t>
                  </w:r>
                </w:p>
              </w:tc>
              <w:tc>
                <w:tcPr>
                  <w:tcW w:w="605" w:type="pct"/>
                  <w:tcBorders>
                    <w:bottom w:val="single" w:color="auto" w:sz="8" w:space="0"/>
                  </w:tcBorders>
                  <w:noWrap w:val="0"/>
                  <w:vAlign w:val="center"/>
                </w:tcPr>
                <w:p w14:paraId="2A015B94">
                  <w:pPr>
                    <w:pStyle w:val="37"/>
                    <w:jc w:val="center"/>
                    <w:rPr>
                      <w:rFonts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单次持续时间</w:t>
                  </w:r>
                </w:p>
              </w:tc>
              <w:tc>
                <w:tcPr>
                  <w:tcW w:w="620" w:type="pct"/>
                  <w:tcBorders>
                    <w:bottom w:val="single" w:color="auto" w:sz="8" w:space="0"/>
                  </w:tcBorders>
                  <w:noWrap w:val="0"/>
                  <w:vAlign w:val="center"/>
                </w:tcPr>
                <w:p w14:paraId="713FAC88">
                  <w:pPr>
                    <w:pStyle w:val="37"/>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年发生频次</w:t>
                  </w:r>
                </w:p>
              </w:tc>
              <w:tc>
                <w:tcPr>
                  <w:tcW w:w="947" w:type="pct"/>
                  <w:tcBorders>
                    <w:bottom w:val="single" w:color="auto" w:sz="8" w:space="0"/>
                  </w:tcBorders>
                  <w:noWrap w:val="0"/>
                  <w:vAlign w:val="center"/>
                </w:tcPr>
                <w:p w14:paraId="50F68DDD">
                  <w:pPr>
                    <w:pStyle w:val="37"/>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应对措施</w:t>
                  </w:r>
                </w:p>
              </w:tc>
            </w:tr>
            <w:tr w14:paraId="16BD738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40" w:hRule="atLeast"/>
              </w:trPr>
              <w:tc>
                <w:tcPr>
                  <w:tcW w:w="566" w:type="pct"/>
                  <w:vMerge w:val="restart"/>
                  <w:tcBorders>
                    <w:top w:val="single" w:color="auto" w:sz="8" w:space="0"/>
                    <w:tl2br w:val="nil"/>
                    <w:tr2bl w:val="nil"/>
                  </w:tcBorders>
                  <w:noWrap w:val="0"/>
                  <w:vAlign w:val="center"/>
                </w:tcPr>
                <w:p w14:paraId="059E365F">
                  <w:pPr>
                    <w:pStyle w:val="37"/>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DA001</w:t>
                  </w:r>
                </w:p>
              </w:tc>
              <w:tc>
                <w:tcPr>
                  <w:tcW w:w="805" w:type="pct"/>
                  <w:tcBorders>
                    <w:top w:val="single" w:color="auto" w:sz="8" w:space="0"/>
                    <w:tl2br w:val="nil"/>
                    <w:tr2bl w:val="nil"/>
                  </w:tcBorders>
                  <w:noWrap w:val="0"/>
                  <w:vAlign w:val="center"/>
                </w:tcPr>
                <w:p w14:paraId="16082A33">
                  <w:pPr>
                    <w:pStyle w:val="37"/>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沥青烟</w:t>
                  </w:r>
                </w:p>
              </w:tc>
              <w:tc>
                <w:tcPr>
                  <w:tcW w:w="634" w:type="pct"/>
                  <w:tcBorders>
                    <w:top w:val="single" w:color="auto" w:sz="8" w:space="0"/>
                    <w:tl2br w:val="nil"/>
                    <w:tr2bl w:val="nil"/>
                  </w:tcBorders>
                  <w:noWrap w:val="0"/>
                  <w:vAlign w:val="center"/>
                </w:tcPr>
                <w:p w14:paraId="1E4A2C67">
                  <w:pPr>
                    <w:keepNext w:val="0"/>
                    <w:keepLines w:val="0"/>
                    <w:widowControl/>
                    <w:suppressLineNumbers w:val="0"/>
                    <w:jc w:val="center"/>
                    <w:textAlignment w:val="center"/>
                    <w:rPr>
                      <w:rFonts w:hint="default" w:ascii="Times New Roman" w:hAnsi="Times New Roman" w:eastAsia="宋体" w:cs="Times New Roman"/>
                      <w:b w:val="0"/>
                      <w:bCs w:val="0"/>
                      <w:snapToGrid w:val="0"/>
                      <w:color w:val="auto"/>
                      <w:kern w:val="0"/>
                      <w:sz w:val="21"/>
                      <w:szCs w:val="21"/>
                      <w:highlight w:val="none"/>
                      <w:vertAlign w:val="baseline"/>
                      <w:lang w:val="en-US" w:eastAsia="zh-CN" w:bidi="ar-SA"/>
                    </w:rPr>
                  </w:pPr>
                  <w:r>
                    <w:rPr>
                      <w:rFonts w:hint="eastAsia" w:cs="Times New Roman"/>
                      <w:b w:val="0"/>
                      <w:bCs w:val="0"/>
                      <w:snapToGrid w:val="0"/>
                      <w:color w:val="auto"/>
                      <w:kern w:val="0"/>
                      <w:sz w:val="21"/>
                      <w:szCs w:val="21"/>
                      <w:highlight w:val="none"/>
                      <w:vertAlign w:val="baseline"/>
                      <w:lang w:val="en-US" w:eastAsia="zh-CN" w:bidi="ar-SA"/>
                    </w:rPr>
                    <w:t>0.6</w:t>
                  </w:r>
                </w:p>
              </w:tc>
              <w:tc>
                <w:tcPr>
                  <w:tcW w:w="818" w:type="pct"/>
                  <w:tcBorders>
                    <w:top w:val="single" w:color="auto" w:sz="8" w:space="0"/>
                    <w:tl2br w:val="nil"/>
                    <w:tr2bl w:val="nil"/>
                  </w:tcBorders>
                  <w:noWrap w:val="0"/>
                  <w:vAlign w:val="center"/>
                </w:tcPr>
                <w:p w14:paraId="4DED9C4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7.9</w:t>
                  </w:r>
                </w:p>
              </w:tc>
              <w:tc>
                <w:tcPr>
                  <w:tcW w:w="605" w:type="pct"/>
                  <w:vMerge w:val="restart"/>
                  <w:tcBorders>
                    <w:top w:val="single" w:color="auto" w:sz="8" w:space="0"/>
                    <w:tl2br w:val="nil"/>
                    <w:tr2bl w:val="nil"/>
                  </w:tcBorders>
                  <w:noWrap w:val="0"/>
                  <w:vAlign w:val="center"/>
                </w:tcPr>
                <w:p w14:paraId="73D981A0">
                  <w:pPr>
                    <w:pStyle w:val="37"/>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h</w:t>
                  </w:r>
                </w:p>
              </w:tc>
              <w:tc>
                <w:tcPr>
                  <w:tcW w:w="620" w:type="pct"/>
                  <w:vMerge w:val="restart"/>
                  <w:tcBorders>
                    <w:top w:val="single" w:color="auto" w:sz="8" w:space="0"/>
                    <w:tl2br w:val="nil"/>
                    <w:tr2bl w:val="nil"/>
                  </w:tcBorders>
                  <w:noWrap w:val="0"/>
                  <w:vAlign w:val="center"/>
                </w:tcPr>
                <w:p w14:paraId="0EAC3210">
                  <w:pPr>
                    <w:pStyle w:val="37"/>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次/年</w:t>
                  </w:r>
                </w:p>
              </w:tc>
              <w:tc>
                <w:tcPr>
                  <w:tcW w:w="947" w:type="pct"/>
                  <w:vMerge w:val="restart"/>
                  <w:tcBorders>
                    <w:top w:val="single" w:color="auto" w:sz="8" w:space="0"/>
                    <w:tl2br w:val="nil"/>
                    <w:tr2bl w:val="nil"/>
                  </w:tcBorders>
                  <w:noWrap w:val="0"/>
                  <w:vAlign w:val="center"/>
                </w:tcPr>
                <w:p w14:paraId="78816B3A">
                  <w:pPr>
                    <w:pStyle w:val="37"/>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停止</w:t>
                  </w:r>
                  <w:r>
                    <w:rPr>
                      <w:rFonts w:hint="default" w:ascii="Times New Roman" w:hAnsi="Times New Roman" w:cs="Times New Roman"/>
                      <w:color w:val="auto"/>
                      <w:sz w:val="21"/>
                      <w:szCs w:val="21"/>
                      <w:highlight w:val="none"/>
                      <w:lang w:val="en-US" w:eastAsia="zh-CN"/>
                    </w:rPr>
                    <w:t>物料输送</w:t>
                  </w:r>
                  <w:r>
                    <w:rPr>
                      <w:rFonts w:hint="default" w:ascii="Times New Roman" w:hAnsi="Times New Roman" w:cs="Times New Roman"/>
                      <w:color w:val="auto"/>
                      <w:sz w:val="21"/>
                      <w:szCs w:val="21"/>
                      <w:highlight w:val="none"/>
                    </w:rPr>
                    <w:t>并及时检修</w:t>
                  </w:r>
                </w:p>
              </w:tc>
            </w:tr>
            <w:tr w14:paraId="2FCF12B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66" w:type="pct"/>
                  <w:vMerge w:val="continue"/>
                  <w:tcBorders>
                    <w:tl2br w:val="nil"/>
                    <w:tr2bl w:val="nil"/>
                  </w:tcBorders>
                  <w:noWrap w:val="0"/>
                  <w:vAlign w:val="center"/>
                </w:tcPr>
                <w:p w14:paraId="0F9C6216">
                  <w:pPr>
                    <w:pStyle w:val="37"/>
                    <w:jc w:val="center"/>
                    <w:rPr>
                      <w:rFonts w:hint="default" w:eastAsia="宋体"/>
                      <w:color w:val="auto"/>
                      <w:sz w:val="21"/>
                      <w:szCs w:val="21"/>
                      <w:highlight w:val="none"/>
                      <w:lang w:val="en-US" w:eastAsia="zh-CN"/>
                    </w:rPr>
                  </w:pPr>
                </w:p>
              </w:tc>
              <w:tc>
                <w:tcPr>
                  <w:tcW w:w="805" w:type="pct"/>
                  <w:tcBorders>
                    <w:tl2br w:val="nil"/>
                    <w:tr2bl w:val="nil"/>
                  </w:tcBorders>
                  <w:noWrap w:val="0"/>
                  <w:vAlign w:val="center"/>
                </w:tcPr>
                <w:p w14:paraId="5007F91B">
                  <w:pPr>
                    <w:pStyle w:val="37"/>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苯并[a]芘</w:t>
                  </w:r>
                </w:p>
              </w:tc>
              <w:tc>
                <w:tcPr>
                  <w:tcW w:w="634" w:type="pct"/>
                  <w:tcBorders>
                    <w:tl2br w:val="nil"/>
                    <w:tr2bl w:val="nil"/>
                  </w:tcBorders>
                  <w:noWrap w:val="0"/>
                  <w:vAlign w:val="center"/>
                </w:tcPr>
                <w:p w14:paraId="698E1D4C">
                  <w:pPr>
                    <w:keepNext w:val="0"/>
                    <w:keepLines w:val="0"/>
                    <w:widowControl/>
                    <w:suppressLineNumbers w:val="0"/>
                    <w:jc w:val="center"/>
                    <w:textAlignment w:val="center"/>
                    <w:rPr>
                      <w:rFonts w:hint="default" w:ascii="Times New Roman" w:hAnsi="Times New Roman" w:eastAsia="宋体" w:cs="Times New Roman"/>
                      <w:b w:val="0"/>
                      <w:bCs w:val="0"/>
                      <w:snapToGrid w:val="0"/>
                      <w:color w:val="auto"/>
                      <w:kern w:val="0"/>
                      <w:sz w:val="21"/>
                      <w:szCs w:val="21"/>
                      <w:highlight w:val="none"/>
                      <w:vertAlign w:val="baseline"/>
                      <w:lang w:val="en-US" w:eastAsia="zh-CN" w:bidi="ar-SA"/>
                    </w:rPr>
                  </w:pPr>
                  <w:r>
                    <w:rPr>
                      <w:rFonts w:hint="default" w:ascii="Times New Roman" w:hAnsi="Times New Roman" w:cs="Times New Roman"/>
                      <w:b w:val="0"/>
                      <w:bCs w:val="0"/>
                      <w:snapToGrid w:val="0"/>
                      <w:color w:val="auto"/>
                      <w:kern w:val="0"/>
                      <w:sz w:val="21"/>
                      <w:szCs w:val="21"/>
                      <w:highlight w:val="none"/>
                      <w:vertAlign w:val="baseline"/>
                      <w:lang w:val="en-US" w:eastAsia="zh-CN" w:bidi="ar-SA"/>
                    </w:rPr>
                    <w:t>0.00</w:t>
                  </w:r>
                  <w:r>
                    <w:rPr>
                      <w:rFonts w:hint="eastAsia" w:cs="Times New Roman"/>
                      <w:b w:val="0"/>
                      <w:bCs w:val="0"/>
                      <w:snapToGrid w:val="0"/>
                      <w:color w:val="auto"/>
                      <w:kern w:val="0"/>
                      <w:sz w:val="21"/>
                      <w:szCs w:val="21"/>
                      <w:highlight w:val="none"/>
                      <w:vertAlign w:val="baseline"/>
                      <w:lang w:val="en-US" w:eastAsia="zh-CN" w:bidi="ar-SA"/>
                    </w:rPr>
                    <w:t>025</w:t>
                  </w:r>
                </w:p>
              </w:tc>
              <w:tc>
                <w:tcPr>
                  <w:tcW w:w="818" w:type="pct"/>
                  <w:tcBorders>
                    <w:tl2br w:val="nil"/>
                    <w:tr2bl w:val="nil"/>
                  </w:tcBorders>
                  <w:noWrap w:val="0"/>
                  <w:vAlign w:val="center"/>
                </w:tcPr>
                <w:p w14:paraId="265B1B8E">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0.00</w:t>
                  </w:r>
                  <w:r>
                    <w:rPr>
                      <w:rFonts w:hint="eastAsia" w:cs="Times New Roman"/>
                      <w:color w:val="auto"/>
                      <w:kern w:val="2"/>
                      <w:sz w:val="21"/>
                      <w:szCs w:val="21"/>
                      <w:highlight w:val="none"/>
                      <w:lang w:val="en-US" w:eastAsia="zh-CN" w:bidi="ar-SA"/>
                    </w:rPr>
                    <w:t>25</w:t>
                  </w:r>
                </w:p>
              </w:tc>
              <w:tc>
                <w:tcPr>
                  <w:tcW w:w="605" w:type="pct"/>
                  <w:vMerge w:val="continue"/>
                  <w:tcBorders>
                    <w:tl2br w:val="nil"/>
                    <w:tr2bl w:val="nil"/>
                  </w:tcBorders>
                  <w:noWrap w:val="0"/>
                  <w:vAlign w:val="center"/>
                </w:tcPr>
                <w:p w14:paraId="18993E2C">
                  <w:pPr>
                    <w:pStyle w:val="37"/>
                    <w:ind w:firstLine="0" w:firstLineChars="0"/>
                    <w:jc w:val="center"/>
                    <w:rPr>
                      <w:rFonts w:hint="default"/>
                      <w:color w:val="auto"/>
                      <w:sz w:val="21"/>
                      <w:szCs w:val="21"/>
                      <w:highlight w:val="none"/>
                    </w:rPr>
                  </w:pPr>
                </w:p>
              </w:tc>
              <w:tc>
                <w:tcPr>
                  <w:tcW w:w="620" w:type="pct"/>
                  <w:vMerge w:val="continue"/>
                  <w:tcBorders>
                    <w:tl2br w:val="nil"/>
                    <w:tr2bl w:val="nil"/>
                  </w:tcBorders>
                  <w:noWrap w:val="0"/>
                  <w:vAlign w:val="center"/>
                </w:tcPr>
                <w:p w14:paraId="7062826B">
                  <w:pPr>
                    <w:pStyle w:val="37"/>
                    <w:ind w:firstLine="0" w:firstLineChars="0"/>
                    <w:jc w:val="center"/>
                    <w:rPr>
                      <w:rFonts w:hint="default"/>
                      <w:color w:val="auto"/>
                      <w:sz w:val="21"/>
                      <w:szCs w:val="21"/>
                      <w:highlight w:val="none"/>
                    </w:rPr>
                  </w:pPr>
                </w:p>
              </w:tc>
              <w:tc>
                <w:tcPr>
                  <w:tcW w:w="947" w:type="pct"/>
                  <w:vMerge w:val="continue"/>
                  <w:tcBorders>
                    <w:tl2br w:val="nil"/>
                    <w:tr2bl w:val="nil"/>
                  </w:tcBorders>
                  <w:noWrap w:val="0"/>
                  <w:vAlign w:val="center"/>
                </w:tcPr>
                <w:p w14:paraId="798EA620">
                  <w:pPr>
                    <w:pStyle w:val="37"/>
                    <w:ind w:firstLine="0" w:firstLineChars="0"/>
                    <w:jc w:val="center"/>
                    <w:rPr>
                      <w:rFonts w:hint="default"/>
                      <w:color w:val="auto"/>
                      <w:sz w:val="21"/>
                      <w:szCs w:val="21"/>
                      <w:highlight w:val="none"/>
                    </w:rPr>
                  </w:pPr>
                </w:p>
              </w:tc>
            </w:tr>
            <w:tr w14:paraId="72E5E96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1" w:hRule="atLeast"/>
              </w:trPr>
              <w:tc>
                <w:tcPr>
                  <w:tcW w:w="566" w:type="pct"/>
                  <w:vMerge w:val="continue"/>
                  <w:tcBorders>
                    <w:tl2br w:val="nil"/>
                    <w:tr2bl w:val="nil"/>
                  </w:tcBorders>
                  <w:noWrap w:val="0"/>
                  <w:vAlign w:val="center"/>
                </w:tcPr>
                <w:p w14:paraId="7EE18DFE">
                  <w:pPr>
                    <w:pStyle w:val="37"/>
                    <w:jc w:val="center"/>
                    <w:rPr>
                      <w:rFonts w:hint="default"/>
                      <w:color w:val="auto"/>
                      <w:sz w:val="21"/>
                      <w:szCs w:val="21"/>
                      <w:highlight w:val="none"/>
                      <w:lang w:val="en-US" w:eastAsia="zh-CN"/>
                    </w:rPr>
                  </w:pPr>
                </w:p>
              </w:tc>
              <w:tc>
                <w:tcPr>
                  <w:tcW w:w="805" w:type="pct"/>
                  <w:tcBorders>
                    <w:tl2br w:val="nil"/>
                    <w:tr2bl w:val="nil"/>
                  </w:tcBorders>
                  <w:noWrap w:val="0"/>
                  <w:vAlign w:val="center"/>
                </w:tcPr>
                <w:p w14:paraId="72AD7386">
                  <w:pPr>
                    <w:pStyle w:val="37"/>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非甲烷总烃</w:t>
                  </w:r>
                </w:p>
              </w:tc>
              <w:tc>
                <w:tcPr>
                  <w:tcW w:w="634" w:type="pct"/>
                  <w:tcBorders>
                    <w:tl2br w:val="nil"/>
                    <w:tr2bl w:val="nil"/>
                  </w:tcBorders>
                  <w:noWrap w:val="0"/>
                  <w:vAlign w:val="center"/>
                </w:tcPr>
                <w:p w14:paraId="057B329A">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eastAsia" w:cs="Times New Roman"/>
                      <w:b w:val="0"/>
                      <w:bCs w:val="0"/>
                      <w:i w:val="0"/>
                      <w:iCs w:val="0"/>
                      <w:color w:val="auto"/>
                      <w:kern w:val="2"/>
                      <w:sz w:val="21"/>
                      <w:szCs w:val="21"/>
                      <w:highlight w:val="none"/>
                      <w:u w:val="none"/>
                      <w:lang w:val="en-US" w:eastAsia="zh-CN" w:bidi="ar-SA"/>
                    </w:rPr>
                    <w:t>0.536</w:t>
                  </w:r>
                </w:p>
              </w:tc>
              <w:tc>
                <w:tcPr>
                  <w:tcW w:w="818" w:type="pct"/>
                  <w:tcBorders>
                    <w:tl2br w:val="nil"/>
                    <w:tr2bl w:val="nil"/>
                  </w:tcBorders>
                  <w:noWrap w:val="0"/>
                  <w:vAlign w:val="center"/>
                </w:tcPr>
                <w:p w14:paraId="5C55839F">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6.7</w:t>
                  </w:r>
                </w:p>
              </w:tc>
              <w:tc>
                <w:tcPr>
                  <w:tcW w:w="605" w:type="pct"/>
                  <w:vMerge w:val="continue"/>
                  <w:tcBorders>
                    <w:tl2br w:val="nil"/>
                    <w:tr2bl w:val="nil"/>
                  </w:tcBorders>
                  <w:noWrap w:val="0"/>
                  <w:vAlign w:val="center"/>
                </w:tcPr>
                <w:p w14:paraId="28B235DF">
                  <w:pPr>
                    <w:pStyle w:val="37"/>
                    <w:ind w:firstLine="0" w:firstLineChars="0"/>
                    <w:jc w:val="center"/>
                    <w:rPr>
                      <w:rFonts w:hint="default"/>
                      <w:color w:val="auto"/>
                      <w:sz w:val="21"/>
                      <w:szCs w:val="21"/>
                      <w:highlight w:val="none"/>
                      <w:lang w:val="en-US" w:eastAsia="zh-CN"/>
                    </w:rPr>
                  </w:pPr>
                </w:p>
              </w:tc>
              <w:tc>
                <w:tcPr>
                  <w:tcW w:w="620" w:type="pct"/>
                  <w:vMerge w:val="continue"/>
                  <w:tcBorders>
                    <w:tl2br w:val="nil"/>
                    <w:tr2bl w:val="nil"/>
                  </w:tcBorders>
                  <w:noWrap w:val="0"/>
                  <w:vAlign w:val="center"/>
                </w:tcPr>
                <w:p w14:paraId="7343F5B5">
                  <w:pPr>
                    <w:pStyle w:val="37"/>
                    <w:ind w:firstLine="0" w:firstLineChars="0"/>
                    <w:jc w:val="center"/>
                    <w:rPr>
                      <w:rFonts w:hint="default"/>
                      <w:color w:val="auto"/>
                      <w:sz w:val="21"/>
                      <w:szCs w:val="21"/>
                      <w:highlight w:val="none"/>
                      <w:lang w:val="en-US" w:eastAsia="zh-CN"/>
                    </w:rPr>
                  </w:pPr>
                </w:p>
              </w:tc>
              <w:tc>
                <w:tcPr>
                  <w:tcW w:w="947" w:type="pct"/>
                  <w:vMerge w:val="continue"/>
                  <w:tcBorders>
                    <w:tl2br w:val="nil"/>
                    <w:tr2bl w:val="nil"/>
                  </w:tcBorders>
                  <w:noWrap w:val="0"/>
                  <w:vAlign w:val="center"/>
                </w:tcPr>
                <w:p w14:paraId="0C8A10CC">
                  <w:pPr>
                    <w:pStyle w:val="37"/>
                    <w:ind w:firstLine="0" w:firstLineChars="0"/>
                    <w:jc w:val="center"/>
                    <w:rPr>
                      <w:rFonts w:hint="default"/>
                      <w:color w:val="auto"/>
                      <w:sz w:val="21"/>
                      <w:szCs w:val="21"/>
                      <w:highlight w:val="none"/>
                    </w:rPr>
                  </w:pPr>
                </w:p>
              </w:tc>
            </w:tr>
            <w:tr w14:paraId="60FA0BE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66" w:type="pct"/>
                  <w:vMerge w:val="restart"/>
                  <w:tcBorders>
                    <w:tl2br w:val="nil"/>
                    <w:tr2bl w:val="nil"/>
                  </w:tcBorders>
                  <w:noWrap w:val="0"/>
                  <w:vAlign w:val="center"/>
                </w:tcPr>
                <w:p w14:paraId="6C24C0FF">
                  <w:pPr>
                    <w:pStyle w:val="37"/>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DA00</w:t>
                  </w:r>
                  <w:r>
                    <w:rPr>
                      <w:rFonts w:hint="eastAsia" w:cs="Times New Roman"/>
                      <w:color w:val="auto"/>
                      <w:sz w:val="21"/>
                      <w:szCs w:val="21"/>
                      <w:highlight w:val="none"/>
                      <w:lang w:val="en-US" w:eastAsia="zh-CN"/>
                    </w:rPr>
                    <w:t>2</w:t>
                  </w:r>
                </w:p>
              </w:tc>
              <w:tc>
                <w:tcPr>
                  <w:tcW w:w="805" w:type="pct"/>
                  <w:tcBorders>
                    <w:tl2br w:val="nil"/>
                    <w:tr2bl w:val="nil"/>
                  </w:tcBorders>
                  <w:noWrap w:val="0"/>
                  <w:vAlign w:val="center"/>
                </w:tcPr>
                <w:p w14:paraId="359F450B">
                  <w:pPr>
                    <w:pStyle w:val="37"/>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颗粒物</w:t>
                  </w:r>
                </w:p>
              </w:tc>
              <w:tc>
                <w:tcPr>
                  <w:tcW w:w="634" w:type="pct"/>
                  <w:tcBorders>
                    <w:tl2br w:val="nil"/>
                    <w:tr2bl w:val="nil"/>
                  </w:tcBorders>
                  <w:noWrap w:val="0"/>
                  <w:vAlign w:val="center"/>
                </w:tcPr>
                <w:p w14:paraId="6FCBE25B">
                  <w:pPr>
                    <w:pStyle w:val="3"/>
                    <w:spacing w:line="240" w:lineRule="auto"/>
                    <w:jc w:val="center"/>
                    <w:rPr>
                      <w:rFonts w:hint="default" w:ascii="Times New Roman" w:hAnsi="Times New Roman" w:eastAsia="宋体" w:cs="Times New Roman"/>
                      <w:b w:val="0"/>
                      <w:bCs w:val="0"/>
                      <w:snapToGrid w:val="0"/>
                      <w:color w:val="auto"/>
                      <w:kern w:val="0"/>
                      <w:sz w:val="21"/>
                      <w:szCs w:val="21"/>
                      <w:highlight w:val="none"/>
                      <w:vertAlign w:val="baseline"/>
                      <w:lang w:val="en-US" w:eastAsia="zh-CN" w:bidi="ar-SA"/>
                    </w:rPr>
                  </w:pPr>
                  <w:r>
                    <w:rPr>
                      <w:rFonts w:hint="eastAsia" w:ascii="Times New Roman" w:hAnsi="Times New Roman" w:cs="Times New Roman"/>
                      <w:b w:val="0"/>
                      <w:bCs w:val="0"/>
                      <w:snapToGrid w:val="0"/>
                      <w:color w:val="auto"/>
                      <w:kern w:val="0"/>
                      <w:sz w:val="21"/>
                      <w:szCs w:val="21"/>
                      <w:highlight w:val="none"/>
                      <w:vertAlign w:val="baseline"/>
                      <w:lang w:val="en-US" w:eastAsia="zh-CN" w:bidi="ar-SA"/>
                    </w:rPr>
                    <w:t>0.0</w:t>
                  </w:r>
                  <w:r>
                    <w:rPr>
                      <w:rFonts w:hint="eastAsia" w:cs="Times New Roman"/>
                      <w:b w:val="0"/>
                      <w:bCs w:val="0"/>
                      <w:snapToGrid w:val="0"/>
                      <w:color w:val="auto"/>
                      <w:kern w:val="0"/>
                      <w:sz w:val="21"/>
                      <w:szCs w:val="21"/>
                      <w:highlight w:val="none"/>
                      <w:vertAlign w:val="baseline"/>
                      <w:lang w:val="en-US" w:eastAsia="zh-CN" w:bidi="ar-SA"/>
                    </w:rPr>
                    <w:t>3</w:t>
                  </w:r>
                </w:p>
              </w:tc>
              <w:tc>
                <w:tcPr>
                  <w:tcW w:w="818" w:type="pct"/>
                  <w:tcBorders>
                    <w:tl2br w:val="nil"/>
                    <w:tr2bl w:val="nil"/>
                  </w:tcBorders>
                  <w:noWrap w:val="0"/>
                  <w:vAlign w:val="center"/>
                </w:tcPr>
                <w:p w14:paraId="7C02C70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19.09</w:t>
                  </w:r>
                </w:p>
              </w:tc>
              <w:tc>
                <w:tcPr>
                  <w:tcW w:w="605" w:type="pct"/>
                  <w:vMerge w:val="continue"/>
                  <w:tcBorders>
                    <w:tl2br w:val="nil"/>
                    <w:tr2bl w:val="nil"/>
                  </w:tcBorders>
                  <w:noWrap w:val="0"/>
                  <w:vAlign w:val="center"/>
                </w:tcPr>
                <w:p w14:paraId="065E6C7D">
                  <w:pPr>
                    <w:pStyle w:val="37"/>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620" w:type="pct"/>
                  <w:vMerge w:val="continue"/>
                  <w:tcBorders>
                    <w:tl2br w:val="nil"/>
                    <w:tr2bl w:val="nil"/>
                  </w:tcBorders>
                  <w:noWrap w:val="0"/>
                  <w:vAlign w:val="center"/>
                </w:tcPr>
                <w:p w14:paraId="4353670D">
                  <w:pPr>
                    <w:pStyle w:val="37"/>
                    <w:ind w:firstLine="0" w:firstLineChars="0"/>
                    <w:jc w:val="center"/>
                    <w:rPr>
                      <w:rFonts w:hint="default" w:ascii="Times New Roman" w:hAnsi="Times New Roman" w:cs="Times New Roman"/>
                      <w:color w:val="auto"/>
                      <w:sz w:val="21"/>
                      <w:szCs w:val="21"/>
                      <w:highlight w:val="none"/>
                      <w:lang w:val="en-US" w:eastAsia="zh-CN"/>
                    </w:rPr>
                  </w:pPr>
                </w:p>
              </w:tc>
              <w:tc>
                <w:tcPr>
                  <w:tcW w:w="947" w:type="pct"/>
                  <w:vMerge w:val="continue"/>
                  <w:tcBorders>
                    <w:tl2br w:val="nil"/>
                    <w:tr2bl w:val="nil"/>
                  </w:tcBorders>
                  <w:noWrap w:val="0"/>
                  <w:vAlign w:val="center"/>
                </w:tcPr>
                <w:p w14:paraId="62546462">
                  <w:pPr>
                    <w:pStyle w:val="37"/>
                    <w:ind w:firstLine="0" w:firstLineChars="0"/>
                    <w:jc w:val="center"/>
                    <w:rPr>
                      <w:rFonts w:hint="default" w:ascii="Times New Roman" w:hAnsi="Times New Roman" w:cs="Times New Roman"/>
                      <w:color w:val="auto"/>
                      <w:sz w:val="21"/>
                      <w:szCs w:val="21"/>
                      <w:highlight w:val="none"/>
                    </w:rPr>
                  </w:pPr>
                </w:p>
              </w:tc>
            </w:tr>
            <w:tr w14:paraId="2AEDC65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66" w:type="pct"/>
                  <w:vMerge w:val="continue"/>
                  <w:tcBorders>
                    <w:tl2br w:val="nil"/>
                    <w:tr2bl w:val="nil"/>
                  </w:tcBorders>
                  <w:noWrap w:val="0"/>
                  <w:vAlign w:val="center"/>
                </w:tcPr>
                <w:p w14:paraId="00AA2B1D">
                  <w:pPr>
                    <w:pStyle w:val="37"/>
                    <w:jc w:val="center"/>
                    <w:rPr>
                      <w:rFonts w:hint="default"/>
                      <w:color w:val="auto"/>
                      <w:sz w:val="21"/>
                      <w:szCs w:val="21"/>
                      <w:highlight w:val="none"/>
                      <w:lang w:val="en-US" w:eastAsia="zh-CN"/>
                    </w:rPr>
                  </w:pPr>
                </w:p>
              </w:tc>
              <w:tc>
                <w:tcPr>
                  <w:tcW w:w="805" w:type="pct"/>
                  <w:tcBorders>
                    <w:tl2br w:val="nil"/>
                    <w:tr2bl w:val="nil"/>
                  </w:tcBorders>
                  <w:noWrap w:val="0"/>
                  <w:vAlign w:val="center"/>
                </w:tcPr>
                <w:p w14:paraId="7043DF71">
                  <w:pPr>
                    <w:pStyle w:val="37"/>
                    <w:ind w:firstLine="0" w:firstLineChars="0"/>
                    <w:jc w:val="center"/>
                    <w:rPr>
                      <w:rFonts w:hint="default"/>
                      <w:color w:val="auto"/>
                      <w:sz w:val="21"/>
                      <w:szCs w:val="21"/>
                      <w:highlight w:val="none"/>
                      <w:lang w:val="en-US" w:eastAsia="zh-CN"/>
                    </w:rPr>
                  </w:pPr>
                  <w:r>
                    <w:rPr>
                      <w:rFonts w:hint="default"/>
                      <w:color w:val="auto"/>
                      <w:sz w:val="21"/>
                      <w:szCs w:val="21"/>
                      <w:highlight w:val="none"/>
                      <w:lang w:val="en-US" w:eastAsia="zh-CN"/>
                    </w:rPr>
                    <w:t>SO</w:t>
                  </w:r>
                  <w:r>
                    <w:rPr>
                      <w:rFonts w:hint="default"/>
                      <w:color w:val="auto"/>
                      <w:sz w:val="21"/>
                      <w:szCs w:val="21"/>
                      <w:highlight w:val="none"/>
                      <w:vertAlign w:val="subscript"/>
                      <w:lang w:val="en-US" w:eastAsia="zh-CN"/>
                    </w:rPr>
                    <w:t>2</w:t>
                  </w:r>
                </w:p>
              </w:tc>
              <w:tc>
                <w:tcPr>
                  <w:tcW w:w="634" w:type="pct"/>
                  <w:tcBorders>
                    <w:tl2br w:val="nil"/>
                    <w:tr2bl w:val="nil"/>
                  </w:tcBorders>
                  <w:noWrap w:val="0"/>
                  <w:vAlign w:val="center"/>
                </w:tcPr>
                <w:p w14:paraId="74B76BA3">
                  <w:pPr>
                    <w:pStyle w:val="3"/>
                    <w:spacing w:line="240" w:lineRule="auto"/>
                    <w:jc w:val="center"/>
                    <w:rPr>
                      <w:rFonts w:hint="default" w:ascii="Times New Roman" w:hAnsi="Times New Roman" w:eastAsia="宋体" w:cs="Times New Roman"/>
                      <w:b w:val="0"/>
                      <w:bCs w:val="0"/>
                      <w:snapToGrid w:val="0"/>
                      <w:color w:val="auto"/>
                      <w:kern w:val="0"/>
                      <w:sz w:val="21"/>
                      <w:szCs w:val="21"/>
                      <w:highlight w:val="none"/>
                      <w:vertAlign w:val="baseline"/>
                      <w:lang w:val="en-US" w:eastAsia="zh-CN" w:bidi="ar-SA"/>
                    </w:rPr>
                  </w:pPr>
                  <w:r>
                    <w:rPr>
                      <w:rFonts w:hint="eastAsia" w:ascii="Times New Roman" w:hAnsi="Times New Roman" w:cs="Times New Roman"/>
                      <w:b w:val="0"/>
                      <w:bCs w:val="0"/>
                      <w:snapToGrid w:val="0"/>
                      <w:color w:val="auto"/>
                      <w:kern w:val="0"/>
                      <w:sz w:val="21"/>
                      <w:szCs w:val="21"/>
                      <w:highlight w:val="none"/>
                      <w:vertAlign w:val="baseline"/>
                      <w:lang w:val="en-US" w:eastAsia="zh-CN" w:bidi="ar-SA"/>
                    </w:rPr>
                    <w:t>0.</w:t>
                  </w:r>
                  <w:r>
                    <w:rPr>
                      <w:rFonts w:hint="eastAsia" w:cs="Times New Roman"/>
                      <w:b w:val="0"/>
                      <w:bCs w:val="0"/>
                      <w:snapToGrid w:val="0"/>
                      <w:color w:val="auto"/>
                      <w:kern w:val="0"/>
                      <w:sz w:val="21"/>
                      <w:szCs w:val="21"/>
                      <w:highlight w:val="none"/>
                      <w:vertAlign w:val="baseline"/>
                      <w:lang w:val="en-US" w:eastAsia="zh-CN" w:bidi="ar-SA"/>
                    </w:rPr>
                    <w:t>06</w:t>
                  </w:r>
                </w:p>
              </w:tc>
              <w:tc>
                <w:tcPr>
                  <w:tcW w:w="818" w:type="pct"/>
                  <w:tcBorders>
                    <w:tl2br w:val="nil"/>
                    <w:tr2bl w:val="nil"/>
                  </w:tcBorders>
                  <w:noWrap w:val="0"/>
                  <w:vAlign w:val="center"/>
                </w:tcPr>
                <w:p w14:paraId="481B860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38.12</w:t>
                  </w:r>
                </w:p>
              </w:tc>
              <w:tc>
                <w:tcPr>
                  <w:tcW w:w="605" w:type="pct"/>
                  <w:vMerge w:val="continue"/>
                  <w:tcBorders>
                    <w:tl2br w:val="nil"/>
                    <w:tr2bl w:val="nil"/>
                  </w:tcBorders>
                  <w:noWrap w:val="0"/>
                  <w:vAlign w:val="center"/>
                </w:tcPr>
                <w:p w14:paraId="6AB01446">
                  <w:pPr>
                    <w:pStyle w:val="37"/>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620" w:type="pct"/>
                  <w:vMerge w:val="continue"/>
                  <w:tcBorders>
                    <w:tl2br w:val="nil"/>
                    <w:tr2bl w:val="nil"/>
                  </w:tcBorders>
                  <w:noWrap w:val="0"/>
                  <w:vAlign w:val="center"/>
                </w:tcPr>
                <w:p w14:paraId="3156CB6C">
                  <w:pPr>
                    <w:pStyle w:val="37"/>
                    <w:ind w:firstLine="0" w:firstLineChars="0"/>
                    <w:jc w:val="center"/>
                    <w:rPr>
                      <w:rFonts w:hint="default"/>
                      <w:color w:val="auto"/>
                      <w:sz w:val="21"/>
                      <w:szCs w:val="21"/>
                      <w:highlight w:val="none"/>
                      <w:lang w:val="en-US" w:eastAsia="zh-CN"/>
                    </w:rPr>
                  </w:pPr>
                </w:p>
              </w:tc>
              <w:tc>
                <w:tcPr>
                  <w:tcW w:w="947" w:type="pct"/>
                  <w:vMerge w:val="continue"/>
                  <w:tcBorders>
                    <w:tl2br w:val="nil"/>
                    <w:tr2bl w:val="nil"/>
                  </w:tcBorders>
                  <w:noWrap w:val="0"/>
                  <w:vAlign w:val="center"/>
                </w:tcPr>
                <w:p w14:paraId="7ACA0DDC">
                  <w:pPr>
                    <w:pStyle w:val="37"/>
                    <w:ind w:firstLine="0" w:firstLineChars="0"/>
                    <w:jc w:val="center"/>
                    <w:rPr>
                      <w:rFonts w:hint="default"/>
                      <w:color w:val="auto"/>
                      <w:sz w:val="21"/>
                      <w:szCs w:val="21"/>
                      <w:highlight w:val="none"/>
                    </w:rPr>
                  </w:pPr>
                </w:p>
              </w:tc>
            </w:tr>
            <w:tr w14:paraId="56A3EC0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66" w:type="pct"/>
                  <w:vMerge w:val="continue"/>
                  <w:tcBorders>
                    <w:tl2br w:val="nil"/>
                    <w:tr2bl w:val="nil"/>
                  </w:tcBorders>
                  <w:noWrap w:val="0"/>
                  <w:vAlign w:val="center"/>
                </w:tcPr>
                <w:p w14:paraId="22BFD879">
                  <w:pPr>
                    <w:pStyle w:val="37"/>
                    <w:jc w:val="center"/>
                    <w:rPr>
                      <w:rFonts w:hint="default"/>
                      <w:color w:val="auto"/>
                      <w:sz w:val="21"/>
                      <w:szCs w:val="21"/>
                      <w:highlight w:val="none"/>
                      <w:lang w:val="en-US" w:eastAsia="zh-CN"/>
                    </w:rPr>
                  </w:pPr>
                </w:p>
              </w:tc>
              <w:tc>
                <w:tcPr>
                  <w:tcW w:w="805" w:type="pct"/>
                  <w:tcBorders>
                    <w:tl2br w:val="nil"/>
                    <w:tr2bl w:val="nil"/>
                  </w:tcBorders>
                  <w:noWrap w:val="0"/>
                  <w:vAlign w:val="center"/>
                </w:tcPr>
                <w:p w14:paraId="09F7AA0E">
                  <w:pPr>
                    <w:pStyle w:val="37"/>
                    <w:ind w:firstLine="0" w:firstLineChars="0"/>
                    <w:jc w:val="center"/>
                    <w:rPr>
                      <w:rFonts w:hint="default"/>
                      <w:color w:val="auto"/>
                      <w:sz w:val="21"/>
                      <w:szCs w:val="21"/>
                      <w:highlight w:val="none"/>
                      <w:lang w:val="en-US" w:eastAsia="zh-CN"/>
                    </w:rPr>
                  </w:pPr>
                  <w:r>
                    <w:rPr>
                      <w:rFonts w:hint="default"/>
                      <w:color w:val="auto"/>
                      <w:sz w:val="21"/>
                      <w:szCs w:val="21"/>
                      <w:highlight w:val="none"/>
                      <w:lang w:val="en-US" w:eastAsia="zh-CN"/>
                    </w:rPr>
                    <w:t>NO</w:t>
                  </w:r>
                  <w:r>
                    <w:rPr>
                      <w:rFonts w:hint="default"/>
                      <w:color w:val="auto"/>
                      <w:sz w:val="21"/>
                      <w:szCs w:val="21"/>
                      <w:highlight w:val="none"/>
                      <w:vertAlign w:val="subscript"/>
                      <w:lang w:val="en-US" w:eastAsia="zh-CN"/>
                    </w:rPr>
                    <w:t>x</w:t>
                  </w:r>
                </w:p>
              </w:tc>
              <w:tc>
                <w:tcPr>
                  <w:tcW w:w="634" w:type="pct"/>
                  <w:tcBorders>
                    <w:tl2br w:val="nil"/>
                    <w:tr2bl w:val="nil"/>
                  </w:tcBorders>
                  <w:noWrap w:val="0"/>
                  <w:vAlign w:val="center"/>
                </w:tcPr>
                <w:p w14:paraId="6C05895B">
                  <w:pPr>
                    <w:pStyle w:val="3"/>
                    <w:spacing w:line="240" w:lineRule="auto"/>
                    <w:jc w:val="center"/>
                    <w:rPr>
                      <w:rFonts w:hint="default" w:ascii="Times New Roman" w:hAnsi="Times New Roman" w:eastAsia="宋体" w:cs="Times New Roman"/>
                      <w:b w:val="0"/>
                      <w:bCs w:val="0"/>
                      <w:snapToGrid w:val="0"/>
                      <w:color w:val="auto"/>
                      <w:kern w:val="0"/>
                      <w:sz w:val="21"/>
                      <w:szCs w:val="21"/>
                      <w:highlight w:val="none"/>
                      <w:vertAlign w:val="baseline"/>
                      <w:lang w:val="en-US" w:eastAsia="zh-CN"/>
                    </w:rPr>
                  </w:pPr>
                  <w:r>
                    <w:rPr>
                      <w:rFonts w:hint="eastAsia" w:ascii="Times New Roman" w:hAnsi="Times New Roman" w:cs="Times New Roman"/>
                      <w:b w:val="0"/>
                      <w:bCs w:val="0"/>
                      <w:snapToGrid w:val="0"/>
                      <w:color w:val="auto"/>
                      <w:kern w:val="0"/>
                      <w:sz w:val="21"/>
                      <w:szCs w:val="21"/>
                      <w:highlight w:val="none"/>
                      <w:vertAlign w:val="baseline"/>
                      <w:lang w:val="en-US" w:eastAsia="zh-CN"/>
                    </w:rPr>
                    <w:t>0.</w:t>
                  </w:r>
                  <w:r>
                    <w:rPr>
                      <w:rFonts w:hint="eastAsia" w:cs="Times New Roman"/>
                      <w:b w:val="0"/>
                      <w:bCs w:val="0"/>
                      <w:snapToGrid w:val="0"/>
                      <w:color w:val="auto"/>
                      <w:kern w:val="0"/>
                      <w:sz w:val="21"/>
                      <w:szCs w:val="21"/>
                      <w:highlight w:val="none"/>
                      <w:vertAlign w:val="baseline"/>
                      <w:lang w:val="en-US" w:eastAsia="zh-CN"/>
                    </w:rPr>
                    <w:t>5</w:t>
                  </w:r>
                </w:p>
              </w:tc>
              <w:tc>
                <w:tcPr>
                  <w:tcW w:w="818" w:type="pct"/>
                  <w:tcBorders>
                    <w:tl2br w:val="nil"/>
                    <w:tr2bl w:val="nil"/>
                  </w:tcBorders>
                  <w:noWrap w:val="0"/>
                  <w:vAlign w:val="center"/>
                </w:tcPr>
                <w:p w14:paraId="65A996B0">
                  <w:pPr>
                    <w:pStyle w:val="37"/>
                    <w:ind w:firstLine="0" w:firstLineChars="0"/>
                    <w:jc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140.6</w:t>
                  </w:r>
                </w:p>
              </w:tc>
              <w:tc>
                <w:tcPr>
                  <w:tcW w:w="605" w:type="pct"/>
                  <w:vMerge w:val="continue"/>
                  <w:tcBorders>
                    <w:tl2br w:val="nil"/>
                    <w:tr2bl w:val="nil"/>
                  </w:tcBorders>
                  <w:noWrap w:val="0"/>
                  <w:vAlign w:val="center"/>
                </w:tcPr>
                <w:p w14:paraId="2F1D3492">
                  <w:pPr>
                    <w:pStyle w:val="37"/>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620" w:type="pct"/>
                  <w:vMerge w:val="continue"/>
                  <w:tcBorders>
                    <w:tl2br w:val="nil"/>
                    <w:tr2bl w:val="nil"/>
                  </w:tcBorders>
                  <w:noWrap w:val="0"/>
                  <w:vAlign w:val="center"/>
                </w:tcPr>
                <w:p w14:paraId="3F5227CB">
                  <w:pPr>
                    <w:pStyle w:val="37"/>
                    <w:ind w:firstLine="0" w:firstLineChars="0"/>
                    <w:jc w:val="center"/>
                    <w:rPr>
                      <w:rFonts w:hint="default"/>
                      <w:color w:val="auto"/>
                      <w:sz w:val="21"/>
                      <w:szCs w:val="21"/>
                      <w:highlight w:val="none"/>
                      <w:lang w:val="en-US" w:eastAsia="zh-CN"/>
                    </w:rPr>
                  </w:pPr>
                </w:p>
              </w:tc>
              <w:tc>
                <w:tcPr>
                  <w:tcW w:w="947" w:type="pct"/>
                  <w:vMerge w:val="continue"/>
                  <w:tcBorders>
                    <w:tl2br w:val="nil"/>
                    <w:tr2bl w:val="nil"/>
                  </w:tcBorders>
                  <w:noWrap w:val="0"/>
                  <w:vAlign w:val="center"/>
                </w:tcPr>
                <w:p w14:paraId="758B6254">
                  <w:pPr>
                    <w:pStyle w:val="37"/>
                    <w:ind w:firstLine="0" w:firstLineChars="0"/>
                    <w:jc w:val="center"/>
                    <w:rPr>
                      <w:rFonts w:hint="default"/>
                      <w:color w:val="auto"/>
                      <w:sz w:val="21"/>
                      <w:szCs w:val="21"/>
                      <w:highlight w:val="none"/>
                    </w:rPr>
                  </w:pPr>
                </w:p>
              </w:tc>
            </w:tr>
          </w:tbl>
          <w:p w14:paraId="72252CB2">
            <w:pPr>
              <w:pStyle w:val="3"/>
              <w:keepNext/>
              <w:keepLines/>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highlight w:val="none"/>
              </w:rPr>
            </w:pPr>
            <w:r>
              <w:rPr>
                <w:rFonts w:hint="default" w:ascii="Times New Roman" w:hAnsi="Times New Roman" w:eastAsia="宋体" w:cs="Times New Roman"/>
                <w:b w:val="0"/>
                <w:bCs w:val="0"/>
                <w:color w:val="auto"/>
                <w:kern w:val="2"/>
                <w:sz w:val="24"/>
                <w:szCs w:val="24"/>
                <w:highlight w:val="none"/>
                <w:lang w:val="en-US" w:eastAsia="zh-CN" w:bidi="ar-SA"/>
              </w:rPr>
              <w:t>非正常工况下</w:t>
            </w:r>
            <w:r>
              <w:rPr>
                <w:rFonts w:hint="eastAsia" w:ascii="Times New Roman" w:hAnsi="Times New Roman" w:eastAsia="宋体" w:cs="Times New Roman"/>
                <w:b w:val="0"/>
                <w:bCs w:val="0"/>
                <w:color w:val="auto"/>
                <w:kern w:val="2"/>
                <w:sz w:val="24"/>
                <w:szCs w:val="24"/>
                <w:highlight w:val="none"/>
                <w:lang w:val="en-US" w:eastAsia="zh-CN" w:bidi="ar-SA"/>
              </w:rPr>
              <w:t>排放污染物</w:t>
            </w:r>
            <w:r>
              <w:rPr>
                <w:rFonts w:hint="default" w:ascii="Times New Roman" w:hAnsi="Times New Roman" w:eastAsia="宋体" w:cs="Times New Roman"/>
                <w:b w:val="0"/>
                <w:bCs w:val="0"/>
                <w:color w:val="auto"/>
                <w:kern w:val="2"/>
                <w:sz w:val="24"/>
                <w:szCs w:val="24"/>
                <w:highlight w:val="none"/>
                <w:lang w:val="en-US" w:eastAsia="zh-CN" w:bidi="ar-SA"/>
              </w:rPr>
              <w:t>对环境的影</w:t>
            </w:r>
            <w:r>
              <w:rPr>
                <w:rFonts w:hint="default" w:ascii="Times New Roman" w:hAnsi="Times New Roman" w:eastAsia="宋体" w:cs="Times New Roman"/>
                <w:b w:val="0"/>
                <w:bCs w:val="0"/>
                <w:color w:val="000000"/>
                <w:kern w:val="2"/>
                <w:sz w:val="24"/>
                <w:szCs w:val="24"/>
                <w:highlight w:val="none"/>
                <w:lang w:val="en-US" w:eastAsia="zh-CN" w:bidi="ar-SA"/>
              </w:rPr>
              <w:t>响和危害较大，因此需设置污染治理措施以减少非正常工况下污染物对环境的影响程度，除采用先进成熟的工艺技术和设备外，生产中还应加强管理，严格控制规程，提高工人素质，精心操作，防患于未然，将非正常排放控制到最小，一旦发生非正常生产排放，应及时进行检修。并采取相应措施进行污染物集中处理，确保事故状态后，污染物对环境的影响程度降到最低。</w:t>
            </w:r>
          </w:p>
          <w:p w14:paraId="745AB77F">
            <w:pPr>
              <w:spacing w:line="360" w:lineRule="auto"/>
              <w:rPr>
                <w:rFonts w:hint="default" w:ascii="Times New Roman" w:hAnsi="Times New Roman" w:cs="Times New Roman"/>
                <w:b/>
                <w:bCs/>
                <w:color w:val="000000"/>
                <w:sz w:val="24"/>
                <w:szCs w:val="24"/>
                <w:highlight w:val="none"/>
              </w:rPr>
            </w:pPr>
            <w:r>
              <w:rPr>
                <w:rFonts w:hint="default" w:ascii="Times New Roman" w:hAnsi="Times New Roman" w:cs="Times New Roman"/>
                <w:b/>
                <w:bCs/>
                <w:color w:val="000000"/>
                <w:sz w:val="24"/>
                <w:szCs w:val="24"/>
                <w:highlight w:val="none"/>
              </w:rPr>
              <w:t>1.</w:t>
            </w:r>
            <w:r>
              <w:rPr>
                <w:rFonts w:hint="eastAsia" w:ascii="Times New Roman" w:hAnsi="Times New Roman" w:cs="Times New Roman"/>
                <w:b/>
                <w:bCs/>
                <w:color w:val="000000"/>
                <w:sz w:val="24"/>
                <w:szCs w:val="24"/>
                <w:highlight w:val="none"/>
                <w:lang w:val="en-US" w:eastAsia="zh-CN"/>
              </w:rPr>
              <w:t xml:space="preserve">6 </w:t>
            </w:r>
            <w:r>
              <w:rPr>
                <w:rFonts w:hint="default" w:ascii="Times New Roman" w:hAnsi="Times New Roman" w:cs="Times New Roman"/>
                <w:b/>
                <w:bCs/>
                <w:color w:val="000000"/>
                <w:sz w:val="24"/>
                <w:szCs w:val="24"/>
                <w:highlight w:val="none"/>
              </w:rPr>
              <w:t>自行监测</w:t>
            </w:r>
          </w:p>
          <w:p w14:paraId="0794E51C">
            <w:pPr>
              <w:spacing w:line="360" w:lineRule="auto"/>
              <w:ind w:firstLine="48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根据</w:t>
            </w:r>
            <w:r>
              <w:rPr>
                <w:rFonts w:hint="default" w:ascii="Times New Roman" w:hAnsi="Times New Roman" w:cs="Times New Roman"/>
                <w:sz w:val="24"/>
                <w:szCs w:val="24"/>
                <w:highlight w:val="none"/>
              </w:rPr>
              <w:t>《排污许可证申请与核发技术规范 陶瓷砖瓦工业》</w:t>
            </w:r>
            <w:r>
              <w:rPr>
                <w:rFonts w:hint="default" w:ascii="Times New Roman" w:hAnsi="Times New Roman" w:cs="Times New Roman"/>
                <w:sz w:val="24"/>
                <w:szCs w:val="24"/>
                <w:highlight w:val="none"/>
                <w:lang w:val="en-US" w:eastAsia="zh-CN"/>
              </w:rPr>
              <w:t>和</w:t>
            </w:r>
            <w:r>
              <w:rPr>
                <w:rFonts w:hint="default" w:ascii="Times New Roman" w:hAnsi="Times New Roman" w:cs="Times New Roman"/>
                <w:sz w:val="24"/>
                <w:szCs w:val="24"/>
                <w:highlight w:val="none"/>
              </w:rPr>
              <w:t xml:space="preserve">《排污许可证申请与核发技术规范 </w:t>
            </w:r>
            <w:r>
              <w:rPr>
                <w:rFonts w:hint="default" w:ascii="Times New Roman" w:hAnsi="Times New Roman" w:cs="Times New Roman"/>
                <w:sz w:val="24"/>
                <w:szCs w:val="24"/>
                <w:highlight w:val="none"/>
                <w:lang w:val="en-US" w:eastAsia="zh-CN"/>
              </w:rPr>
              <w:t>锅炉</w:t>
            </w:r>
            <w:r>
              <w:rPr>
                <w:rFonts w:hint="default" w:ascii="Times New Roman" w:hAnsi="Times New Roman" w:cs="Times New Roman"/>
                <w:sz w:val="24"/>
                <w:szCs w:val="24"/>
                <w:highlight w:val="none"/>
              </w:rPr>
              <w:t>》，未涉及的其他排放口按HJ819执行</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则</w:t>
            </w:r>
            <w:r>
              <w:rPr>
                <w:rFonts w:hint="default" w:ascii="Times New Roman" w:hAnsi="Times New Roman" w:cs="Times New Roman"/>
                <w:sz w:val="24"/>
                <w:szCs w:val="24"/>
                <w:highlight w:val="none"/>
              </w:rPr>
              <w:t>本项目废气</w:t>
            </w:r>
            <w:r>
              <w:rPr>
                <w:rFonts w:hint="default" w:ascii="Times New Roman" w:hAnsi="Times New Roman" w:cs="Times New Roman"/>
                <w:color w:val="000000"/>
                <w:sz w:val="24"/>
                <w:szCs w:val="24"/>
                <w:highlight w:val="none"/>
              </w:rPr>
              <w:t>监测情况见表</w:t>
            </w:r>
            <w:r>
              <w:rPr>
                <w:rFonts w:hint="eastAsia" w:ascii="Times New Roman" w:hAnsi="Times New Roman" w:cs="Times New Roman"/>
                <w:color w:val="000000"/>
                <w:sz w:val="24"/>
                <w:szCs w:val="24"/>
                <w:highlight w:val="none"/>
                <w:lang w:val="en-US" w:eastAsia="zh-CN"/>
              </w:rPr>
              <w:t>4-</w:t>
            </w:r>
            <w:r>
              <w:rPr>
                <w:rFonts w:hint="eastAsia" w:cs="Times New Roman"/>
                <w:color w:val="000000"/>
                <w:sz w:val="24"/>
                <w:szCs w:val="24"/>
                <w:highlight w:val="none"/>
                <w:lang w:val="en-US" w:eastAsia="zh-CN"/>
              </w:rPr>
              <w:t>6</w:t>
            </w:r>
            <w:r>
              <w:rPr>
                <w:rFonts w:hint="default" w:ascii="Times New Roman" w:hAnsi="Times New Roman" w:cs="Times New Roman"/>
                <w:color w:val="000000"/>
                <w:sz w:val="24"/>
                <w:szCs w:val="24"/>
                <w:highlight w:val="none"/>
              </w:rPr>
              <w:t>。</w:t>
            </w:r>
          </w:p>
          <w:p w14:paraId="61DA8C5A">
            <w:pPr>
              <w:pStyle w:val="25"/>
              <w:tabs>
                <w:tab w:val="left" w:pos="360"/>
                <w:tab w:val="left" w:pos="1620"/>
              </w:tabs>
              <w:rPr>
                <w:rFonts w:hint="default" w:ascii="Times New Roman" w:hAnsi="Times New Roman" w:cs="Times New Roman"/>
                <w:highlight w:val="none"/>
              </w:rPr>
            </w:pPr>
            <w:r>
              <w:rPr>
                <w:rFonts w:hint="default" w:ascii="Times New Roman" w:hAnsi="Times New Roman" w:cs="Times New Roman"/>
                <w:highlight w:val="none"/>
              </w:rPr>
              <w:t>表4-</w:t>
            </w:r>
            <w:r>
              <w:rPr>
                <w:rFonts w:hint="eastAsia" w:cs="Times New Roman"/>
                <w:highlight w:val="none"/>
                <w:lang w:val="en-US" w:eastAsia="zh-CN"/>
              </w:rPr>
              <w:t>6</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rPr>
              <w:t>废气监测计划一览表</w:t>
            </w:r>
          </w:p>
          <w:tbl>
            <w:tblPr>
              <w:tblStyle w:val="19"/>
              <w:tblW w:w="4997"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1206"/>
              <w:gridCol w:w="1229"/>
              <w:gridCol w:w="1363"/>
              <w:gridCol w:w="1266"/>
              <w:gridCol w:w="3181"/>
            </w:tblGrid>
            <w:tr w14:paraId="415493D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7" w:hRule="atLeast"/>
                <w:jc w:val="center"/>
              </w:trPr>
              <w:tc>
                <w:tcPr>
                  <w:tcW w:w="731" w:type="pct"/>
                  <w:tcBorders>
                    <w:bottom w:val="single" w:color="auto" w:sz="8" w:space="0"/>
                  </w:tcBorders>
                  <w:noWrap w:val="0"/>
                  <w:vAlign w:val="center"/>
                </w:tcPr>
                <w:p w14:paraId="2FCB3DCA">
                  <w:pPr>
                    <w:pStyle w:val="28"/>
                    <w:rPr>
                      <w:rFonts w:hint="default" w:ascii="Times New Roman" w:hAnsi="Times New Roman" w:cs="Times New Roman"/>
                      <w:highlight w:val="none"/>
                    </w:rPr>
                  </w:pPr>
                  <w:r>
                    <w:rPr>
                      <w:rFonts w:hint="default" w:ascii="Times New Roman" w:hAnsi="Times New Roman" w:cs="Times New Roman"/>
                      <w:highlight w:val="none"/>
                    </w:rPr>
                    <w:t>废气来源</w:t>
                  </w:r>
                </w:p>
              </w:tc>
              <w:tc>
                <w:tcPr>
                  <w:tcW w:w="745" w:type="pct"/>
                  <w:tcBorders>
                    <w:bottom w:val="single" w:color="auto" w:sz="8" w:space="0"/>
                  </w:tcBorders>
                  <w:noWrap w:val="0"/>
                  <w:vAlign w:val="center"/>
                </w:tcPr>
                <w:p w14:paraId="1C881A21">
                  <w:pPr>
                    <w:pStyle w:val="28"/>
                    <w:rPr>
                      <w:rFonts w:hint="default" w:ascii="Times New Roman" w:hAnsi="Times New Roman" w:cs="Times New Roman"/>
                      <w:highlight w:val="none"/>
                    </w:rPr>
                  </w:pPr>
                  <w:r>
                    <w:rPr>
                      <w:rFonts w:hint="default" w:ascii="Times New Roman" w:hAnsi="Times New Roman" w:cs="Times New Roman"/>
                      <w:highlight w:val="none"/>
                    </w:rPr>
                    <w:t>监测点位</w:t>
                  </w:r>
                </w:p>
              </w:tc>
              <w:tc>
                <w:tcPr>
                  <w:tcW w:w="826" w:type="pct"/>
                  <w:tcBorders>
                    <w:bottom w:val="single" w:color="auto" w:sz="8" w:space="0"/>
                  </w:tcBorders>
                  <w:noWrap w:val="0"/>
                  <w:vAlign w:val="center"/>
                </w:tcPr>
                <w:p w14:paraId="3BE7AE0D">
                  <w:pPr>
                    <w:pStyle w:val="28"/>
                    <w:rPr>
                      <w:rFonts w:hint="default" w:ascii="Times New Roman" w:hAnsi="Times New Roman" w:cs="Times New Roman"/>
                      <w:highlight w:val="none"/>
                    </w:rPr>
                  </w:pPr>
                  <w:r>
                    <w:rPr>
                      <w:rFonts w:hint="default" w:ascii="Times New Roman" w:hAnsi="Times New Roman" w:cs="Times New Roman"/>
                      <w:highlight w:val="none"/>
                    </w:rPr>
                    <w:t>监测项目</w:t>
                  </w:r>
                </w:p>
              </w:tc>
              <w:tc>
                <w:tcPr>
                  <w:tcW w:w="767" w:type="pct"/>
                  <w:tcBorders>
                    <w:bottom w:val="single" w:color="auto" w:sz="8" w:space="0"/>
                  </w:tcBorders>
                  <w:noWrap w:val="0"/>
                  <w:vAlign w:val="center"/>
                </w:tcPr>
                <w:p w14:paraId="02CC6D34">
                  <w:pPr>
                    <w:pStyle w:val="28"/>
                    <w:rPr>
                      <w:rFonts w:hint="default" w:ascii="Times New Roman" w:hAnsi="Times New Roman" w:cs="Times New Roman"/>
                      <w:highlight w:val="none"/>
                    </w:rPr>
                  </w:pPr>
                  <w:r>
                    <w:rPr>
                      <w:rFonts w:hint="default" w:ascii="Times New Roman" w:hAnsi="Times New Roman" w:cs="Times New Roman"/>
                      <w:highlight w:val="none"/>
                    </w:rPr>
                    <w:t>监测频率</w:t>
                  </w:r>
                </w:p>
              </w:tc>
              <w:tc>
                <w:tcPr>
                  <w:tcW w:w="1929" w:type="pct"/>
                  <w:tcBorders>
                    <w:bottom w:val="single" w:color="auto" w:sz="8" w:space="0"/>
                  </w:tcBorders>
                  <w:noWrap w:val="0"/>
                  <w:vAlign w:val="center"/>
                </w:tcPr>
                <w:p w14:paraId="1683DBE4">
                  <w:pPr>
                    <w:pStyle w:val="28"/>
                    <w:rPr>
                      <w:rFonts w:hint="default" w:ascii="Times New Roman" w:hAnsi="Times New Roman" w:cs="Times New Roman"/>
                      <w:highlight w:val="none"/>
                    </w:rPr>
                  </w:pPr>
                  <w:r>
                    <w:rPr>
                      <w:rFonts w:hint="default" w:ascii="Times New Roman" w:hAnsi="Times New Roman" w:cs="Times New Roman"/>
                      <w:highlight w:val="none"/>
                    </w:rPr>
                    <w:t>控制指标</w:t>
                  </w:r>
                </w:p>
              </w:tc>
            </w:tr>
            <w:tr w14:paraId="0F1935D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602" w:hRule="atLeast"/>
                <w:jc w:val="center"/>
              </w:trPr>
              <w:tc>
                <w:tcPr>
                  <w:tcW w:w="731" w:type="pct"/>
                  <w:vMerge w:val="restart"/>
                  <w:tcBorders>
                    <w:top w:val="single" w:color="auto" w:sz="8" w:space="0"/>
                    <w:tl2br w:val="nil"/>
                    <w:tr2bl w:val="nil"/>
                  </w:tcBorders>
                  <w:noWrap w:val="0"/>
                  <w:vAlign w:val="center"/>
                </w:tcPr>
                <w:p w14:paraId="5AE6E809">
                  <w:pPr>
                    <w:pStyle w:val="28"/>
                    <w:rPr>
                      <w:rFonts w:hint="default" w:ascii="Times New Roman" w:hAnsi="Times New Roman" w:eastAsia="宋体" w:cs="Times New Roman"/>
                      <w:highlight w:val="none"/>
                      <w:lang w:val="en-US" w:eastAsia="zh-CN"/>
                    </w:rPr>
                  </w:pPr>
                  <w:r>
                    <w:rPr>
                      <w:rFonts w:hint="eastAsia"/>
                      <w:color w:val="auto"/>
                      <w:spacing w:val="0"/>
                      <w:highlight w:val="none"/>
                      <w:lang w:val="en-US" w:eastAsia="zh-CN"/>
                    </w:rPr>
                    <w:t>搅拌、浸涂、覆膜、储罐废气排口</w:t>
                  </w:r>
                </w:p>
              </w:tc>
              <w:tc>
                <w:tcPr>
                  <w:tcW w:w="745" w:type="pct"/>
                  <w:vMerge w:val="restart"/>
                  <w:tcBorders>
                    <w:top w:val="single" w:color="auto" w:sz="8" w:space="0"/>
                    <w:tl2br w:val="nil"/>
                    <w:tr2bl w:val="nil"/>
                  </w:tcBorders>
                  <w:noWrap w:val="0"/>
                  <w:vAlign w:val="center"/>
                </w:tcPr>
                <w:p w14:paraId="36BA8BF7">
                  <w:pPr>
                    <w:pStyle w:val="28"/>
                    <w:rPr>
                      <w:rFonts w:hint="default" w:ascii="Times New Roman" w:hAnsi="Times New Roman" w:cs="Times New Roman"/>
                      <w:highlight w:val="none"/>
                      <w:lang w:val="en-US"/>
                    </w:rPr>
                  </w:pPr>
                  <w:r>
                    <w:rPr>
                      <w:rFonts w:hint="eastAsia" w:ascii="Times New Roman" w:hAnsi="Times New Roman" w:cs="Times New Roman"/>
                      <w:highlight w:val="none"/>
                      <w:lang w:val="en-US" w:eastAsia="zh-CN"/>
                    </w:rPr>
                    <w:t>DA001</w:t>
                  </w:r>
                </w:p>
              </w:tc>
              <w:tc>
                <w:tcPr>
                  <w:tcW w:w="826" w:type="pct"/>
                  <w:tcBorders>
                    <w:top w:val="single" w:color="auto" w:sz="8" w:space="0"/>
                    <w:tl2br w:val="nil"/>
                    <w:tr2bl w:val="nil"/>
                  </w:tcBorders>
                  <w:noWrap w:val="0"/>
                  <w:vAlign w:val="center"/>
                </w:tcPr>
                <w:p w14:paraId="06CB947C">
                  <w:pPr>
                    <w:pStyle w:val="28"/>
                    <w:rPr>
                      <w:rFonts w:hint="default" w:ascii="Times New Roman" w:hAnsi="Times New Roman" w:eastAsia="宋体" w:cs="Times New Roman"/>
                      <w:highlight w:val="none"/>
                      <w:lang w:val="en-US" w:eastAsia="zh-CN"/>
                    </w:rPr>
                  </w:pPr>
                  <w:r>
                    <w:rPr>
                      <w:rFonts w:hint="default" w:ascii="Times New Roman" w:hAnsi="Times New Roman" w:cs="Times New Roman"/>
                      <w:highlight w:val="none"/>
                      <w:lang w:val="en-US" w:eastAsia="zh-CN"/>
                    </w:rPr>
                    <w:t>沥青烟、</w:t>
                  </w:r>
                  <w:r>
                    <w:rPr>
                      <w:rFonts w:hint="default" w:ascii="Times New Roman" w:hAnsi="Times New Roman" w:cs="Times New Roman"/>
                      <w:highlight w:val="none"/>
                      <w:lang w:eastAsia="zh-CN"/>
                    </w:rPr>
                    <w:t>苯并[a]芘</w:t>
                  </w:r>
                </w:p>
              </w:tc>
              <w:tc>
                <w:tcPr>
                  <w:tcW w:w="767" w:type="pct"/>
                  <w:tcBorders>
                    <w:top w:val="single" w:color="auto" w:sz="8" w:space="0"/>
                    <w:tl2br w:val="nil"/>
                    <w:tr2bl w:val="nil"/>
                  </w:tcBorders>
                  <w:noWrap w:val="0"/>
                  <w:vAlign w:val="center"/>
                </w:tcPr>
                <w:p w14:paraId="7874C3F8">
                  <w:pPr>
                    <w:pStyle w:val="28"/>
                    <w:rPr>
                      <w:rFonts w:hint="default" w:ascii="Times New Roman" w:hAnsi="Times New Roman" w:cs="Times New Roman"/>
                      <w:highlight w:val="none"/>
                    </w:rPr>
                  </w:pPr>
                  <w:r>
                    <w:rPr>
                      <w:rFonts w:hint="default" w:ascii="Times New Roman" w:hAnsi="Times New Roman" w:cs="Times New Roman"/>
                      <w:highlight w:val="none"/>
                    </w:rPr>
                    <w:t>1次/</w:t>
                  </w:r>
                  <w:r>
                    <w:rPr>
                      <w:rFonts w:hint="default" w:ascii="Times New Roman" w:hAnsi="Times New Roman" w:cs="Times New Roman"/>
                      <w:highlight w:val="none"/>
                      <w:lang w:val="en-US" w:eastAsia="zh-CN"/>
                    </w:rPr>
                    <w:t>半</w:t>
                  </w:r>
                  <w:r>
                    <w:rPr>
                      <w:rFonts w:hint="default" w:ascii="Times New Roman" w:hAnsi="Times New Roman" w:cs="Times New Roman"/>
                      <w:highlight w:val="none"/>
                    </w:rPr>
                    <w:t>年</w:t>
                  </w:r>
                </w:p>
              </w:tc>
              <w:tc>
                <w:tcPr>
                  <w:tcW w:w="1929" w:type="pct"/>
                  <w:tcBorders>
                    <w:top w:val="single" w:color="auto" w:sz="8" w:space="0"/>
                    <w:tl2br w:val="nil"/>
                    <w:tr2bl w:val="nil"/>
                  </w:tcBorders>
                  <w:noWrap w:val="0"/>
                  <w:vAlign w:val="center"/>
                </w:tcPr>
                <w:p w14:paraId="68194FB2">
                  <w:pPr>
                    <w:pStyle w:val="28"/>
                    <w:rPr>
                      <w:rFonts w:hint="default" w:ascii="Times New Roman" w:hAnsi="Times New Roman" w:eastAsia="宋体" w:cs="Times New Roman"/>
                      <w:highlight w:val="none"/>
                      <w:lang w:val="en-US" w:eastAsia="zh-CN"/>
                    </w:rPr>
                  </w:pPr>
                  <w:r>
                    <w:rPr>
                      <w:rFonts w:hint="default" w:ascii="Times New Roman" w:hAnsi="Times New Roman" w:cs="Times New Roman"/>
                      <w:highlight w:val="none"/>
                    </w:rPr>
                    <w:t>《大气污染物综合排放标准》（GB16297-1996）表2二级</w:t>
                  </w:r>
                  <w:r>
                    <w:rPr>
                      <w:rFonts w:hint="default" w:ascii="Times New Roman" w:hAnsi="Times New Roman" w:cs="Times New Roman"/>
                      <w:highlight w:val="none"/>
                      <w:lang w:val="en-US" w:eastAsia="zh-CN"/>
                    </w:rPr>
                    <w:t>标准</w:t>
                  </w:r>
                </w:p>
              </w:tc>
            </w:tr>
            <w:tr w14:paraId="73818A2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681" w:hRule="atLeast"/>
                <w:jc w:val="center"/>
              </w:trPr>
              <w:tc>
                <w:tcPr>
                  <w:tcW w:w="731" w:type="pct"/>
                  <w:vMerge w:val="continue"/>
                  <w:tcBorders>
                    <w:tl2br w:val="nil"/>
                    <w:tr2bl w:val="nil"/>
                  </w:tcBorders>
                  <w:noWrap w:val="0"/>
                  <w:vAlign w:val="center"/>
                </w:tcPr>
                <w:p w14:paraId="1FA675A3">
                  <w:pPr>
                    <w:pStyle w:val="28"/>
                    <w:rPr>
                      <w:rFonts w:hint="default" w:ascii="Times New Roman" w:hAnsi="Times New Roman" w:cs="Times New Roman"/>
                      <w:highlight w:val="none"/>
                      <w:lang w:val="en-US" w:eastAsia="zh-CN"/>
                    </w:rPr>
                  </w:pPr>
                </w:p>
              </w:tc>
              <w:tc>
                <w:tcPr>
                  <w:tcW w:w="745" w:type="pct"/>
                  <w:vMerge w:val="continue"/>
                  <w:tcBorders>
                    <w:tl2br w:val="nil"/>
                    <w:tr2bl w:val="nil"/>
                  </w:tcBorders>
                  <w:noWrap w:val="0"/>
                  <w:vAlign w:val="center"/>
                </w:tcPr>
                <w:p w14:paraId="68602B4C">
                  <w:pPr>
                    <w:pStyle w:val="28"/>
                    <w:rPr>
                      <w:rFonts w:hint="eastAsia" w:ascii="Times New Roman" w:hAnsi="Times New Roman" w:cs="Times New Roman"/>
                      <w:highlight w:val="none"/>
                      <w:lang w:val="en-US" w:eastAsia="zh-CN"/>
                    </w:rPr>
                  </w:pPr>
                </w:p>
              </w:tc>
              <w:tc>
                <w:tcPr>
                  <w:tcW w:w="826" w:type="pct"/>
                  <w:tcBorders>
                    <w:top w:val="single" w:color="auto" w:sz="8" w:space="0"/>
                    <w:tl2br w:val="nil"/>
                    <w:tr2bl w:val="nil"/>
                  </w:tcBorders>
                  <w:noWrap w:val="0"/>
                  <w:vAlign w:val="center"/>
                </w:tcPr>
                <w:p w14:paraId="16A55DC9">
                  <w:pPr>
                    <w:pStyle w:val="28"/>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非甲烷总烃</w:t>
                  </w:r>
                </w:p>
              </w:tc>
              <w:tc>
                <w:tcPr>
                  <w:tcW w:w="767" w:type="pct"/>
                  <w:tcBorders>
                    <w:top w:val="single" w:color="auto" w:sz="8" w:space="0"/>
                    <w:tl2br w:val="nil"/>
                    <w:tr2bl w:val="nil"/>
                  </w:tcBorders>
                  <w:noWrap w:val="0"/>
                  <w:vAlign w:val="center"/>
                </w:tcPr>
                <w:p w14:paraId="52409A3D">
                  <w:pPr>
                    <w:pStyle w:val="28"/>
                    <w:rPr>
                      <w:rFonts w:hint="default" w:ascii="Times New Roman" w:hAnsi="Times New Roman" w:eastAsia="宋体" w:cs="Times New Roman"/>
                      <w:highlight w:val="none"/>
                      <w:lang w:val="en-US" w:eastAsia="zh-CN"/>
                    </w:rPr>
                  </w:pPr>
                  <w:r>
                    <w:rPr>
                      <w:rFonts w:hint="eastAsia" w:cs="Times New Roman"/>
                      <w:highlight w:val="none"/>
                      <w:lang w:val="en-US" w:eastAsia="zh-CN"/>
                    </w:rPr>
                    <w:t>1次/半年</w:t>
                  </w:r>
                </w:p>
              </w:tc>
              <w:tc>
                <w:tcPr>
                  <w:tcW w:w="1929" w:type="pct"/>
                  <w:tcBorders>
                    <w:top w:val="single" w:color="auto" w:sz="8" w:space="0"/>
                    <w:tl2br w:val="nil"/>
                    <w:tr2bl w:val="nil"/>
                  </w:tcBorders>
                  <w:noWrap w:val="0"/>
                  <w:vAlign w:val="center"/>
                </w:tcPr>
                <w:p w14:paraId="357E6BA3">
                  <w:pPr>
                    <w:pStyle w:val="28"/>
                    <w:rPr>
                      <w:rFonts w:hint="default" w:ascii="Times New Roman" w:hAnsi="Times New Roman" w:eastAsia="宋体" w:cs="Times New Roman"/>
                      <w:highlight w:val="none"/>
                      <w:lang w:val="en-US" w:eastAsia="zh-CN"/>
                    </w:rPr>
                  </w:pPr>
                  <w:r>
                    <w:rPr>
                      <w:rFonts w:hint="default" w:ascii="Times New Roman" w:hAnsi="Times New Roman" w:cs="Times New Roman"/>
                      <w:highlight w:val="none"/>
                    </w:rPr>
                    <w:t>《涂料、油墨及胶粘剂工业大气污染物排放标准》（GB37824-2019）</w:t>
                  </w:r>
                  <w:r>
                    <w:rPr>
                      <w:rFonts w:hint="eastAsia" w:cs="Times New Roman"/>
                      <w:highlight w:val="none"/>
                      <w:lang w:val="en-US" w:eastAsia="zh-CN"/>
                    </w:rPr>
                    <w:t>中表2大气污染物特别排放限值</w:t>
                  </w:r>
                </w:p>
              </w:tc>
            </w:tr>
            <w:tr w14:paraId="69B00B9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7" w:hRule="atLeast"/>
                <w:jc w:val="center"/>
              </w:trPr>
              <w:tc>
                <w:tcPr>
                  <w:tcW w:w="731" w:type="pct"/>
                  <w:vMerge w:val="restart"/>
                  <w:tcBorders>
                    <w:tl2br w:val="nil"/>
                    <w:tr2bl w:val="nil"/>
                  </w:tcBorders>
                  <w:noWrap w:val="0"/>
                  <w:vAlign w:val="center"/>
                </w:tcPr>
                <w:p w14:paraId="4AD650D6">
                  <w:pPr>
                    <w:pStyle w:val="28"/>
                    <w:ind w:left="0" w:leftChars="0" w:right="0" w:rightChars="0" w:firstLine="0" w:firstLineChars="0"/>
                    <w:rPr>
                      <w:rFonts w:hint="default" w:ascii="Times New Roman" w:hAnsi="Times New Roman" w:eastAsia="宋体" w:cs="Times New Roman"/>
                      <w:highlight w:val="none"/>
                      <w:lang w:val="en-US" w:eastAsia="zh-CN"/>
                    </w:rPr>
                  </w:pPr>
                  <w:r>
                    <w:rPr>
                      <w:rFonts w:hint="default" w:ascii="Times New Roman" w:hAnsi="Times New Roman" w:cs="Times New Roman"/>
                      <w:highlight w:val="none"/>
                      <w:lang w:val="en-US" w:eastAsia="zh-CN"/>
                    </w:rPr>
                    <w:t>导热油炉</w:t>
                  </w:r>
                </w:p>
              </w:tc>
              <w:tc>
                <w:tcPr>
                  <w:tcW w:w="745" w:type="pct"/>
                  <w:vMerge w:val="restart"/>
                  <w:tcBorders>
                    <w:tl2br w:val="nil"/>
                    <w:tr2bl w:val="nil"/>
                  </w:tcBorders>
                  <w:noWrap w:val="0"/>
                  <w:vAlign w:val="center"/>
                </w:tcPr>
                <w:p w14:paraId="0BA6A5A6">
                  <w:pPr>
                    <w:pStyle w:val="28"/>
                    <w:ind w:left="0" w:leftChars="0" w:right="0" w:rightChars="0" w:firstLine="0" w:firstLineChars="0"/>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DA00</w:t>
                  </w:r>
                  <w:r>
                    <w:rPr>
                      <w:rFonts w:hint="eastAsia" w:cs="Times New Roman"/>
                      <w:highlight w:val="none"/>
                      <w:lang w:val="en-US" w:eastAsia="zh-CN"/>
                    </w:rPr>
                    <w:t>2</w:t>
                  </w:r>
                </w:p>
              </w:tc>
              <w:tc>
                <w:tcPr>
                  <w:tcW w:w="826" w:type="pct"/>
                  <w:tcBorders>
                    <w:tl2br w:val="nil"/>
                    <w:tr2bl w:val="nil"/>
                  </w:tcBorders>
                  <w:noWrap w:val="0"/>
                  <w:vAlign w:val="center"/>
                </w:tcPr>
                <w:p w14:paraId="57E648EF">
                  <w:pPr>
                    <w:pStyle w:val="28"/>
                    <w:ind w:left="0" w:leftChars="0" w:right="0" w:rightChars="0" w:firstLine="0" w:firstLineChars="0"/>
                    <w:rPr>
                      <w:rFonts w:hint="default" w:ascii="Times New Roman" w:hAnsi="Times New Roman" w:cs="Times New Roman"/>
                      <w:highlight w:val="none"/>
                    </w:rPr>
                  </w:pPr>
                  <w:r>
                    <w:rPr>
                      <w:rFonts w:hint="default" w:ascii="Times New Roman" w:hAnsi="Times New Roman" w:cs="Times New Roman"/>
                      <w:highlight w:val="none"/>
                      <w:lang w:val="en-US" w:eastAsia="zh-CN"/>
                    </w:rPr>
                    <w:t>颗粒物</w:t>
                  </w:r>
                </w:p>
              </w:tc>
              <w:tc>
                <w:tcPr>
                  <w:tcW w:w="767" w:type="pct"/>
                  <w:vMerge w:val="restart"/>
                  <w:tcBorders>
                    <w:tl2br w:val="nil"/>
                    <w:tr2bl w:val="nil"/>
                  </w:tcBorders>
                  <w:noWrap w:val="0"/>
                  <w:vAlign w:val="center"/>
                </w:tcPr>
                <w:p w14:paraId="0A36C9E3">
                  <w:pPr>
                    <w:pStyle w:val="28"/>
                    <w:ind w:left="0" w:leftChars="0" w:right="0" w:rightChars="0" w:firstLine="0" w:firstLineChars="0"/>
                    <w:rPr>
                      <w:rFonts w:hint="default" w:ascii="Times New Roman" w:hAnsi="Times New Roman" w:cs="Times New Roman"/>
                      <w:highlight w:val="none"/>
                    </w:rPr>
                  </w:pPr>
                  <w:r>
                    <w:rPr>
                      <w:rFonts w:hint="default" w:ascii="Times New Roman" w:hAnsi="Times New Roman" w:cs="Times New Roman"/>
                      <w:highlight w:val="none"/>
                    </w:rPr>
                    <w:t>1次/</w:t>
                  </w:r>
                  <w:r>
                    <w:rPr>
                      <w:rFonts w:hint="eastAsia" w:cs="Times New Roman"/>
                      <w:highlight w:val="none"/>
                      <w:lang w:val="en-US" w:eastAsia="zh-CN"/>
                    </w:rPr>
                    <w:t>半</w:t>
                  </w:r>
                  <w:r>
                    <w:rPr>
                      <w:rFonts w:hint="default" w:ascii="Times New Roman" w:hAnsi="Times New Roman" w:cs="Times New Roman"/>
                      <w:highlight w:val="none"/>
                    </w:rPr>
                    <w:t>年</w:t>
                  </w:r>
                </w:p>
              </w:tc>
              <w:tc>
                <w:tcPr>
                  <w:tcW w:w="1929" w:type="pct"/>
                  <w:vMerge w:val="restart"/>
                  <w:tcBorders>
                    <w:tl2br w:val="nil"/>
                    <w:tr2bl w:val="nil"/>
                  </w:tcBorders>
                  <w:noWrap w:val="0"/>
                  <w:vAlign w:val="center"/>
                </w:tcPr>
                <w:p w14:paraId="5F2827B4">
                  <w:pPr>
                    <w:pStyle w:val="28"/>
                    <w:rPr>
                      <w:rFonts w:hint="default" w:ascii="Times New Roman" w:hAnsi="Times New Roman" w:cs="Times New Roman"/>
                      <w:highlight w:val="none"/>
                      <w:lang w:val="en-US"/>
                    </w:rPr>
                  </w:pPr>
                  <w:r>
                    <w:rPr>
                      <w:rFonts w:hint="default" w:ascii="Times New Roman" w:hAnsi="Times New Roman" w:cs="Times New Roman"/>
                      <w:highlight w:val="none"/>
                      <w:lang w:val="en-US" w:eastAsia="zh-CN"/>
                    </w:rPr>
                    <w:t>《锅炉大气污染物排放标准》（GB13271-2014）表3中大气污染物特别排放限值</w:t>
                  </w:r>
                  <w:r>
                    <w:rPr>
                      <w:rFonts w:hint="eastAsia" w:ascii="Times New Roman" w:hAnsi="Times New Roman" w:cs="Times New Roman"/>
                      <w:highlight w:val="none"/>
                      <w:lang w:val="en-US" w:eastAsia="zh-CN"/>
                    </w:rPr>
                    <w:t>与《关于开展昌吉州2022年度夏秋季大气污染防治“冬病夏治”有关工作的通知》（昌吉州环委办发〔2022〕18 号）</w:t>
                  </w:r>
                </w:p>
              </w:tc>
            </w:tr>
            <w:tr w14:paraId="0D3F5B9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7" w:hRule="atLeast"/>
                <w:jc w:val="center"/>
              </w:trPr>
              <w:tc>
                <w:tcPr>
                  <w:tcW w:w="731" w:type="pct"/>
                  <w:vMerge w:val="continue"/>
                  <w:tcBorders>
                    <w:tl2br w:val="nil"/>
                    <w:tr2bl w:val="nil"/>
                  </w:tcBorders>
                  <w:noWrap w:val="0"/>
                  <w:vAlign w:val="center"/>
                </w:tcPr>
                <w:p w14:paraId="2D7E1257">
                  <w:pPr>
                    <w:pStyle w:val="28"/>
                    <w:ind w:left="0" w:leftChars="0" w:right="0" w:rightChars="0" w:firstLine="0" w:firstLineChars="0"/>
                    <w:rPr>
                      <w:rFonts w:hint="default" w:ascii="Times New Roman" w:hAnsi="Times New Roman" w:cs="Times New Roman"/>
                      <w:highlight w:val="none"/>
                      <w:lang w:val="en-US" w:eastAsia="zh-CN"/>
                    </w:rPr>
                  </w:pPr>
                </w:p>
              </w:tc>
              <w:tc>
                <w:tcPr>
                  <w:tcW w:w="745" w:type="pct"/>
                  <w:vMerge w:val="continue"/>
                  <w:tcBorders>
                    <w:tl2br w:val="nil"/>
                    <w:tr2bl w:val="nil"/>
                  </w:tcBorders>
                  <w:noWrap w:val="0"/>
                  <w:vAlign w:val="center"/>
                </w:tcPr>
                <w:p w14:paraId="23163BDB">
                  <w:pPr>
                    <w:pStyle w:val="28"/>
                    <w:ind w:left="0" w:leftChars="0" w:right="0" w:rightChars="0" w:firstLine="0" w:firstLineChars="0"/>
                    <w:rPr>
                      <w:rFonts w:hint="default" w:ascii="Times New Roman" w:hAnsi="Times New Roman" w:cs="Times New Roman"/>
                      <w:highlight w:val="none"/>
                    </w:rPr>
                  </w:pPr>
                </w:p>
              </w:tc>
              <w:tc>
                <w:tcPr>
                  <w:tcW w:w="826" w:type="pct"/>
                  <w:tcBorders>
                    <w:tl2br w:val="nil"/>
                    <w:tr2bl w:val="nil"/>
                  </w:tcBorders>
                  <w:noWrap w:val="0"/>
                  <w:vAlign w:val="center"/>
                </w:tcPr>
                <w:p w14:paraId="1718521D">
                  <w:pPr>
                    <w:pStyle w:val="28"/>
                    <w:ind w:left="0" w:leftChars="0" w:right="0" w:rightChars="0" w:firstLine="0" w:firstLineChars="0"/>
                    <w:rPr>
                      <w:rFonts w:hint="default" w:ascii="Times New Roman" w:hAnsi="Times New Roman" w:cs="Times New Roman"/>
                      <w:highlight w:val="none"/>
                    </w:rPr>
                  </w:pPr>
                  <w:r>
                    <w:rPr>
                      <w:rFonts w:hint="default" w:ascii="Times New Roman" w:hAnsi="Times New Roman" w:cs="Times New Roman"/>
                      <w:highlight w:val="none"/>
                      <w:lang w:val="en-US" w:eastAsia="zh-CN"/>
                    </w:rPr>
                    <w:t>SO</w:t>
                  </w:r>
                  <w:r>
                    <w:rPr>
                      <w:rFonts w:hint="default" w:ascii="Times New Roman" w:hAnsi="Times New Roman" w:cs="Times New Roman"/>
                      <w:highlight w:val="none"/>
                      <w:vertAlign w:val="subscript"/>
                      <w:lang w:val="en-US" w:eastAsia="zh-CN"/>
                    </w:rPr>
                    <w:t>2</w:t>
                  </w:r>
                </w:p>
              </w:tc>
              <w:tc>
                <w:tcPr>
                  <w:tcW w:w="767" w:type="pct"/>
                  <w:vMerge w:val="continue"/>
                  <w:tcBorders>
                    <w:tl2br w:val="nil"/>
                    <w:tr2bl w:val="nil"/>
                  </w:tcBorders>
                  <w:noWrap w:val="0"/>
                  <w:vAlign w:val="center"/>
                </w:tcPr>
                <w:p w14:paraId="022A4E0A">
                  <w:pPr>
                    <w:pStyle w:val="28"/>
                    <w:ind w:left="0" w:leftChars="0" w:right="0" w:rightChars="0" w:firstLine="0" w:firstLineChars="0"/>
                    <w:rPr>
                      <w:rFonts w:hint="default" w:ascii="Times New Roman" w:hAnsi="Times New Roman" w:cs="Times New Roman"/>
                      <w:highlight w:val="none"/>
                    </w:rPr>
                  </w:pPr>
                </w:p>
              </w:tc>
              <w:tc>
                <w:tcPr>
                  <w:tcW w:w="1929" w:type="pct"/>
                  <w:vMerge w:val="continue"/>
                  <w:tcBorders>
                    <w:tl2br w:val="nil"/>
                    <w:tr2bl w:val="nil"/>
                  </w:tcBorders>
                  <w:noWrap w:val="0"/>
                  <w:vAlign w:val="center"/>
                </w:tcPr>
                <w:p w14:paraId="2D859999">
                  <w:pPr>
                    <w:pStyle w:val="28"/>
                    <w:rPr>
                      <w:rFonts w:hint="default" w:ascii="Times New Roman" w:hAnsi="Times New Roman" w:cs="Times New Roman"/>
                      <w:highlight w:val="none"/>
                    </w:rPr>
                  </w:pPr>
                </w:p>
              </w:tc>
            </w:tr>
            <w:tr w14:paraId="3369435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7" w:hRule="atLeast"/>
                <w:jc w:val="center"/>
              </w:trPr>
              <w:tc>
                <w:tcPr>
                  <w:tcW w:w="731" w:type="pct"/>
                  <w:vMerge w:val="continue"/>
                  <w:tcBorders>
                    <w:tl2br w:val="nil"/>
                    <w:tr2bl w:val="nil"/>
                  </w:tcBorders>
                  <w:noWrap w:val="0"/>
                  <w:vAlign w:val="center"/>
                </w:tcPr>
                <w:p w14:paraId="0FD334FF">
                  <w:pPr>
                    <w:pStyle w:val="28"/>
                    <w:ind w:left="0" w:leftChars="0" w:right="0" w:rightChars="0" w:firstLine="0" w:firstLineChars="0"/>
                    <w:rPr>
                      <w:rFonts w:hint="default" w:ascii="Times New Roman" w:hAnsi="Times New Roman" w:cs="Times New Roman"/>
                      <w:highlight w:val="none"/>
                      <w:lang w:val="en-US" w:eastAsia="zh-CN"/>
                    </w:rPr>
                  </w:pPr>
                </w:p>
              </w:tc>
              <w:tc>
                <w:tcPr>
                  <w:tcW w:w="745" w:type="pct"/>
                  <w:vMerge w:val="continue"/>
                  <w:tcBorders>
                    <w:tl2br w:val="nil"/>
                    <w:tr2bl w:val="nil"/>
                  </w:tcBorders>
                  <w:noWrap w:val="0"/>
                  <w:vAlign w:val="center"/>
                </w:tcPr>
                <w:p w14:paraId="7A77E6BB">
                  <w:pPr>
                    <w:pStyle w:val="28"/>
                    <w:ind w:left="0" w:leftChars="0" w:right="0" w:rightChars="0" w:firstLine="0" w:firstLineChars="0"/>
                    <w:rPr>
                      <w:rFonts w:hint="default" w:ascii="Times New Roman" w:hAnsi="Times New Roman" w:cs="Times New Roman"/>
                      <w:highlight w:val="none"/>
                    </w:rPr>
                  </w:pPr>
                </w:p>
              </w:tc>
              <w:tc>
                <w:tcPr>
                  <w:tcW w:w="826" w:type="pct"/>
                  <w:tcBorders>
                    <w:tl2br w:val="nil"/>
                    <w:tr2bl w:val="nil"/>
                  </w:tcBorders>
                  <w:noWrap w:val="0"/>
                  <w:vAlign w:val="center"/>
                </w:tcPr>
                <w:p w14:paraId="5D9DFAA4">
                  <w:pPr>
                    <w:pStyle w:val="28"/>
                    <w:ind w:left="0" w:leftChars="0" w:right="0" w:rightChars="0" w:firstLine="0" w:firstLineChars="0"/>
                    <w:rPr>
                      <w:rFonts w:hint="default" w:ascii="Times New Roman" w:hAnsi="Times New Roman" w:cs="Times New Roman"/>
                      <w:highlight w:val="none"/>
                      <w:lang w:val="en-US" w:eastAsia="zh-CN"/>
                    </w:rPr>
                  </w:pPr>
                  <w:r>
                    <w:rPr>
                      <w:rFonts w:hint="eastAsia" w:cs="Times New Roman"/>
                      <w:highlight w:val="none"/>
                      <w:lang w:val="en-US" w:eastAsia="zh-CN"/>
                    </w:rPr>
                    <w:t>林格曼黑度</w:t>
                  </w:r>
                </w:p>
              </w:tc>
              <w:tc>
                <w:tcPr>
                  <w:tcW w:w="767" w:type="pct"/>
                  <w:vMerge w:val="continue"/>
                  <w:tcBorders>
                    <w:tl2br w:val="nil"/>
                    <w:tr2bl w:val="nil"/>
                  </w:tcBorders>
                  <w:noWrap w:val="0"/>
                  <w:vAlign w:val="center"/>
                </w:tcPr>
                <w:p w14:paraId="7C21A3A2">
                  <w:pPr>
                    <w:pStyle w:val="28"/>
                    <w:ind w:left="0" w:leftChars="0" w:right="0" w:rightChars="0" w:firstLine="0" w:firstLineChars="0"/>
                    <w:rPr>
                      <w:rFonts w:hint="default" w:ascii="Times New Roman" w:hAnsi="Times New Roman" w:cs="Times New Roman"/>
                      <w:highlight w:val="none"/>
                    </w:rPr>
                  </w:pPr>
                </w:p>
              </w:tc>
              <w:tc>
                <w:tcPr>
                  <w:tcW w:w="1929" w:type="pct"/>
                  <w:vMerge w:val="continue"/>
                  <w:tcBorders>
                    <w:tl2br w:val="nil"/>
                    <w:tr2bl w:val="nil"/>
                  </w:tcBorders>
                  <w:noWrap w:val="0"/>
                  <w:vAlign w:val="center"/>
                </w:tcPr>
                <w:p w14:paraId="08A91A0F">
                  <w:pPr>
                    <w:pStyle w:val="28"/>
                    <w:rPr>
                      <w:rFonts w:hint="default" w:ascii="Times New Roman" w:hAnsi="Times New Roman" w:cs="Times New Roman"/>
                      <w:highlight w:val="none"/>
                    </w:rPr>
                  </w:pPr>
                </w:p>
              </w:tc>
            </w:tr>
            <w:tr w14:paraId="191F6B8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7" w:hRule="atLeast"/>
                <w:jc w:val="center"/>
              </w:trPr>
              <w:tc>
                <w:tcPr>
                  <w:tcW w:w="731" w:type="pct"/>
                  <w:vMerge w:val="continue"/>
                  <w:tcBorders>
                    <w:tl2br w:val="nil"/>
                    <w:tr2bl w:val="nil"/>
                  </w:tcBorders>
                  <w:noWrap w:val="0"/>
                  <w:vAlign w:val="center"/>
                </w:tcPr>
                <w:p w14:paraId="351EA0CC">
                  <w:pPr>
                    <w:pStyle w:val="28"/>
                    <w:ind w:left="0" w:leftChars="0" w:right="0" w:rightChars="0" w:firstLine="0" w:firstLineChars="0"/>
                    <w:rPr>
                      <w:rFonts w:hint="default" w:ascii="Times New Roman" w:hAnsi="Times New Roman" w:cs="Times New Roman"/>
                      <w:highlight w:val="none"/>
                      <w:lang w:val="en-US" w:eastAsia="zh-CN"/>
                    </w:rPr>
                  </w:pPr>
                </w:p>
              </w:tc>
              <w:tc>
                <w:tcPr>
                  <w:tcW w:w="745" w:type="pct"/>
                  <w:vMerge w:val="continue"/>
                  <w:tcBorders>
                    <w:tl2br w:val="nil"/>
                    <w:tr2bl w:val="nil"/>
                  </w:tcBorders>
                  <w:noWrap w:val="0"/>
                  <w:vAlign w:val="center"/>
                </w:tcPr>
                <w:p w14:paraId="693BCC17">
                  <w:pPr>
                    <w:pStyle w:val="28"/>
                    <w:ind w:left="0" w:leftChars="0" w:right="0" w:rightChars="0" w:firstLine="0" w:firstLineChars="0"/>
                    <w:rPr>
                      <w:rFonts w:hint="default" w:ascii="Times New Roman" w:hAnsi="Times New Roman" w:cs="Times New Roman"/>
                      <w:highlight w:val="none"/>
                    </w:rPr>
                  </w:pPr>
                </w:p>
              </w:tc>
              <w:tc>
                <w:tcPr>
                  <w:tcW w:w="826" w:type="pct"/>
                  <w:tcBorders>
                    <w:tl2br w:val="nil"/>
                    <w:tr2bl w:val="nil"/>
                  </w:tcBorders>
                  <w:noWrap w:val="0"/>
                  <w:vAlign w:val="center"/>
                </w:tcPr>
                <w:p w14:paraId="758B89F0">
                  <w:pPr>
                    <w:pStyle w:val="28"/>
                    <w:ind w:left="0" w:leftChars="0" w:right="0" w:rightChars="0" w:firstLine="0" w:firstLineChars="0"/>
                    <w:rPr>
                      <w:rFonts w:hint="default" w:ascii="Times New Roman" w:hAnsi="Times New Roman" w:cs="Times New Roman"/>
                      <w:highlight w:val="none"/>
                    </w:rPr>
                  </w:pPr>
                  <w:r>
                    <w:rPr>
                      <w:rFonts w:hint="default" w:ascii="Times New Roman" w:hAnsi="Times New Roman" w:cs="Times New Roman"/>
                      <w:highlight w:val="none"/>
                      <w:lang w:val="en-US" w:eastAsia="zh-CN"/>
                    </w:rPr>
                    <w:t>NO</w:t>
                  </w:r>
                  <w:r>
                    <w:rPr>
                      <w:rFonts w:hint="default" w:ascii="Times New Roman" w:hAnsi="Times New Roman" w:cs="Times New Roman"/>
                      <w:highlight w:val="none"/>
                      <w:vertAlign w:val="subscript"/>
                      <w:lang w:val="en-US" w:eastAsia="zh-CN"/>
                    </w:rPr>
                    <w:t>x</w:t>
                  </w:r>
                </w:p>
              </w:tc>
              <w:tc>
                <w:tcPr>
                  <w:tcW w:w="767" w:type="pct"/>
                  <w:tcBorders>
                    <w:tl2br w:val="nil"/>
                    <w:tr2bl w:val="nil"/>
                  </w:tcBorders>
                  <w:noWrap w:val="0"/>
                  <w:vAlign w:val="center"/>
                </w:tcPr>
                <w:p w14:paraId="326757B4">
                  <w:pPr>
                    <w:pStyle w:val="28"/>
                    <w:ind w:left="0" w:leftChars="0" w:right="0" w:rightChars="0" w:firstLine="0" w:firstLineChars="0"/>
                    <w:rPr>
                      <w:rFonts w:hint="default" w:ascii="Times New Roman" w:hAnsi="Times New Roman" w:cs="Times New Roman"/>
                      <w:highlight w:val="none"/>
                    </w:rPr>
                  </w:pPr>
                  <w:r>
                    <w:rPr>
                      <w:rFonts w:hint="default" w:ascii="Times New Roman" w:hAnsi="Times New Roman" w:cs="Times New Roman"/>
                      <w:highlight w:val="none"/>
                    </w:rPr>
                    <w:t>1次/</w:t>
                  </w:r>
                  <w:r>
                    <w:rPr>
                      <w:rFonts w:hint="eastAsia" w:cs="Times New Roman"/>
                      <w:highlight w:val="none"/>
                      <w:lang w:val="en-US" w:eastAsia="zh-CN"/>
                    </w:rPr>
                    <w:t>月</w:t>
                  </w:r>
                </w:p>
              </w:tc>
              <w:tc>
                <w:tcPr>
                  <w:tcW w:w="1929" w:type="pct"/>
                  <w:vMerge w:val="continue"/>
                  <w:tcBorders>
                    <w:tl2br w:val="nil"/>
                    <w:tr2bl w:val="nil"/>
                  </w:tcBorders>
                  <w:noWrap w:val="0"/>
                  <w:vAlign w:val="center"/>
                </w:tcPr>
                <w:p w14:paraId="3527D4B4">
                  <w:pPr>
                    <w:pStyle w:val="28"/>
                    <w:rPr>
                      <w:rFonts w:hint="default" w:ascii="Times New Roman" w:hAnsi="Times New Roman" w:cs="Times New Roman"/>
                      <w:highlight w:val="none"/>
                    </w:rPr>
                  </w:pPr>
                </w:p>
              </w:tc>
            </w:tr>
            <w:tr w14:paraId="5FCD39C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7" w:hRule="atLeast"/>
                <w:jc w:val="center"/>
              </w:trPr>
              <w:tc>
                <w:tcPr>
                  <w:tcW w:w="731" w:type="pct"/>
                  <w:vMerge w:val="restart"/>
                  <w:tcBorders>
                    <w:tl2br w:val="nil"/>
                    <w:tr2bl w:val="nil"/>
                  </w:tcBorders>
                  <w:noWrap w:val="0"/>
                  <w:vAlign w:val="center"/>
                </w:tcPr>
                <w:p w14:paraId="2324D181">
                  <w:pPr>
                    <w:pStyle w:val="28"/>
                    <w:ind w:left="0" w:leftChars="0" w:right="0" w:rightChars="0" w:firstLine="0" w:firstLineChars="0"/>
                    <w:rPr>
                      <w:rFonts w:hint="default" w:ascii="Times New Roman" w:hAnsi="Times New Roman" w:cs="Times New Roman"/>
                      <w:highlight w:val="none"/>
                    </w:rPr>
                  </w:pPr>
                  <w:r>
                    <w:rPr>
                      <w:rFonts w:hint="default" w:ascii="Times New Roman" w:hAnsi="Times New Roman" w:cs="Times New Roman"/>
                      <w:highlight w:val="none"/>
                    </w:rPr>
                    <w:t>无组织废气</w:t>
                  </w:r>
                </w:p>
              </w:tc>
              <w:tc>
                <w:tcPr>
                  <w:tcW w:w="745" w:type="pct"/>
                  <w:tcBorders>
                    <w:tl2br w:val="nil"/>
                    <w:tr2bl w:val="nil"/>
                  </w:tcBorders>
                  <w:noWrap w:val="0"/>
                  <w:vAlign w:val="center"/>
                </w:tcPr>
                <w:p w14:paraId="03B1A4A7">
                  <w:pPr>
                    <w:pStyle w:val="28"/>
                    <w:ind w:left="0" w:leftChars="0" w:right="0" w:rightChars="0" w:firstLine="0" w:firstLineChars="0"/>
                    <w:rPr>
                      <w:rFonts w:hint="default" w:ascii="Times New Roman" w:hAnsi="Times New Roman" w:cs="Times New Roman"/>
                      <w:highlight w:val="none"/>
                    </w:rPr>
                  </w:pPr>
                  <w:r>
                    <w:rPr>
                      <w:rFonts w:hint="default" w:ascii="Times New Roman" w:hAnsi="Times New Roman" w:cs="Times New Roman"/>
                      <w:highlight w:val="none"/>
                    </w:rPr>
                    <w:t>厂界</w:t>
                  </w:r>
                </w:p>
              </w:tc>
              <w:tc>
                <w:tcPr>
                  <w:tcW w:w="826" w:type="pct"/>
                  <w:tcBorders>
                    <w:tl2br w:val="nil"/>
                    <w:tr2bl w:val="nil"/>
                  </w:tcBorders>
                  <w:noWrap w:val="0"/>
                  <w:vAlign w:val="center"/>
                </w:tcPr>
                <w:p w14:paraId="292809AD">
                  <w:pPr>
                    <w:pStyle w:val="28"/>
                    <w:ind w:left="0" w:leftChars="0" w:right="0" w:rightChars="0" w:firstLine="0" w:firstLineChars="0"/>
                    <w:rPr>
                      <w:rFonts w:hint="default" w:ascii="Times New Roman" w:hAnsi="Times New Roman" w:eastAsia="宋体" w:cs="Times New Roman"/>
                      <w:highlight w:val="none"/>
                      <w:lang w:eastAsia="zh-CN"/>
                    </w:rPr>
                  </w:pPr>
                  <w:r>
                    <w:rPr>
                      <w:rFonts w:hint="default" w:ascii="Times New Roman" w:hAnsi="Times New Roman" w:cs="Times New Roman"/>
                      <w:highlight w:val="none"/>
                    </w:rPr>
                    <w:t>颗粒物</w:t>
                  </w: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沥青烟、</w:t>
                  </w:r>
                  <w:r>
                    <w:rPr>
                      <w:rFonts w:hint="default" w:ascii="Times New Roman" w:hAnsi="Times New Roman" w:cs="Times New Roman"/>
                      <w:highlight w:val="none"/>
                      <w:lang w:eastAsia="zh-CN"/>
                    </w:rPr>
                    <w:t>苯并[a]芘、</w:t>
                  </w:r>
                  <w:r>
                    <w:rPr>
                      <w:rFonts w:hint="default" w:ascii="Times New Roman" w:hAnsi="Times New Roman" w:cs="Times New Roman"/>
                      <w:highlight w:val="none"/>
                      <w:lang w:val="en-US" w:eastAsia="zh-CN"/>
                    </w:rPr>
                    <w:t>非甲烷总烃</w:t>
                  </w:r>
                </w:p>
              </w:tc>
              <w:tc>
                <w:tcPr>
                  <w:tcW w:w="767" w:type="pct"/>
                  <w:tcBorders>
                    <w:tl2br w:val="nil"/>
                    <w:tr2bl w:val="nil"/>
                  </w:tcBorders>
                  <w:noWrap w:val="0"/>
                  <w:vAlign w:val="center"/>
                </w:tcPr>
                <w:p w14:paraId="72657B1D">
                  <w:pPr>
                    <w:pStyle w:val="28"/>
                    <w:ind w:left="0" w:leftChars="0" w:right="0" w:rightChars="0" w:firstLine="0" w:firstLineChars="0"/>
                    <w:rPr>
                      <w:rFonts w:hint="default" w:ascii="Times New Roman" w:hAnsi="Times New Roman" w:cs="Times New Roman"/>
                      <w:highlight w:val="none"/>
                    </w:rPr>
                  </w:pPr>
                  <w:r>
                    <w:rPr>
                      <w:rFonts w:hint="default" w:ascii="Times New Roman" w:hAnsi="Times New Roman" w:cs="Times New Roman"/>
                      <w:highlight w:val="none"/>
                    </w:rPr>
                    <w:t>1次/年</w:t>
                  </w:r>
                </w:p>
              </w:tc>
              <w:tc>
                <w:tcPr>
                  <w:tcW w:w="1929" w:type="pct"/>
                  <w:tcBorders>
                    <w:tl2br w:val="nil"/>
                    <w:tr2bl w:val="nil"/>
                  </w:tcBorders>
                  <w:noWrap w:val="0"/>
                  <w:vAlign w:val="center"/>
                </w:tcPr>
                <w:p w14:paraId="01860E2E">
                  <w:pPr>
                    <w:pStyle w:val="28"/>
                    <w:rPr>
                      <w:rFonts w:hint="default" w:ascii="Times New Roman" w:hAnsi="Times New Roman" w:eastAsia="宋体" w:cs="Times New Roman"/>
                      <w:highlight w:val="none"/>
                      <w:lang w:val="en-US" w:eastAsia="zh-CN"/>
                    </w:rPr>
                  </w:pPr>
                  <w:r>
                    <w:rPr>
                      <w:rFonts w:hint="default" w:ascii="Times New Roman" w:hAnsi="Times New Roman" w:cs="Times New Roman"/>
                      <w:highlight w:val="none"/>
                    </w:rPr>
                    <w:t>《大气污染物综合排放标准》（GB16297-1996）</w:t>
                  </w:r>
                  <w:r>
                    <w:rPr>
                      <w:rFonts w:hint="default" w:ascii="Times New Roman" w:hAnsi="Times New Roman" w:cs="Times New Roman"/>
                      <w:highlight w:val="none"/>
                      <w:lang w:val="en-US" w:eastAsia="zh-CN"/>
                    </w:rPr>
                    <w:t>表2</w:t>
                  </w:r>
                </w:p>
              </w:tc>
            </w:tr>
            <w:tr w14:paraId="2448F03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7" w:hRule="atLeast"/>
                <w:jc w:val="center"/>
              </w:trPr>
              <w:tc>
                <w:tcPr>
                  <w:tcW w:w="731" w:type="pct"/>
                  <w:vMerge w:val="continue"/>
                  <w:tcBorders>
                    <w:tl2br w:val="nil"/>
                    <w:tr2bl w:val="nil"/>
                  </w:tcBorders>
                  <w:noWrap w:val="0"/>
                  <w:vAlign w:val="center"/>
                </w:tcPr>
                <w:p w14:paraId="25B86874">
                  <w:pPr>
                    <w:pStyle w:val="28"/>
                    <w:ind w:left="0" w:leftChars="0" w:right="0" w:rightChars="0" w:firstLine="0" w:firstLineChars="0"/>
                    <w:rPr>
                      <w:rFonts w:hint="default" w:ascii="Times New Roman" w:hAnsi="Times New Roman" w:cs="Times New Roman"/>
                      <w:highlight w:val="none"/>
                    </w:rPr>
                  </w:pPr>
                </w:p>
              </w:tc>
              <w:tc>
                <w:tcPr>
                  <w:tcW w:w="745" w:type="pct"/>
                  <w:tcBorders>
                    <w:tl2br w:val="nil"/>
                    <w:tr2bl w:val="nil"/>
                  </w:tcBorders>
                  <w:noWrap w:val="0"/>
                  <w:vAlign w:val="center"/>
                </w:tcPr>
                <w:p w14:paraId="1C3977CA">
                  <w:pPr>
                    <w:pStyle w:val="28"/>
                    <w:ind w:left="0" w:leftChars="0" w:right="0" w:rightChars="0" w:firstLine="0" w:firstLineChars="0"/>
                    <w:rPr>
                      <w:rFonts w:hint="default" w:ascii="Times New Roman" w:hAnsi="Times New Roman" w:eastAsia="宋体" w:cs="Times New Roman"/>
                      <w:highlight w:val="none"/>
                      <w:lang w:val="en-US" w:eastAsia="zh-CN"/>
                    </w:rPr>
                  </w:pPr>
                  <w:r>
                    <w:rPr>
                      <w:rFonts w:hint="eastAsia" w:cs="Times New Roman"/>
                      <w:highlight w:val="none"/>
                      <w:lang w:val="en-US" w:eastAsia="zh-CN"/>
                    </w:rPr>
                    <w:t>厂区内</w:t>
                  </w:r>
                </w:p>
              </w:tc>
              <w:tc>
                <w:tcPr>
                  <w:tcW w:w="826" w:type="pct"/>
                  <w:tcBorders>
                    <w:tl2br w:val="nil"/>
                    <w:tr2bl w:val="nil"/>
                  </w:tcBorders>
                  <w:noWrap w:val="0"/>
                  <w:vAlign w:val="center"/>
                </w:tcPr>
                <w:p w14:paraId="4B40652A">
                  <w:pPr>
                    <w:pStyle w:val="28"/>
                    <w:ind w:left="0" w:leftChars="0" w:right="0" w:rightChars="0" w:firstLine="0" w:firstLineChars="0"/>
                    <w:rPr>
                      <w:rFonts w:hint="default" w:ascii="Times New Roman" w:hAnsi="Times New Roman" w:cs="Times New Roman"/>
                      <w:highlight w:val="none"/>
                    </w:rPr>
                  </w:pPr>
                  <w:r>
                    <w:rPr>
                      <w:rFonts w:hint="default" w:ascii="Times New Roman" w:hAnsi="Times New Roman" w:cs="Times New Roman"/>
                      <w:highlight w:val="none"/>
                      <w:lang w:val="en-US" w:eastAsia="zh-CN"/>
                    </w:rPr>
                    <w:t>非甲烷总烃</w:t>
                  </w:r>
                </w:p>
              </w:tc>
              <w:tc>
                <w:tcPr>
                  <w:tcW w:w="767" w:type="pct"/>
                  <w:tcBorders>
                    <w:tl2br w:val="nil"/>
                    <w:tr2bl w:val="nil"/>
                  </w:tcBorders>
                  <w:noWrap w:val="0"/>
                  <w:vAlign w:val="center"/>
                </w:tcPr>
                <w:p w14:paraId="311604D7">
                  <w:pPr>
                    <w:pStyle w:val="28"/>
                    <w:ind w:left="0" w:leftChars="0" w:right="0" w:rightChars="0" w:firstLine="0" w:firstLineChars="0"/>
                    <w:rPr>
                      <w:rFonts w:hint="default" w:ascii="Times New Roman" w:hAnsi="Times New Roman" w:cs="Times New Roman"/>
                      <w:highlight w:val="none"/>
                    </w:rPr>
                  </w:pPr>
                  <w:r>
                    <w:rPr>
                      <w:rFonts w:hint="default" w:ascii="Times New Roman" w:hAnsi="Times New Roman" w:cs="Times New Roman"/>
                      <w:highlight w:val="none"/>
                    </w:rPr>
                    <w:t>1次/年</w:t>
                  </w:r>
                </w:p>
              </w:tc>
              <w:tc>
                <w:tcPr>
                  <w:tcW w:w="1929" w:type="pct"/>
                  <w:tcBorders>
                    <w:tl2br w:val="nil"/>
                    <w:tr2bl w:val="nil"/>
                  </w:tcBorders>
                  <w:noWrap w:val="0"/>
                  <w:vAlign w:val="center"/>
                </w:tcPr>
                <w:p w14:paraId="410FDBC4">
                  <w:pPr>
                    <w:pStyle w:val="28"/>
                    <w:rPr>
                      <w:rFonts w:hint="eastAsia" w:ascii="Times New Roman" w:hAnsi="Times New Roman" w:eastAsia="宋体" w:cs="Times New Roman"/>
                      <w:highlight w:val="none"/>
                      <w:lang w:eastAsia="zh-CN"/>
                    </w:rPr>
                  </w:pPr>
                  <w:r>
                    <w:rPr>
                      <w:rFonts w:hint="eastAsia" w:ascii="Times New Roman" w:hAnsi="Times New Roman" w:eastAsia="宋体" w:cs="Times New Roman"/>
                      <w:highlight w:val="none"/>
                      <w:lang w:eastAsia="zh-CN"/>
                    </w:rPr>
                    <w:t>《挥发性有机物无组织排放控制标准》GB37822-2019附录A中表A.1规定的特别排放标准限值</w:t>
                  </w:r>
                </w:p>
              </w:tc>
            </w:tr>
          </w:tbl>
          <w:p w14:paraId="2966CD91">
            <w:pPr>
              <w:keepNext w:val="0"/>
              <w:keepLines w:val="0"/>
              <w:pageBreakBefore w:val="0"/>
              <w:widowControl/>
              <w:numPr>
                <w:ilvl w:val="0"/>
                <w:numId w:val="0"/>
              </w:numPr>
              <w:suppressLineNumbers w:val="0"/>
              <w:kinsoku/>
              <w:wordWrap/>
              <w:overflowPunct/>
              <w:topLinePunct w:val="0"/>
              <w:autoSpaceDE/>
              <w:autoSpaceDN/>
              <w:bidi w:val="0"/>
              <w:adjustRightInd/>
              <w:snapToGrid/>
              <w:spacing w:before="157" w:beforeLines="50" w:line="360" w:lineRule="auto"/>
              <w:ind w:leftChars="0"/>
              <w:jc w:val="left"/>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2.1 水环境影响分析</w:t>
            </w:r>
          </w:p>
          <w:p w14:paraId="17BE8578">
            <w:p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2.1.1 产污环节及源强</w:t>
            </w:r>
          </w:p>
          <w:p w14:paraId="546DD137">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本项目废水主要生产废水和生活污水。生产废水主要包括生产过程的冷却水</w:t>
            </w:r>
            <w:r>
              <w:rPr>
                <w:rFonts w:hint="eastAsia" w:cs="Times New Roman"/>
                <w:b w:val="0"/>
                <w:bCs w:val="0"/>
                <w:snapToGrid w:val="0"/>
                <w:color w:val="000000"/>
                <w:kern w:val="0"/>
                <w:sz w:val="24"/>
                <w:szCs w:val="24"/>
                <w:highlight w:val="none"/>
                <w:lang w:val="en-US" w:eastAsia="zh-CN" w:bidi="ar-SA"/>
              </w:rPr>
              <w:t>和</w:t>
            </w:r>
            <w:r>
              <w:rPr>
                <w:rFonts w:hint="default" w:ascii="Times New Roman" w:hAnsi="Times New Roman" w:eastAsia="宋体" w:cs="Times New Roman"/>
                <w:b w:val="0"/>
                <w:bCs w:val="0"/>
                <w:snapToGrid w:val="0"/>
                <w:color w:val="000000"/>
                <w:kern w:val="0"/>
                <w:sz w:val="24"/>
                <w:szCs w:val="24"/>
                <w:highlight w:val="none"/>
                <w:lang w:val="en-US" w:eastAsia="zh-CN" w:bidi="ar-SA"/>
              </w:rPr>
              <w:t>设备</w:t>
            </w:r>
            <w:r>
              <w:rPr>
                <w:rFonts w:hint="eastAsia" w:ascii="Times New Roman" w:hAnsi="Times New Roman" w:eastAsia="宋体" w:cs="Times New Roman"/>
                <w:b w:val="0"/>
                <w:bCs w:val="0"/>
                <w:snapToGrid w:val="0"/>
                <w:color w:val="000000"/>
                <w:kern w:val="0"/>
                <w:sz w:val="24"/>
                <w:szCs w:val="24"/>
                <w:highlight w:val="none"/>
                <w:lang w:val="en-US" w:eastAsia="zh-CN" w:bidi="ar-SA"/>
              </w:rPr>
              <w:t>清洗</w:t>
            </w:r>
            <w:r>
              <w:rPr>
                <w:rFonts w:hint="default" w:ascii="Times New Roman" w:hAnsi="Times New Roman" w:eastAsia="宋体" w:cs="Times New Roman"/>
                <w:b w:val="0"/>
                <w:bCs w:val="0"/>
                <w:snapToGrid w:val="0"/>
                <w:color w:val="000000"/>
                <w:kern w:val="0"/>
                <w:sz w:val="24"/>
                <w:szCs w:val="24"/>
                <w:highlight w:val="none"/>
                <w:lang w:val="en-US" w:eastAsia="zh-CN" w:bidi="ar-SA"/>
              </w:rPr>
              <w:t>废水。</w:t>
            </w:r>
          </w:p>
          <w:p w14:paraId="3CA1A8D2">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（1）生产废水</w:t>
            </w:r>
          </w:p>
          <w:p w14:paraId="381EB385">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①设备清洗</w:t>
            </w:r>
            <w:r>
              <w:rPr>
                <w:rFonts w:hint="default" w:ascii="Times New Roman" w:hAnsi="Times New Roman" w:eastAsia="宋体" w:cs="Times New Roman"/>
                <w:b w:val="0"/>
                <w:bCs w:val="0"/>
                <w:snapToGrid w:val="0"/>
                <w:color w:val="000000"/>
                <w:kern w:val="0"/>
                <w:sz w:val="24"/>
                <w:szCs w:val="24"/>
                <w:highlight w:val="none"/>
                <w:lang w:val="en-US" w:eastAsia="zh-CN" w:bidi="ar-SA"/>
              </w:rPr>
              <w:t>废水</w:t>
            </w:r>
          </w:p>
          <w:p w14:paraId="2E125E76">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设备清洗</w:t>
            </w:r>
            <w:r>
              <w:rPr>
                <w:rFonts w:hint="default" w:ascii="Times New Roman" w:hAnsi="Times New Roman" w:eastAsia="宋体" w:cs="Times New Roman"/>
                <w:b w:val="0"/>
                <w:bCs w:val="0"/>
                <w:snapToGrid w:val="0"/>
                <w:color w:val="000000"/>
                <w:kern w:val="0"/>
                <w:sz w:val="24"/>
                <w:szCs w:val="24"/>
                <w:highlight w:val="none"/>
                <w:lang w:val="en-US" w:eastAsia="zh-CN" w:bidi="ar-SA"/>
              </w:rPr>
              <w:t>水消耗量约600m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/a，</w:t>
            </w:r>
            <w:r>
              <w:rPr>
                <w:rFonts w:hint="eastAsia" w:ascii="Times New Roman" w:hAnsi="Times New Roman" w:eastAsia="宋体" w:cs="Times New Roman"/>
                <w:b w:val="0"/>
                <w:bCs w:val="0"/>
                <w:snapToGrid w:val="0"/>
                <w:color w:val="000000"/>
                <w:kern w:val="0"/>
                <w:sz w:val="24"/>
                <w:szCs w:val="24"/>
                <w:highlight w:val="none"/>
                <w:lang w:val="en-US" w:eastAsia="zh-CN" w:bidi="ar-SA"/>
              </w:rPr>
              <w:t>清洗</w:t>
            </w:r>
            <w:r>
              <w:rPr>
                <w:rFonts w:hint="default" w:ascii="Times New Roman" w:hAnsi="Times New Roman" w:eastAsia="宋体" w:cs="Times New Roman"/>
                <w:b w:val="0"/>
                <w:bCs w:val="0"/>
                <w:snapToGrid w:val="0"/>
                <w:color w:val="000000"/>
                <w:kern w:val="0"/>
                <w:sz w:val="24"/>
                <w:szCs w:val="24"/>
                <w:highlight w:val="none"/>
                <w:lang w:val="en-US" w:eastAsia="zh-CN" w:bidi="ar-SA"/>
              </w:rPr>
              <w:t>废水按</w:t>
            </w:r>
            <w:r>
              <w:rPr>
                <w:rFonts w:hint="eastAsia" w:ascii="Times New Roman" w:hAnsi="Times New Roman" w:eastAsia="宋体" w:cs="Times New Roman"/>
                <w:b w:val="0"/>
                <w:bCs w:val="0"/>
                <w:snapToGrid w:val="0"/>
                <w:color w:val="000000"/>
                <w:kern w:val="0"/>
                <w:sz w:val="24"/>
                <w:szCs w:val="24"/>
                <w:highlight w:val="none"/>
                <w:lang w:val="en-US" w:eastAsia="zh-CN" w:bidi="ar-SA"/>
              </w:rPr>
              <w:t>清洗</w:t>
            </w:r>
            <w:r>
              <w:rPr>
                <w:rFonts w:hint="default" w:ascii="Times New Roman" w:hAnsi="Times New Roman" w:eastAsia="宋体" w:cs="Times New Roman"/>
                <w:b w:val="0"/>
                <w:bCs w:val="0"/>
                <w:snapToGrid w:val="0"/>
                <w:color w:val="000000"/>
                <w:kern w:val="0"/>
                <w:sz w:val="24"/>
                <w:szCs w:val="24"/>
                <w:highlight w:val="none"/>
                <w:lang w:val="en-US" w:eastAsia="zh-CN" w:bidi="ar-SA"/>
              </w:rPr>
              <w:t>用水的90%计，则</w:t>
            </w:r>
            <w:r>
              <w:rPr>
                <w:rFonts w:hint="eastAsia" w:ascii="Times New Roman" w:hAnsi="Times New Roman" w:eastAsia="宋体" w:cs="Times New Roman"/>
                <w:b w:val="0"/>
                <w:bCs w:val="0"/>
                <w:snapToGrid w:val="0"/>
                <w:color w:val="000000"/>
                <w:kern w:val="0"/>
                <w:sz w:val="24"/>
                <w:szCs w:val="24"/>
                <w:highlight w:val="none"/>
                <w:lang w:val="en-US" w:eastAsia="zh-CN" w:bidi="ar-SA"/>
              </w:rPr>
              <w:t>设备清洗废水</w:t>
            </w:r>
            <w:r>
              <w:rPr>
                <w:rFonts w:hint="default" w:ascii="Times New Roman" w:hAnsi="Times New Roman" w:eastAsia="宋体" w:cs="Times New Roman"/>
                <w:b w:val="0"/>
                <w:bCs w:val="0"/>
                <w:snapToGrid w:val="0"/>
                <w:color w:val="000000"/>
                <w:kern w:val="0"/>
                <w:sz w:val="24"/>
                <w:szCs w:val="24"/>
                <w:highlight w:val="none"/>
                <w:lang w:val="en-US" w:eastAsia="zh-CN" w:bidi="ar-SA"/>
              </w:rPr>
              <w:t>量为540m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/a，经</w:t>
            </w:r>
            <w:r>
              <w:rPr>
                <w:rFonts w:hint="eastAsia" w:ascii="Times New Roman" w:hAnsi="Times New Roman" w:eastAsia="宋体" w:cs="Times New Roman"/>
                <w:b w:val="0"/>
                <w:bCs w:val="0"/>
                <w:snapToGrid w:val="0"/>
                <w:color w:val="000000"/>
                <w:kern w:val="0"/>
                <w:sz w:val="24"/>
                <w:szCs w:val="24"/>
                <w:highlight w:val="none"/>
                <w:lang w:val="en-US" w:eastAsia="zh-CN" w:bidi="ar-SA"/>
              </w:rPr>
              <w:t>隔油沉淀池</w:t>
            </w:r>
            <w:r>
              <w:rPr>
                <w:rFonts w:hint="default" w:ascii="Times New Roman" w:hAnsi="Times New Roman" w:eastAsia="宋体" w:cs="Times New Roman"/>
                <w:b w:val="0"/>
                <w:bCs w:val="0"/>
                <w:snapToGrid w:val="0"/>
                <w:color w:val="000000"/>
                <w:kern w:val="0"/>
                <w:sz w:val="24"/>
                <w:szCs w:val="24"/>
                <w:highlight w:val="none"/>
                <w:lang w:val="en-US" w:eastAsia="zh-CN" w:bidi="ar-SA"/>
              </w:rPr>
              <w:t>收集沉淀后循环使用，不外排。</w:t>
            </w:r>
          </w:p>
          <w:p w14:paraId="101CB5A1">
            <w:pPr>
              <w:pStyle w:val="3"/>
              <w:numPr>
                <w:ilvl w:val="0"/>
                <w:numId w:val="0"/>
              </w:numPr>
              <w:spacing w:line="360" w:lineRule="auto"/>
              <w:ind w:left="0" w:leftChars="0"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②</w:t>
            </w:r>
            <w:r>
              <w:rPr>
                <w:rFonts w:hint="default" w:ascii="Times New Roman" w:hAnsi="Times New Roman" w:eastAsia="宋体" w:cs="Times New Roman"/>
                <w:b w:val="0"/>
                <w:bCs w:val="0"/>
                <w:snapToGrid w:val="0"/>
                <w:color w:val="000000"/>
                <w:kern w:val="0"/>
                <w:sz w:val="24"/>
                <w:szCs w:val="24"/>
                <w:highlight w:val="none"/>
                <w:lang w:val="en-US" w:eastAsia="zh-CN" w:bidi="ar-SA"/>
              </w:rPr>
              <w:t>冷却水</w:t>
            </w:r>
          </w:p>
          <w:p w14:paraId="32D4EDE5">
            <w:pPr>
              <w:pStyle w:val="3"/>
              <w:numPr>
                <w:ilvl w:val="0"/>
                <w:numId w:val="0"/>
              </w:numPr>
              <w:spacing w:line="360" w:lineRule="auto"/>
              <w:ind w:firstLine="480" w:firstLineChars="200"/>
              <w:rPr>
                <w:rFonts w:hint="default" w:ascii="Times New Roman" w:hAnsi="Times New Roman" w:cs="Times New Roman"/>
                <w:highlight w:val="none"/>
                <w:lang w:val="en-US" w:eastAsia="zh-CN"/>
              </w:rPr>
            </w:pPr>
            <w:r>
              <w:rPr>
                <w:rFonts w:hint="default" w:ascii="Times New Roman" w:hAnsi="Times New Roman" w:eastAsia="宋体" w:cs="Times New Roman"/>
                <w:b w:val="0"/>
                <w:bCs w:val="0"/>
                <w:snapToGrid w:val="0"/>
                <w:color w:val="000000"/>
                <w:kern w:val="0"/>
                <w:sz w:val="24"/>
                <w:szCs w:val="24"/>
                <w:highlight w:val="none"/>
                <w:lang w:val="en-US" w:eastAsia="zh-CN" w:bidi="ar-SA"/>
              </w:rPr>
              <w:t>防水卷材生产中需要用水对卷材进行冷却，因蒸发损失和风吹损失，需要定期添加水量，根据企业资料，新鲜水补充量为</w:t>
            </w:r>
            <w:r>
              <w:rPr>
                <w:rFonts w:hint="eastAsia" w:cs="Times New Roman"/>
                <w:b w:val="0"/>
                <w:bCs w:val="0"/>
                <w:snapToGrid w:val="0"/>
                <w:color w:val="000000"/>
                <w:kern w:val="0"/>
                <w:sz w:val="24"/>
                <w:szCs w:val="24"/>
                <w:highlight w:val="none"/>
                <w:lang w:val="en-US" w:eastAsia="zh-CN" w:bidi="ar-SA"/>
              </w:rPr>
              <w:t>959</w:t>
            </w:r>
            <w:r>
              <w:rPr>
                <w:rFonts w:hint="default" w:ascii="Times New Roman" w:hAnsi="Times New Roman" w:eastAsia="宋体" w:cs="Times New Roman"/>
                <w:b w:val="0"/>
                <w:bCs w:val="0"/>
                <w:snapToGrid w:val="0"/>
                <w:color w:val="000000"/>
                <w:kern w:val="0"/>
                <w:sz w:val="24"/>
                <w:szCs w:val="24"/>
                <w:highlight w:val="none"/>
                <w:lang w:val="en-US" w:eastAsia="zh-CN" w:bidi="ar-SA"/>
              </w:rPr>
              <w:t>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vertAlign w:val="baseline"/>
                <w:lang w:val="en-US" w:eastAsia="zh-CN" w:bidi="ar-SA"/>
              </w:rPr>
              <w:t>/a。</w:t>
            </w:r>
            <w:r>
              <w:rPr>
                <w:rFonts w:hint="default" w:ascii="Times New Roman" w:hAnsi="Times New Roman" w:eastAsia="宋体" w:cs="Times New Roman"/>
                <w:b w:val="0"/>
                <w:bCs w:val="0"/>
                <w:snapToGrid w:val="0"/>
                <w:color w:val="000000"/>
                <w:kern w:val="0"/>
                <w:sz w:val="24"/>
                <w:szCs w:val="24"/>
                <w:highlight w:val="none"/>
                <w:lang w:val="en-US" w:eastAsia="zh-CN" w:bidi="ar-SA"/>
              </w:rPr>
              <w:t>冷却水循环使用不外排，</w:t>
            </w:r>
            <w:r>
              <w:rPr>
                <w:rFonts w:hint="default" w:ascii="Times New Roman" w:hAnsi="Times New Roman" w:eastAsia="宋体" w:cs="Times New Roman"/>
                <w:b w:val="0"/>
                <w:bCs w:val="0"/>
                <w:snapToGrid w:val="0"/>
                <w:color w:val="000000"/>
                <w:kern w:val="0"/>
                <w:sz w:val="24"/>
                <w:szCs w:val="24"/>
                <w:highlight w:val="none"/>
                <w:vertAlign w:val="baseline"/>
                <w:lang w:val="en-US" w:eastAsia="zh-CN" w:bidi="ar-SA"/>
              </w:rPr>
              <w:t>车间建有冷却水塔、</w:t>
            </w:r>
            <w:r>
              <w:rPr>
                <w:rFonts w:hint="eastAsia" w:cs="Times New Roman"/>
                <w:b w:val="0"/>
                <w:bCs w:val="0"/>
                <w:snapToGrid w:val="0"/>
                <w:color w:val="000000"/>
                <w:kern w:val="0"/>
                <w:sz w:val="24"/>
                <w:szCs w:val="24"/>
                <w:highlight w:val="none"/>
                <w:vertAlign w:val="baseline"/>
                <w:lang w:val="en-US" w:eastAsia="zh-CN" w:bidi="ar-SA"/>
              </w:rPr>
              <w:t>循环水量</w:t>
            </w:r>
            <w:r>
              <w:rPr>
                <w:rFonts w:hint="default" w:ascii="Times New Roman" w:hAnsi="Times New Roman" w:eastAsia="宋体" w:cs="Times New Roman"/>
                <w:b w:val="0"/>
                <w:bCs w:val="0"/>
                <w:snapToGrid w:val="0"/>
                <w:color w:val="000000"/>
                <w:kern w:val="0"/>
                <w:sz w:val="24"/>
                <w:szCs w:val="24"/>
                <w:highlight w:val="none"/>
                <w:vertAlign w:val="baseline"/>
                <w:lang w:val="en-US" w:eastAsia="zh-CN" w:bidi="ar-SA"/>
              </w:rPr>
              <w:t>用于收集冷却循环用水。</w:t>
            </w:r>
          </w:p>
          <w:p w14:paraId="3D067D31">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③废气处理设施排水</w:t>
            </w:r>
          </w:p>
          <w:p w14:paraId="0850D1E6">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本项目废气处理设施排水经隔油沉淀池收集处理后循环使用不外排。</w:t>
            </w:r>
          </w:p>
          <w:p w14:paraId="4A6C53BA">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（3）生活污水</w:t>
            </w:r>
          </w:p>
          <w:p w14:paraId="0D287896">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根据《排放源统计调查产排污核算方法和系数手册—生活源产排污核算方法和系数手册》，生活用水的折污系数为0.80，则本项目生活污水的产生量为</w:t>
            </w:r>
            <w:r>
              <w:rPr>
                <w:rFonts w:hint="eastAsia" w:cs="Times New Roman"/>
                <w:b w:val="0"/>
                <w:bCs w:val="0"/>
                <w:snapToGrid w:val="0"/>
                <w:color w:val="000000"/>
                <w:kern w:val="0"/>
                <w:sz w:val="24"/>
                <w:szCs w:val="24"/>
                <w:highlight w:val="none"/>
                <w:lang w:val="en-US" w:eastAsia="zh-CN" w:bidi="ar-SA"/>
              </w:rPr>
              <w:t>92.16</w:t>
            </w:r>
            <w:r>
              <w:rPr>
                <w:rFonts w:hint="default" w:ascii="Times New Roman" w:hAnsi="Times New Roman" w:eastAsia="宋体" w:cs="Times New Roman"/>
                <w:b w:val="0"/>
                <w:bCs w:val="0"/>
                <w:snapToGrid w:val="0"/>
                <w:color w:val="000000"/>
                <w:kern w:val="0"/>
                <w:sz w:val="24"/>
                <w:szCs w:val="24"/>
                <w:highlight w:val="none"/>
                <w:lang w:val="en-US" w:eastAsia="zh-CN" w:bidi="ar-SA"/>
              </w:rPr>
              <w:t>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/a。本项目运营期生活污水经园区管网排至高新区海天污水处理厂。</w:t>
            </w:r>
          </w:p>
          <w:p w14:paraId="1A3C21B5">
            <w:pPr>
              <w:spacing w:line="360" w:lineRule="auto"/>
              <w:ind w:firstLine="480" w:firstLineChars="200"/>
              <w:rPr>
                <w:color w:val="auto"/>
                <w:sz w:val="24"/>
                <w:szCs w:val="32"/>
                <w:highlight w:val="none"/>
              </w:rPr>
            </w:pPr>
            <w:r>
              <w:rPr>
                <w:color w:val="auto"/>
                <w:sz w:val="24"/>
                <w:szCs w:val="32"/>
                <w:highlight w:val="none"/>
              </w:rPr>
              <w:t>本项目产生的生活污水水质及污染物产生量详见表</w:t>
            </w:r>
            <w:r>
              <w:rPr>
                <w:rFonts w:hint="eastAsia"/>
                <w:color w:val="auto"/>
                <w:sz w:val="24"/>
                <w:szCs w:val="32"/>
                <w:highlight w:val="none"/>
                <w:lang w:val="en-US" w:eastAsia="zh-CN"/>
              </w:rPr>
              <w:t>4-7</w:t>
            </w:r>
            <w:r>
              <w:rPr>
                <w:color w:val="auto"/>
                <w:sz w:val="24"/>
                <w:szCs w:val="32"/>
                <w:highlight w:val="none"/>
              </w:rPr>
              <w:t>。</w:t>
            </w:r>
          </w:p>
          <w:p w14:paraId="1E577B93">
            <w:pPr>
              <w:pStyle w:val="25"/>
              <w:spacing w:line="240" w:lineRule="auto"/>
              <w:ind w:firstLine="422"/>
              <w:rPr>
                <w:rFonts w:hint="default"/>
                <w:color w:val="auto"/>
                <w:highlight w:val="none"/>
              </w:rPr>
            </w:pPr>
            <w:r>
              <w:rPr>
                <w:rFonts w:hint="default"/>
                <w:color w:val="auto"/>
                <w:highlight w:val="none"/>
              </w:rPr>
              <w:t>表</w:t>
            </w:r>
            <w:r>
              <w:rPr>
                <w:rFonts w:hint="eastAsia"/>
                <w:color w:val="auto"/>
                <w:highlight w:val="none"/>
                <w:lang w:val="en-US" w:eastAsia="zh-CN"/>
              </w:rPr>
              <w:t>4-7</w:t>
            </w:r>
            <w:r>
              <w:rPr>
                <w:rFonts w:hint="default"/>
                <w:color w:val="auto"/>
                <w:highlight w:val="none"/>
              </w:rPr>
              <w:t xml:space="preserve">    本项目生活污水水质及污染物产生量一览表</w:t>
            </w:r>
          </w:p>
          <w:tbl>
            <w:tblPr>
              <w:tblStyle w:val="19"/>
              <w:tblW w:w="4998" w:type="pct"/>
              <w:tblInd w:w="0" w:type="dxa"/>
              <w:tblBorders>
                <w:top w:val="single" w:color="000000" w:sz="12" w:space="0"/>
                <w:left w:val="none" w:color="auto" w:sz="0" w:space="0"/>
                <w:bottom w:val="single" w:color="000000" w:sz="12" w:space="0"/>
                <w:right w:val="none" w:color="auto" w:sz="0" w:space="0"/>
                <w:insideH w:val="single" w:color="000000" w:sz="12" w:space="0"/>
                <w:insideV w:val="single" w:color="000000" w:sz="12" w:space="0"/>
              </w:tblBorders>
              <w:tblLayout w:type="fixed"/>
              <w:tblCellMar>
                <w:top w:w="0" w:type="dxa"/>
                <w:left w:w="0" w:type="dxa"/>
                <w:bottom w:w="0" w:type="dxa"/>
                <w:right w:w="0" w:type="dxa"/>
              </w:tblCellMar>
            </w:tblPr>
            <w:tblGrid>
              <w:gridCol w:w="1942"/>
              <w:gridCol w:w="1515"/>
              <w:gridCol w:w="1198"/>
              <w:gridCol w:w="1198"/>
              <w:gridCol w:w="1193"/>
              <w:gridCol w:w="1200"/>
            </w:tblGrid>
            <w:tr w14:paraId="5EEA33BF">
              <w:tblPrEx>
                <w:tblBorders>
                  <w:top w:val="single" w:color="000000" w:sz="12" w:space="0"/>
                  <w:left w:val="none" w:color="auto" w:sz="0" w:space="0"/>
                  <w:bottom w:val="single" w:color="000000" w:sz="12" w:space="0"/>
                  <w:right w:val="none" w:color="auto" w:sz="0" w:space="0"/>
                  <w:insideH w:val="single" w:color="000000" w:sz="12" w:space="0"/>
                  <w:insideV w:val="single" w:color="000000" w:sz="12" w:space="0"/>
                </w:tblBorders>
                <w:tblCellMar>
                  <w:top w:w="0" w:type="dxa"/>
                  <w:left w:w="0" w:type="dxa"/>
                  <w:bottom w:w="0" w:type="dxa"/>
                  <w:right w:w="0" w:type="dxa"/>
                </w:tblCellMar>
              </w:tblPrEx>
              <w:trPr>
                <w:trHeight w:val="305" w:hRule="atLeast"/>
                <w:tblHeader/>
              </w:trPr>
              <w:tc>
                <w:tcPr>
                  <w:tcW w:w="1177" w:type="pct"/>
                  <w:tcBorders>
                    <w:top w:val="single" w:color="auto" w:sz="4" w:space="0"/>
                    <w:bottom w:val="single" w:color="auto" w:sz="4" w:space="0"/>
                    <w:right w:val="single" w:color="auto" w:sz="4" w:space="0"/>
                  </w:tcBorders>
                  <w:vAlign w:val="center"/>
                </w:tcPr>
                <w:p w14:paraId="0AD9F0CF">
                  <w:pPr>
                    <w:jc w:val="center"/>
                    <w:rPr>
                      <w:b/>
                      <w:bCs/>
                      <w:color w:val="auto"/>
                      <w:szCs w:val="21"/>
                      <w:highlight w:val="none"/>
                    </w:rPr>
                  </w:pPr>
                  <w:r>
                    <w:rPr>
                      <w:b/>
                      <w:bCs/>
                      <w:color w:val="auto"/>
                      <w:szCs w:val="21"/>
                      <w:highlight w:val="none"/>
                    </w:rPr>
                    <w:t>项目</w:t>
                  </w:r>
                </w:p>
              </w:tc>
              <w:tc>
                <w:tcPr>
                  <w:tcW w:w="918" w:type="pct"/>
                  <w:tcBorders>
                    <w:top w:val="single" w:color="auto" w:sz="4" w:space="0"/>
                    <w:left w:val="single" w:color="auto" w:sz="4" w:space="0"/>
                    <w:bottom w:val="single" w:color="auto" w:sz="4" w:space="0"/>
                    <w:right w:val="single" w:color="auto" w:sz="4" w:space="0"/>
                  </w:tcBorders>
                  <w:vAlign w:val="center"/>
                </w:tcPr>
                <w:p w14:paraId="49C57C66">
                  <w:pPr>
                    <w:jc w:val="center"/>
                    <w:rPr>
                      <w:b/>
                      <w:bCs/>
                      <w:color w:val="auto"/>
                      <w:szCs w:val="21"/>
                      <w:highlight w:val="none"/>
                    </w:rPr>
                  </w:pPr>
                  <w:r>
                    <w:rPr>
                      <w:b/>
                      <w:bCs/>
                      <w:color w:val="auto"/>
                      <w:szCs w:val="21"/>
                      <w:highlight w:val="none"/>
                    </w:rPr>
                    <w:t>污水量</w:t>
                  </w:r>
                </w:p>
              </w:tc>
              <w:tc>
                <w:tcPr>
                  <w:tcW w:w="726" w:type="pct"/>
                  <w:tcBorders>
                    <w:top w:val="single" w:color="auto" w:sz="4" w:space="0"/>
                    <w:left w:val="single" w:color="auto" w:sz="4" w:space="0"/>
                    <w:bottom w:val="single" w:color="auto" w:sz="4" w:space="0"/>
                    <w:right w:val="single" w:color="auto" w:sz="4" w:space="0"/>
                  </w:tcBorders>
                  <w:vAlign w:val="center"/>
                </w:tcPr>
                <w:p w14:paraId="3CDFD9A7">
                  <w:pPr>
                    <w:jc w:val="center"/>
                    <w:rPr>
                      <w:b/>
                      <w:bCs/>
                      <w:color w:val="auto"/>
                      <w:szCs w:val="21"/>
                      <w:highlight w:val="none"/>
                    </w:rPr>
                  </w:pPr>
                  <w:r>
                    <w:rPr>
                      <w:b/>
                      <w:bCs/>
                      <w:color w:val="auto"/>
                      <w:szCs w:val="21"/>
                      <w:highlight w:val="none"/>
                    </w:rPr>
                    <w:t>COD</w:t>
                  </w:r>
                  <w:r>
                    <w:rPr>
                      <w:b/>
                      <w:bCs/>
                      <w:color w:val="auto"/>
                      <w:szCs w:val="21"/>
                      <w:highlight w:val="none"/>
                      <w:vertAlign w:val="subscript"/>
                    </w:rPr>
                    <w:t>Cr</w:t>
                  </w:r>
                </w:p>
              </w:tc>
              <w:tc>
                <w:tcPr>
                  <w:tcW w:w="726" w:type="pct"/>
                  <w:tcBorders>
                    <w:top w:val="single" w:color="auto" w:sz="4" w:space="0"/>
                    <w:left w:val="single" w:color="auto" w:sz="4" w:space="0"/>
                    <w:bottom w:val="single" w:color="auto" w:sz="4" w:space="0"/>
                    <w:right w:val="single" w:color="auto" w:sz="4" w:space="0"/>
                  </w:tcBorders>
                  <w:vAlign w:val="center"/>
                </w:tcPr>
                <w:p w14:paraId="61092F73">
                  <w:pPr>
                    <w:jc w:val="center"/>
                    <w:rPr>
                      <w:b/>
                      <w:bCs/>
                      <w:color w:val="auto"/>
                      <w:szCs w:val="21"/>
                      <w:highlight w:val="none"/>
                    </w:rPr>
                  </w:pPr>
                  <w:r>
                    <w:rPr>
                      <w:b/>
                      <w:bCs/>
                      <w:color w:val="auto"/>
                      <w:szCs w:val="21"/>
                      <w:highlight w:val="none"/>
                    </w:rPr>
                    <w:t>BOD</w:t>
                  </w:r>
                  <w:r>
                    <w:rPr>
                      <w:b/>
                      <w:bCs/>
                      <w:color w:val="auto"/>
                      <w:szCs w:val="21"/>
                      <w:highlight w:val="none"/>
                      <w:vertAlign w:val="subscript"/>
                    </w:rPr>
                    <w:t>5</w:t>
                  </w:r>
                </w:p>
              </w:tc>
              <w:tc>
                <w:tcPr>
                  <w:tcW w:w="723" w:type="pct"/>
                  <w:tcBorders>
                    <w:top w:val="single" w:color="auto" w:sz="4" w:space="0"/>
                    <w:left w:val="single" w:color="auto" w:sz="4" w:space="0"/>
                    <w:bottom w:val="single" w:color="auto" w:sz="4" w:space="0"/>
                    <w:right w:val="single" w:color="auto" w:sz="4" w:space="0"/>
                  </w:tcBorders>
                  <w:vAlign w:val="center"/>
                </w:tcPr>
                <w:p w14:paraId="4198160C">
                  <w:pPr>
                    <w:jc w:val="center"/>
                    <w:rPr>
                      <w:b/>
                      <w:bCs/>
                      <w:color w:val="auto"/>
                      <w:szCs w:val="21"/>
                      <w:highlight w:val="none"/>
                    </w:rPr>
                  </w:pPr>
                  <w:r>
                    <w:rPr>
                      <w:b/>
                      <w:bCs/>
                      <w:color w:val="auto"/>
                      <w:szCs w:val="21"/>
                      <w:highlight w:val="none"/>
                    </w:rPr>
                    <w:t>NH</w:t>
                  </w:r>
                  <w:r>
                    <w:rPr>
                      <w:b/>
                      <w:bCs/>
                      <w:color w:val="auto"/>
                      <w:szCs w:val="21"/>
                      <w:highlight w:val="none"/>
                      <w:vertAlign w:val="subscript"/>
                    </w:rPr>
                    <w:t>3</w:t>
                  </w:r>
                  <w:r>
                    <w:rPr>
                      <w:b/>
                      <w:bCs/>
                      <w:color w:val="auto"/>
                      <w:szCs w:val="21"/>
                      <w:highlight w:val="none"/>
                    </w:rPr>
                    <w:t>-N</w:t>
                  </w:r>
                </w:p>
              </w:tc>
              <w:tc>
                <w:tcPr>
                  <w:tcW w:w="727" w:type="pct"/>
                  <w:tcBorders>
                    <w:top w:val="single" w:color="auto" w:sz="4" w:space="0"/>
                    <w:left w:val="single" w:color="auto" w:sz="4" w:space="0"/>
                    <w:bottom w:val="single" w:color="auto" w:sz="4" w:space="0"/>
                  </w:tcBorders>
                  <w:vAlign w:val="center"/>
                </w:tcPr>
                <w:p w14:paraId="45C3B767">
                  <w:pPr>
                    <w:jc w:val="center"/>
                    <w:rPr>
                      <w:b/>
                      <w:bCs/>
                      <w:color w:val="auto"/>
                      <w:szCs w:val="21"/>
                      <w:highlight w:val="none"/>
                    </w:rPr>
                  </w:pPr>
                  <w:r>
                    <w:rPr>
                      <w:b/>
                      <w:bCs/>
                      <w:color w:val="auto"/>
                      <w:szCs w:val="21"/>
                      <w:highlight w:val="none"/>
                    </w:rPr>
                    <w:t>SS</w:t>
                  </w:r>
                </w:p>
              </w:tc>
            </w:tr>
            <w:tr w14:paraId="752FF09F">
              <w:tblPrEx>
                <w:tblBorders>
                  <w:top w:val="single" w:color="000000" w:sz="12" w:space="0"/>
                  <w:left w:val="none" w:color="auto" w:sz="0" w:space="0"/>
                  <w:bottom w:val="single" w:color="000000" w:sz="12" w:space="0"/>
                  <w:right w:val="none" w:color="auto" w:sz="0" w:space="0"/>
                  <w:insideH w:val="single" w:color="000000" w:sz="12" w:space="0"/>
                  <w:insideV w:val="single" w:color="000000" w:sz="12" w:space="0"/>
                </w:tblBorders>
                <w:tblCellMar>
                  <w:top w:w="0" w:type="dxa"/>
                  <w:left w:w="0" w:type="dxa"/>
                  <w:bottom w:w="0" w:type="dxa"/>
                  <w:right w:w="0" w:type="dxa"/>
                </w:tblCellMar>
              </w:tblPrEx>
              <w:trPr>
                <w:trHeight w:val="305" w:hRule="atLeast"/>
              </w:trPr>
              <w:tc>
                <w:tcPr>
                  <w:tcW w:w="1177" w:type="pct"/>
                  <w:tcBorders>
                    <w:top w:val="single" w:color="auto" w:sz="4" w:space="0"/>
                    <w:bottom w:val="single" w:color="auto" w:sz="4" w:space="0"/>
                    <w:right w:val="single" w:color="auto" w:sz="4" w:space="0"/>
                  </w:tcBorders>
                  <w:vAlign w:val="center"/>
                </w:tcPr>
                <w:p w14:paraId="2E1A0847">
                  <w:pPr>
                    <w:jc w:val="center"/>
                    <w:rPr>
                      <w:color w:val="auto"/>
                      <w:szCs w:val="21"/>
                      <w:highlight w:val="none"/>
                    </w:rPr>
                  </w:pPr>
                  <w:r>
                    <w:rPr>
                      <w:color w:val="auto"/>
                      <w:szCs w:val="21"/>
                      <w:highlight w:val="none"/>
                    </w:rPr>
                    <w:t>产生浓度（mg/L）</w:t>
                  </w:r>
                </w:p>
              </w:tc>
              <w:tc>
                <w:tcPr>
                  <w:tcW w:w="918" w:type="pct"/>
                  <w:tcBorders>
                    <w:top w:val="single" w:color="auto" w:sz="4" w:space="0"/>
                    <w:left w:val="single" w:color="auto" w:sz="4" w:space="0"/>
                    <w:bottom w:val="single" w:color="auto" w:sz="4" w:space="0"/>
                    <w:right w:val="single" w:color="auto" w:sz="4" w:space="0"/>
                  </w:tcBorders>
                  <w:vAlign w:val="center"/>
                </w:tcPr>
                <w:p w14:paraId="64D6910D">
                  <w:pPr>
                    <w:jc w:val="center"/>
                    <w:rPr>
                      <w:color w:val="auto"/>
                      <w:szCs w:val="21"/>
                      <w:highlight w:val="none"/>
                    </w:rPr>
                  </w:pPr>
                  <w:r>
                    <w:rPr>
                      <w:color w:val="auto"/>
                      <w:szCs w:val="21"/>
                      <w:highlight w:val="none"/>
                    </w:rPr>
                    <w:t>/</w:t>
                  </w:r>
                </w:p>
              </w:tc>
              <w:tc>
                <w:tcPr>
                  <w:tcW w:w="726" w:type="pct"/>
                  <w:tcBorders>
                    <w:top w:val="single" w:color="auto" w:sz="4" w:space="0"/>
                    <w:left w:val="single" w:color="auto" w:sz="4" w:space="0"/>
                    <w:bottom w:val="single" w:color="auto" w:sz="4" w:space="0"/>
                    <w:right w:val="single" w:color="auto" w:sz="4" w:space="0"/>
                  </w:tcBorders>
                  <w:vAlign w:val="center"/>
                </w:tcPr>
                <w:p w14:paraId="665AB6CB">
                  <w:pPr>
                    <w:jc w:val="center"/>
                    <w:rPr>
                      <w:color w:val="auto"/>
                      <w:szCs w:val="21"/>
                      <w:highlight w:val="none"/>
                    </w:rPr>
                  </w:pPr>
                  <w:r>
                    <w:rPr>
                      <w:color w:val="auto"/>
                      <w:szCs w:val="21"/>
                      <w:highlight w:val="none"/>
                    </w:rPr>
                    <w:t>280</w:t>
                  </w:r>
                </w:p>
              </w:tc>
              <w:tc>
                <w:tcPr>
                  <w:tcW w:w="726" w:type="pct"/>
                  <w:tcBorders>
                    <w:top w:val="single" w:color="auto" w:sz="4" w:space="0"/>
                    <w:left w:val="single" w:color="auto" w:sz="4" w:space="0"/>
                    <w:bottom w:val="single" w:color="auto" w:sz="4" w:space="0"/>
                    <w:right w:val="single" w:color="auto" w:sz="4" w:space="0"/>
                  </w:tcBorders>
                  <w:vAlign w:val="center"/>
                </w:tcPr>
                <w:p w14:paraId="65F65E8C">
                  <w:pPr>
                    <w:jc w:val="center"/>
                    <w:rPr>
                      <w:color w:val="auto"/>
                      <w:szCs w:val="21"/>
                      <w:highlight w:val="none"/>
                    </w:rPr>
                  </w:pPr>
                  <w:r>
                    <w:rPr>
                      <w:color w:val="auto"/>
                      <w:szCs w:val="21"/>
                      <w:highlight w:val="none"/>
                    </w:rPr>
                    <w:t>150</w:t>
                  </w:r>
                </w:p>
              </w:tc>
              <w:tc>
                <w:tcPr>
                  <w:tcW w:w="723" w:type="pct"/>
                  <w:tcBorders>
                    <w:top w:val="single" w:color="auto" w:sz="4" w:space="0"/>
                    <w:left w:val="single" w:color="auto" w:sz="4" w:space="0"/>
                    <w:bottom w:val="single" w:color="auto" w:sz="4" w:space="0"/>
                    <w:right w:val="single" w:color="auto" w:sz="4" w:space="0"/>
                  </w:tcBorders>
                  <w:vAlign w:val="center"/>
                </w:tcPr>
                <w:p w14:paraId="54321CC1">
                  <w:pPr>
                    <w:jc w:val="center"/>
                    <w:rPr>
                      <w:color w:val="auto"/>
                      <w:szCs w:val="21"/>
                      <w:highlight w:val="none"/>
                    </w:rPr>
                  </w:pPr>
                  <w:r>
                    <w:rPr>
                      <w:color w:val="auto"/>
                      <w:szCs w:val="21"/>
                      <w:highlight w:val="none"/>
                    </w:rPr>
                    <w:t>30</w:t>
                  </w:r>
                </w:p>
              </w:tc>
              <w:tc>
                <w:tcPr>
                  <w:tcW w:w="727" w:type="pct"/>
                  <w:tcBorders>
                    <w:top w:val="single" w:color="auto" w:sz="4" w:space="0"/>
                    <w:left w:val="single" w:color="auto" w:sz="4" w:space="0"/>
                    <w:bottom w:val="single" w:color="auto" w:sz="4" w:space="0"/>
                  </w:tcBorders>
                  <w:vAlign w:val="center"/>
                </w:tcPr>
                <w:p w14:paraId="608FCEAE">
                  <w:pPr>
                    <w:jc w:val="center"/>
                    <w:rPr>
                      <w:color w:val="auto"/>
                      <w:szCs w:val="21"/>
                      <w:highlight w:val="none"/>
                    </w:rPr>
                  </w:pPr>
                  <w:r>
                    <w:rPr>
                      <w:color w:val="auto"/>
                      <w:szCs w:val="21"/>
                      <w:highlight w:val="none"/>
                    </w:rPr>
                    <w:t>200</w:t>
                  </w:r>
                </w:p>
              </w:tc>
            </w:tr>
            <w:tr w14:paraId="06AB4B33">
              <w:tblPrEx>
                <w:tblBorders>
                  <w:top w:val="single" w:color="000000" w:sz="12" w:space="0"/>
                  <w:left w:val="none" w:color="auto" w:sz="0" w:space="0"/>
                  <w:bottom w:val="single" w:color="000000" w:sz="12" w:space="0"/>
                  <w:right w:val="none" w:color="auto" w:sz="0" w:space="0"/>
                  <w:insideH w:val="single" w:color="000000" w:sz="12" w:space="0"/>
                  <w:insideV w:val="single" w:color="000000" w:sz="12" w:space="0"/>
                </w:tblBorders>
                <w:tblCellMar>
                  <w:top w:w="0" w:type="dxa"/>
                  <w:left w:w="0" w:type="dxa"/>
                  <w:bottom w:w="0" w:type="dxa"/>
                  <w:right w:w="0" w:type="dxa"/>
                </w:tblCellMar>
              </w:tblPrEx>
              <w:trPr>
                <w:trHeight w:val="305" w:hRule="atLeast"/>
              </w:trPr>
              <w:tc>
                <w:tcPr>
                  <w:tcW w:w="1177" w:type="pct"/>
                  <w:tcBorders>
                    <w:top w:val="single" w:color="auto" w:sz="4" w:space="0"/>
                    <w:bottom w:val="single" w:color="auto" w:sz="4" w:space="0"/>
                    <w:right w:val="single" w:color="auto" w:sz="4" w:space="0"/>
                  </w:tcBorders>
                  <w:vAlign w:val="center"/>
                </w:tcPr>
                <w:p w14:paraId="54E4CAB4">
                  <w:pPr>
                    <w:jc w:val="center"/>
                    <w:rPr>
                      <w:color w:val="auto"/>
                      <w:szCs w:val="21"/>
                      <w:highlight w:val="none"/>
                    </w:rPr>
                  </w:pPr>
                  <w:r>
                    <w:rPr>
                      <w:color w:val="auto"/>
                      <w:szCs w:val="21"/>
                      <w:highlight w:val="none"/>
                    </w:rPr>
                    <w:t>产生量（t/a）</w:t>
                  </w:r>
                </w:p>
              </w:tc>
              <w:tc>
                <w:tcPr>
                  <w:tcW w:w="918" w:type="pct"/>
                  <w:tcBorders>
                    <w:top w:val="single" w:color="auto" w:sz="4" w:space="0"/>
                    <w:left w:val="single" w:color="auto" w:sz="4" w:space="0"/>
                    <w:bottom w:val="single" w:color="auto" w:sz="4" w:space="0"/>
                    <w:right w:val="single" w:color="auto" w:sz="4" w:space="0"/>
                  </w:tcBorders>
                  <w:vAlign w:val="center"/>
                </w:tcPr>
                <w:p w14:paraId="77189F40">
                  <w:pPr>
                    <w:jc w:val="center"/>
                    <w:rPr>
                      <w:color w:val="auto"/>
                      <w:szCs w:val="21"/>
                      <w:highlight w:val="none"/>
                    </w:rPr>
                  </w:pPr>
                  <w:r>
                    <w:rPr>
                      <w:rFonts w:hint="eastAsia"/>
                      <w:color w:val="auto"/>
                      <w:szCs w:val="21"/>
                      <w:highlight w:val="none"/>
                      <w:lang w:val="en-US" w:eastAsia="zh-CN"/>
                    </w:rPr>
                    <w:t>92.16</w:t>
                  </w:r>
                  <w:r>
                    <w:rPr>
                      <w:color w:val="auto"/>
                      <w:szCs w:val="21"/>
                      <w:highlight w:val="none"/>
                    </w:rPr>
                    <w:t>m</w:t>
                  </w:r>
                  <w:r>
                    <w:rPr>
                      <w:color w:val="auto"/>
                      <w:szCs w:val="21"/>
                      <w:highlight w:val="none"/>
                      <w:vertAlign w:val="superscript"/>
                    </w:rPr>
                    <w:t>3</w:t>
                  </w:r>
                  <w:r>
                    <w:rPr>
                      <w:color w:val="auto"/>
                      <w:szCs w:val="21"/>
                      <w:highlight w:val="none"/>
                    </w:rPr>
                    <w:t>/a</w:t>
                  </w:r>
                </w:p>
              </w:tc>
              <w:tc>
                <w:tcPr>
                  <w:tcW w:w="726" w:type="pct"/>
                  <w:tcBorders>
                    <w:top w:val="single" w:color="auto" w:sz="4" w:space="0"/>
                    <w:left w:val="single" w:color="auto" w:sz="4" w:space="0"/>
                    <w:bottom w:val="single" w:color="auto" w:sz="4" w:space="0"/>
                    <w:right w:val="single" w:color="auto" w:sz="4" w:space="0"/>
                  </w:tcBorders>
                  <w:vAlign w:val="center"/>
                </w:tcPr>
                <w:p w14:paraId="7F5E6D55">
                  <w:pPr>
                    <w:jc w:val="center"/>
                    <w:rPr>
                      <w:rFonts w:hint="default" w:eastAsia="宋体"/>
                      <w:color w:val="auto"/>
                      <w:szCs w:val="21"/>
                      <w:highlight w:val="none"/>
                      <w:lang w:val="en-US" w:eastAsia="zh-CN"/>
                    </w:rPr>
                  </w:pPr>
                  <w:r>
                    <w:rPr>
                      <w:rFonts w:hint="eastAsia"/>
                      <w:color w:val="auto"/>
                      <w:szCs w:val="21"/>
                      <w:highlight w:val="none"/>
                      <w:lang w:val="en-US" w:eastAsia="zh-CN"/>
                    </w:rPr>
                    <w:t>0.026</w:t>
                  </w:r>
                </w:p>
              </w:tc>
              <w:tc>
                <w:tcPr>
                  <w:tcW w:w="726" w:type="pct"/>
                  <w:tcBorders>
                    <w:top w:val="single" w:color="auto" w:sz="4" w:space="0"/>
                    <w:left w:val="single" w:color="auto" w:sz="4" w:space="0"/>
                    <w:bottom w:val="single" w:color="auto" w:sz="4" w:space="0"/>
                    <w:right w:val="single" w:color="auto" w:sz="4" w:space="0"/>
                  </w:tcBorders>
                  <w:vAlign w:val="center"/>
                </w:tcPr>
                <w:p w14:paraId="4748E351">
                  <w:pPr>
                    <w:jc w:val="center"/>
                    <w:rPr>
                      <w:rFonts w:hint="default" w:eastAsia="宋体"/>
                      <w:color w:val="auto"/>
                      <w:szCs w:val="21"/>
                      <w:highlight w:val="none"/>
                      <w:lang w:val="en-US" w:eastAsia="zh-CN"/>
                    </w:rPr>
                  </w:pPr>
                  <w:r>
                    <w:rPr>
                      <w:rFonts w:hint="eastAsia"/>
                      <w:color w:val="auto"/>
                      <w:szCs w:val="21"/>
                      <w:highlight w:val="none"/>
                      <w:lang w:val="en-US" w:eastAsia="zh-CN"/>
                    </w:rPr>
                    <w:t>0.014</w:t>
                  </w:r>
                </w:p>
              </w:tc>
              <w:tc>
                <w:tcPr>
                  <w:tcW w:w="723" w:type="pct"/>
                  <w:tcBorders>
                    <w:top w:val="single" w:color="auto" w:sz="4" w:space="0"/>
                    <w:left w:val="single" w:color="auto" w:sz="4" w:space="0"/>
                    <w:bottom w:val="single" w:color="auto" w:sz="4" w:space="0"/>
                    <w:right w:val="single" w:color="auto" w:sz="4" w:space="0"/>
                  </w:tcBorders>
                  <w:vAlign w:val="center"/>
                </w:tcPr>
                <w:p w14:paraId="172FE51E">
                  <w:pPr>
                    <w:jc w:val="center"/>
                    <w:rPr>
                      <w:rFonts w:hint="default" w:eastAsia="宋体"/>
                      <w:color w:val="auto"/>
                      <w:szCs w:val="21"/>
                      <w:highlight w:val="none"/>
                      <w:lang w:val="en-US" w:eastAsia="zh-CN"/>
                    </w:rPr>
                  </w:pPr>
                  <w:r>
                    <w:rPr>
                      <w:rFonts w:hint="eastAsia"/>
                      <w:color w:val="auto"/>
                      <w:szCs w:val="21"/>
                      <w:highlight w:val="none"/>
                      <w:lang w:val="en-US" w:eastAsia="zh-CN"/>
                    </w:rPr>
                    <w:t>0.003</w:t>
                  </w:r>
                </w:p>
              </w:tc>
              <w:tc>
                <w:tcPr>
                  <w:tcW w:w="727" w:type="pct"/>
                  <w:tcBorders>
                    <w:top w:val="single" w:color="auto" w:sz="4" w:space="0"/>
                    <w:left w:val="single" w:color="auto" w:sz="4" w:space="0"/>
                    <w:bottom w:val="single" w:color="auto" w:sz="4" w:space="0"/>
                  </w:tcBorders>
                  <w:vAlign w:val="center"/>
                </w:tcPr>
                <w:p w14:paraId="2E537031">
                  <w:pPr>
                    <w:jc w:val="center"/>
                    <w:rPr>
                      <w:rFonts w:hint="default" w:eastAsia="宋体"/>
                      <w:color w:val="auto"/>
                      <w:szCs w:val="21"/>
                      <w:highlight w:val="none"/>
                      <w:lang w:val="en-US" w:eastAsia="zh-CN"/>
                    </w:rPr>
                  </w:pPr>
                  <w:r>
                    <w:rPr>
                      <w:rFonts w:hint="eastAsia"/>
                      <w:color w:val="auto"/>
                      <w:szCs w:val="21"/>
                      <w:highlight w:val="none"/>
                      <w:lang w:val="en-US" w:eastAsia="zh-CN"/>
                    </w:rPr>
                    <w:t>0.018</w:t>
                  </w:r>
                </w:p>
              </w:tc>
            </w:tr>
            <w:tr w14:paraId="16324E1D">
              <w:tblPrEx>
                <w:tblBorders>
                  <w:top w:val="single" w:color="000000" w:sz="12" w:space="0"/>
                  <w:left w:val="none" w:color="auto" w:sz="0" w:space="0"/>
                  <w:bottom w:val="single" w:color="000000" w:sz="12" w:space="0"/>
                  <w:right w:val="none" w:color="auto" w:sz="0" w:space="0"/>
                  <w:insideH w:val="single" w:color="000000" w:sz="12" w:space="0"/>
                  <w:insideV w:val="single" w:color="000000" w:sz="12" w:space="0"/>
                </w:tblBorders>
                <w:tblCellMar>
                  <w:top w:w="0" w:type="dxa"/>
                  <w:left w:w="0" w:type="dxa"/>
                  <w:bottom w:w="0" w:type="dxa"/>
                  <w:right w:w="0" w:type="dxa"/>
                </w:tblCellMar>
              </w:tblPrEx>
              <w:trPr>
                <w:trHeight w:val="305" w:hRule="atLeast"/>
              </w:trPr>
              <w:tc>
                <w:tcPr>
                  <w:tcW w:w="1177" w:type="pct"/>
                  <w:tcBorders>
                    <w:top w:val="single" w:color="auto" w:sz="4" w:space="0"/>
                    <w:bottom w:val="single" w:color="auto" w:sz="4" w:space="0"/>
                    <w:right w:val="single" w:color="auto" w:sz="4" w:space="0"/>
                  </w:tcBorders>
                  <w:vAlign w:val="center"/>
                </w:tcPr>
                <w:p w14:paraId="31859627">
                  <w:pPr>
                    <w:jc w:val="center"/>
                    <w:rPr>
                      <w:color w:val="auto"/>
                      <w:szCs w:val="21"/>
                      <w:highlight w:val="none"/>
                    </w:rPr>
                  </w:pPr>
                  <w:r>
                    <w:rPr>
                      <w:color w:val="auto"/>
                      <w:szCs w:val="21"/>
                      <w:highlight w:val="none"/>
                    </w:rPr>
                    <w:t>排放浓度（mg/L）</w:t>
                  </w:r>
                </w:p>
              </w:tc>
              <w:tc>
                <w:tcPr>
                  <w:tcW w:w="918" w:type="pct"/>
                  <w:tcBorders>
                    <w:top w:val="single" w:color="auto" w:sz="4" w:space="0"/>
                    <w:left w:val="single" w:color="auto" w:sz="4" w:space="0"/>
                    <w:bottom w:val="single" w:color="auto" w:sz="4" w:space="0"/>
                    <w:right w:val="single" w:color="auto" w:sz="4" w:space="0"/>
                  </w:tcBorders>
                  <w:vAlign w:val="center"/>
                </w:tcPr>
                <w:p w14:paraId="3898C492">
                  <w:pPr>
                    <w:jc w:val="center"/>
                    <w:rPr>
                      <w:color w:val="auto"/>
                      <w:szCs w:val="21"/>
                      <w:highlight w:val="none"/>
                    </w:rPr>
                  </w:pPr>
                  <w:r>
                    <w:rPr>
                      <w:color w:val="auto"/>
                      <w:szCs w:val="21"/>
                      <w:highlight w:val="none"/>
                    </w:rPr>
                    <w:t>/</w:t>
                  </w:r>
                </w:p>
              </w:tc>
              <w:tc>
                <w:tcPr>
                  <w:tcW w:w="726" w:type="pct"/>
                  <w:tcBorders>
                    <w:top w:val="single" w:color="auto" w:sz="4" w:space="0"/>
                    <w:left w:val="single" w:color="auto" w:sz="4" w:space="0"/>
                    <w:bottom w:val="single" w:color="auto" w:sz="4" w:space="0"/>
                    <w:right w:val="single" w:color="auto" w:sz="4" w:space="0"/>
                  </w:tcBorders>
                  <w:vAlign w:val="center"/>
                </w:tcPr>
                <w:p w14:paraId="4AE9ECA9">
                  <w:pPr>
                    <w:jc w:val="center"/>
                    <w:rPr>
                      <w:color w:val="auto"/>
                      <w:szCs w:val="21"/>
                      <w:highlight w:val="none"/>
                    </w:rPr>
                  </w:pPr>
                  <w:r>
                    <w:rPr>
                      <w:color w:val="auto"/>
                      <w:szCs w:val="21"/>
                      <w:highlight w:val="none"/>
                    </w:rPr>
                    <w:t>280</w:t>
                  </w:r>
                </w:p>
              </w:tc>
              <w:tc>
                <w:tcPr>
                  <w:tcW w:w="726" w:type="pct"/>
                  <w:tcBorders>
                    <w:top w:val="single" w:color="auto" w:sz="4" w:space="0"/>
                    <w:left w:val="single" w:color="auto" w:sz="4" w:space="0"/>
                    <w:bottom w:val="single" w:color="auto" w:sz="4" w:space="0"/>
                    <w:right w:val="single" w:color="auto" w:sz="4" w:space="0"/>
                  </w:tcBorders>
                  <w:vAlign w:val="center"/>
                </w:tcPr>
                <w:p w14:paraId="28941389">
                  <w:pPr>
                    <w:jc w:val="center"/>
                    <w:rPr>
                      <w:color w:val="auto"/>
                      <w:szCs w:val="21"/>
                      <w:highlight w:val="none"/>
                    </w:rPr>
                  </w:pPr>
                  <w:r>
                    <w:rPr>
                      <w:color w:val="auto"/>
                      <w:szCs w:val="21"/>
                      <w:highlight w:val="none"/>
                    </w:rPr>
                    <w:t>150</w:t>
                  </w:r>
                </w:p>
              </w:tc>
              <w:tc>
                <w:tcPr>
                  <w:tcW w:w="723" w:type="pct"/>
                  <w:tcBorders>
                    <w:top w:val="single" w:color="auto" w:sz="4" w:space="0"/>
                    <w:left w:val="single" w:color="auto" w:sz="4" w:space="0"/>
                    <w:bottom w:val="single" w:color="auto" w:sz="4" w:space="0"/>
                    <w:right w:val="single" w:color="auto" w:sz="4" w:space="0"/>
                  </w:tcBorders>
                  <w:vAlign w:val="center"/>
                </w:tcPr>
                <w:p w14:paraId="00F8FAFD">
                  <w:pPr>
                    <w:jc w:val="center"/>
                    <w:rPr>
                      <w:color w:val="auto"/>
                      <w:szCs w:val="21"/>
                      <w:highlight w:val="none"/>
                    </w:rPr>
                  </w:pPr>
                  <w:r>
                    <w:rPr>
                      <w:color w:val="auto"/>
                      <w:szCs w:val="21"/>
                      <w:highlight w:val="none"/>
                    </w:rPr>
                    <w:t>30</w:t>
                  </w:r>
                </w:p>
              </w:tc>
              <w:tc>
                <w:tcPr>
                  <w:tcW w:w="727" w:type="pct"/>
                  <w:tcBorders>
                    <w:top w:val="single" w:color="auto" w:sz="4" w:space="0"/>
                    <w:left w:val="single" w:color="auto" w:sz="4" w:space="0"/>
                    <w:bottom w:val="single" w:color="auto" w:sz="4" w:space="0"/>
                  </w:tcBorders>
                  <w:vAlign w:val="center"/>
                </w:tcPr>
                <w:p w14:paraId="1CC50353">
                  <w:pPr>
                    <w:jc w:val="center"/>
                    <w:rPr>
                      <w:color w:val="auto"/>
                      <w:szCs w:val="21"/>
                      <w:highlight w:val="none"/>
                    </w:rPr>
                  </w:pPr>
                  <w:r>
                    <w:rPr>
                      <w:color w:val="auto"/>
                      <w:szCs w:val="21"/>
                      <w:highlight w:val="none"/>
                    </w:rPr>
                    <w:t>200</w:t>
                  </w:r>
                </w:p>
              </w:tc>
            </w:tr>
            <w:tr w14:paraId="1EB20973">
              <w:tblPrEx>
                <w:tblBorders>
                  <w:top w:val="single" w:color="000000" w:sz="12" w:space="0"/>
                  <w:left w:val="none" w:color="auto" w:sz="0" w:space="0"/>
                  <w:bottom w:val="single" w:color="000000" w:sz="12" w:space="0"/>
                  <w:right w:val="none" w:color="auto" w:sz="0" w:space="0"/>
                  <w:insideH w:val="single" w:color="000000" w:sz="12" w:space="0"/>
                  <w:insideV w:val="single" w:color="000000" w:sz="12" w:space="0"/>
                </w:tblBorders>
                <w:tblCellMar>
                  <w:top w:w="0" w:type="dxa"/>
                  <w:left w:w="0" w:type="dxa"/>
                  <w:bottom w:w="0" w:type="dxa"/>
                  <w:right w:w="0" w:type="dxa"/>
                </w:tblCellMar>
              </w:tblPrEx>
              <w:trPr>
                <w:trHeight w:val="316" w:hRule="atLeast"/>
              </w:trPr>
              <w:tc>
                <w:tcPr>
                  <w:tcW w:w="1177" w:type="pct"/>
                  <w:tcBorders>
                    <w:top w:val="single" w:color="auto" w:sz="4" w:space="0"/>
                    <w:bottom w:val="single" w:color="auto" w:sz="4" w:space="0"/>
                    <w:right w:val="single" w:color="auto" w:sz="4" w:space="0"/>
                  </w:tcBorders>
                  <w:vAlign w:val="center"/>
                </w:tcPr>
                <w:p w14:paraId="0124FC0E">
                  <w:pPr>
                    <w:jc w:val="center"/>
                    <w:rPr>
                      <w:color w:val="auto"/>
                      <w:szCs w:val="21"/>
                      <w:highlight w:val="none"/>
                    </w:rPr>
                  </w:pPr>
                  <w:r>
                    <w:rPr>
                      <w:color w:val="auto"/>
                      <w:szCs w:val="21"/>
                      <w:highlight w:val="none"/>
                    </w:rPr>
                    <w:t>排放量（t/a）</w:t>
                  </w:r>
                </w:p>
              </w:tc>
              <w:tc>
                <w:tcPr>
                  <w:tcW w:w="918" w:type="pct"/>
                  <w:tcBorders>
                    <w:top w:val="single" w:color="auto" w:sz="4" w:space="0"/>
                    <w:left w:val="single" w:color="auto" w:sz="4" w:space="0"/>
                    <w:bottom w:val="single" w:color="auto" w:sz="4" w:space="0"/>
                    <w:right w:val="single" w:color="auto" w:sz="4" w:space="0"/>
                  </w:tcBorders>
                  <w:vAlign w:val="center"/>
                </w:tcPr>
                <w:p w14:paraId="5BA071C9">
                  <w:pPr>
                    <w:jc w:val="center"/>
                    <w:rPr>
                      <w:color w:val="auto"/>
                      <w:szCs w:val="21"/>
                      <w:highlight w:val="none"/>
                    </w:rPr>
                  </w:pPr>
                  <w:r>
                    <w:rPr>
                      <w:rFonts w:hint="eastAsia"/>
                      <w:color w:val="auto"/>
                      <w:szCs w:val="21"/>
                      <w:highlight w:val="none"/>
                      <w:lang w:val="en-US" w:eastAsia="zh-CN"/>
                    </w:rPr>
                    <w:t>92.16</w:t>
                  </w:r>
                  <w:r>
                    <w:rPr>
                      <w:color w:val="auto"/>
                      <w:szCs w:val="21"/>
                      <w:highlight w:val="none"/>
                    </w:rPr>
                    <w:t>m</w:t>
                  </w:r>
                  <w:r>
                    <w:rPr>
                      <w:color w:val="auto"/>
                      <w:szCs w:val="21"/>
                      <w:highlight w:val="none"/>
                      <w:vertAlign w:val="superscript"/>
                    </w:rPr>
                    <w:t>3</w:t>
                  </w:r>
                  <w:r>
                    <w:rPr>
                      <w:color w:val="auto"/>
                      <w:szCs w:val="21"/>
                      <w:highlight w:val="none"/>
                    </w:rPr>
                    <w:t>/a</w:t>
                  </w:r>
                </w:p>
              </w:tc>
              <w:tc>
                <w:tcPr>
                  <w:tcW w:w="726" w:type="pct"/>
                  <w:tcBorders>
                    <w:top w:val="single" w:color="auto" w:sz="4" w:space="0"/>
                    <w:left w:val="single" w:color="auto" w:sz="4" w:space="0"/>
                    <w:bottom w:val="single" w:color="auto" w:sz="4" w:space="0"/>
                    <w:right w:val="single" w:color="auto" w:sz="4" w:space="0"/>
                  </w:tcBorders>
                  <w:shd w:val="clear" w:color="auto" w:fill="auto"/>
                  <w:vAlign w:val="center"/>
                </w:tcPr>
                <w:p w14:paraId="106CE85C">
                  <w:pP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0.026</w:t>
                  </w:r>
                </w:p>
              </w:tc>
              <w:tc>
                <w:tcPr>
                  <w:tcW w:w="726" w:type="pct"/>
                  <w:tcBorders>
                    <w:top w:val="single" w:color="auto" w:sz="4" w:space="0"/>
                    <w:left w:val="single" w:color="auto" w:sz="4" w:space="0"/>
                    <w:bottom w:val="single" w:color="auto" w:sz="4" w:space="0"/>
                    <w:right w:val="single" w:color="auto" w:sz="4" w:space="0"/>
                  </w:tcBorders>
                  <w:shd w:val="clear" w:color="auto" w:fill="auto"/>
                  <w:vAlign w:val="center"/>
                </w:tcPr>
                <w:p w14:paraId="4CD7B58D">
                  <w:pP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0.014</w:t>
                  </w:r>
                </w:p>
              </w:tc>
              <w:tc>
                <w:tcPr>
                  <w:tcW w:w="723" w:type="pct"/>
                  <w:tcBorders>
                    <w:top w:val="single" w:color="auto" w:sz="4" w:space="0"/>
                    <w:left w:val="single" w:color="auto" w:sz="4" w:space="0"/>
                    <w:bottom w:val="single" w:color="auto" w:sz="4" w:space="0"/>
                    <w:right w:val="single" w:color="auto" w:sz="4" w:space="0"/>
                  </w:tcBorders>
                  <w:shd w:val="clear" w:color="auto" w:fill="auto"/>
                  <w:vAlign w:val="center"/>
                </w:tcPr>
                <w:p w14:paraId="10A7FAD8">
                  <w:pP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0.003</w:t>
                  </w:r>
                </w:p>
              </w:tc>
              <w:tc>
                <w:tcPr>
                  <w:tcW w:w="727" w:type="pct"/>
                  <w:tcBorders>
                    <w:top w:val="single" w:color="auto" w:sz="4" w:space="0"/>
                    <w:left w:val="single" w:color="auto" w:sz="4" w:space="0"/>
                    <w:bottom w:val="single" w:color="auto" w:sz="4" w:space="0"/>
                  </w:tcBorders>
                  <w:shd w:val="clear" w:color="auto" w:fill="auto"/>
                  <w:vAlign w:val="center"/>
                </w:tcPr>
                <w:p w14:paraId="647BBD50">
                  <w:pP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0.018</w:t>
                  </w:r>
                </w:p>
              </w:tc>
            </w:tr>
          </w:tbl>
          <w:p w14:paraId="3DA68188">
            <w:p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2.2 污水处理可行性分析</w:t>
            </w:r>
          </w:p>
          <w:p w14:paraId="558D4420">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（1）污水处理厂处理规模及工艺</w:t>
            </w:r>
          </w:p>
          <w:p w14:paraId="387BFF73">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高新区海天污水处理厂位于昌吉高新技术产业开发区西北角，201省道以南，该污水处理厂污水接纳范围主要包括昌吉高新技术产业开发区内各企业的工业污水、军户农场和榆树沟镇的生活污水，设计处理规模30000m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/d，项目2012年5月25日一期开工建设，2013年11月15日建成运行，实际处理规模15000</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/d；于2015年11月7日取得新疆环保厅关于其竣工环境保护验收合格的函（新环函〔2015〕1245 号）。园区目前北区和南区废水均接通管网，纳入高新区海天污水处理厂进行处理后达标排放。</w:t>
            </w:r>
          </w:p>
          <w:p w14:paraId="2AECD116">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2018年对原规模30000m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d进行了一级A提标改造，于2018年8月10日取得了《关于昌吉国家高新技术产业开发区污水处理厂一级A提标改造工程环境影响报告表》的批复（昌州环评〔2018〕33号），于2018年8月20日进行了竣工环境保护验收工作。提标改造后污水处理厂工艺为污水→粗格栅及污水提升泵站→细格栅及曝气沉砂池→MBBR池→二沉池→芬顿氧化池→絮凝</w:t>
            </w:r>
            <w:r>
              <w:rPr>
                <w:rFonts w:hint="eastAsia" w:ascii="Times New Roman" w:hAnsi="Times New Roman" w:eastAsia="宋体" w:cs="Times New Roman"/>
                <w:b w:val="0"/>
                <w:bCs w:val="0"/>
                <w:snapToGrid w:val="0"/>
                <w:color w:val="000000"/>
                <w:kern w:val="0"/>
                <w:sz w:val="24"/>
                <w:szCs w:val="24"/>
                <w:highlight w:val="none"/>
                <w:lang w:val="en-US" w:eastAsia="zh-CN" w:bidi="ar-SA"/>
              </w:rPr>
              <w:t>沉淀池</w:t>
            </w:r>
            <w:r>
              <w:rPr>
                <w:rFonts w:hint="default" w:ascii="Times New Roman" w:hAnsi="Times New Roman" w:eastAsia="宋体" w:cs="Times New Roman"/>
                <w:b w:val="0"/>
                <w:bCs w:val="0"/>
                <w:snapToGrid w:val="0"/>
                <w:color w:val="000000"/>
                <w:kern w:val="0"/>
                <w:sz w:val="24"/>
                <w:szCs w:val="24"/>
                <w:highlight w:val="none"/>
                <w:lang w:val="en-US" w:eastAsia="zh-CN" w:bidi="ar-SA"/>
              </w:rPr>
              <w:t>→纤维转盘滤池→紫外消毒渠→出水，污水处理厂出水水质</w:t>
            </w:r>
            <w:r>
              <w:rPr>
                <w:rFonts w:hint="eastAsia" w:cs="Times New Roman"/>
                <w:b w:val="0"/>
                <w:bCs w:val="0"/>
                <w:snapToGrid w:val="0"/>
                <w:color w:val="000000"/>
                <w:kern w:val="0"/>
                <w:sz w:val="24"/>
                <w:szCs w:val="24"/>
                <w:highlight w:val="none"/>
                <w:lang w:val="en-US" w:eastAsia="zh-CN" w:bidi="ar-SA"/>
              </w:rPr>
              <w:t>达到</w:t>
            </w:r>
            <w:r>
              <w:rPr>
                <w:rFonts w:hint="default" w:ascii="Times New Roman" w:hAnsi="Times New Roman" w:eastAsia="宋体" w:cs="Times New Roman"/>
                <w:b w:val="0"/>
                <w:bCs w:val="0"/>
                <w:snapToGrid w:val="0"/>
                <w:color w:val="000000"/>
                <w:kern w:val="0"/>
                <w:sz w:val="24"/>
                <w:szCs w:val="24"/>
                <w:highlight w:val="none"/>
                <w:lang w:val="en-US" w:eastAsia="zh-CN" w:bidi="ar-SA"/>
              </w:rPr>
              <w:t>《城镇污水处理厂污染物排放标准》（GB18918-2002）中的一级A标准，夏季尾水排入污水处理厂西侧的高新区生态灌溉项目蓄水池中，用于高新区工业冷却水、绿化、洗车、浇洒道路、景观用水，冬季尾水排入园区中水库。</w:t>
            </w:r>
          </w:p>
          <w:p w14:paraId="3763E1F1">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高新区海天污水处理厂</w:t>
            </w:r>
            <w:r>
              <w:rPr>
                <w:rFonts w:hint="eastAsia" w:ascii="Times New Roman" w:hAnsi="Times New Roman" w:eastAsia="宋体" w:cs="Times New Roman"/>
                <w:b w:val="0"/>
                <w:bCs w:val="0"/>
                <w:snapToGrid w:val="0"/>
                <w:color w:val="000000"/>
                <w:kern w:val="0"/>
                <w:sz w:val="24"/>
                <w:szCs w:val="24"/>
                <w:highlight w:val="none"/>
                <w:lang w:val="en-US" w:eastAsia="zh-CN" w:bidi="ar-SA"/>
              </w:rPr>
              <w:t>的进水水质：PH为6-9、CODcr为600、BOD</w:t>
            </w:r>
            <w:r>
              <w:rPr>
                <w:rFonts w:hint="eastAsia" w:ascii="Times New Roman" w:hAnsi="Times New Roman" w:eastAsia="宋体" w:cs="Times New Roman"/>
                <w:b w:val="0"/>
                <w:bCs w:val="0"/>
                <w:snapToGrid w:val="0"/>
                <w:color w:val="000000"/>
                <w:kern w:val="0"/>
                <w:sz w:val="24"/>
                <w:szCs w:val="24"/>
                <w:highlight w:val="none"/>
                <w:vertAlign w:val="subscript"/>
                <w:lang w:val="en-US" w:eastAsia="zh-CN" w:bidi="ar-SA"/>
              </w:rPr>
              <w:t>5</w:t>
            </w:r>
            <w:r>
              <w:rPr>
                <w:rFonts w:hint="eastAsia" w:ascii="Times New Roman" w:hAnsi="Times New Roman" w:eastAsia="宋体" w:cs="Times New Roman"/>
                <w:b w:val="0"/>
                <w:bCs w:val="0"/>
                <w:snapToGrid w:val="0"/>
                <w:color w:val="000000"/>
                <w:kern w:val="0"/>
                <w:sz w:val="24"/>
                <w:szCs w:val="24"/>
                <w:highlight w:val="none"/>
                <w:lang w:val="en-US" w:eastAsia="zh-CN" w:bidi="ar-SA"/>
              </w:rPr>
              <w:t>为250、SS为300、氨氮为40、TP为4，根据本项目水质与进水水质做对比，本项目产生的污水能够被</w:t>
            </w:r>
            <w:r>
              <w:rPr>
                <w:rFonts w:hint="default" w:ascii="Times New Roman" w:hAnsi="Times New Roman" w:eastAsia="宋体" w:cs="Times New Roman"/>
                <w:b w:val="0"/>
                <w:bCs w:val="0"/>
                <w:snapToGrid w:val="0"/>
                <w:color w:val="000000"/>
                <w:kern w:val="0"/>
                <w:sz w:val="24"/>
                <w:szCs w:val="24"/>
                <w:highlight w:val="none"/>
                <w:lang w:val="en-US" w:eastAsia="zh-CN" w:bidi="ar-SA"/>
              </w:rPr>
              <w:t>高新区海天污水处理厂</w:t>
            </w:r>
            <w:r>
              <w:rPr>
                <w:rFonts w:hint="eastAsia" w:ascii="Times New Roman" w:hAnsi="Times New Roman" w:eastAsia="宋体" w:cs="Times New Roman"/>
                <w:b w:val="0"/>
                <w:bCs w:val="0"/>
                <w:snapToGrid w:val="0"/>
                <w:color w:val="000000"/>
                <w:kern w:val="0"/>
                <w:sz w:val="24"/>
                <w:szCs w:val="24"/>
                <w:highlight w:val="none"/>
                <w:lang w:val="en-US" w:eastAsia="zh-CN" w:bidi="ar-SA"/>
              </w:rPr>
              <w:t>接收。</w:t>
            </w:r>
            <w:r>
              <w:rPr>
                <w:rFonts w:hint="default" w:ascii="Times New Roman" w:hAnsi="Times New Roman" w:eastAsia="宋体" w:cs="Times New Roman"/>
                <w:b w:val="0"/>
                <w:bCs w:val="0"/>
                <w:snapToGrid w:val="0"/>
                <w:color w:val="000000"/>
                <w:kern w:val="0"/>
                <w:sz w:val="24"/>
                <w:szCs w:val="24"/>
                <w:highlight w:val="none"/>
                <w:lang w:val="en-US" w:eastAsia="zh-CN" w:bidi="ar-SA"/>
              </w:rPr>
              <w:t xml:space="preserve"> </w:t>
            </w:r>
          </w:p>
          <w:p w14:paraId="2C575C4C">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（2）管网衔接</w:t>
            </w:r>
          </w:p>
          <w:p w14:paraId="621EB7F2">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高新区海天污水处理厂的服务范围为园区内生活污水和</w:t>
            </w:r>
            <w:r>
              <w:rPr>
                <w:rFonts w:hint="eastAsia" w:cs="Times New Roman"/>
                <w:b w:val="0"/>
                <w:bCs w:val="0"/>
                <w:snapToGrid w:val="0"/>
                <w:color w:val="000000"/>
                <w:kern w:val="0"/>
                <w:sz w:val="24"/>
                <w:szCs w:val="24"/>
                <w:highlight w:val="none"/>
                <w:lang w:val="en-US" w:eastAsia="zh-CN" w:bidi="ar-SA"/>
              </w:rPr>
              <w:t>生产</w:t>
            </w:r>
            <w:r>
              <w:rPr>
                <w:rFonts w:hint="default" w:ascii="Times New Roman" w:hAnsi="Times New Roman" w:eastAsia="宋体" w:cs="Times New Roman"/>
                <w:b w:val="0"/>
                <w:bCs w:val="0"/>
                <w:snapToGrid w:val="0"/>
                <w:color w:val="000000"/>
                <w:kern w:val="0"/>
                <w:sz w:val="24"/>
                <w:szCs w:val="24"/>
                <w:highlight w:val="none"/>
                <w:lang w:val="en-US" w:eastAsia="zh-CN" w:bidi="ar-SA"/>
              </w:rPr>
              <w:t xml:space="preserve">废水。本项目厂区污水管网已与园区污水管网对接，项目污水通过园区污水管网进入高新区海天污水处理厂可行。 </w:t>
            </w:r>
          </w:p>
          <w:p w14:paraId="5A211CC7">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 xml:space="preserve">（3）水量分析 </w:t>
            </w:r>
          </w:p>
          <w:p w14:paraId="5E8EF6B2">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本项目运营期废水排放量</w:t>
            </w:r>
            <w:r>
              <w:rPr>
                <w:rFonts w:hint="eastAsia" w:cs="Times New Roman"/>
                <w:b w:val="0"/>
                <w:bCs w:val="0"/>
                <w:snapToGrid w:val="0"/>
                <w:color w:val="000000"/>
                <w:kern w:val="0"/>
                <w:sz w:val="24"/>
                <w:szCs w:val="24"/>
                <w:highlight w:val="none"/>
                <w:lang w:val="en-US" w:eastAsia="zh-CN" w:bidi="ar-SA"/>
              </w:rPr>
              <w:t>92.16</w:t>
            </w:r>
            <w:r>
              <w:rPr>
                <w:rFonts w:hint="default" w:ascii="Times New Roman" w:hAnsi="Times New Roman" w:eastAsia="宋体" w:cs="Times New Roman"/>
                <w:b w:val="0"/>
                <w:bCs w:val="0"/>
                <w:snapToGrid w:val="0"/>
                <w:color w:val="000000"/>
                <w:kern w:val="0"/>
                <w:sz w:val="24"/>
                <w:szCs w:val="24"/>
                <w:highlight w:val="none"/>
                <w:lang w:val="en-US" w:eastAsia="zh-CN" w:bidi="ar-SA"/>
              </w:rPr>
              <w:t>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 xml:space="preserve">/a，通过园区污水管网进入高新区海天污水处理厂处理。高新区海天污水处理厂能够满足拟建项目污水处理量的需求，对污水处理厂的运行影响甚微。 </w:t>
            </w:r>
          </w:p>
          <w:p w14:paraId="16B1DC00">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（4）水质</w:t>
            </w:r>
          </w:p>
          <w:p w14:paraId="4BCE8BE7">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高新区海天污水处理厂设计进水水质标准为《污水综合排放标准》（GB8978-1996）中表4第二类污染物最高允许排放浓度中的三级标准（即 COD</w:t>
            </w:r>
            <w:r>
              <w:rPr>
                <w:rFonts w:hint="default" w:ascii="Times New Roman" w:hAnsi="Times New Roman" w:eastAsia="宋体" w:cs="Times New Roman"/>
                <w:b w:val="0"/>
                <w:bCs w:val="0"/>
                <w:snapToGrid w:val="0"/>
                <w:color w:val="000000"/>
                <w:kern w:val="0"/>
                <w:sz w:val="24"/>
                <w:szCs w:val="24"/>
                <w:highlight w:val="none"/>
                <w:vertAlign w:val="subscript"/>
                <w:lang w:val="en-US" w:eastAsia="zh-CN" w:bidi="ar-SA"/>
              </w:rPr>
              <w:t>cr</w:t>
            </w:r>
            <w:r>
              <w:rPr>
                <w:rFonts w:hint="default" w:ascii="Times New Roman" w:hAnsi="Times New Roman" w:eastAsia="宋体" w:cs="Times New Roman"/>
                <w:b w:val="0"/>
                <w:bCs w:val="0"/>
                <w:snapToGrid w:val="0"/>
                <w:color w:val="000000"/>
                <w:kern w:val="0"/>
                <w:sz w:val="24"/>
                <w:szCs w:val="24"/>
                <w:highlight w:val="none"/>
                <w:lang w:val="en-US" w:eastAsia="zh-CN" w:bidi="ar-SA"/>
              </w:rPr>
              <w:t>：500mg/L，BOD</w:t>
            </w:r>
            <w:r>
              <w:rPr>
                <w:rFonts w:hint="default" w:ascii="Times New Roman" w:hAnsi="Times New Roman" w:eastAsia="宋体" w:cs="Times New Roman"/>
                <w:b w:val="0"/>
                <w:bCs w:val="0"/>
                <w:snapToGrid w:val="0"/>
                <w:color w:val="000000"/>
                <w:kern w:val="0"/>
                <w:sz w:val="24"/>
                <w:szCs w:val="24"/>
                <w:highlight w:val="none"/>
                <w:vertAlign w:val="subscript"/>
                <w:lang w:val="en-US" w:eastAsia="zh-CN" w:bidi="ar-SA"/>
              </w:rPr>
              <w:t>5</w:t>
            </w:r>
            <w:r>
              <w:rPr>
                <w:rFonts w:hint="default" w:ascii="Times New Roman" w:hAnsi="Times New Roman" w:eastAsia="宋体" w:cs="Times New Roman"/>
                <w:b w:val="0"/>
                <w:bCs w:val="0"/>
                <w:snapToGrid w:val="0"/>
                <w:color w:val="000000"/>
                <w:kern w:val="0"/>
                <w:sz w:val="24"/>
                <w:szCs w:val="24"/>
                <w:highlight w:val="none"/>
                <w:lang w:val="en-US" w:eastAsia="zh-CN" w:bidi="ar-SA"/>
              </w:rPr>
              <w:t>：300mg/L，SS：400mg/L）；氨氮排放浓度执行《污水排入城镇下水道水质标准》（GB/T31962-2015）中表1污水排入城镇下水道水质控制项目限值中的B级标准45mg/L。本项目废水为生活污水，排入园区污水管网，最终进入高新区海天污水处理厂处理，本项目废水主要污染物为：COD</w:t>
            </w:r>
            <w:r>
              <w:rPr>
                <w:rFonts w:hint="eastAsia" w:ascii="Times New Roman" w:hAnsi="Times New Roman" w:eastAsia="宋体" w:cs="Times New Roman"/>
                <w:b w:val="0"/>
                <w:bCs w:val="0"/>
                <w:snapToGrid w:val="0"/>
                <w:color w:val="000000"/>
                <w:kern w:val="0"/>
                <w:sz w:val="24"/>
                <w:szCs w:val="24"/>
                <w:highlight w:val="none"/>
                <w:lang w:val="en-US" w:eastAsia="zh-CN" w:bidi="ar-SA"/>
              </w:rPr>
              <w:t>、NH</w:t>
            </w:r>
            <w:r>
              <w:rPr>
                <w:rFonts w:hint="eastAsia" w:ascii="Times New Roman" w:hAnsi="Times New Roman" w:eastAsia="宋体" w:cs="Times New Roman"/>
                <w:b w:val="0"/>
                <w:bCs w:val="0"/>
                <w:snapToGrid w:val="0"/>
                <w:color w:val="000000"/>
                <w:kern w:val="0"/>
                <w:sz w:val="24"/>
                <w:szCs w:val="24"/>
                <w:highlight w:val="none"/>
                <w:vertAlign w:val="subscript"/>
                <w:lang w:val="en-US" w:eastAsia="zh-CN" w:bidi="ar-SA"/>
              </w:rPr>
              <w:t>3</w:t>
            </w:r>
            <w:r>
              <w:rPr>
                <w:rFonts w:hint="eastAsia" w:ascii="Times New Roman" w:hAnsi="Times New Roman" w:eastAsia="宋体" w:cs="Times New Roman"/>
                <w:b w:val="0"/>
                <w:bCs w:val="0"/>
                <w:snapToGrid w:val="0"/>
                <w:color w:val="000000"/>
                <w:kern w:val="0"/>
                <w:sz w:val="24"/>
                <w:szCs w:val="24"/>
                <w:highlight w:val="none"/>
                <w:lang w:val="en-US" w:eastAsia="zh-CN" w:bidi="ar-SA"/>
              </w:rPr>
              <w:t>-H</w:t>
            </w:r>
            <w:r>
              <w:rPr>
                <w:rFonts w:hint="default" w:ascii="Times New Roman" w:hAnsi="Times New Roman" w:eastAsia="宋体" w:cs="Times New Roman"/>
                <w:b w:val="0"/>
                <w:bCs w:val="0"/>
                <w:snapToGrid w:val="0"/>
                <w:color w:val="000000"/>
                <w:kern w:val="0"/>
                <w:sz w:val="24"/>
                <w:szCs w:val="24"/>
                <w:highlight w:val="none"/>
                <w:lang w:val="en-US" w:eastAsia="zh-CN" w:bidi="ar-SA"/>
              </w:rPr>
              <w:t>、SS和BOD</w:t>
            </w:r>
            <w:r>
              <w:rPr>
                <w:rFonts w:hint="default" w:ascii="Times New Roman" w:hAnsi="Times New Roman" w:eastAsia="宋体" w:cs="Times New Roman"/>
                <w:b w:val="0"/>
                <w:bCs w:val="0"/>
                <w:snapToGrid w:val="0"/>
                <w:color w:val="000000"/>
                <w:kern w:val="0"/>
                <w:sz w:val="24"/>
                <w:szCs w:val="24"/>
                <w:highlight w:val="none"/>
                <w:vertAlign w:val="subscript"/>
                <w:lang w:val="en-US" w:eastAsia="zh-CN" w:bidi="ar-SA"/>
              </w:rPr>
              <w:t>5</w:t>
            </w:r>
            <w:r>
              <w:rPr>
                <w:rFonts w:hint="default" w:ascii="Times New Roman" w:hAnsi="Times New Roman" w:eastAsia="宋体" w:cs="Times New Roman"/>
                <w:b w:val="0"/>
                <w:bCs w:val="0"/>
                <w:snapToGrid w:val="0"/>
                <w:color w:val="000000"/>
                <w:kern w:val="0"/>
                <w:sz w:val="24"/>
                <w:szCs w:val="24"/>
                <w:highlight w:val="none"/>
                <w:lang w:val="en-US" w:eastAsia="zh-CN" w:bidi="ar-SA"/>
              </w:rPr>
              <w:t>，根据废水排放情况表可知，本项目废水能够满足昌吉高新区污水处理厂设计进水水质标准。</w:t>
            </w:r>
          </w:p>
          <w:p w14:paraId="6F028E5D">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综上所述，从园区污水管网、进水水质与水量的符合性等方面考虑，本项目废水经园区污水管网进入高新区海天污水处理厂处理是可行、可靠的，项目外排废水对高新区海天污水处理厂的冲击负荷很小。</w:t>
            </w:r>
          </w:p>
          <w:p w14:paraId="70B4C448">
            <w:pPr>
              <w:spacing w:line="360" w:lineRule="auto"/>
              <w:rPr>
                <w:rFonts w:hint="default" w:ascii="Times New Roman" w:hAnsi="Times New Roman" w:eastAsia="宋体" w:cs="Times New Roman"/>
                <w:b/>
                <w:bCs/>
                <w:snapToGrid w:val="0"/>
                <w:color w:val="000000"/>
                <w:kern w:val="0"/>
                <w:sz w:val="24"/>
                <w:szCs w:val="24"/>
                <w:highlight w:val="none"/>
                <w:lang w:val="en-US" w:eastAsia="zh-CN" w:bidi="ar-SA"/>
              </w:rPr>
            </w:pPr>
            <w:r>
              <w:rPr>
                <w:rFonts w:hint="default" w:ascii="Times New Roman" w:hAnsi="Times New Roman" w:eastAsia="宋体" w:cs="Times New Roman"/>
                <w:b/>
                <w:bCs/>
                <w:snapToGrid w:val="0"/>
                <w:color w:val="000000"/>
                <w:kern w:val="0"/>
                <w:sz w:val="24"/>
                <w:szCs w:val="24"/>
                <w:highlight w:val="none"/>
                <w:lang w:val="en-US" w:eastAsia="zh-CN" w:bidi="ar-SA"/>
              </w:rPr>
              <w:t>2.3 废水监测计划</w:t>
            </w:r>
          </w:p>
          <w:p w14:paraId="6A2B36D5">
            <w:pPr>
              <w:widowControl/>
              <w:adjustRightInd/>
              <w:snapToGrid/>
              <w:spacing w:line="360" w:lineRule="auto"/>
              <w:ind w:firstLine="480" w:firstLineChars="200"/>
              <w:jc w:val="left"/>
              <w:rPr>
                <w:rFonts w:hint="default" w:ascii="Times New Roman" w:hAnsi="Times New Roman" w:cs="Times New Roman"/>
                <w:highlight w:val="none"/>
                <w:lang w:val="en-US" w:eastAsia="zh-CN"/>
              </w:rPr>
            </w:pPr>
            <w:r>
              <w:rPr>
                <w:rFonts w:hint="default" w:ascii="Times New Roman" w:hAnsi="Times New Roman" w:cs="Times New Roman"/>
                <w:sz w:val="24"/>
                <w:highlight w:val="none"/>
              </w:rPr>
              <w:t>本项目在运营期</w:t>
            </w:r>
            <w:r>
              <w:rPr>
                <w:rFonts w:hint="default" w:ascii="Times New Roman" w:hAnsi="Times New Roman" w:cs="Times New Roman"/>
                <w:sz w:val="24"/>
                <w:highlight w:val="none"/>
                <w:lang w:val="en-US" w:eastAsia="zh-CN"/>
              </w:rPr>
              <w:t>无生产废水外排，生活污水排</w:t>
            </w:r>
            <w:r>
              <w:rPr>
                <w:rFonts w:hint="default" w:ascii="Times New Roman" w:hAnsi="Times New Roman" w:cs="Times New Roman"/>
                <w:color w:val="000000"/>
                <w:sz w:val="24"/>
                <w:highlight w:val="none"/>
                <w:lang w:val="en-US" w:eastAsia="zh-CN"/>
              </w:rPr>
              <w:t>入高新区海天污水处理厂</w:t>
            </w:r>
            <w:r>
              <w:rPr>
                <w:rFonts w:hint="default" w:ascii="Times New Roman" w:hAnsi="Times New Roman" w:cs="Times New Roman"/>
                <w:color w:val="000000"/>
                <w:kern w:val="0"/>
                <w:sz w:val="24"/>
                <w:highlight w:val="none"/>
                <w:lang w:bidi="ar"/>
              </w:rPr>
              <w:t>处理</w:t>
            </w:r>
            <w:r>
              <w:rPr>
                <w:rFonts w:hint="default" w:ascii="Times New Roman" w:hAnsi="Times New Roman" w:cs="Times New Roman"/>
                <w:color w:val="000000"/>
                <w:sz w:val="24"/>
                <w:highlight w:val="none"/>
              </w:rPr>
              <w:t>。</w:t>
            </w:r>
            <w:r>
              <w:rPr>
                <w:rFonts w:hint="default" w:ascii="Times New Roman" w:hAnsi="Times New Roman" w:cs="Times New Roman"/>
                <w:color w:val="000000"/>
                <w:sz w:val="24"/>
                <w:highlight w:val="none"/>
                <w:lang w:val="en-US" w:eastAsia="zh-CN"/>
              </w:rPr>
              <w:t>项目废水</w:t>
            </w:r>
            <w:r>
              <w:rPr>
                <w:rFonts w:hint="default" w:ascii="Times New Roman" w:hAnsi="Times New Roman" w:cs="Times New Roman"/>
                <w:sz w:val="24"/>
                <w:highlight w:val="none"/>
              </w:rPr>
              <w:t>不会对局部环境造成潜在的影响，故不需制定废水监测计划。</w:t>
            </w:r>
          </w:p>
          <w:p w14:paraId="0D51D200">
            <w:pPr>
              <w:pStyle w:val="3"/>
              <w:numPr>
                <w:ilvl w:val="0"/>
                <w:numId w:val="0"/>
              </w:numPr>
              <w:spacing w:line="360" w:lineRule="auto"/>
              <w:rPr>
                <w:rFonts w:hint="default" w:ascii="Times New Roman" w:hAnsi="Times New Roman" w:eastAsia="宋体" w:cs="Times New Roman"/>
                <w:b/>
                <w:bCs/>
                <w:snapToGrid w:val="0"/>
                <w:color w:val="000000"/>
                <w:kern w:val="0"/>
                <w:sz w:val="24"/>
                <w:szCs w:val="24"/>
                <w:highlight w:val="none"/>
                <w:lang w:val="en-US" w:eastAsia="zh-CN" w:bidi="ar-SA"/>
              </w:rPr>
            </w:pPr>
            <w:r>
              <w:rPr>
                <w:rFonts w:hint="default" w:ascii="Times New Roman" w:hAnsi="Times New Roman" w:eastAsia="宋体" w:cs="Times New Roman"/>
                <w:b/>
                <w:bCs/>
                <w:snapToGrid w:val="0"/>
                <w:color w:val="000000"/>
                <w:kern w:val="0"/>
                <w:sz w:val="24"/>
                <w:szCs w:val="24"/>
                <w:highlight w:val="none"/>
                <w:lang w:val="en-US" w:eastAsia="zh-CN" w:bidi="ar-SA"/>
              </w:rPr>
              <w:t>3 声环境影响分析</w:t>
            </w:r>
          </w:p>
          <w:p w14:paraId="24536B9B">
            <w:pPr>
              <w:spacing w:line="360" w:lineRule="auto"/>
              <w:rPr>
                <w:rFonts w:hint="default" w:ascii="Times New Roman" w:hAnsi="Times New Roman" w:cs="Times New Roman"/>
                <w:highlight w:val="none"/>
                <w:lang w:val="en-US" w:eastAsia="zh-CN"/>
              </w:rPr>
            </w:pPr>
            <w:r>
              <w:rPr>
                <w:rFonts w:hint="default" w:ascii="Times New Roman" w:hAnsi="Times New Roman" w:eastAsia="宋体" w:cs="Times New Roman"/>
                <w:b/>
                <w:bCs/>
                <w:snapToGrid w:val="0"/>
                <w:color w:val="000000"/>
                <w:kern w:val="0"/>
                <w:sz w:val="24"/>
                <w:szCs w:val="24"/>
                <w:highlight w:val="none"/>
                <w:lang w:val="en-US" w:eastAsia="zh-CN" w:bidi="ar-SA"/>
              </w:rPr>
              <w:t>3.1 噪声源分析</w:t>
            </w:r>
          </w:p>
          <w:p w14:paraId="2FCEC697">
            <w:pPr>
              <w:widowControl/>
              <w:adjustRightInd/>
              <w:snapToGrid/>
              <w:spacing w:line="360" w:lineRule="auto"/>
              <w:ind w:firstLine="480" w:firstLineChars="200"/>
              <w:jc w:val="left"/>
              <w:rPr>
                <w:rFonts w:hint="default" w:ascii="Times New Roman" w:hAnsi="Times New Roman" w:eastAsia="宋体" w:cs="Times New Roman"/>
                <w:b w:val="0"/>
                <w:bCs w:val="0"/>
                <w:kern w:val="2"/>
                <w:sz w:val="24"/>
                <w:szCs w:val="24"/>
                <w:highlight w:val="none"/>
                <w:lang w:val="en-US" w:eastAsia="zh-CN" w:bidi="ar-SA"/>
              </w:rPr>
            </w:pPr>
            <w:r>
              <w:rPr>
                <w:rFonts w:hint="default" w:ascii="Times New Roman" w:hAnsi="Times New Roman" w:eastAsia="宋体" w:cs="Times New Roman"/>
                <w:b w:val="0"/>
                <w:bCs w:val="0"/>
                <w:kern w:val="2"/>
                <w:sz w:val="24"/>
                <w:szCs w:val="24"/>
                <w:highlight w:val="none"/>
                <w:lang w:val="en-US" w:eastAsia="zh-CN" w:bidi="ar-SA"/>
              </w:rPr>
              <w:t>本项目</w:t>
            </w:r>
            <w:r>
              <w:rPr>
                <w:rFonts w:hint="default" w:ascii="Times New Roman" w:hAnsi="Times New Roman" w:eastAsia="宋体" w:cs="Times New Roman"/>
                <w:sz w:val="24"/>
                <w:highlight w:val="none"/>
                <w:lang w:val="en-US" w:eastAsia="zh-CN"/>
              </w:rPr>
              <w:t>运营期</w:t>
            </w:r>
            <w:r>
              <w:rPr>
                <w:rFonts w:hint="default" w:ascii="Times New Roman" w:hAnsi="Times New Roman" w:eastAsia="宋体" w:cs="Times New Roman"/>
                <w:b w:val="0"/>
                <w:bCs w:val="0"/>
                <w:kern w:val="2"/>
                <w:sz w:val="24"/>
                <w:szCs w:val="24"/>
                <w:highlight w:val="none"/>
                <w:lang w:val="en-US" w:eastAsia="zh-CN" w:bidi="ar-SA"/>
              </w:rPr>
              <w:t>主要噪声源排放情况见表4-</w:t>
            </w:r>
            <w:r>
              <w:rPr>
                <w:rFonts w:hint="eastAsia" w:cs="Times New Roman"/>
                <w:b w:val="0"/>
                <w:bCs w:val="0"/>
                <w:kern w:val="2"/>
                <w:sz w:val="24"/>
                <w:szCs w:val="24"/>
                <w:highlight w:val="none"/>
                <w:lang w:val="en-US" w:eastAsia="zh-CN" w:bidi="ar-SA"/>
              </w:rPr>
              <w:t>8</w:t>
            </w:r>
            <w:r>
              <w:rPr>
                <w:rFonts w:hint="eastAsia" w:ascii="Times New Roman" w:hAnsi="Times New Roman" w:eastAsia="宋体" w:cs="Times New Roman"/>
                <w:b w:val="0"/>
                <w:bCs w:val="0"/>
                <w:kern w:val="2"/>
                <w:sz w:val="24"/>
                <w:szCs w:val="24"/>
                <w:highlight w:val="none"/>
                <w:lang w:val="en-US" w:eastAsia="zh-CN" w:bidi="ar-SA"/>
              </w:rPr>
              <w:t>、表4-</w:t>
            </w:r>
            <w:r>
              <w:rPr>
                <w:rFonts w:hint="eastAsia" w:cs="Times New Roman"/>
                <w:b w:val="0"/>
                <w:bCs w:val="0"/>
                <w:kern w:val="2"/>
                <w:sz w:val="24"/>
                <w:szCs w:val="24"/>
                <w:highlight w:val="none"/>
                <w:lang w:val="en-US" w:eastAsia="zh-CN" w:bidi="ar-SA"/>
              </w:rPr>
              <w:t>9</w:t>
            </w:r>
            <w:r>
              <w:rPr>
                <w:rFonts w:hint="default" w:ascii="Times New Roman" w:hAnsi="Times New Roman" w:eastAsia="宋体" w:cs="Times New Roman"/>
                <w:b w:val="0"/>
                <w:bCs w:val="0"/>
                <w:kern w:val="2"/>
                <w:sz w:val="24"/>
                <w:szCs w:val="24"/>
                <w:highlight w:val="none"/>
                <w:lang w:val="en-US" w:eastAsia="zh-CN" w:bidi="ar-SA"/>
              </w:rPr>
              <w:t>。</w:t>
            </w:r>
          </w:p>
          <w:p w14:paraId="404CF9BC">
            <w:pPr>
              <w:widowControl/>
              <w:adjustRightInd/>
              <w:snapToGrid/>
              <w:spacing w:line="240" w:lineRule="auto"/>
              <w:ind w:firstLine="422" w:firstLineChars="200"/>
              <w:jc w:val="center"/>
              <w:rPr>
                <w:rFonts w:hint="eastAsia"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4-</w:t>
            </w:r>
            <w:r>
              <w:rPr>
                <w:rFonts w:hint="eastAsia" w:cs="Times New Roman"/>
                <w:b/>
                <w:bCs/>
                <w:color w:val="auto"/>
                <w:sz w:val="21"/>
                <w:szCs w:val="21"/>
                <w:highlight w:val="none"/>
                <w:lang w:val="en-US" w:eastAsia="zh-CN"/>
              </w:rPr>
              <w:t>8</w:t>
            </w:r>
            <w:r>
              <w:rPr>
                <w:rFonts w:hint="default" w:ascii="Times New Roman" w:hAnsi="Times New Roman" w:cs="Times New Roman"/>
                <w:b/>
                <w:bCs/>
                <w:color w:val="auto"/>
                <w:sz w:val="21"/>
                <w:szCs w:val="21"/>
                <w:highlight w:val="none"/>
                <w:lang w:val="en-US" w:eastAsia="zh-CN"/>
              </w:rPr>
              <w:t xml:space="preserve"> </w:t>
            </w:r>
            <w:r>
              <w:rPr>
                <w:rFonts w:hint="eastAsia" w:ascii="Times New Roman" w:hAnsi="Times New Roman" w:cs="Times New Roman"/>
                <w:b/>
                <w:bCs/>
                <w:color w:val="auto"/>
                <w:sz w:val="21"/>
                <w:szCs w:val="21"/>
                <w:highlight w:val="none"/>
                <w:lang w:val="en-US" w:eastAsia="zh-CN"/>
              </w:rPr>
              <w:t xml:space="preserve">   </w:t>
            </w:r>
            <w:r>
              <w:rPr>
                <w:rFonts w:hint="default" w:ascii="Times New Roman" w:hAnsi="Times New Roman" w:cs="Times New Roman"/>
                <w:b/>
                <w:bCs/>
                <w:color w:val="auto"/>
                <w:sz w:val="21"/>
                <w:szCs w:val="21"/>
                <w:highlight w:val="none"/>
                <w:lang w:val="en-US" w:eastAsia="zh-CN"/>
              </w:rPr>
              <w:t>主要</w:t>
            </w:r>
            <w:r>
              <w:rPr>
                <w:rFonts w:hint="eastAsia" w:cs="Times New Roman"/>
                <w:b/>
                <w:bCs/>
                <w:color w:val="auto"/>
                <w:sz w:val="21"/>
                <w:szCs w:val="21"/>
                <w:highlight w:val="none"/>
                <w:lang w:val="en-US" w:eastAsia="zh-CN"/>
              </w:rPr>
              <w:t>噪声源</w:t>
            </w:r>
            <w:r>
              <w:rPr>
                <w:rFonts w:hint="default" w:ascii="Times New Roman" w:hAnsi="Times New Roman" w:cs="Times New Roman"/>
                <w:b/>
                <w:bCs/>
                <w:color w:val="auto"/>
                <w:sz w:val="21"/>
                <w:szCs w:val="21"/>
                <w:highlight w:val="none"/>
              </w:rPr>
              <w:t>调查清单</w:t>
            </w:r>
            <w:r>
              <w:rPr>
                <w:rFonts w:hint="eastAsia" w:ascii="Times New Roman" w:hAnsi="Times New Roman" w:cs="Times New Roman"/>
                <w:b/>
                <w:bCs/>
                <w:color w:val="auto"/>
                <w:sz w:val="21"/>
                <w:szCs w:val="21"/>
                <w:highlight w:val="none"/>
                <w:lang w:eastAsia="zh-CN"/>
              </w:rPr>
              <w:t>（</w:t>
            </w:r>
            <w:r>
              <w:rPr>
                <w:rFonts w:hint="eastAsia" w:ascii="Times New Roman" w:hAnsi="Times New Roman" w:cs="Times New Roman"/>
                <w:b/>
                <w:bCs/>
                <w:color w:val="auto"/>
                <w:sz w:val="21"/>
                <w:szCs w:val="21"/>
                <w:highlight w:val="none"/>
                <w:lang w:val="en-US" w:eastAsia="zh-CN"/>
              </w:rPr>
              <w:t>室内声源</w:t>
            </w:r>
            <w:r>
              <w:rPr>
                <w:rFonts w:hint="eastAsia" w:ascii="Times New Roman" w:hAnsi="Times New Roman" w:cs="Times New Roman"/>
                <w:b/>
                <w:bCs/>
                <w:color w:val="auto"/>
                <w:sz w:val="21"/>
                <w:szCs w:val="21"/>
                <w:highlight w:val="none"/>
                <w:lang w:eastAsia="zh-CN"/>
              </w:rPr>
              <w:t>）</w:t>
            </w:r>
          </w:p>
          <w:tbl>
            <w:tblPr>
              <w:tblStyle w:val="19"/>
              <w:tblW w:w="5000"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376"/>
              <w:gridCol w:w="738"/>
              <w:gridCol w:w="352"/>
              <w:gridCol w:w="274"/>
              <w:gridCol w:w="651"/>
              <w:gridCol w:w="547"/>
              <w:gridCol w:w="377"/>
              <w:gridCol w:w="434"/>
              <w:gridCol w:w="327"/>
              <w:gridCol w:w="803"/>
              <w:gridCol w:w="728"/>
              <w:gridCol w:w="552"/>
              <w:gridCol w:w="699"/>
              <w:gridCol w:w="654"/>
              <w:gridCol w:w="737"/>
            </w:tblGrid>
            <w:tr w14:paraId="0418F3C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27" w:type="pct"/>
                  <w:vMerge w:val="restart"/>
                  <w:noWrap w:val="0"/>
                  <w:vAlign w:val="center"/>
                </w:tcPr>
                <w:p w14:paraId="0749EE33">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建筑物名称</w:t>
                  </w:r>
                </w:p>
              </w:tc>
              <w:tc>
                <w:tcPr>
                  <w:tcW w:w="447" w:type="pct"/>
                  <w:vMerge w:val="restart"/>
                  <w:noWrap w:val="0"/>
                  <w:vAlign w:val="center"/>
                </w:tcPr>
                <w:p w14:paraId="4EED47AA">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名称</w:t>
                  </w:r>
                </w:p>
              </w:tc>
              <w:tc>
                <w:tcPr>
                  <w:tcW w:w="213" w:type="pct"/>
                  <w:vMerge w:val="restart"/>
                  <w:noWrap w:val="0"/>
                  <w:vAlign w:val="center"/>
                </w:tcPr>
                <w:p w14:paraId="21F78F2A">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型号</w:t>
                  </w:r>
                </w:p>
              </w:tc>
              <w:tc>
                <w:tcPr>
                  <w:tcW w:w="166" w:type="pct"/>
                  <w:vMerge w:val="restart"/>
                  <w:noWrap w:val="0"/>
                  <w:vAlign w:val="center"/>
                </w:tcPr>
                <w:p w14:paraId="2C316113">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数量(套）</w:t>
                  </w:r>
                </w:p>
              </w:tc>
              <w:tc>
                <w:tcPr>
                  <w:tcW w:w="394" w:type="pct"/>
                  <w:vMerge w:val="restart"/>
                  <w:noWrap w:val="0"/>
                  <w:vAlign w:val="center"/>
                </w:tcPr>
                <w:p w14:paraId="7F5CE897">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单台设备声源源强dB(A)</w:t>
                  </w:r>
                </w:p>
              </w:tc>
              <w:tc>
                <w:tcPr>
                  <w:tcW w:w="331" w:type="pct"/>
                  <w:vMerge w:val="restart"/>
                  <w:noWrap w:val="0"/>
                  <w:vAlign w:val="center"/>
                </w:tcPr>
                <w:p w14:paraId="35AEDB68">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声源控制措施</w:t>
                  </w:r>
                </w:p>
              </w:tc>
              <w:tc>
                <w:tcPr>
                  <w:tcW w:w="689" w:type="pct"/>
                  <w:gridSpan w:val="3"/>
                  <w:noWrap w:val="0"/>
                  <w:vAlign w:val="center"/>
                </w:tcPr>
                <w:p w14:paraId="39DBE867">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空间相对位置</w:t>
                  </w:r>
                </w:p>
              </w:tc>
              <w:tc>
                <w:tcPr>
                  <w:tcW w:w="486" w:type="pct"/>
                  <w:vMerge w:val="restart"/>
                  <w:noWrap w:val="0"/>
                  <w:vAlign w:val="center"/>
                </w:tcPr>
                <w:p w14:paraId="1260AEEF">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距室内</w:t>
                  </w:r>
                  <w:r>
                    <w:rPr>
                      <w:rFonts w:hint="eastAsia" w:cs="Times New Roman"/>
                      <w:b/>
                      <w:bCs/>
                      <w:color w:val="auto"/>
                      <w:sz w:val="21"/>
                      <w:szCs w:val="21"/>
                      <w:highlight w:val="none"/>
                      <w:lang w:val="en-US" w:eastAsia="zh-CN"/>
                    </w:rPr>
                    <w:t>最近</w:t>
                  </w:r>
                  <w:r>
                    <w:rPr>
                      <w:rFonts w:hint="default" w:ascii="Times New Roman" w:hAnsi="Times New Roman" w:eastAsia="宋体" w:cs="Times New Roman"/>
                      <w:b/>
                      <w:bCs/>
                      <w:color w:val="auto"/>
                      <w:sz w:val="21"/>
                      <w:szCs w:val="21"/>
                      <w:highlight w:val="none"/>
                    </w:rPr>
                    <w:t>边界距离/m</w:t>
                  </w:r>
                </w:p>
              </w:tc>
              <w:tc>
                <w:tcPr>
                  <w:tcW w:w="441" w:type="pct"/>
                  <w:vMerge w:val="restart"/>
                  <w:noWrap w:val="0"/>
                  <w:vAlign w:val="center"/>
                </w:tcPr>
                <w:p w14:paraId="7F55D331">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室内边界声级/dB(A)</w:t>
                  </w:r>
                </w:p>
              </w:tc>
              <w:tc>
                <w:tcPr>
                  <w:tcW w:w="334" w:type="pct"/>
                  <w:vMerge w:val="restart"/>
                  <w:noWrap w:val="0"/>
                  <w:vAlign w:val="center"/>
                </w:tcPr>
                <w:p w14:paraId="0DA4EBA0">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rPr>
                    <w:t>运行时段</w:t>
                  </w:r>
                </w:p>
                <w:p w14:paraId="1694752D">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423" w:type="pct"/>
                  <w:vMerge w:val="restart"/>
                  <w:noWrap w:val="0"/>
                  <w:vAlign w:val="center"/>
                </w:tcPr>
                <w:p w14:paraId="7FA413E2">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建筑插入损失/dB(A)</w:t>
                  </w:r>
                </w:p>
              </w:tc>
              <w:tc>
                <w:tcPr>
                  <w:tcW w:w="843" w:type="pct"/>
                  <w:gridSpan w:val="2"/>
                  <w:noWrap w:val="0"/>
                  <w:vAlign w:val="center"/>
                </w:tcPr>
                <w:p w14:paraId="34D33B6B">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建筑物外噪声</w:t>
                  </w:r>
                </w:p>
              </w:tc>
            </w:tr>
            <w:tr w14:paraId="60CB3EC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27" w:type="pct"/>
                  <w:vMerge w:val="continue"/>
                  <w:tcBorders>
                    <w:bottom w:val="single" w:color="auto" w:sz="8" w:space="0"/>
                  </w:tcBorders>
                  <w:noWrap w:val="0"/>
                  <w:vAlign w:val="center"/>
                </w:tcPr>
                <w:p w14:paraId="2F1C9472">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447" w:type="pct"/>
                  <w:vMerge w:val="continue"/>
                  <w:tcBorders>
                    <w:bottom w:val="single" w:color="auto" w:sz="8" w:space="0"/>
                  </w:tcBorders>
                  <w:noWrap w:val="0"/>
                  <w:vAlign w:val="center"/>
                </w:tcPr>
                <w:p w14:paraId="056A2F40">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213" w:type="pct"/>
                  <w:vMerge w:val="continue"/>
                  <w:tcBorders>
                    <w:bottom w:val="single" w:color="auto" w:sz="8" w:space="0"/>
                  </w:tcBorders>
                  <w:noWrap w:val="0"/>
                  <w:vAlign w:val="center"/>
                </w:tcPr>
                <w:p w14:paraId="787FF0D5">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166" w:type="pct"/>
                  <w:vMerge w:val="continue"/>
                  <w:tcBorders>
                    <w:bottom w:val="single" w:color="auto" w:sz="8" w:space="0"/>
                  </w:tcBorders>
                  <w:noWrap w:val="0"/>
                  <w:vAlign w:val="center"/>
                </w:tcPr>
                <w:p w14:paraId="1DF984BA">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394" w:type="pct"/>
                  <w:vMerge w:val="continue"/>
                  <w:tcBorders>
                    <w:bottom w:val="single" w:color="auto" w:sz="8" w:space="0"/>
                  </w:tcBorders>
                  <w:noWrap w:val="0"/>
                  <w:vAlign w:val="center"/>
                </w:tcPr>
                <w:p w14:paraId="5FEB15B7">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331" w:type="pct"/>
                  <w:vMerge w:val="continue"/>
                  <w:tcBorders>
                    <w:bottom w:val="single" w:color="auto" w:sz="8" w:space="0"/>
                  </w:tcBorders>
                  <w:noWrap w:val="0"/>
                  <w:vAlign w:val="center"/>
                </w:tcPr>
                <w:p w14:paraId="0C5AF5B8">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228" w:type="pct"/>
                  <w:tcBorders>
                    <w:bottom w:val="single" w:color="auto" w:sz="8" w:space="0"/>
                  </w:tcBorders>
                  <w:noWrap w:val="0"/>
                  <w:vAlign w:val="center"/>
                </w:tcPr>
                <w:p w14:paraId="01392D1B">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X</w:t>
                  </w:r>
                </w:p>
              </w:tc>
              <w:tc>
                <w:tcPr>
                  <w:tcW w:w="263" w:type="pct"/>
                  <w:tcBorders>
                    <w:bottom w:val="single" w:color="auto" w:sz="8" w:space="0"/>
                  </w:tcBorders>
                  <w:noWrap w:val="0"/>
                  <w:vAlign w:val="center"/>
                </w:tcPr>
                <w:p w14:paraId="0250FD9A">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Y</w:t>
                  </w:r>
                </w:p>
              </w:tc>
              <w:tc>
                <w:tcPr>
                  <w:tcW w:w="198" w:type="pct"/>
                  <w:tcBorders>
                    <w:bottom w:val="single" w:color="auto" w:sz="8" w:space="0"/>
                  </w:tcBorders>
                  <w:noWrap w:val="0"/>
                  <w:vAlign w:val="center"/>
                </w:tcPr>
                <w:p w14:paraId="0E2280E3">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Z</w:t>
                  </w:r>
                </w:p>
              </w:tc>
              <w:tc>
                <w:tcPr>
                  <w:tcW w:w="486" w:type="pct"/>
                  <w:vMerge w:val="continue"/>
                  <w:tcBorders>
                    <w:bottom w:val="single" w:color="auto" w:sz="8" w:space="0"/>
                  </w:tcBorders>
                  <w:noWrap w:val="0"/>
                  <w:vAlign w:val="center"/>
                </w:tcPr>
                <w:p w14:paraId="045526ED">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441" w:type="pct"/>
                  <w:vMerge w:val="continue"/>
                  <w:tcBorders>
                    <w:bottom w:val="single" w:color="auto" w:sz="8" w:space="0"/>
                  </w:tcBorders>
                  <w:noWrap w:val="0"/>
                  <w:vAlign w:val="center"/>
                </w:tcPr>
                <w:p w14:paraId="7087F103">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334" w:type="pct"/>
                  <w:vMerge w:val="continue"/>
                  <w:tcBorders>
                    <w:bottom w:val="single" w:color="auto" w:sz="8" w:space="0"/>
                  </w:tcBorders>
                  <w:noWrap w:val="0"/>
                  <w:vAlign w:val="center"/>
                </w:tcPr>
                <w:p w14:paraId="6B677EEB">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423" w:type="pct"/>
                  <w:vMerge w:val="continue"/>
                  <w:tcBorders>
                    <w:bottom w:val="single" w:color="auto" w:sz="8" w:space="0"/>
                  </w:tcBorders>
                  <w:noWrap w:val="0"/>
                  <w:vAlign w:val="center"/>
                </w:tcPr>
                <w:p w14:paraId="7A9C92C4">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396" w:type="pct"/>
                  <w:tcBorders>
                    <w:bottom w:val="single" w:color="auto" w:sz="8" w:space="0"/>
                  </w:tcBorders>
                  <w:noWrap w:val="0"/>
                  <w:vAlign w:val="center"/>
                </w:tcPr>
                <w:p w14:paraId="49A3CDAA">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声压级/dB(A)</w:t>
                  </w:r>
                </w:p>
              </w:tc>
              <w:tc>
                <w:tcPr>
                  <w:tcW w:w="446" w:type="pct"/>
                  <w:tcBorders>
                    <w:bottom w:val="single" w:color="auto" w:sz="8" w:space="0"/>
                  </w:tcBorders>
                  <w:noWrap w:val="0"/>
                  <w:vAlign w:val="center"/>
                </w:tcPr>
                <w:p w14:paraId="7324A512">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建筑物外距离（m）</w:t>
                  </w:r>
                </w:p>
              </w:tc>
            </w:tr>
            <w:tr w14:paraId="7308E8E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227" w:type="pct"/>
                  <w:vMerge w:val="restart"/>
                  <w:tcBorders>
                    <w:top w:val="single" w:color="auto" w:sz="8" w:space="0"/>
                    <w:tl2br w:val="nil"/>
                    <w:tr2bl w:val="nil"/>
                  </w:tcBorders>
                  <w:noWrap w:val="0"/>
                  <w:vAlign w:val="center"/>
                </w:tcPr>
                <w:p w14:paraId="3536303B">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生产车间</w:t>
                  </w:r>
                </w:p>
              </w:tc>
              <w:tc>
                <w:tcPr>
                  <w:tcW w:w="447" w:type="pct"/>
                  <w:tcBorders>
                    <w:top w:val="single" w:color="auto" w:sz="8" w:space="0"/>
                    <w:tl2br w:val="nil"/>
                    <w:tr2bl w:val="nil"/>
                  </w:tcBorders>
                  <w:shd w:val="clear" w:color="auto" w:fill="auto"/>
                  <w:noWrap w:val="0"/>
                  <w:vAlign w:val="center"/>
                </w:tcPr>
                <w:p w14:paraId="5F9A7F5C">
                  <w:pPr>
                    <w:pStyle w:val="28"/>
                    <w:ind w:left="0" w:leftChars="0" w:right="0" w:rightChars="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上料系统</w:t>
                  </w:r>
                </w:p>
              </w:tc>
              <w:tc>
                <w:tcPr>
                  <w:tcW w:w="213" w:type="pct"/>
                  <w:tcBorders>
                    <w:top w:val="single" w:color="auto" w:sz="8" w:space="0"/>
                    <w:tl2br w:val="nil"/>
                    <w:tr2bl w:val="nil"/>
                  </w:tcBorders>
                  <w:shd w:val="clear" w:color="auto" w:fill="auto"/>
                  <w:noWrap w:val="0"/>
                  <w:vAlign w:val="center"/>
                </w:tcPr>
                <w:p w14:paraId="16C98D3A">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w:t>
                  </w:r>
                </w:p>
              </w:tc>
              <w:tc>
                <w:tcPr>
                  <w:tcW w:w="166" w:type="pct"/>
                  <w:tcBorders>
                    <w:top w:val="single" w:color="auto" w:sz="8" w:space="0"/>
                    <w:tl2br w:val="nil"/>
                    <w:tr2bl w:val="nil"/>
                  </w:tcBorders>
                  <w:shd w:val="clear" w:color="auto" w:fill="auto"/>
                  <w:noWrap w:val="0"/>
                  <w:vAlign w:val="center"/>
                </w:tcPr>
                <w:p w14:paraId="0321F6B4">
                  <w:pPr>
                    <w:pStyle w:val="28"/>
                    <w:ind w:left="0" w:leftChars="0" w:right="0" w:rightChars="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highlight w:val="none"/>
                      <w:lang w:val="en-US" w:eastAsia="zh-CN"/>
                    </w:rPr>
                    <w:t>1</w:t>
                  </w:r>
                </w:p>
              </w:tc>
              <w:tc>
                <w:tcPr>
                  <w:tcW w:w="394" w:type="pct"/>
                  <w:tcBorders>
                    <w:top w:val="single" w:color="auto" w:sz="8" w:space="0"/>
                    <w:tl2br w:val="nil"/>
                    <w:tr2bl w:val="nil"/>
                  </w:tcBorders>
                  <w:shd w:val="clear" w:color="auto" w:fill="auto"/>
                  <w:noWrap w:val="0"/>
                  <w:vAlign w:val="center"/>
                </w:tcPr>
                <w:p w14:paraId="4C1DEA6E">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75</w:t>
                  </w:r>
                </w:p>
              </w:tc>
              <w:tc>
                <w:tcPr>
                  <w:tcW w:w="331" w:type="pct"/>
                  <w:vMerge w:val="restart"/>
                  <w:tcBorders>
                    <w:top w:val="single" w:color="auto" w:sz="8" w:space="0"/>
                    <w:tl2br w:val="nil"/>
                    <w:tr2bl w:val="nil"/>
                  </w:tcBorders>
                  <w:noWrap w:val="0"/>
                  <w:vAlign w:val="center"/>
                </w:tcPr>
                <w:p w14:paraId="3655F9B1">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低噪声设备、减振、隔声</w:t>
                  </w:r>
                </w:p>
              </w:tc>
              <w:tc>
                <w:tcPr>
                  <w:tcW w:w="228" w:type="pct"/>
                  <w:tcBorders>
                    <w:top w:val="single" w:color="auto" w:sz="8" w:space="0"/>
                    <w:tl2br w:val="nil"/>
                    <w:tr2bl w:val="nil"/>
                  </w:tcBorders>
                  <w:shd w:val="clear" w:color="auto" w:fill="auto"/>
                  <w:noWrap w:val="0"/>
                  <w:vAlign w:val="center"/>
                </w:tcPr>
                <w:p w14:paraId="353B07F9">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9</w:t>
                  </w:r>
                </w:p>
              </w:tc>
              <w:tc>
                <w:tcPr>
                  <w:tcW w:w="263" w:type="pct"/>
                  <w:tcBorders>
                    <w:top w:val="single" w:color="auto" w:sz="8" w:space="0"/>
                    <w:tl2br w:val="nil"/>
                    <w:tr2bl w:val="nil"/>
                  </w:tcBorders>
                  <w:shd w:val="clear" w:color="auto" w:fill="auto"/>
                  <w:noWrap w:val="0"/>
                  <w:vAlign w:val="center"/>
                </w:tcPr>
                <w:p w14:paraId="5197E1C8">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48</w:t>
                  </w:r>
                </w:p>
              </w:tc>
              <w:tc>
                <w:tcPr>
                  <w:tcW w:w="198" w:type="pct"/>
                  <w:tcBorders>
                    <w:top w:val="single" w:color="auto" w:sz="8" w:space="0"/>
                    <w:tl2br w:val="nil"/>
                    <w:tr2bl w:val="nil"/>
                  </w:tcBorders>
                  <w:shd w:val="clear" w:color="auto" w:fill="auto"/>
                  <w:noWrap w:val="0"/>
                  <w:vAlign w:val="center"/>
                </w:tcPr>
                <w:p w14:paraId="1DF76BC1">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3</w:t>
                  </w:r>
                </w:p>
              </w:tc>
              <w:tc>
                <w:tcPr>
                  <w:tcW w:w="486" w:type="pct"/>
                  <w:tcBorders>
                    <w:top w:val="single" w:color="auto" w:sz="8" w:space="0"/>
                    <w:tl2br w:val="nil"/>
                    <w:tr2bl w:val="nil"/>
                  </w:tcBorders>
                  <w:shd w:val="clear" w:color="auto" w:fill="auto"/>
                  <w:noWrap w:val="0"/>
                  <w:vAlign w:val="center"/>
                </w:tcPr>
                <w:p w14:paraId="4EA7B04F">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w:t>
                  </w:r>
                </w:p>
              </w:tc>
              <w:tc>
                <w:tcPr>
                  <w:tcW w:w="441" w:type="pct"/>
                  <w:tcBorders>
                    <w:top w:val="single" w:color="auto" w:sz="8" w:space="0"/>
                    <w:tl2br w:val="nil"/>
                    <w:tr2bl w:val="nil"/>
                  </w:tcBorders>
                  <w:shd w:val="clear" w:color="auto" w:fill="auto"/>
                  <w:noWrap w:val="0"/>
                  <w:vAlign w:val="center"/>
                </w:tcPr>
                <w:p w14:paraId="08D89F3B">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68.9</w:t>
                  </w:r>
                </w:p>
              </w:tc>
              <w:tc>
                <w:tcPr>
                  <w:tcW w:w="334" w:type="pct"/>
                  <w:vMerge w:val="restart"/>
                  <w:tcBorders>
                    <w:top w:val="single" w:color="auto" w:sz="8" w:space="0"/>
                    <w:tl2br w:val="nil"/>
                    <w:tr2bl w:val="nil"/>
                  </w:tcBorders>
                  <w:shd w:val="clear" w:color="auto" w:fill="auto"/>
                  <w:noWrap w:val="0"/>
                  <w:vAlign w:val="center"/>
                </w:tcPr>
                <w:p w14:paraId="2527F2ED">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0:00~24:00</w:t>
                  </w:r>
                </w:p>
              </w:tc>
              <w:tc>
                <w:tcPr>
                  <w:tcW w:w="423" w:type="pct"/>
                  <w:tcBorders>
                    <w:top w:val="single" w:color="auto" w:sz="8" w:space="0"/>
                    <w:tl2br w:val="nil"/>
                    <w:tr2bl w:val="nil"/>
                  </w:tcBorders>
                  <w:shd w:val="clear" w:color="auto" w:fill="auto"/>
                  <w:noWrap w:val="0"/>
                  <w:vAlign w:val="center"/>
                </w:tcPr>
                <w:p w14:paraId="78F795DA">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20</w:t>
                  </w:r>
                </w:p>
              </w:tc>
              <w:tc>
                <w:tcPr>
                  <w:tcW w:w="396" w:type="pct"/>
                  <w:tcBorders>
                    <w:top w:val="single" w:color="auto" w:sz="8" w:space="0"/>
                    <w:tl2br w:val="nil"/>
                    <w:tr2bl w:val="nil"/>
                  </w:tcBorders>
                  <w:shd w:val="clear" w:color="auto" w:fill="auto"/>
                  <w:noWrap w:val="0"/>
                  <w:vAlign w:val="center"/>
                </w:tcPr>
                <w:p w14:paraId="57E6454C">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2"/>
                      <w:szCs w:val="22"/>
                      <w:highlight w:val="none"/>
                      <w:u w:val="none"/>
                      <w:lang w:val="en-US" w:eastAsia="zh-CN" w:bidi="ar"/>
                    </w:rPr>
                    <w:t>48.9</w:t>
                  </w:r>
                </w:p>
              </w:tc>
              <w:tc>
                <w:tcPr>
                  <w:tcW w:w="446" w:type="pct"/>
                  <w:tcBorders>
                    <w:top w:val="single" w:color="auto" w:sz="8" w:space="0"/>
                    <w:tl2br w:val="nil"/>
                    <w:tr2bl w:val="nil"/>
                  </w:tcBorders>
                  <w:shd w:val="clear" w:color="auto" w:fill="auto"/>
                  <w:noWrap w:val="0"/>
                  <w:vAlign w:val="center"/>
                </w:tcPr>
                <w:p w14:paraId="630E970A">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402FF6B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227" w:type="pct"/>
                  <w:vMerge w:val="continue"/>
                  <w:tcBorders>
                    <w:tl2br w:val="nil"/>
                    <w:tr2bl w:val="nil"/>
                  </w:tcBorders>
                  <w:noWrap w:val="0"/>
                  <w:vAlign w:val="center"/>
                </w:tcPr>
                <w:p w14:paraId="3E5A5FA2">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47" w:type="pct"/>
                  <w:tcBorders>
                    <w:tl2br w:val="nil"/>
                    <w:tr2bl w:val="nil"/>
                  </w:tcBorders>
                  <w:shd w:val="clear" w:color="auto" w:fill="auto"/>
                  <w:noWrap w:val="0"/>
                  <w:vAlign w:val="center"/>
                </w:tcPr>
                <w:p w14:paraId="5DE95912">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胶体磨</w:t>
                  </w:r>
                </w:p>
              </w:tc>
              <w:tc>
                <w:tcPr>
                  <w:tcW w:w="213" w:type="pct"/>
                  <w:tcBorders>
                    <w:tl2br w:val="nil"/>
                    <w:tr2bl w:val="nil"/>
                  </w:tcBorders>
                  <w:shd w:val="clear" w:color="auto" w:fill="auto"/>
                  <w:noWrap w:val="0"/>
                  <w:vAlign w:val="center"/>
                </w:tcPr>
                <w:p w14:paraId="27044330">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w:t>
                  </w:r>
                </w:p>
              </w:tc>
              <w:tc>
                <w:tcPr>
                  <w:tcW w:w="166" w:type="pct"/>
                  <w:tcBorders>
                    <w:tl2br w:val="nil"/>
                    <w:tr2bl w:val="nil"/>
                  </w:tcBorders>
                  <w:shd w:val="clear" w:color="auto" w:fill="auto"/>
                  <w:noWrap w:val="0"/>
                  <w:vAlign w:val="center"/>
                </w:tcPr>
                <w:p w14:paraId="5DAB4A43">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highlight w:val="none"/>
                      <w:lang w:val="en-US" w:eastAsia="zh-CN"/>
                    </w:rPr>
                    <w:t>2</w:t>
                  </w:r>
                </w:p>
              </w:tc>
              <w:tc>
                <w:tcPr>
                  <w:tcW w:w="394" w:type="pct"/>
                  <w:tcBorders>
                    <w:tl2br w:val="nil"/>
                    <w:tr2bl w:val="nil"/>
                  </w:tcBorders>
                  <w:shd w:val="clear" w:color="auto" w:fill="auto"/>
                  <w:noWrap w:val="0"/>
                  <w:vAlign w:val="center"/>
                </w:tcPr>
                <w:p w14:paraId="48C1D6EC">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80</w:t>
                  </w:r>
                </w:p>
              </w:tc>
              <w:tc>
                <w:tcPr>
                  <w:tcW w:w="331" w:type="pct"/>
                  <w:vMerge w:val="continue"/>
                  <w:tcBorders>
                    <w:tl2br w:val="nil"/>
                    <w:tr2bl w:val="nil"/>
                  </w:tcBorders>
                  <w:noWrap w:val="0"/>
                  <w:vAlign w:val="center"/>
                </w:tcPr>
                <w:p w14:paraId="26D52531">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228" w:type="pct"/>
                  <w:tcBorders>
                    <w:tl2br w:val="nil"/>
                    <w:tr2bl w:val="nil"/>
                  </w:tcBorders>
                  <w:shd w:val="clear" w:color="auto" w:fill="auto"/>
                  <w:noWrap w:val="0"/>
                  <w:vAlign w:val="center"/>
                </w:tcPr>
                <w:p w14:paraId="001B11BA">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snapToGrid w:val="0"/>
                      <w:color w:val="auto"/>
                      <w:kern w:val="2"/>
                      <w:sz w:val="21"/>
                      <w:szCs w:val="21"/>
                      <w:highlight w:val="none"/>
                      <w:lang w:val="en-US" w:eastAsia="zh-CN" w:bidi="ar-SA"/>
                    </w:rPr>
                    <w:t>19</w:t>
                  </w:r>
                </w:p>
              </w:tc>
              <w:tc>
                <w:tcPr>
                  <w:tcW w:w="263" w:type="pct"/>
                  <w:tcBorders>
                    <w:tl2br w:val="nil"/>
                    <w:tr2bl w:val="nil"/>
                  </w:tcBorders>
                  <w:shd w:val="clear" w:color="auto" w:fill="auto"/>
                  <w:noWrap w:val="0"/>
                  <w:vAlign w:val="center"/>
                </w:tcPr>
                <w:p w14:paraId="2E6407CB">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snapToGrid w:val="0"/>
                      <w:color w:val="auto"/>
                      <w:kern w:val="2"/>
                      <w:sz w:val="21"/>
                      <w:szCs w:val="21"/>
                      <w:highlight w:val="none"/>
                      <w:lang w:val="en-US" w:eastAsia="zh-CN" w:bidi="ar-SA"/>
                    </w:rPr>
                    <w:t>33</w:t>
                  </w:r>
                </w:p>
              </w:tc>
              <w:tc>
                <w:tcPr>
                  <w:tcW w:w="198" w:type="pct"/>
                  <w:tcBorders>
                    <w:tl2br w:val="nil"/>
                    <w:tr2bl w:val="nil"/>
                  </w:tcBorders>
                  <w:shd w:val="clear" w:color="auto" w:fill="auto"/>
                  <w:noWrap w:val="0"/>
                  <w:vAlign w:val="center"/>
                </w:tcPr>
                <w:p w14:paraId="1374C7C9">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c>
                <w:tcPr>
                  <w:tcW w:w="486" w:type="pct"/>
                  <w:tcBorders>
                    <w:tl2br w:val="nil"/>
                    <w:tr2bl w:val="nil"/>
                  </w:tcBorders>
                  <w:shd w:val="clear" w:color="auto" w:fill="auto"/>
                  <w:noWrap w:val="0"/>
                  <w:vAlign w:val="center"/>
                </w:tcPr>
                <w:p w14:paraId="31DA3BDD">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w:t>
                  </w:r>
                </w:p>
              </w:tc>
              <w:tc>
                <w:tcPr>
                  <w:tcW w:w="441" w:type="pct"/>
                  <w:tcBorders>
                    <w:tl2br w:val="nil"/>
                    <w:tr2bl w:val="nil"/>
                  </w:tcBorders>
                  <w:shd w:val="clear" w:color="auto" w:fill="auto"/>
                  <w:noWrap w:val="0"/>
                  <w:vAlign w:val="center"/>
                </w:tcPr>
                <w:p w14:paraId="0472CA08">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73.9</w:t>
                  </w:r>
                </w:p>
              </w:tc>
              <w:tc>
                <w:tcPr>
                  <w:tcW w:w="334" w:type="pct"/>
                  <w:vMerge w:val="continue"/>
                  <w:tcBorders>
                    <w:tl2br w:val="nil"/>
                    <w:tr2bl w:val="nil"/>
                  </w:tcBorders>
                  <w:noWrap w:val="0"/>
                  <w:vAlign w:val="center"/>
                </w:tcPr>
                <w:p w14:paraId="27403E2E">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23" w:type="pct"/>
                  <w:tcBorders>
                    <w:tl2br w:val="nil"/>
                    <w:tr2bl w:val="nil"/>
                  </w:tcBorders>
                  <w:shd w:val="clear" w:color="auto" w:fill="auto"/>
                  <w:noWrap w:val="0"/>
                  <w:vAlign w:val="center"/>
                </w:tcPr>
                <w:p w14:paraId="77BC63A4">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20</w:t>
                  </w:r>
                </w:p>
              </w:tc>
              <w:tc>
                <w:tcPr>
                  <w:tcW w:w="396" w:type="pct"/>
                  <w:tcBorders>
                    <w:tl2br w:val="nil"/>
                    <w:tr2bl w:val="nil"/>
                  </w:tcBorders>
                  <w:shd w:val="clear" w:color="auto" w:fill="auto"/>
                  <w:noWrap w:val="0"/>
                  <w:vAlign w:val="center"/>
                </w:tcPr>
                <w:p w14:paraId="72EED4B4">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2"/>
                      <w:szCs w:val="22"/>
                      <w:highlight w:val="none"/>
                      <w:u w:val="none"/>
                      <w:lang w:val="en-US" w:eastAsia="zh-CN" w:bidi="ar"/>
                    </w:rPr>
                    <w:t>53.9</w:t>
                  </w:r>
                </w:p>
              </w:tc>
              <w:tc>
                <w:tcPr>
                  <w:tcW w:w="446" w:type="pct"/>
                  <w:tcBorders>
                    <w:tl2br w:val="nil"/>
                    <w:tr2bl w:val="nil"/>
                  </w:tcBorders>
                  <w:shd w:val="clear" w:color="auto" w:fill="auto"/>
                  <w:noWrap w:val="0"/>
                  <w:vAlign w:val="center"/>
                </w:tcPr>
                <w:p w14:paraId="613B2BC2">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611098A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27" w:type="pct"/>
                  <w:vMerge w:val="continue"/>
                  <w:tcBorders>
                    <w:tl2br w:val="nil"/>
                    <w:tr2bl w:val="nil"/>
                  </w:tcBorders>
                  <w:noWrap w:val="0"/>
                  <w:vAlign w:val="center"/>
                </w:tcPr>
                <w:p w14:paraId="255498A9">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47" w:type="pct"/>
                  <w:tcBorders>
                    <w:tl2br w:val="nil"/>
                    <w:tr2bl w:val="nil"/>
                  </w:tcBorders>
                  <w:shd w:val="clear" w:color="auto" w:fill="auto"/>
                  <w:noWrap w:val="0"/>
                  <w:vAlign w:val="center"/>
                </w:tcPr>
                <w:p w14:paraId="0B77C7AB">
                  <w:pPr>
                    <w:pStyle w:val="28"/>
                    <w:ind w:left="0" w:leftChars="0" w:right="0" w:rightChars="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提升机</w:t>
                  </w:r>
                </w:p>
              </w:tc>
              <w:tc>
                <w:tcPr>
                  <w:tcW w:w="213" w:type="pct"/>
                  <w:tcBorders>
                    <w:tl2br w:val="nil"/>
                    <w:tr2bl w:val="nil"/>
                  </w:tcBorders>
                  <w:shd w:val="clear" w:color="auto" w:fill="auto"/>
                  <w:noWrap w:val="0"/>
                  <w:vAlign w:val="center"/>
                </w:tcPr>
                <w:p w14:paraId="5B2E462A">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w:t>
                  </w:r>
                </w:p>
              </w:tc>
              <w:tc>
                <w:tcPr>
                  <w:tcW w:w="166" w:type="pct"/>
                  <w:tcBorders>
                    <w:tl2br w:val="nil"/>
                    <w:tr2bl w:val="nil"/>
                  </w:tcBorders>
                  <w:shd w:val="clear" w:color="auto" w:fill="auto"/>
                  <w:noWrap w:val="0"/>
                  <w:vAlign w:val="center"/>
                </w:tcPr>
                <w:p w14:paraId="6139382D">
                  <w:pPr>
                    <w:pStyle w:val="28"/>
                    <w:ind w:left="0" w:leftChars="0" w:right="0" w:rightChars="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1</w:t>
                  </w:r>
                </w:p>
              </w:tc>
              <w:tc>
                <w:tcPr>
                  <w:tcW w:w="394" w:type="pct"/>
                  <w:tcBorders>
                    <w:tl2br w:val="nil"/>
                    <w:tr2bl w:val="nil"/>
                  </w:tcBorders>
                  <w:shd w:val="clear" w:color="auto" w:fill="auto"/>
                  <w:noWrap w:val="0"/>
                  <w:vAlign w:val="center"/>
                </w:tcPr>
                <w:p w14:paraId="78CD2E63">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80</w:t>
                  </w:r>
                </w:p>
              </w:tc>
              <w:tc>
                <w:tcPr>
                  <w:tcW w:w="331" w:type="pct"/>
                  <w:vMerge w:val="continue"/>
                  <w:tcBorders>
                    <w:tl2br w:val="nil"/>
                    <w:tr2bl w:val="nil"/>
                  </w:tcBorders>
                  <w:noWrap w:val="0"/>
                  <w:vAlign w:val="center"/>
                </w:tcPr>
                <w:p w14:paraId="4BF9899D">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228" w:type="pct"/>
                  <w:tcBorders>
                    <w:tl2br w:val="nil"/>
                    <w:tr2bl w:val="nil"/>
                  </w:tcBorders>
                  <w:shd w:val="clear" w:color="auto" w:fill="auto"/>
                  <w:noWrap w:val="0"/>
                  <w:vAlign w:val="center"/>
                </w:tcPr>
                <w:p w14:paraId="6D0C8AD0">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10</w:t>
                  </w:r>
                </w:p>
              </w:tc>
              <w:tc>
                <w:tcPr>
                  <w:tcW w:w="263" w:type="pct"/>
                  <w:tcBorders>
                    <w:tl2br w:val="nil"/>
                    <w:tr2bl w:val="nil"/>
                  </w:tcBorders>
                  <w:shd w:val="clear" w:color="auto" w:fill="auto"/>
                  <w:noWrap w:val="0"/>
                  <w:vAlign w:val="center"/>
                </w:tcPr>
                <w:p w14:paraId="65996565">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45</w:t>
                  </w:r>
                </w:p>
              </w:tc>
              <w:tc>
                <w:tcPr>
                  <w:tcW w:w="198" w:type="pct"/>
                  <w:tcBorders>
                    <w:tl2br w:val="nil"/>
                    <w:tr2bl w:val="nil"/>
                  </w:tcBorders>
                  <w:shd w:val="clear" w:color="auto" w:fill="auto"/>
                  <w:noWrap w:val="0"/>
                  <w:vAlign w:val="center"/>
                </w:tcPr>
                <w:p w14:paraId="7FE34F9B">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3</w:t>
                  </w:r>
                </w:p>
              </w:tc>
              <w:tc>
                <w:tcPr>
                  <w:tcW w:w="486" w:type="pct"/>
                  <w:tcBorders>
                    <w:tl2br w:val="nil"/>
                    <w:tr2bl w:val="nil"/>
                  </w:tcBorders>
                  <w:shd w:val="clear" w:color="auto" w:fill="auto"/>
                  <w:noWrap w:val="0"/>
                  <w:vAlign w:val="center"/>
                </w:tcPr>
                <w:p w14:paraId="4518A200">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4</w:t>
                  </w:r>
                </w:p>
              </w:tc>
              <w:tc>
                <w:tcPr>
                  <w:tcW w:w="441" w:type="pct"/>
                  <w:tcBorders>
                    <w:tl2br w:val="nil"/>
                    <w:tr2bl w:val="nil"/>
                  </w:tcBorders>
                  <w:shd w:val="clear" w:color="auto" w:fill="auto"/>
                  <w:noWrap w:val="0"/>
                  <w:vAlign w:val="center"/>
                </w:tcPr>
                <w:p w14:paraId="1B2FDE97">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67.9</w:t>
                  </w:r>
                </w:p>
              </w:tc>
              <w:tc>
                <w:tcPr>
                  <w:tcW w:w="334" w:type="pct"/>
                  <w:vMerge w:val="continue"/>
                  <w:tcBorders>
                    <w:tl2br w:val="nil"/>
                    <w:tr2bl w:val="nil"/>
                  </w:tcBorders>
                  <w:noWrap w:val="0"/>
                  <w:vAlign w:val="center"/>
                </w:tcPr>
                <w:p w14:paraId="7C16AC91">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423" w:type="pct"/>
                  <w:tcBorders>
                    <w:tl2br w:val="nil"/>
                    <w:tr2bl w:val="nil"/>
                  </w:tcBorders>
                  <w:shd w:val="clear" w:color="auto" w:fill="auto"/>
                  <w:noWrap w:val="0"/>
                  <w:vAlign w:val="center"/>
                </w:tcPr>
                <w:p w14:paraId="0FC98417">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20</w:t>
                  </w:r>
                </w:p>
              </w:tc>
              <w:tc>
                <w:tcPr>
                  <w:tcW w:w="396" w:type="pct"/>
                  <w:tcBorders>
                    <w:tl2br w:val="nil"/>
                    <w:tr2bl w:val="nil"/>
                  </w:tcBorders>
                  <w:shd w:val="clear" w:color="auto" w:fill="auto"/>
                  <w:noWrap w:val="0"/>
                  <w:vAlign w:val="center"/>
                </w:tcPr>
                <w:p w14:paraId="264BE2C9">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2"/>
                      <w:szCs w:val="22"/>
                      <w:highlight w:val="none"/>
                      <w:u w:val="none"/>
                      <w:lang w:val="en-US" w:eastAsia="zh-CN" w:bidi="ar"/>
                    </w:rPr>
                    <w:t>47.9</w:t>
                  </w:r>
                </w:p>
              </w:tc>
              <w:tc>
                <w:tcPr>
                  <w:tcW w:w="446" w:type="pct"/>
                  <w:tcBorders>
                    <w:tl2br w:val="nil"/>
                    <w:tr2bl w:val="nil"/>
                  </w:tcBorders>
                  <w:shd w:val="clear" w:color="auto" w:fill="auto"/>
                  <w:noWrap w:val="0"/>
                  <w:vAlign w:val="center"/>
                </w:tcPr>
                <w:p w14:paraId="2B1BF873">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2401D40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27" w:type="pct"/>
                  <w:vMerge w:val="continue"/>
                  <w:tcBorders>
                    <w:tl2br w:val="nil"/>
                    <w:tr2bl w:val="nil"/>
                  </w:tcBorders>
                  <w:noWrap w:val="0"/>
                  <w:vAlign w:val="center"/>
                </w:tcPr>
                <w:p w14:paraId="2B33ED11">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47" w:type="pct"/>
                  <w:tcBorders>
                    <w:tl2br w:val="nil"/>
                    <w:tr2bl w:val="nil"/>
                  </w:tcBorders>
                  <w:shd w:val="clear" w:color="auto" w:fill="auto"/>
                  <w:noWrap w:val="0"/>
                  <w:vAlign w:val="center"/>
                </w:tcPr>
                <w:p w14:paraId="3303F231">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rPr>
                    <w:t>自动纠偏机</w:t>
                  </w:r>
                </w:p>
              </w:tc>
              <w:tc>
                <w:tcPr>
                  <w:tcW w:w="213" w:type="pct"/>
                  <w:tcBorders>
                    <w:tl2br w:val="nil"/>
                    <w:tr2bl w:val="nil"/>
                  </w:tcBorders>
                  <w:shd w:val="clear" w:color="auto" w:fill="auto"/>
                  <w:noWrap w:val="0"/>
                  <w:vAlign w:val="center"/>
                </w:tcPr>
                <w:p w14:paraId="2C5C0FA6">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w:t>
                  </w:r>
                </w:p>
              </w:tc>
              <w:tc>
                <w:tcPr>
                  <w:tcW w:w="166" w:type="pct"/>
                  <w:tcBorders>
                    <w:tl2br w:val="nil"/>
                    <w:tr2bl w:val="nil"/>
                  </w:tcBorders>
                  <w:shd w:val="clear" w:color="auto" w:fill="auto"/>
                  <w:noWrap w:val="0"/>
                  <w:vAlign w:val="center"/>
                </w:tcPr>
                <w:p w14:paraId="2DF506C6">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1</w:t>
                  </w:r>
                </w:p>
              </w:tc>
              <w:tc>
                <w:tcPr>
                  <w:tcW w:w="394" w:type="pct"/>
                  <w:tcBorders>
                    <w:tl2br w:val="nil"/>
                    <w:tr2bl w:val="nil"/>
                  </w:tcBorders>
                  <w:shd w:val="clear" w:color="auto" w:fill="auto"/>
                  <w:noWrap w:val="0"/>
                  <w:vAlign w:val="center"/>
                </w:tcPr>
                <w:p w14:paraId="2582C93B">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75</w:t>
                  </w:r>
                </w:p>
              </w:tc>
              <w:tc>
                <w:tcPr>
                  <w:tcW w:w="331" w:type="pct"/>
                  <w:vMerge w:val="continue"/>
                  <w:tcBorders>
                    <w:tl2br w:val="nil"/>
                    <w:tr2bl w:val="nil"/>
                  </w:tcBorders>
                  <w:noWrap w:val="0"/>
                  <w:vAlign w:val="center"/>
                </w:tcPr>
                <w:p w14:paraId="60EB033B">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228" w:type="pct"/>
                  <w:tcBorders>
                    <w:tl2br w:val="nil"/>
                    <w:tr2bl w:val="nil"/>
                  </w:tcBorders>
                  <w:shd w:val="clear" w:color="auto" w:fill="auto"/>
                  <w:noWrap w:val="0"/>
                  <w:vAlign w:val="center"/>
                </w:tcPr>
                <w:p w14:paraId="05032C1F">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10</w:t>
                  </w:r>
                </w:p>
              </w:tc>
              <w:tc>
                <w:tcPr>
                  <w:tcW w:w="263" w:type="pct"/>
                  <w:tcBorders>
                    <w:tl2br w:val="nil"/>
                    <w:tr2bl w:val="nil"/>
                  </w:tcBorders>
                  <w:shd w:val="clear" w:color="auto" w:fill="auto"/>
                  <w:noWrap w:val="0"/>
                  <w:vAlign w:val="center"/>
                </w:tcPr>
                <w:p w14:paraId="393ECED5">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-32</w:t>
                  </w:r>
                </w:p>
              </w:tc>
              <w:tc>
                <w:tcPr>
                  <w:tcW w:w="198" w:type="pct"/>
                  <w:tcBorders>
                    <w:tl2br w:val="nil"/>
                    <w:tr2bl w:val="nil"/>
                  </w:tcBorders>
                  <w:shd w:val="clear" w:color="auto" w:fill="auto"/>
                  <w:noWrap w:val="0"/>
                  <w:vAlign w:val="center"/>
                </w:tcPr>
                <w:p w14:paraId="40531293">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c>
                <w:tcPr>
                  <w:tcW w:w="486" w:type="pct"/>
                  <w:tcBorders>
                    <w:tl2br w:val="nil"/>
                    <w:tr2bl w:val="nil"/>
                  </w:tcBorders>
                  <w:shd w:val="clear" w:color="auto" w:fill="auto"/>
                  <w:noWrap w:val="0"/>
                  <w:vAlign w:val="center"/>
                </w:tcPr>
                <w:p w14:paraId="07024D7E">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12</w:t>
                  </w:r>
                </w:p>
              </w:tc>
              <w:tc>
                <w:tcPr>
                  <w:tcW w:w="441" w:type="pct"/>
                  <w:tcBorders>
                    <w:tl2br w:val="nil"/>
                    <w:tr2bl w:val="nil"/>
                  </w:tcBorders>
                  <w:shd w:val="clear" w:color="auto" w:fill="auto"/>
                  <w:noWrap w:val="0"/>
                  <w:vAlign w:val="center"/>
                </w:tcPr>
                <w:p w14:paraId="7AD5D8E3">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53.4</w:t>
                  </w:r>
                </w:p>
              </w:tc>
              <w:tc>
                <w:tcPr>
                  <w:tcW w:w="334" w:type="pct"/>
                  <w:vMerge w:val="continue"/>
                  <w:tcBorders>
                    <w:tl2br w:val="nil"/>
                    <w:tr2bl w:val="nil"/>
                  </w:tcBorders>
                  <w:noWrap w:val="0"/>
                  <w:vAlign w:val="center"/>
                </w:tcPr>
                <w:p w14:paraId="52C44260">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423" w:type="pct"/>
                  <w:tcBorders>
                    <w:tl2br w:val="nil"/>
                    <w:tr2bl w:val="nil"/>
                  </w:tcBorders>
                  <w:shd w:val="clear" w:color="auto" w:fill="auto"/>
                  <w:noWrap w:val="0"/>
                  <w:vAlign w:val="center"/>
                </w:tcPr>
                <w:p w14:paraId="5DBCD430">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20</w:t>
                  </w:r>
                </w:p>
              </w:tc>
              <w:tc>
                <w:tcPr>
                  <w:tcW w:w="396" w:type="pct"/>
                  <w:tcBorders>
                    <w:tl2br w:val="nil"/>
                    <w:tr2bl w:val="nil"/>
                  </w:tcBorders>
                  <w:shd w:val="clear" w:color="auto" w:fill="auto"/>
                  <w:noWrap w:val="0"/>
                  <w:vAlign w:val="center"/>
                </w:tcPr>
                <w:p w14:paraId="5B89F4FA">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2"/>
                      <w:szCs w:val="22"/>
                      <w:highlight w:val="none"/>
                      <w:u w:val="none"/>
                      <w:lang w:val="en-US" w:eastAsia="zh-CN" w:bidi="ar"/>
                    </w:rPr>
                    <w:t>33.4</w:t>
                  </w:r>
                </w:p>
              </w:tc>
              <w:tc>
                <w:tcPr>
                  <w:tcW w:w="446" w:type="pct"/>
                  <w:tcBorders>
                    <w:tl2br w:val="nil"/>
                    <w:tr2bl w:val="nil"/>
                  </w:tcBorders>
                  <w:shd w:val="clear" w:color="auto" w:fill="auto"/>
                  <w:noWrap w:val="0"/>
                  <w:vAlign w:val="center"/>
                </w:tcPr>
                <w:p w14:paraId="53D4850E">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70AFB5D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27" w:type="pct"/>
                  <w:vMerge w:val="continue"/>
                  <w:tcBorders>
                    <w:tl2br w:val="nil"/>
                    <w:tr2bl w:val="nil"/>
                  </w:tcBorders>
                  <w:noWrap w:val="0"/>
                  <w:vAlign w:val="center"/>
                </w:tcPr>
                <w:p w14:paraId="7886A441">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47" w:type="pct"/>
                  <w:tcBorders>
                    <w:tl2br w:val="nil"/>
                    <w:tr2bl w:val="nil"/>
                  </w:tcBorders>
                  <w:shd w:val="clear" w:color="auto" w:fill="auto"/>
                  <w:noWrap w:val="0"/>
                  <w:vAlign w:val="center"/>
                </w:tcPr>
                <w:p w14:paraId="358C8015">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rPr>
                    <w:t>打包机</w:t>
                  </w:r>
                </w:p>
              </w:tc>
              <w:tc>
                <w:tcPr>
                  <w:tcW w:w="213" w:type="pct"/>
                  <w:tcBorders>
                    <w:tl2br w:val="nil"/>
                    <w:tr2bl w:val="nil"/>
                  </w:tcBorders>
                  <w:shd w:val="clear" w:color="auto" w:fill="auto"/>
                  <w:noWrap w:val="0"/>
                  <w:vAlign w:val="center"/>
                </w:tcPr>
                <w:p w14:paraId="2206BFAF">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w:t>
                  </w:r>
                </w:p>
              </w:tc>
              <w:tc>
                <w:tcPr>
                  <w:tcW w:w="166" w:type="pct"/>
                  <w:tcBorders>
                    <w:tl2br w:val="nil"/>
                    <w:tr2bl w:val="nil"/>
                  </w:tcBorders>
                  <w:shd w:val="clear" w:color="auto" w:fill="auto"/>
                  <w:noWrap w:val="0"/>
                  <w:vAlign w:val="center"/>
                </w:tcPr>
                <w:p w14:paraId="0A3DB02A">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1</w:t>
                  </w:r>
                </w:p>
              </w:tc>
              <w:tc>
                <w:tcPr>
                  <w:tcW w:w="394" w:type="pct"/>
                  <w:tcBorders>
                    <w:tl2br w:val="nil"/>
                    <w:tr2bl w:val="nil"/>
                  </w:tcBorders>
                  <w:shd w:val="clear" w:color="auto" w:fill="auto"/>
                  <w:noWrap w:val="0"/>
                  <w:vAlign w:val="center"/>
                </w:tcPr>
                <w:p w14:paraId="5D8E4D4F">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75</w:t>
                  </w:r>
                </w:p>
              </w:tc>
              <w:tc>
                <w:tcPr>
                  <w:tcW w:w="331" w:type="pct"/>
                  <w:vMerge w:val="continue"/>
                  <w:tcBorders>
                    <w:tl2br w:val="nil"/>
                    <w:tr2bl w:val="nil"/>
                  </w:tcBorders>
                  <w:noWrap w:val="0"/>
                  <w:vAlign w:val="center"/>
                </w:tcPr>
                <w:p w14:paraId="7D2373BE">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228" w:type="pct"/>
                  <w:tcBorders>
                    <w:tl2br w:val="nil"/>
                    <w:tr2bl w:val="nil"/>
                  </w:tcBorders>
                  <w:shd w:val="clear" w:color="auto" w:fill="auto"/>
                  <w:noWrap w:val="0"/>
                  <w:vAlign w:val="center"/>
                </w:tcPr>
                <w:p w14:paraId="2C854DF5">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10</w:t>
                  </w:r>
                </w:p>
              </w:tc>
              <w:tc>
                <w:tcPr>
                  <w:tcW w:w="263" w:type="pct"/>
                  <w:tcBorders>
                    <w:tl2br w:val="nil"/>
                    <w:tr2bl w:val="nil"/>
                  </w:tcBorders>
                  <w:shd w:val="clear" w:color="auto" w:fill="auto"/>
                  <w:noWrap w:val="0"/>
                  <w:vAlign w:val="center"/>
                </w:tcPr>
                <w:p w14:paraId="2896F3EB">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-40</w:t>
                  </w:r>
                </w:p>
              </w:tc>
              <w:tc>
                <w:tcPr>
                  <w:tcW w:w="198" w:type="pct"/>
                  <w:tcBorders>
                    <w:tl2br w:val="nil"/>
                    <w:tr2bl w:val="nil"/>
                  </w:tcBorders>
                  <w:shd w:val="clear" w:color="auto" w:fill="auto"/>
                  <w:noWrap w:val="0"/>
                  <w:vAlign w:val="center"/>
                </w:tcPr>
                <w:p w14:paraId="78024AAF">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c>
                <w:tcPr>
                  <w:tcW w:w="486" w:type="pct"/>
                  <w:tcBorders>
                    <w:tl2br w:val="nil"/>
                    <w:tr2bl w:val="nil"/>
                  </w:tcBorders>
                  <w:shd w:val="clear" w:color="auto" w:fill="auto"/>
                  <w:noWrap w:val="0"/>
                  <w:vAlign w:val="center"/>
                </w:tcPr>
                <w:p w14:paraId="26FA329D">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12</w:t>
                  </w:r>
                </w:p>
              </w:tc>
              <w:tc>
                <w:tcPr>
                  <w:tcW w:w="441" w:type="pct"/>
                  <w:tcBorders>
                    <w:tl2br w:val="nil"/>
                    <w:tr2bl w:val="nil"/>
                  </w:tcBorders>
                  <w:shd w:val="clear" w:color="auto" w:fill="auto"/>
                  <w:noWrap w:val="0"/>
                  <w:vAlign w:val="center"/>
                </w:tcPr>
                <w:p w14:paraId="478029FF">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53.4</w:t>
                  </w:r>
                </w:p>
              </w:tc>
              <w:tc>
                <w:tcPr>
                  <w:tcW w:w="334" w:type="pct"/>
                  <w:vMerge w:val="continue"/>
                  <w:tcBorders>
                    <w:tl2br w:val="nil"/>
                    <w:tr2bl w:val="nil"/>
                  </w:tcBorders>
                  <w:noWrap w:val="0"/>
                  <w:vAlign w:val="center"/>
                </w:tcPr>
                <w:p w14:paraId="5F35AB78">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23" w:type="pct"/>
                  <w:tcBorders>
                    <w:tl2br w:val="nil"/>
                    <w:tr2bl w:val="nil"/>
                  </w:tcBorders>
                  <w:shd w:val="clear" w:color="auto" w:fill="auto"/>
                  <w:noWrap w:val="0"/>
                  <w:vAlign w:val="center"/>
                </w:tcPr>
                <w:p w14:paraId="0ECF786B">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20</w:t>
                  </w:r>
                </w:p>
              </w:tc>
              <w:tc>
                <w:tcPr>
                  <w:tcW w:w="396" w:type="pct"/>
                  <w:tcBorders>
                    <w:tl2br w:val="nil"/>
                    <w:tr2bl w:val="nil"/>
                  </w:tcBorders>
                  <w:shd w:val="clear" w:color="auto" w:fill="auto"/>
                  <w:noWrap w:val="0"/>
                  <w:vAlign w:val="center"/>
                </w:tcPr>
                <w:p w14:paraId="60FC2BCB">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2"/>
                      <w:szCs w:val="22"/>
                      <w:highlight w:val="none"/>
                      <w:u w:val="none"/>
                      <w:lang w:val="en-US" w:eastAsia="zh-CN" w:bidi="ar"/>
                    </w:rPr>
                    <w:t>33.4</w:t>
                  </w:r>
                </w:p>
              </w:tc>
              <w:tc>
                <w:tcPr>
                  <w:tcW w:w="446" w:type="pct"/>
                  <w:tcBorders>
                    <w:tl2br w:val="nil"/>
                    <w:tr2bl w:val="nil"/>
                  </w:tcBorders>
                  <w:shd w:val="clear" w:color="auto" w:fill="auto"/>
                  <w:noWrap w:val="0"/>
                  <w:vAlign w:val="center"/>
                </w:tcPr>
                <w:p w14:paraId="3AC50C7A">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659E75F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27" w:type="pct"/>
                  <w:vMerge w:val="continue"/>
                  <w:tcBorders>
                    <w:tl2br w:val="nil"/>
                    <w:tr2bl w:val="nil"/>
                  </w:tcBorders>
                  <w:noWrap w:val="0"/>
                  <w:vAlign w:val="center"/>
                </w:tcPr>
                <w:p w14:paraId="564F97CE">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47" w:type="pct"/>
                  <w:tcBorders>
                    <w:tl2br w:val="nil"/>
                    <w:tr2bl w:val="nil"/>
                  </w:tcBorders>
                  <w:shd w:val="clear" w:color="auto" w:fill="auto"/>
                  <w:noWrap w:val="0"/>
                  <w:vAlign w:val="center"/>
                </w:tcPr>
                <w:p w14:paraId="5703D505">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rPr>
                    <w:t>热缩包装机</w:t>
                  </w:r>
                </w:p>
              </w:tc>
              <w:tc>
                <w:tcPr>
                  <w:tcW w:w="213" w:type="pct"/>
                  <w:tcBorders>
                    <w:tl2br w:val="nil"/>
                    <w:tr2bl w:val="nil"/>
                  </w:tcBorders>
                  <w:shd w:val="clear" w:color="auto" w:fill="auto"/>
                  <w:noWrap w:val="0"/>
                  <w:vAlign w:val="center"/>
                </w:tcPr>
                <w:p w14:paraId="24E7BE62">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w:t>
                  </w:r>
                </w:p>
              </w:tc>
              <w:tc>
                <w:tcPr>
                  <w:tcW w:w="166" w:type="pct"/>
                  <w:tcBorders>
                    <w:tl2br w:val="nil"/>
                    <w:tr2bl w:val="nil"/>
                  </w:tcBorders>
                  <w:shd w:val="clear" w:color="auto" w:fill="auto"/>
                  <w:noWrap w:val="0"/>
                  <w:vAlign w:val="center"/>
                </w:tcPr>
                <w:p w14:paraId="5EA7CAA0">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1</w:t>
                  </w:r>
                </w:p>
              </w:tc>
              <w:tc>
                <w:tcPr>
                  <w:tcW w:w="394" w:type="pct"/>
                  <w:tcBorders>
                    <w:tl2br w:val="nil"/>
                    <w:tr2bl w:val="nil"/>
                  </w:tcBorders>
                  <w:shd w:val="clear" w:color="auto" w:fill="auto"/>
                  <w:noWrap w:val="0"/>
                  <w:vAlign w:val="center"/>
                </w:tcPr>
                <w:p w14:paraId="36CAB2B6">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75</w:t>
                  </w:r>
                </w:p>
              </w:tc>
              <w:tc>
                <w:tcPr>
                  <w:tcW w:w="331" w:type="pct"/>
                  <w:vMerge w:val="continue"/>
                  <w:tcBorders>
                    <w:tl2br w:val="nil"/>
                    <w:tr2bl w:val="nil"/>
                  </w:tcBorders>
                  <w:noWrap w:val="0"/>
                  <w:vAlign w:val="center"/>
                </w:tcPr>
                <w:p w14:paraId="06A37655">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228" w:type="pct"/>
                  <w:tcBorders>
                    <w:tl2br w:val="nil"/>
                    <w:tr2bl w:val="nil"/>
                  </w:tcBorders>
                  <w:shd w:val="clear" w:color="auto" w:fill="auto"/>
                  <w:noWrap w:val="0"/>
                  <w:vAlign w:val="center"/>
                </w:tcPr>
                <w:p w14:paraId="506D3A02">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11</w:t>
                  </w:r>
                </w:p>
              </w:tc>
              <w:tc>
                <w:tcPr>
                  <w:tcW w:w="263" w:type="pct"/>
                  <w:tcBorders>
                    <w:tl2br w:val="nil"/>
                    <w:tr2bl w:val="nil"/>
                  </w:tcBorders>
                  <w:shd w:val="clear" w:color="auto" w:fill="auto"/>
                  <w:noWrap w:val="0"/>
                  <w:vAlign w:val="center"/>
                </w:tcPr>
                <w:p w14:paraId="509327BB">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18</w:t>
                  </w:r>
                </w:p>
              </w:tc>
              <w:tc>
                <w:tcPr>
                  <w:tcW w:w="198" w:type="pct"/>
                  <w:tcBorders>
                    <w:tl2br w:val="nil"/>
                    <w:tr2bl w:val="nil"/>
                  </w:tcBorders>
                  <w:shd w:val="clear" w:color="auto" w:fill="auto"/>
                  <w:noWrap w:val="0"/>
                  <w:vAlign w:val="center"/>
                </w:tcPr>
                <w:p w14:paraId="6C0BEFB8">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c>
                <w:tcPr>
                  <w:tcW w:w="486" w:type="pct"/>
                  <w:tcBorders>
                    <w:tl2br w:val="nil"/>
                    <w:tr2bl w:val="nil"/>
                  </w:tcBorders>
                  <w:shd w:val="clear" w:color="auto" w:fill="auto"/>
                  <w:noWrap w:val="0"/>
                  <w:vAlign w:val="center"/>
                </w:tcPr>
                <w:p w14:paraId="533ADC89">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8</w:t>
                  </w:r>
                </w:p>
              </w:tc>
              <w:tc>
                <w:tcPr>
                  <w:tcW w:w="441" w:type="pct"/>
                  <w:tcBorders>
                    <w:tl2br w:val="nil"/>
                    <w:tr2bl w:val="nil"/>
                  </w:tcBorders>
                  <w:shd w:val="clear" w:color="auto" w:fill="auto"/>
                  <w:noWrap w:val="0"/>
                  <w:vAlign w:val="center"/>
                </w:tcPr>
                <w:p w14:paraId="46F440C0">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56.9</w:t>
                  </w:r>
                </w:p>
              </w:tc>
              <w:tc>
                <w:tcPr>
                  <w:tcW w:w="334" w:type="pct"/>
                  <w:vMerge w:val="continue"/>
                  <w:tcBorders>
                    <w:tl2br w:val="nil"/>
                    <w:tr2bl w:val="nil"/>
                  </w:tcBorders>
                  <w:shd w:val="clear" w:color="auto" w:fill="auto"/>
                  <w:noWrap w:val="0"/>
                  <w:vAlign w:val="center"/>
                </w:tcPr>
                <w:p w14:paraId="17A8A2EF">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423" w:type="pct"/>
                  <w:tcBorders>
                    <w:tl2br w:val="nil"/>
                    <w:tr2bl w:val="nil"/>
                  </w:tcBorders>
                  <w:shd w:val="clear" w:color="auto" w:fill="auto"/>
                  <w:noWrap w:val="0"/>
                  <w:vAlign w:val="center"/>
                </w:tcPr>
                <w:p w14:paraId="73A81F04">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20</w:t>
                  </w:r>
                </w:p>
              </w:tc>
              <w:tc>
                <w:tcPr>
                  <w:tcW w:w="396" w:type="pct"/>
                  <w:tcBorders>
                    <w:tl2br w:val="nil"/>
                    <w:tr2bl w:val="nil"/>
                  </w:tcBorders>
                  <w:shd w:val="clear" w:color="auto" w:fill="auto"/>
                  <w:noWrap w:val="0"/>
                  <w:vAlign w:val="center"/>
                </w:tcPr>
                <w:p w14:paraId="52FA3189">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2"/>
                      <w:szCs w:val="22"/>
                      <w:highlight w:val="none"/>
                      <w:u w:val="none"/>
                      <w:lang w:val="en-US" w:eastAsia="zh-CN" w:bidi="ar"/>
                    </w:rPr>
                    <w:t>36.9</w:t>
                  </w:r>
                </w:p>
              </w:tc>
              <w:tc>
                <w:tcPr>
                  <w:tcW w:w="446" w:type="pct"/>
                  <w:tcBorders>
                    <w:tl2br w:val="nil"/>
                    <w:tr2bl w:val="nil"/>
                  </w:tcBorders>
                  <w:shd w:val="clear" w:color="auto" w:fill="auto"/>
                  <w:noWrap w:val="0"/>
                  <w:vAlign w:val="center"/>
                </w:tcPr>
                <w:p w14:paraId="213C5632">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3B11B4C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27" w:type="pct"/>
                  <w:vMerge w:val="continue"/>
                  <w:tcBorders>
                    <w:tl2br w:val="nil"/>
                    <w:tr2bl w:val="nil"/>
                  </w:tcBorders>
                  <w:noWrap w:val="0"/>
                  <w:vAlign w:val="center"/>
                </w:tcPr>
                <w:p w14:paraId="7965E122">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47" w:type="pct"/>
                  <w:tcBorders>
                    <w:tl2br w:val="nil"/>
                    <w:tr2bl w:val="nil"/>
                  </w:tcBorders>
                  <w:shd w:val="clear" w:color="auto" w:fill="auto"/>
                  <w:noWrap w:val="0"/>
                  <w:vAlign w:val="center"/>
                </w:tcPr>
                <w:p w14:paraId="3771EDE2">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覆膜设备</w:t>
                  </w:r>
                </w:p>
              </w:tc>
              <w:tc>
                <w:tcPr>
                  <w:tcW w:w="213" w:type="pct"/>
                  <w:tcBorders>
                    <w:tl2br w:val="nil"/>
                    <w:tr2bl w:val="nil"/>
                  </w:tcBorders>
                  <w:shd w:val="clear" w:color="auto" w:fill="auto"/>
                  <w:noWrap w:val="0"/>
                  <w:vAlign w:val="center"/>
                </w:tcPr>
                <w:p w14:paraId="54D59839">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w:t>
                  </w:r>
                </w:p>
              </w:tc>
              <w:tc>
                <w:tcPr>
                  <w:tcW w:w="166" w:type="pct"/>
                  <w:tcBorders>
                    <w:tl2br w:val="nil"/>
                    <w:tr2bl w:val="nil"/>
                  </w:tcBorders>
                  <w:shd w:val="clear" w:color="auto" w:fill="auto"/>
                  <w:noWrap w:val="0"/>
                  <w:vAlign w:val="center"/>
                </w:tcPr>
                <w:p w14:paraId="6FE34BD8">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w:t>
                  </w:r>
                </w:p>
              </w:tc>
              <w:tc>
                <w:tcPr>
                  <w:tcW w:w="394" w:type="pct"/>
                  <w:tcBorders>
                    <w:tl2br w:val="nil"/>
                    <w:tr2bl w:val="nil"/>
                  </w:tcBorders>
                  <w:shd w:val="clear" w:color="auto" w:fill="auto"/>
                  <w:noWrap w:val="0"/>
                  <w:vAlign w:val="center"/>
                </w:tcPr>
                <w:p w14:paraId="55061B03">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80</w:t>
                  </w:r>
                </w:p>
              </w:tc>
              <w:tc>
                <w:tcPr>
                  <w:tcW w:w="331" w:type="pct"/>
                  <w:vMerge w:val="continue"/>
                  <w:tcBorders>
                    <w:tl2br w:val="nil"/>
                    <w:tr2bl w:val="nil"/>
                  </w:tcBorders>
                  <w:shd w:val="clear" w:color="auto" w:fill="auto"/>
                  <w:noWrap w:val="0"/>
                  <w:vAlign w:val="center"/>
                </w:tcPr>
                <w:p w14:paraId="2BBD2172">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228" w:type="pct"/>
                  <w:tcBorders>
                    <w:tl2br w:val="nil"/>
                    <w:tr2bl w:val="nil"/>
                  </w:tcBorders>
                  <w:shd w:val="clear" w:color="auto" w:fill="auto"/>
                  <w:noWrap w:val="0"/>
                  <w:vAlign w:val="center"/>
                </w:tcPr>
                <w:p w14:paraId="72618A2C">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5</w:t>
                  </w:r>
                </w:p>
              </w:tc>
              <w:tc>
                <w:tcPr>
                  <w:tcW w:w="263" w:type="pct"/>
                  <w:tcBorders>
                    <w:tl2br w:val="nil"/>
                    <w:tr2bl w:val="nil"/>
                  </w:tcBorders>
                  <w:shd w:val="clear" w:color="auto" w:fill="auto"/>
                  <w:noWrap w:val="0"/>
                  <w:vAlign w:val="center"/>
                </w:tcPr>
                <w:p w14:paraId="174AF740">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-3</w:t>
                  </w:r>
                </w:p>
              </w:tc>
              <w:tc>
                <w:tcPr>
                  <w:tcW w:w="198" w:type="pct"/>
                  <w:tcBorders>
                    <w:tl2br w:val="nil"/>
                    <w:tr2bl w:val="nil"/>
                  </w:tcBorders>
                  <w:shd w:val="clear" w:color="auto" w:fill="auto"/>
                  <w:noWrap w:val="0"/>
                  <w:vAlign w:val="center"/>
                </w:tcPr>
                <w:p w14:paraId="22DB83C3">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1</w:t>
                  </w:r>
                </w:p>
              </w:tc>
              <w:tc>
                <w:tcPr>
                  <w:tcW w:w="486" w:type="pct"/>
                  <w:tcBorders>
                    <w:tl2br w:val="nil"/>
                    <w:tr2bl w:val="nil"/>
                  </w:tcBorders>
                  <w:shd w:val="clear" w:color="auto" w:fill="auto"/>
                  <w:noWrap w:val="0"/>
                  <w:vAlign w:val="center"/>
                </w:tcPr>
                <w:p w14:paraId="4361BCF1">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17</w:t>
                  </w:r>
                </w:p>
              </w:tc>
              <w:tc>
                <w:tcPr>
                  <w:tcW w:w="441" w:type="pct"/>
                  <w:tcBorders>
                    <w:tl2br w:val="nil"/>
                    <w:tr2bl w:val="nil"/>
                  </w:tcBorders>
                  <w:shd w:val="clear" w:color="auto" w:fill="auto"/>
                  <w:noWrap w:val="0"/>
                  <w:vAlign w:val="center"/>
                </w:tcPr>
                <w:p w14:paraId="6FE755E0">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55.4</w:t>
                  </w:r>
                </w:p>
              </w:tc>
              <w:tc>
                <w:tcPr>
                  <w:tcW w:w="334" w:type="pct"/>
                  <w:vMerge w:val="continue"/>
                  <w:tcBorders>
                    <w:tl2br w:val="nil"/>
                    <w:tr2bl w:val="nil"/>
                  </w:tcBorders>
                  <w:shd w:val="clear" w:color="auto" w:fill="auto"/>
                  <w:noWrap w:val="0"/>
                  <w:vAlign w:val="center"/>
                </w:tcPr>
                <w:p w14:paraId="32DFC3EF">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23" w:type="pct"/>
                  <w:tcBorders>
                    <w:tl2br w:val="nil"/>
                    <w:tr2bl w:val="nil"/>
                  </w:tcBorders>
                  <w:shd w:val="clear" w:color="auto" w:fill="auto"/>
                  <w:noWrap w:val="0"/>
                  <w:vAlign w:val="center"/>
                </w:tcPr>
                <w:p w14:paraId="30857F07">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20</w:t>
                  </w:r>
                </w:p>
              </w:tc>
              <w:tc>
                <w:tcPr>
                  <w:tcW w:w="396" w:type="pct"/>
                  <w:tcBorders>
                    <w:tl2br w:val="nil"/>
                    <w:tr2bl w:val="nil"/>
                  </w:tcBorders>
                  <w:shd w:val="clear" w:color="auto" w:fill="auto"/>
                  <w:noWrap w:val="0"/>
                  <w:vAlign w:val="center"/>
                </w:tcPr>
                <w:p w14:paraId="588362D1">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2"/>
                      <w:szCs w:val="22"/>
                      <w:highlight w:val="none"/>
                      <w:u w:val="none"/>
                      <w:lang w:val="en-US" w:eastAsia="zh-CN" w:bidi="ar"/>
                    </w:rPr>
                    <w:t>35.4</w:t>
                  </w:r>
                </w:p>
              </w:tc>
              <w:tc>
                <w:tcPr>
                  <w:tcW w:w="446" w:type="pct"/>
                  <w:tcBorders>
                    <w:tl2br w:val="nil"/>
                    <w:tr2bl w:val="nil"/>
                  </w:tcBorders>
                  <w:shd w:val="clear" w:color="auto" w:fill="auto"/>
                  <w:noWrap w:val="0"/>
                  <w:vAlign w:val="center"/>
                </w:tcPr>
                <w:p w14:paraId="2807CA2F">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bl>
          <w:p w14:paraId="2160B568">
            <w:pPr>
              <w:widowControl/>
              <w:adjustRightInd/>
              <w:snapToGrid/>
              <w:spacing w:line="240" w:lineRule="auto"/>
              <w:ind w:firstLine="422" w:firstLineChars="200"/>
              <w:jc w:val="center"/>
              <w:rPr>
                <w:rFonts w:hint="default" w:ascii="Times New Roman" w:hAnsi="Times New Roman" w:cs="Times New Roman"/>
                <w:b/>
                <w:bCs/>
                <w:color w:val="auto"/>
                <w:sz w:val="21"/>
                <w:szCs w:val="21"/>
                <w:highlight w:val="none"/>
              </w:rPr>
            </w:pPr>
          </w:p>
          <w:p w14:paraId="675BF778">
            <w:pPr>
              <w:widowControl/>
              <w:adjustRightInd/>
              <w:snapToGrid/>
              <w:spacing w:line="240" w:lineRule="auto"/>
              <w:ind w:firstLine="422" w:firstLineChars="200"/>
              <w:jc w:val="center"/>
              <w:rPr>
                <w:rFonts w:hint="eastAsia"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4-</w:t>
            </w:r>
            <w:r>
              <w:rPr>
                <w:rFonts w:hint="eastAsia" w:cs="Times New Roman"/>
                <w:b/>
                <w:bCs/>
                <w:color w:val="auto"/>
                <w:sz w:val="21"/>
                <w:szCs w:val="21"/>
                <w:highlight w:val="none"/>
                <w:lang w:val="en-US" w:eastAsia="zh-CN"/>
              </w:rPr>
              <w:t>9</w:t>
            </w:r>
            <w:r>
              <w:rPr>
                <w:rFonts w:hint="default" w:ascii="Times New Roman" w:hAnsi="Times New Roman" w:cs="Times New Roman"/>
                <w:b/>
                <w:bCs/>
                <w:color w:val="auto"/>
                <w:sz w:val="21"/>
                <w:szCs w:val="21"/>
                <w:highlight w:val="none"/>
                <w:lang w:val="en-US" w:eastAsia="zh-CN"/>
              </w:rPr>
              <w:t xml:space="preserve"> </w:t>
            </w:r>
            <w:r>
              <w:rPr>
                <w:rFonts w:hint="eastAsia" w:ascii="Times New Roman" w:hAnsi="Times New Roman" w:cs="Times New Roman"/>
                <w:b/>
                <w:bCs/>
                <w:color w:val="auto"/>
                <w:sz w:val="21"/>
                <w:szCs w:val="21"/>
                <w:highlight w:val="none"/>
                <w:lang w:val="en-US" w:eastAsia="zh-CN"/>
              </w:rPr>
              <w:t xml:space="preserve">   </w:t>
            </w:r>
            <w:r>
              <w:rPr>
                <w:rFonts w:hint="default" w:ascii="Times New Roman" w:hAnsi="Times New Roman" w:cs="Times New Roman"/>
                <w:b/>
                <w:bCs/>
                <w:color w:val="auto"/>
                <w:sz w:val="21"/>
                <w:szCs w:val="21"/>
                <w:highlight w:val="none"/>
                <w:lang w:val="en-US" w:eastAsia="zh-CN"/>
              </w:rPr>
              <w:t>主要</w:t>
            </w:r>
            <w:r>
              <w:rPr>
                <w:rFonts w:hint="eastAsia" w:cs="Times New Roman"/>
                <w:b/>
                <w:bCs/>
                <w:color w:val="auto"/>
                <w:sz w:val="21"/>
                <w:szCs w:val="21"/>
                <w:highlight w:val="none"/>
                <w:lang w:val="en-US" w:eastAsia="zh-CN"/>
              </w:rPr>
              <w:t>噪声源</w:t>
            </w:r>
            <w:r>
              <w:rPr>
                <w:rFonts w:hint="default" w:ascii="Times New Roman" w:hAnsi="Times New Roman" w:cs="Times New Roman"/>
                <w:b/>
                <w:bCs/>
                <w:color w:val="auto"/>
                <w:sz w:val="21"/>
                <w:szCs w:val="21"/>
                <w:highlight w:val="none"/>
              </w:rPr>
              <w:t>调查清单</w:t>
            </w:r>
            <w:r>
              <w:rPr>
                <w:rFonts w:hint="eastAsia" w:ascii="Times New Roman" w:hAnsi="Times New Roman" w:cs="Times New Roman"/>
                <w:b/>
                <w:bCs/>
                <w:color w:val="auto"/>
                <w:sz w:val="21"/>
                <w:szCs w:val="21"/>
                <w:highlight w:val="none"/>
                <w:lang w:eastAsia="zh-CN"/>
              </w:rPr>
              <w:t>（</w:t>
            </w:r>
            <w:r>
              <w:rPr>
                <w:rFonts w:hint="eastAsia" w:ascii="Times New Roman" w:hAnsi="Times New Roman" w:cs="Times New Roman"/>
                <w:b/>
                <w:bCs/>
                <w:color w:val="auto"/>
                <w:sz w:val="21"/>
                <w:szCs w:val="21"/>
                <w:highlight w:val="none"/>
                <w:lang w:val="en-US" w:eastAsia="zh-CN"/>
              </w:rPr>
              <w:t>室外声源</w:t>
            </w:r>
            <w:r>
              <w:rPr>
                <w:rFonts w:hint="eastAsia" w:ascii="Times New Roman" w:hAnsi="Times New Roman" w:cs="Times New Roman"/>
                <w:b/>
                <w:bCs/>
                <w:color w:val="auto"/>
                <w:sz w:val="21"/>
                <w:szCs w:val="21"/>
                <w:highlight w:val="none"/>
                <w:lang w:eastAsia="zh-CN"/>
              </w:rPr>
              <w:t>）</w:t>
            </w:r>
          </w:p>
          <w:tbl>
            <w:tblPr>
              <w:tblStyle w:val="19"/>
              <w:tblW w:w="4997"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81"/>
              <w:gridCol w:w="629"/>
              <w:gridCol w:w="1033"/>
              <w:gridCol w:w="1127"/>
              <w:gridCol w:w="904"/>
              <w:gridCol w:w="635"/>
              <w:gridCol w:w="609"/>
              <w:gridCol w:w="667"/>
              <w:gridCol w:w="1259"/>
            </w:tblGrid>
            <w:tr w14:paraId="2B98DAC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37" w:type="pct"/>
                  <w:vMerge w:val="restart"/>
                  <w:noWrap w:val="0"/>
                  <w:vAlign w:val="center"/>
                </w:tcPr>
                <w:p w14:paraId="05DB5E0E">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名称</w:t>
                  </w:r>
                </w:p>
              </w:tc>
              <w:tc>
                <w:tcPr>
                  <w:tcW w:w="381" w:type="pct"/>
                  <w:vMerge w:val="restart"/>
                  <w:noWrap w:val="0"/>
                  <w:vAlign w:val="center"/>
                </w:tcPr>
                <w:p w14:paraId="3D4255C1">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型号</w:t>
                  </w:r>
                </w:p>
              </w:tc>
              <w:tc>
                <w:tcPr>
                  <w:tcW w:w="626" w:type="pct"/>
                  <w:vMerge w:val="restart"/>
                  <w:noWrap w:val="0"/>
                  <w:vAlign w:val="center"/>
                </w:tcPr>
                <w:p w14:paraId="01877385">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数量(套）</w:t>
                  </w:r>
                </w:p>
              </w:tc>
              <w:tc>
                <w:tcPr>
                  <w:tcW w:w="683" w:type="pct"/>
                  <w:vMerge w:val="restart"/>
                  <w:noWrap w:val="0"/>
                  <w:vAlign w:val="center"/>
                </w:tcPr>
                <w:p w14:paraId="1B816D7F">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单台设备声源源强dB(A)</w:t>
                  </w:r>
                </w:p>
              </w:tc>
              <w:tc>
                <w:tcPr>
                  <w:tcW w:w="548" w:type="pct"/>
                  <w:vMerge w:val="restart"/>
                  <w:noWrap w:val="0"/>
                  <w:vAlign w:val="center"/>
                </w:tcPr>
                <w:p w14:paraId="03BFD313">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声源控制措施</w:t>
                  </w:r>
                </w:p>
              </w:tc>
              <w:tc>
                <w:tcPr>
                  <w:tcW w:w="1158" w:type="pct"/>
                  <w:gridSpan w:val="3"/>
                  <w:noWrap w:val="0"/>
                  <w:vAlign w:val="center"/>
                </w:tcPr>
                <w:p w14:paraId="44B5577C">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空间相对位置</w:t>
                  </w:r>
                </w:p>
              </w:tc>
              <w:tc>
                <w:tcPr>
                  <w:tcW w:w="763" w:type="pct"/>
                  <w:vMerge w:val="restart"/>
                  <w:noWrap w:val="0"/>
                  <w:vAlign w:val="center"/>
                </w:tcPr>
                <w:p w14:paraId="6BFEB850">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运行时段</w:t>
                  </w:r>
                </w:p>
              </w:tc>
            </w:tr>
            <w:tr w14:paraId="1150BED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37" w:type="pct"/>
                  <w:vMerge w:val="continue"/>
                  <w:tcBorders>
                    <w:bottom w:val="single" w:color="auto" w:sz="8" w:space="0"/>
                  </w:tcBorders>
                  <w:noWrap w:val="0"/>
                  <w:vAlign w:val="center"/>
                </w:tcPr>
                <w:p w14:paraId="17D90609">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381" w:type="pct"/>
                  <w:vMerge w:val="continue"/>
                  <w:tcBorders>
                    <w:bottom w:val="single" w:color="auto" w:sz="8" w:space="0"/>
                  </w:tcBorders>
                  <w:noWrap w:val="0"/>
                  <w:vAlign w:val="center"/>
                </w:tcPr>
                <w:p w14:paraId="538F6360">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626" w:type="pct"/>
                  <w:vMerge w:val="continue"/>
                  <w:tcBorders>
                    <w:bottom w:val="single" w:color="auto" w:sz="8" w:space="0"/>
                  </w:tcBorders>
                  <w:noWrap w:val="0"/>
                  <w:vAlign w:val="center"/>
                </w:tcPr>
                <w:p w14:paraId="4C054283">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683" w:type="pct"/>
                  <w:vMerge w:val="continue"/>
                  <w:tcBorders>
                    <w:bottom w:val="single" w:color="auto" w:sz="8" w:space="0"/>
                  </w:tcBorders>
                  <w:noWrap w:val="0"/>
                  <w:vAlign w:val="center"/>
                </w:tcPr>
                <w:p w14:paraId="6158C5A7">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548" w:type="pct"/>
                  <w:vMerge w:val="continue"/>
                  <w:tcBorders>
                    <w:bottom w:val="single" w:color="auto" w:sz="8" w:space="0"/>
                  </w:tcBorders>
                  <w:noWrap w:val="0"/>
                  <w:vAlign w:val="center"/>
                </w:tcPr>
                <w:p w14:paraId="728DFB9D">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385" w:type="pct"/>
                  <w:tcBorders>
                    <w:bottom w:val="single" w:color="auto" w:sz="8" w:space="0"/>
                  </w:tcBorders>
                  <w:noWrap w:val="0"/>
                  <w:vAlign w:val="center"/>
                </w:tcPr>
                <w:p w14:paraId="74836EF1">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X</w:t>
                  </w:r>
                </w:p>
              </w:tc>
              <w:tc>
                <w:tcPr>
                  <w:tcW w:w="369" w:type="pct"/>
                  <w:tcBorders>
                    <w:bottom w:val="single" w:color="auto" w:sz="8" w:space="0"/>
                  </w:tcBorders>
                  <w:noWrap w:val="0"/>
                  <w:vAlign w:val="center"/>
                </w:tcPr>
                <w:p w14:paraId="2BBC461F">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Y</w:t>
                  </w:r>
                </w:p>
              </w:tc>
              <w:tc>
                <w:tcPr>
                  <w:tcW w:w="403" w:type="pct"/>
                  <w:tcBorders>
                    <w:bottom w:val="single" w:color="auto" w:sz="8" w:space="0"/>
                  </w:tcBorders>
                  <w:noWrap w:val="0"/>
                  <w:vAlign w:val="center"/>
                </w:tcPr>
                <w:p w14:paraId="6F608545">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Z</w:t>
                  </w:r>
                </w:p>
              </w:tc>
              <w:tc>
                <w:tcPr>
                  <w:tcW w:w="763" w:type="pct"/>
                  <w:vMerge w:val="continue"/>
                  <w:tcBorders>
                    <w:bottom w:val="single" w:color="auto" w:sz="8" w:space="0"/>
                  </w:tcBorders>
                  <w:noWrap w:val="0"/>
                  <w:vAlign w:val="center"/>
                </w:tcPr>
                <w:p w14:paraId="39B5F97D">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r>
            <w:tr w14:paraId="210B5F4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37" w:type="pct"/>
                  <w:tcBorders>
                    <w:top w:val="single" w:color="auto" w:sz="8" w:space="0"/>
                    <w:tl2br w:val="nil"/>
                    <w:tr2bl w:val="nil"/>
                  </w:tcBorders>
                  <w:noWrap w:val="0"/>
                  <w:vAlign w:val="center"/>
                </w:tcPr>
                <w:p w14:paraId="7AB4CC41">
                  <w:pPr>
                    <w:pStyle w:val="28"/>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风机</w:t>
                  </w:r>
                </w:p>
              </w:tc>
              <w:tc>
                <w:tcPr>
                  <w:tcW w:w="381" w:type="pct"/>
                  <w:tcBorders>
                    <w:top w:val="single" w:color="auto" w:sz="8" w:space="0"/>
                    <w:tl2br w:val="nil"/>
                    <w:tr2bl w:val="nil"/>
                  </w:tcBorders>
                  <w:noWrap w:val="0"/>
                  <w:vAlign w:val="center"/>
                </w:tcPr>
                <w:p w14:paraId="4D60253A">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626" w:type="pct"/>
                  <w:tcBorders>
                    <w:top w:val="single" w:color="auto" w:sz="8" w:space="0"/>
                    <w:tl2br w:val="nil"/>
                    <w:tr2bl w:val="nil"/>
                  </w:tcBorders>
                  <w:noWrap w:val="0"/>
                  <w:vAlign w:val="center"/>
                </w:tcPr>
                <w:p w14:paraId="6E4027D9">
                  <w:pPr>
                    <w:pStyle w:val="28"/>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c>
                <w:tcPr>
                  <w:tcW w:w="683" w:type="pct"/>
                  <w:tcBorders>
                    <w:top w:val="single" w:color="auto" w:sz="8" w:space="0"/>
                    <w:tl2br w:val="nil"/>
                    <w:tr2bl w:val="nil"/>
                  </w:tcBorders>
                  <w:noWrap w:val="0"/>
                  <w:vAlign w:val="center"/>
                </w:tcPr>
                <w:p w14:paraId="1932F31D">
                  <w:pPr>
                    <w:pStyle w:val="28"/>
                    <w:ind w:firstLine="0" w:firstLineChars="0"/>
                    <w:jc w:val="center"/>
                    <w:rPr>
                      <w:rFonts w:hint="default" w:ascii="Times New Roman" w:hAnsi="Times New Roman" w:eastAsia="宋体" w:cs="Times New Roman"/>
                      <w:b w:val="0"/>
                      <w:color w:val="auto"/>
                      <w:sz w:val="21"/>
                      <w:szCs w:val="21"/>
                      <w:highlight w:val="none"/>
                      <w:lang w:val="en-US"/>
                    </w:rPr>
                  </w:pPr>
                  <w:r>
                    <w:rPr>
                      <w:rFonts w:hint="default" w:ascii="Times New Roman" w:hAnsi="Times New Roman" w:cs="Times New Roman"/>
                      <w:highlight w:val="none"/>
                      <w:lang w:val="en-US" w:eastAsia="zh-CN"/>
                    </w:rPr>
                    <w:t>8</w:t>
                  </w:r>
                  <w:r>
                    <w:rPr>
                      <w:rFonts w:hint="eastAsia" w:ascii="Times New Roman" w:hAnsi="Times New Roman" w:cs="Times New Roman"/>
                      <w:highlight w:val="none"/>
                      <w:lang w:val="en-US" w:eastAsia="zh-CN"/>
                    </w:rPr>
                    <w:t>5</w:t>
                  </w:r>
                </w:p>
              </w:tc>
              <w:tc>
                <w:tcPr>
                  <w:tcW w:w="548" w:type="pct"/>
                  <w:vMerge w:val="restart"/>
                  <w:tcBorders>
                    <w:top w:val="single" w:color="auto" w:sz="8" w:space="0"/>
                    <w:tl2br w:val="nil"/>
                    <w:tr2bl w:val="nil"/>
                  </w:tcBorders>
                  <w:noWrap w:val="0"/>
                  <w:vAlign w:val="center"/>
                </w:tcPr>
                <w:p w14:paraId="75EA52EC">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低噪声设备、减振</w:t>
                  </w:r>
                </w:p>
              </w:tc>
              <w:tc>
                <w:tcPr>
                  <w:tcW w:w="385" w:type="pct"/>
                  <w:tcBorders>
                    <w:top w:val="single" w:color="auto" w:sz="8" w:space="0"/>
                    <w:tl2br w:val="nil"/>
                    <w:tr2bl w:val="nil"/>
                  </w:tcBorders>
                  <w:noWrap w:val="0"/>
                  <w:vAlign w:val="center"/>
                </w:tcPr>
                <w:p w14:paraId="2B192681">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25</w:t>
                  </w:r>
                </w:p>
              </w:tc>
              <w:tc>
                <w:tcPr>
                  <w:tcW w:w="369" w:type="pct"/>
                  <w:tcBorders>
                    <w:top w:val="single" w:color="auto" w:sz="8" w:space="0"/>
                    <w:tl2br w:val="nil"/>
                    <w:tr2bl w:val="nil"/>
                  </w:tcBorders>
                  <w:noWrap w:val="0"/>
                  <w:vAlign w:val="center"/>
                </w:tcPr>
                <w:p w14:paraId="5023A3B4">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15</w:t>
                  </w:r>
                </w:p>
              </w:tc>
              <w:tc>
                <w:tcPr>
                  <w:tcW w:w="403" w:type="pct"/>
                  <w:tcBorders>
                    <w:top w:val="single" w:color="auto" w:sz="8" w:space="0"/>
                    <w:tl2br w:val="nil"/>
                    <w:tr2bl w:val="nil"/>
                  </w:tcBorders>
                  <w:noWrap w:val="0"/>
                  <w:vAlign w:val="center"/>
                </w:tcPr>
                <w:p w14:paraId="1D248B6A">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2</w:t>
                  </w:r>
                </w:p>
              </w:tc>
              <w:tc>
                <w:tcPr>
                  <w:tcW w:w="763" w:type="pct"/>
                  <w:vMerge w:val="restart"/>
                  <w:tcBorders>
                    <w:top w:val="single" w:color="auto" w:sz="8" w:space="0"/>
                    <w:tl2br w:val="nil"/>
                    <w:tr2bl w:val="nil"/>
                  </w:tcBorders>
                  <w:noWrap w:val="0"/>
                  <w:vAlign w:val="center"/>
                </w:tcPr>
                <w:p w14:paraId="1A976FE0">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rPr>
                    <w:t>:00~2</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00</w:t>
                  </w:r>
                </w:p>
              </w:tc>
            </w:tr>
            <w:tr w14:paraId="604208F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37" w:type="pct"/>
                  <w:tcBorders>
                    <w:tl2br w:val="nil"/>
                    <w:tr2bl w:val="nil"/>
                  </w:tcBorders>
                  <w:noWrap w:val="0"/>
                  <w:vAlign w:val="center"/>
                </w:tcPr>
                <w:p w14:paraId="3509C203">
                  <w:pPr>
                    <w:pStyle w:val="28"/>
                    <w:ind w:left="0" w:leftChars="0" w:right="0" w:rightChars="0" w:firstLine="0" w:firstLineChars="0"/>
                    <w:jc w:val="center"/>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空压机</w:t>
                  </w:r>
                </w:p>
              </w:tc>
              <w:tc>
                <w:tcPr>
                  <w:tcW w:w="381" w:type="pct"/>
                  <w:tcBorders>
                    <w:tl2br w:val="nil"/>
                    <w:tr2bl w:val="nil"/>
                  </w:tcBorders>
                  <w:noWrap w:val="0"/>
                  <w:vAlign w:val="center"/>
                </w:tcPr>
                <w:p w14:paraId="64369818">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626" w:type="pct"/>
                  <w:tcBorders>
                    <w:tl2br w:val="nil"/>
                    <w:tr2bl w:val="nil"/>
                  </w:tcBorders>
                  <w:noWrap w:val="0"/>
                  <w:vAlign w:val="center"/>
                </w:tcPr>
                <w:p w14:paraId="2ED9FD63">
                  <w:pPr>
                    <w:pStyle w:val="28"/>
                    <w:ind w:left="0" w:leftChars="0" w:right="0" w:rightChars="0" w:firstLine="0" w:firstLineChars="0"/>
                    <w:jc w:val="center"/>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2</w:t>
                  </w:r>
                </w:p>
              </w:tc>
              <w:tc>
                <w:tcPr>
                  <w:tcW w:w="683" w:type="pct"/>
                  <w:tcBorders>
                    <w:tl2br w:val="nil"/>
                    <w:tr2bl w:val="nil"/>
                  </w:tcBorders>
                  <w:noWrap w:val="0"/>
                  <w:vAlign w:val="center"/>
                </w:tcPr>
                <w:p w14:paraId="515AF5E4">
                  <w:pPr>
                    <w:pStyle w:val="28"/>
                    <w:ind w:firstLine="0" w:firstLineChars="0"/>
                    <w:jc w:val="center"/>
                    <w:rPr>
                      <w:rFonts w:hint="default" w:ascii="Times New Roman" w:hAnsi="Times New Roman" w:cs="Times New Roman"/>
                      <w:highlight w:val="none"/>
                      <w:lang w:val="en-US" w:eastAsia="zh-CN"/>
                    </w:rPr>
                  </w:pPr>
                  <w:r>
                    <w:rPr>
                      <w:rFonts w:hint="eastAsia" w:cs="Times New Roman"/>
                      <w:highlight w:val="none"/>
                      <w:lang w:val="en-US" w:eastAsia="zh-CN"/>
                    </w:rPr>
                    <w:t>80</w:t>
                  </w:r>
                </w:p>
              </w:tc>
              <w:tc>
                <w:tcPr>
                  <w:tcW w:w="548" w:type="pct"/>
                  <w:vMerge w:val="continue"/>
                  <w:tcBorders>
                    <w:tl2br w:val="nil"/>
                    <w:tr2bl w:val="nil"/>
                  </w:tcBorders>
                  <w:noWrap w:val="0"/>
                  <w:vAlign w:val="center"/>
                </w:tcPr>
                <w:p w14:paraId="41DCBF3E">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385" w:type="pct"/>
                  <w:tcBorders>
                    <w:tl2br w:val="nil"/>
                    <w:tr2bl w:val="nil"/>
                  </w:tcBorders>
                  <w:noWrap w:val="0"/>
                  <w:vAlign w:val="center"/>
                </w:tcPr>
                <w:p w14:paraId="04AD447F">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26</w:t>
                  </w:r>
                </w:p>
              </w:tc>
              <w:tc>
                <w:tcPr>
                  <w:tcW w:w="369" w:type="pct"/>
                  <w:tcBorders>
                    <w:tl2br w:val="nil"/>
                    <w:tr2bl w:val="nil"/>
                  </w:tcBorders>
                  <w:noWrap w:val="0"/>
                  <w:vAlign w:val="center"/>
                </w:tcPr>
                <w:p w14:paraId="7EFC20D8">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-3</w:t>
                  </w:r>
                </w:p>
              </w:tc>
              <w:tc>
                <w:tcPr>
                  <w:tcW w:w="403" w:type="pct"/>
                  <w:tcBorders>
                    <w:tl2br w:val="nil"/>
                    <w:tr2bl w:val="nil"/>
                  </w:tcBorders>
                  <w:noWrap w:val="0"/>
                  <w:vAlign w:val="center"/>
                </w:tcPr>
                <w:p w14:paraId="5B82DDA1">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w:t>
                  </w:r>
                </w:p>
              </w:tc>
              <w:tc>
                <w:tcPr>
                  <w:tcW w:w="763" w:type="pct"/>
                  <w:vMerge w:val="continue"/>
                  <w:tcBorders>
                    <w:tl2br w:val="nil"/>
                    <w:tr2bl w:val="nil"/>
                  </w:tcBorders>
                  <w:noWrap w:val="0"/>
                  <w:vAlign w:val="center"/>
                </w:tcPr>
                <w:p w14:paraId="4404A7B8">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r>
            <w:tr w14:paraId="1B164B6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37" w:type="pct"/>
                  <w:tcBorders>
                    <w:tl2br w:val="nil"/>
                    <w:tr2bl w:val="nil"/>
                  </w:tcBorders>
                  <w:noWrap w:val="0"/>
                  <w:vAlign w:val="center"/>
                </w:tcPr>
                <w:p w14:paraId="5BB80CDC">
                  <w:pPr>
                    <w:pStyle w:val="28"/>
                    <w:ind w:left="0" w:leftChars="0" w:right="0" w:rightChars="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highlight w:val="none"/>
                      <w:lang w:val="en-US" w:eastAsia="zh-CN"/>
                    </w:rPr>
                    <w:t>冷干机</w:t>
                  </w:r>
                </w:p>
              </w:tc>
              <w:tc>
                <w:tcPr>
                  <w:tcW w:w="381" w:type="pct"/>
                  <w:tcBorders>
                    <w:tl2br w:val="nil"/>
                    <w:tr2bl w:val="nil"/>
                  </w:tcBorders>
                  <w:noWrap w:val="0"/>
                  <w:vAlign w:val="center"/>
                </w:tcPr>
                <w:p w14:paraId="5A3D11BE">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626" w:type="pct"/>
                  <w:tcBorders>
                    <w:tl2br w:val="nil"/>
                    <w:tr2bl w:val="nil"/>
                  </w:tcBorders>
                  <w:noWrap w:val="0"/>
                  <w:vAlign w:val="center"/>
                </w:tcPr>
                <w:p w14:paraId="473ACDE3">
                  <w:pPr>
                    <w:pStyle w:val="28"/>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p>
              </w:tc>
              <w:tc>
                <w:tcPr>
                  <w:tcW w:w="683" w:type="pct"/>
                  <w:tcBorders>
                    <w:tl2br w:val="nil"/>
                    <w:tr2bl w:val="nil"/>
                  </w:tcBorders>
                  <w:noWrap w:val="0"/>
                  <w:vAlign w:val="center"/>
                </w:tcPr>
                <w:p w14:paraId="52792266">
                  <w:pPr>
                    <w:pStyle w:val="28"/>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80</w:t>
                  </w:r>
                </w:p>
              </w:tc>
              <w:tc>
                <w:tcPr>
                  <w:tcW w:w="548" w:type="pct"/>
                  <w:vMerge w:val="continue"/>
                  <w:tcBorders>
                    <w:tl2br w:val="nil"/>
                    <w:tr2bl w:val="nil"/>
                  </w:tcBorders>
                  <w:noWrap w:val="0"/>
                  <w:vAlign w:val="center"/>
                </w:tcPr>
                <w:p w14:paraId="3C116214">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385" w:type="pct"/>
                  <w:tcBorders>
                    <w:tl2br w:val="nil"/>
                    <w:tr2bl w:val="nil"/>
                  </w:tcBorders>
                  <w:noWrap w:val="0"/>
                  <w:vAlign w:val="center"/>
                </w:tcPr>
                <w:p w14:paraId="3EE2A44B">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26</w:t>
                  </w:r>
                </w:p>
              </w:tc>
              <w:tc>
                <w:tcPr>
                  <w:tcW w:w="369" w:type="pct"/>
                  <w:tcBorders>
                    <w:tl2br w:val="nil"/>
                    <w:tr2bl w:val="nil"/>
                  </w:tcBorders>
                  <w:noWrap w:val="0"/>
                  <w:vAlign w:val="center"/>
                </w:tcPr>
                <w:p w14:paraId="5B93C0AA">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w:t>
                  </w:r>
                </w:p>
              </w:tc>
              <w:tc>
                <w:tcPr>
                  <w:tcW w:w="403" w:type="pct"/>
                  <w:tcBorders>
                    <w:tl2br w:val="nil"/>
                    <w:tr2bl w:val="nil"/>
                  </w:tcBorders>
                  <w:noWrap w:val="0"/>
                  <w:vAlign w:val="center"/>
                </w:tcPr>
                <w:p w14:paraId="65685990">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w:t>
                  </w:r>
                </w:p>
              </w:tc>
              <w:tc>
                <w:tcPr>
                  <w:tcW w:w="763" w:type="pct"/>
                  <w:vMerge w:val="continue"/>
                  <w:tcBorders>
                    <w:tl2br w:val="nil"/>
                    <w:tr2bl w:val="nil"/>
                  </w:tcBorders>
                  <w:noWrap w:val="0"/>
                  <w:vAlign w:val="center"/>
                </w:tcPr>
                <w:p w14:paraId="0E8A96AB">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r>
          </w:tbl>
          <w:p w14:paraId="13001926">
            <w:pPr>
              <w:pStyle w:val="3"/>
              <w:keepNext/>
              <w:keepLines/>
              <w:pageBreakBefore w:val="0"/>
              <w:widowControl w:val="0"/>
              <w:kinsoku/>
              <w:wordWrap/>
              <w:overflowPunct/>
              <w:topLinePunct w:val="0"/>
              <w:autoSpaceDE/>
              <w:autoSpaceDN/>
              <w:bidi w:val="0"/>
              <w:adjustRightInd/>
              <w:snapToGrid/>
              <w:spacing w:before="157" w:beforeLines="50" w:line="360" w:lineRule="auto"/>
              <w:textAlignment w:val="auto"/>
              <w:rPr>
                <w:rFonts w:hint="default"/>
                <w:lang w:val="en-US" w:eastAsia="zh-CN"/>
              </w:rPr>
            </w:pPr>
            <w:r>
              <w:rPr>
                <w:rFonts w:hint="default" w:ascii="Times New Roman" w:hAnsi="Times New Roman" w:eastAsia="宋体" w:cs="Times New Roman"/>
                <w:sz w:val="24"/>
                <w:highlight w:val="none"/>
                <w:lang w:val="en-US" w:eastAsia="zh-CN"/>
              </w:rPr>
              <w:t>3.</w:t>
            </w:r>
            <w:r>
              <w:rPr>
                <w:rFonts w:hint="eastAsia" w:ascii="Times New Roman" w:hAnsi="Times New Roman" w:eastAsia="宋体" w:cs="Times New Roman"/>
                <w:sz w:val="24"/>
                <w:highlight w:val="none"/>
                <w:lang w:val="en-US" w:eastAsia="zh-CN"/>
              </w:rPr>
              <w:t>2</w:t>
            </w:r>
            <w:r>
              <w:rPr>
                <w:rFonts w:hint="default" w:ascii="Times New Roman" w:hAnsi="Times New Roman" w:eastAsia="宋体" w:cs="Times New Roman"/>
                <w:sz w:val="24"/>
                <w:highlight w:val="none"/>
                <w:lang w:val="en-US" w:eastAsia="zh-CN"/>
              </w:rPr>
              <w:t xml:space="preserve"> 噪声预测</w:t>
            </w:r>
          </w:p>
          <w:p w14:paraId="41B57B0D">
            <w:pPr>
              <w:adjustRightInd w:val="0"/>
              <w:snapToGrid w:val="0"/>
              <w:spacing w:line="360" w:lineRule="auto"/>
              <w:ind w:firstLine="480" w:firstLineChars="200"/>
              <w:rPr>
                <w:rFonts w:hint="eastAsia"/>
                <w:color w:val="auto"/>
                <w:kern w:val="0"/>
                <w:sz w:val="24"/>
                <w:highlight w:val="none"/>
              </w:rPr>
            </w:pPr>
            <w:r>
              <w:rPr>
                <w:rFonts w:hint="eastAsia"/>
                <w:color w:val="auto"/>
                <w:kern w:val="0"/>
                <w:sz w:val="24"/>
                <w:highlight w:val="none"/>
                <w:lang w:eastAsia="zh-CN"/>
              </w:rPr>
              <w:t>（</w:t>
            </w:r>
            <w:r>
              <w:rPr>
                <w:rFonts w:hint="eastAsia"/>
                <w:color w:val="auto"/>
                <w:kern w:val="0"/>
                <w:sz w:val="24"/>
                <w:highlight w:val="none"/>
                <w:lang w:val="en-US" w:eastAsia="zh-CN"/>
              </w:rPr>
              <w:t>1</w:t>
            </w:r>
            <w:r>
              <w:rPr>
                <w:rFonts w:hint="eastAsia"/>
                <w:color w:val="auto"/>
                <w:kern w:val="0"/>
                <w:sz w:val="24"/>
                <w:highlight w:val="none"/>
                <w:lang w:eastAsia="zh-CN"/>
              </w:rPr>
              <w:t>）</w:t>
            </w:r>
            <w:r>
              <w:rPr>
                <w:rFonts w:hint="eastAsia"/>
                <w:color w:val="auto"/>
                <w:kern w:val="0"/>
                <w:sz w:val="24"/>
                <w:highlight w:val="none"/>
              </w:rPr>
              <w:t>噪声预测模式</w:t>
            </w:r>
          </w:p>
          <w:p w14:paraId="79A0C71A">
            <w:pPr>
              <w:adjustRightInd w:val="0"/>
              <w:snapToGrid w:val="0"/>
              <w:spacing w:line="360" w:lineRule="auto"/>
              <w:ind w:firstLine="480" w:firstLineChars="200"/>
              <w:rPr>
                <w:rFonts w:hint="eastAsia"/>
                <w:color w:val="auto"/>
                <w:kern w:val="0"/>
                <w:sz w:val="24"/>
                <w:highlight w:val="none"/>
              </w:rPr>
            </w:pPr>
            <w:r>
              <w:rPr>
                <w:rFonts w:hint="eastAsia"/>
                <w:color w:val="auto"/>
                <w:kern w:val="0"/>
                <w:sz w:val="24"/>
                <w:highlight w:val="none"/>
              </w:rPr>
              <w:t>根据《环境影响评价技术导则 声环境》（HJ 2.4-2021）中的工业噪声预测模式。本次预测模式不考虑雨、雪、雾和温度梯度等因素，以保证未来实际噪声环境较预测结果优越。</w:t>
            </w:r>
          </w:p>
          <w:p w14:paraId="633DEC71">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lang w:val="en-US" w:eastAsia="zh-CN"/>
              </w:rPr>
              <w:t>①</w:t>
            </w:r>
            <w:r>
              <w:rPr>
                <w:rFonts w:hint="eastAsia"/>
                <w:color w:val="auto"/>
                <w:kern w:val="0"/>
                <w:sz w:val="24"/>
                <w:highlight w:val="none"/>
              </w:rPr>
              <w:t>计算某个室内声源在靠近围护结构处产生的倍频带声压级：</w:t>
            </w:r>
          </w:p>
          <w:p w14:paraId="3DAAB15B">
            <w:pPr>
              <w:adjustRightInd w:val="0"/>
              <w:snapToGrid w:val="0"/>
              <w:spacing w:line="240" w:lineRule="auto"/>
              <w:jc w:val="center"/>
              <w:rPr>
                <w:color w:val="auto"/>
                <w:kern w:val="0"/>
                <w:sz w:val="24"/>
                <w:highlight w:val="none"/>
              </w:rPr>
            </w:pPr>
            <w:r>
              <w:rPr>
                <w:color w:val="auto"/>
                <w:highlight w:val="none"/>
              </w:rPr>
              <w:drawing>
                <wp:inline distT="0" distB="0" distL="114300" distR="114300">
                  <wp:extent cx="2384425" cy="504190"/>
                  <wp:effectExtent l="0" t="0" r="8255" b="1397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2"/>
                          <a:stretch>
                            <a:fillRect/>
                          </a:stretch>
                        </pic:blipFill>
                        <pic:spPr>
                          <a:xfrm>
                            <a:off x="0" y="0"/>
                            <a:ext cx="2384425" cy="504190"/>
                          </a:xfrm>
                          <a:prstGeom prst="rect">
                            <a:avLst/>
                          </a:prstGeom>
                          <a:noFill/>
                          <a:ln>
                            <a:noFill/>
                          </a:ln>
                        </pic:spPr>
                      </pic:pic>
                    </a:graphicData>
                  </a:graphic>
                </wp:inline>
              </w:drawing>
            </w:r>
          </w:p>
          <w:p w14:paraId="5F1BD49D">
            <w:pPr>
              <w:adjustRightInd w:val="0"/>
              <w:snapToGrid w:val="0"/>
              <w:spacing w:line="360" w:lineRule="auto"/>
              <w:ind w:firstLine="456" w:firstLineChars="200"/>
              <w:rPr>
                <w:rFonts w:hint="eastAsia"/>
                <w:color w:val="auto"/>
                <w:spacing w:val="-6"/>
                <w:kern w:val="0"/>
                <w:sz w:val="24"/>
                <w:highlight w:val="none"/>
              </w:rPr>
            </w:pPr>
            <w:r>
              <w:rPr>
                <w:rFonts w:hint="eastAsia"/>
                <w:color w:val="auto"/>
                <w:spacing w:val="-6"/>
                <w:kern w:val="0"/>
                <w:sz w:val="24"/>
                <w:highlight w:val="none"/>
              </w:rPr>
              <w:t>式中：Loct，1—某个室内声源在靠近围护结构处产生的倍频带声压级，dB；</w:t>
            </w:r>
          </w:p>
          <w:p w14:paraId="0ECC18A3">
            <w:pPr>
              <w:adjustRightInd w:val="0"/>
              <w:snapToGrid w:val="0"/>
              <w:spacing w:line="360" w:lineRule="auto"/>
              <w:ind w:firstLine="1200" w:firstLineChars="500"/>
              <w:rPr>
                <w:rFonts w:hint="eastAsia"/>
                <w:color w:val="auto"/>
                <w:kern w:val="0"/>
                <w:sz w:val="24"/>
                <w:highlight w:val="none"/>
              </w:rPr>
            </w:pPr>
            <w:r>
              <w:rPr>
                <w:rFonts w:hint="eastAsia"/>
                <w:color w:val="auto"/>
                <w:kern w:val="0"/>
                <w:sz w:val="24"/>
                <w:highlight w:val="none"/>
              </w:rPr>
              <w:t>Lwoct—某个声源的倍频带声功率级，dB；</w:t>
            </w:r>
          </w:p>
          <w:p w14:paraId="40D2E975">
            <w:pPr>
              <w:adjustRightInd w:val="0"/>
              <w:snapToGrid w:val="0"/>
              <w:spacing w:line="360" w:lineRule="auto"/>
              <w:ind w:firstLine="1200" w:firstLineChars="500"/>
              <w:rPr>
                <w:rFonts w:hint="eastAsia"/>
                <w:color w:val="auto"/>
                <w:kern w:val="0"/>
                <w:sz w:val="24"/>
                <w:highlight w:val="none"/>
              </w:rPr>
            </w:pPr>
            <w:r>
              <w:rPr>
                <w:rFonts w:hint="eastAsia"/>
                <w:color w:val="auto"/>
                <w:kern w:val="0"/>
                <w:sz w:val="24"/>
                <w:highlight w:val="none"/>
              </w:rPr>
              <w:t>r1—室内某个声源与靠近围护结构处的距离，</w:t>
            </w:r>
            <w:r>
              <w:rPr>
                <w:rFonts w:hint="eastAsia"/>
                <w:color w:val="auto"/>
                <w:kern w:val="0"/>
                <w:sz w:val="24"/>
                <w:highlight w:val="none"/>
                <w:lang w:val="en-US" w:eastAsia="zh-CN"/>
              </w:rPr>
              <w:t>m</w:t>
            </w:r>
            <w:r>
              <w:rPr>
                <w:rFonts w:hint="eastAsia"/>
                <w:color w:val="auto"/>
                <w:kern w:val="0"/>
                <w:sz w:val="24"/>
                <w:highlight w:val="none"/>
              </w:rPr>
              <w:t>；</w:t>
            </w:r>
          </w:p>
          <w:p w14:paraId="533CD61A">
            <w:pPr>
              <w:adjustRightInd w:val="0"/>
              <w:snapToGrid w:val="0"/>
              <w:spacing w:line="360" w:lineRule="auto"/>
              <w:ind w:firstLine="1200" w:firstLineChars="500"/>
              <w:rPr>
                <w:rFonts w:hint="eastAsia"/>
                <w:color w:val="auto"/>
                <w:kern w:val="0"/>
                <w:sz w:val="24"/>
                <w:highlight w:val="none"/>
              </w:rPr>
            </w:pPr>
            <w:r>
              <w:rPr>
                <w:rFonts w:hint="eastAsia"/>
                <w:color w:val="auto"/>
                <w:kern w:val="0"/>
                <w:sz w:val="24"/>
                <w:highlight w:val="none"/>
              </w:rPr>
              <w:t>R—房间常数，</w:t>
            </w:r>
            <w:r>
              <w:rPr>
                <w:rFonts w:hint="eastAsia"/>
                <w:color w:val="auto"/>
                <w:kern w:val="0"/>
                <w:sz w:val="24"/>
                <w:highlight w:val="none"/>
                <w:lang w:val="en-US" w:eastAsia="zh-CN"/>
              </w:rPr>
              <w:t>m</w:t>
            </w:r>
            <w:r>
              <w:rPr>
                <w:rFonts w:hint="eastAsia"/>
                <w:color w:val="auto"/>
                <w:kern w:val="0"/>
                <w:sz w:val="24"/>
                <w:highlight w:val="none"/>
                <w:vertAlign w:val="superscript"/>
                <w:lang w:val="en-US" w:eastAsia="zh-CN"/>
              </w:rPr>
              <w:t>2</w:t>
            </w:r>
            <w:r>
              <w:rPr>
                <w:rFonts w:hint="eastAsia"/>
                <w:color w:val="auto"/>
                <w:kern w:val="0"/>
                <w:sz w:val="24"/>
                <w:highlight w:val="none"/>
              </w:rPr>
              <w:t>；</w:t>
            </w:r>
          </w:p>
          <w:p w14:paraId="1AB97D59">
            <w:pPr>
              <w:adjustRightInd w:val="0"/>
              <w:snapToGrid w:val="0"/>
              <w:spacing w:line="360" w:lineRule="auto"/>
              <w:ind w:firstLine="1200" w:firstLineChars="500"/>
              <w:rPr>
                <w:rFonts w:hint="eastAsia"/>
                <w:color w:val="auto"/>
                <w:kern w:val="0"/>
                <w:sz w:val="24"/>
                <w:highlight w:val="none"/>
              </w:rPr>
            </w:pPr>
            <w:r>
              <w:rPr>
                <w:rFonts w:hint="eastAsia"/>
                <w:color w:val="auto"/>
                <w:kern w:val="0"/>
                <w:sz w:val="24"/>
                <w:highlight w:val="none"/>
              </w:rPr>
              <w:t>Q—方向性因子。</w:t>
            </w:r>
          </w:p>
          <w:p w14:paraId="32BEE24E">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lang w:val="en-US" w:eastAsia="zh-CN"/>
              </w:rPr>
              <w:t>②</w:t>
            </w:r>
            <w:r>
              <w:rPr>
                <w:rFonts w:hint="eastAsia"/>
                <w:color w:val="auto"/>
                <w:kern w:val="0"/>
                <w:sz w:val="24"/>
                <w:highlight w:val="none"/>
              </w:rPr>
              <w:t>计算所有室内声源在靠近围护结构处产生的总倍频带声压级：</w:t>
            </w:r>
          </w:p>
          <w:p w14:paraId="0498F06A">
            <w:pPr>
              <w:adjustRightInd w:val="0"/>
              <w:snapToGrid w:val="0"/>
              <w:spacing w:line="240" w:lineRule="auto"/>
              <w:jc w:val="center"/>
              <w:rPr>
                <w:color w:val="auto"/>
                <w:kern w:val="0"/>
                <w:sz w:val="24"/>
                <w:highlight w:val="none"/>
              </w:rPr>
            </w:pPr>
            <w:r>
              <w:rPr>
                <w:color w:val="auto"/>
                <w:highlight w:val="none"/>
              </w:rPr>
              <w:drawing>
                <wp:inline distT="0" distB="0" distL="114300" distR="114300">
                  <wp:extent cx="2077720" cy="469900"/>
                  <wp:effectExtent l="0" t="0" r="10160" b="2540"/>
                  <wp:docPr id="17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6"/>
                          <pic:cNvPicPr>
                            <a:picLocks noChangeAspect="1"/>
                          </pic:cNvPicPr>
                        </pic:nvPicPr>
                        <pic:blipFill>
                          <a:blip r:embed="rId13"/>
                          <a:srcRect t="6801"/>
                          <a:stretch>
                            <a:fillRect/>
                          </a:stretch>
                        </pic:blipFill>
                        <pic:spPr>
                          <a:xfrm>
                            <a:off x="0" y="0"/>
                            <a:ext cx="2077720" cy="469900"/>
                          </a:xfrm>
                          <a:prstGeom prst="rect">
                            <a:avLst/>
                          </a:prstGeom>
                          <a:noFill/>
                          <a:ln>
                            <a:noFill/>
                          </a:ln>
                        </pic:spPr>
                      </pic:pic>
                    </a:graphicData>
                  </a:graphic>
                </wp:inline>
              </w:drawing>
            </w:r>
          </w:p>
          <w:p w14:paraId="08A9B4AA">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lang w:val="en-US" w:eastAsia="zh-CN"/>
              </w:rPr>
              <w:t>③</w:t>
            </w:r>
            <w:r>
              <w:rPr>
                <w:rFonts w:hint="eastAsia"/>
                <w:color w:val="auto"/>
                <w:kern w:val="0"/>
                <w:sz w:val="24"/>
                <w:highlight w:val="none"/>
              </w:rPr>
              <w:t>计算室外靠近围护结构处的声压级：</w:t>
            </w:r>
          </w:p>
          <w:p w14:paraId="7E0055DB">
            <w:pPr>
              <w:adjustRightInd w:val="0"/>
              <w:snapToGrid w:val="0"/>
              <w:spacing w:line="240" w:lineRule="auto"/>
              <w:jc w:val="center"/>
              <w:rPr>
                <w:color w:val="auto"/>
                <w:kern w:val="0"/>
                <w:sz w:val="24"/>
                <w:highlight w:val="none"/>
              </w:rPr>
            </w:pPr>
            <w:r>
              <w:rPr>
                <w:color w:val="auto"/>
                <w:highlight w:val="none"/>
              </w:rPr>
              <w:drawing>
                <wp:inline distT="0" distB="0" distL="114300" distR="114300">
                  <wp:extent cx="2250440" cy="215900"/>
                  <wp:effectExtent l="0" t="0" r="5080" b="12700"/>
                  <wp:docPr id="17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7"/>
                          <pic:cNvPicPr>
                            <a:picLocks noChangeAspect="1"/>
                          </pic:cNvPicPr>
                        </pic:nvPicPr>
                        <pic:blipFill>
                          <a:blip r:embed="rId14"/>
                          <a:stretch>
                            <a:fillRect/>
                          </a:stretch>
                        </pic:blipFill>
                        <pic:spPr>
                          <a:xfrm>
                            <a:off x="0" y="0"/>
                            <a:ext cx="2250440" cy="215900"/>
                          </a:xfrm>
                          <a:prstGeom prst="rect">
                            <a:avLst/>
                          </a:prstGeom>
                          <a:noFill/>
                          <a:ln>
                            <a:noFill/>
                          </a:ln>
                        </pic:spPr>
                      </pic:pic>
                    </a:graphicData>
                  </a:graphic>
                </wp:inline>
              </w:drawing>
            </w:r>
          </w:p>
          <w:p w14:paraId="45FDE8A4">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rPr>
              <w:t>将室外声级Loct,2（T）和透声面积换算成等效的室外声源，计算等效声源第i个Lwoct：</w:t>
            </w:r>
          </w:p>
          <w:p w14:paraId="24B969ED">
            <w:pPr>
              <w:adjustRightInd w:val="0"/>
              <w:snapToGrid w:val="0"/>
              <w:spacing w:line="240" w:lineRule="auto"/>
              <w:jc w:val="center"/>
              <w:rPr>
                <w:color w:val="auto"/>
                <w:kern w:val="0"/>
                <w:sz w:val="24"/>
                <w:highlight w:val="none"/>
              </w:rPr>
            </w:pPr>
            <w:r>
              <w:rPr>
                <w:color w:val="auto"/>
                <w:highlight w:val="none"/>
              </w:rPr>
              <w:drawing>
                <wp:inline distT="0" distB="0" distL="114300" distR="114300">
                  <wp:extent cx="1809750" cy="431800"/>
                  <wp:effectExtent l="0" t="0" r="3810" b="10160"/>
                  <wp:docPr id="17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8"/>
                          <pic:cNvPicPr>
                            <a:picLocks noChangeAspect="1"/>
                          </pic:cNvPicPr>
                        </pic:nvPicPr>
                        <pic:blipFill>
                          <a:blip r:embed="rId15"/>
                          <a:stretch>
                            <a:fillRect/>
                          </a:stretch>
                        </pic:blipFill>
                        <pic:spPr>
                          <a:xfrm>
                            <a:off x="0" y="0"/>
                            <a:ext cx="1809750" cy="431800"/>
                          </a:xfrm>
                          <a:prstGeom prst="rect">
                            <a:avLst/>
                          </a:prstGeom>
                          <a:noFill/>
                          <a:ln>
                            <a:noFill/>
                          </a:ln>
                        </pic:spPr>
                      </pic:pic>
                    </a:graphicData>
                  </a:graphic>
                </wp:inline>
              </w:drawing>
            </w:r>
          </w:p>
          <w:p w14:paraId="2A62DBF4">
            <w:pPr>
              <w:adjustRightInd w:val="0"/>
              <w:snapToGrid w:val="0"/>
              <w:spacing w:line="360" w:lineRule="auto"/>
              <w:ind w:firstLine="480" w:firstLineChars="200"/>
              <w:rPr>
                <w:rFonts w:hint="default" w:eastAsia="宋体"/>
                <w:color w:val="auto"/>
                <w:kern w:val="0"/>
                <w:sz w:val="24"/>
                <w:highlight w:val="none"/>
                <w:lang w:val="en-US" w:eastAsia="zh-CN"/>
              </w:rPr>
            </w:pPr>
            <w:r>
              <w:rPr>
                <w:rFonts w:hint="eastAsia"/>
                <w:color w:val="auto"/>
                <w:kern w:val="0"/>
                <w:sz w:val="24"/>
                <w:highlight w:val="none"/>
              </w:rPr>
              <w:t>式中：S—透声面积，</w:t>
            </w:r>
            <w:r>
              <w:rPr>
                <w:rFonts w:hint="eastAsia"/>
                <w:color w:val="auto"/>
                <w:kern w:val="0"/>
                <w:sz w:val="24"/>
                <w:highlight w:val="none"/>
                <w:lang w:val="en-US" w:eastAsia="zh-CN"/>
              </w:rPr>
              <w:t>m</w:t>
            </w:r>
            <w:r>
              <w:rPr>
                <w:rFonts w:hint="eastAsia"/>
                <w:color w:val="auto"/>
                <w:kern w:val="0"/>
                <w:sz w:val="24"/>
                <w:highlight w:val="none"/>
                <w:vertAlign w:val="superscript"/>
                <w:lang w:val="en-US" w:eastAsia="zh-CN"/>
              </w:rPr>
              <w:t>2</w:t>
            </w:r>
          </w:p>
          <w:p w14:paraId="2C262334">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rPr>
              <w:t>等效室外声源的位置为围护结构的位置，其倍频带声功率级为Lwoct，由此按室外声源方法计算等效室外声源在预测点产生的声级。计算某个室外声源在预测点产生的倍频带声压级：</w:t>
            </w:r>
          </w:p>
          <w:p w14:paraId="0F4ACC4E">
            <w:pPr>
              <w:adjustRightInd w:val="0"/>
              <w:snapToGrid w:val="0"/>
              <w:spacing w:line="240" w:lineRule="auto"/>
              <w:jc w:val="center"/>
              <w:rPr>
                <w:color w:val="auto"/>
                <w:kern w:val="0"/>
                <w:sz w:val="24"/>
                <w:highlight w:val="none"/>
              </w:rPr>
            </w:pPr>
            <w:r>
              <w:rPr>
                <w:color w:val="auto"/>
                <w:highlight w:val="none"/>
              </w:rPr>
              <w:drawing>
                <wp:inline distT="0" distB="0" distL="114300" distR="114300">
                  <wp:extent cx="2515870" cy="467995"/>
                  <wp:effectExtent l="0" t="0" r="13970" b="4445"/>
                  <wp:docPr id="17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9"/>
                          <pic:cNvPicPr>
                            <a:picLocks noChangeAspect="1"/>
                          </pic:cNvPicPr>
                        </pic:nvPicPr>
                        <pic:blipFill>
                          <a:blip r:embed="rId16"/>
                          <a:stretch>
                            <a:fillRect/>
                          </a:stretch>
                        </pic:blipFill>
                        <pic:spPr>
                          <a:xfrm>
                            <a:off x="0" y="0"/>
                            <a:ext cx="2515870" cy="467995"/>
                          </a:xfrm>
                          <a:prstGeom prst="rect">
                            <a:avLst/>
                          </a:prstGeom>
                          <a:noFill/>
                          <a:ln>
                            <a:noFill/>
                          </a:ln>
                        </pic:spPr>
                      </pic:pic>
                    </a:graphicData>
                  </a:graphic>
                </wp:inline>
              </w:drawing>
            </w:r>
          </w:p>
          <w:p w14:paraId="5A534061">
            <w:pPr>
              <w:adjustRightInd w:val="0"/>
              <w:snapToGrid w:val="0"/>
              <w:spacing w:line="360" w:lineRule="auto"/>
              <w:ind w:firstLine="480" w:firstLineChars="200"/>
              <w:rPr>
                <w:rFonts w:hint="eastAsia"/>
                <w:color w:val="auto"/>
                <w:kern w:val="0"/>
                <w:sz w:val="24"/>
                <w:highlight w:val="none"/>
              </w:rPr>
            </w:pPr>
            <w:r>
              <w:rPr>
                <w:rFonts w:hint="eastAsia"/>
                <w:color w:val="auto"/>
                <w:kern w:val="0"/>
                <w:sz w:val="24"/>
                <w:highlight w:val="none"/>
              </w:rPr>
              <w:t>式中：Loct（r）—点声源在预测点产生的倍频带声压级，dB；</w:t>
            </w:r>
          </w:p>
          <w:p w14:paraId="775FCAF6">
            <w:pPr>
              <w:adjustRightInd w:val="0"/>
              <w:snapToGrid w:val="0"/>
              <w:spacing w:line="360" w:lineRule="auto"/>
              <w:ind w:firstLine="1200" w:firstLineChars="500"/>
              <w:rPr>
                <w:rFonts w:hint="eastAsia"/>
                <w:color w:val="auto"/>
                <w:kern w:val="0"/>
                <w:sz w:val="24"/>
                <w:highlight w:val="none"/>
              </w:rPr>
            </w:pPr>
            <w:r>
              <w:rPr>
                <w:rFonts w:hint="eastAsia"/>
                <w:color w:val="auto"/>
                <w:kern w:val="0"/>
                <w:sz w:val="24"/>
                <w:highlight w:val="none"/>
              </w:rPr>
              <w:t>Loct（r0）—参考位置r0处的倍频带声压级，dB；</w:t>
            </w:r>
          </w:p>
          <w:p w14:paraId="7C888B19">
            <w:pPr>
              <w:adjustRightInd w:val="0"/>
              <w:snapToGrid w:val="0"/>
              <w:spacing w:line="360" w:lineRule="auto"/>
              <w:ind w:firstLine="1200" w:firstLineChars="500"/>
              <w:rPr>
                <w:rFonts w:hint="eastAsia"/>
                <w:color w:val="auto"/>
                <w:kern w:val="0"/>
                <w:sz w:val="24"/>
                <w:highlight w:val="none"/>
              </w:rPr>
            </w:pPr>
            <w:r>
              <w:rPr>
                <w:rFonts w:hint="eastAsia"/>
                <w:color w:val="auto"/>
                <w:kern w:val="0"/>
                <w:sz w:val="24"/>
                <w:highlight w:val="none"/>
              </w:rPr>
              <w:t>r—预测点距声源的距离，</w:t>
            </w:r>
            <w:r>
              <w:rPr>
                <w:rFonts w:hint="eastAsia"/>
                <w:color w:val="auto"/>
                <w:kern w:val="0"/>
                <w:sz w:val="24"/>
                <w:highlight w:val="none"/>
                <w:lang w:val="en-US" w:eastAsia="zh-CN"/>
              </w:rPr>
              <w:t>m</w:t>
            </w:r>
            <w:r>
              <w:rPr>
                <w:rFonts w:hint="eastAsia"/>
                <w:color w:val="auto"/>
                <w:kern w:val="0"/>
                <w:sz w:val="24"/>
                <w:highlight w:val="none"/>
              </w:rPr>
              <w:t>；</w:t>
            </w:r>
          </w:p>
          <w:p w14:paraId="5825A8B4">
            <w:pPr>
              <w:adjustRightInd w:val="0"/>
              <w:snapToGrid w:val="0"/>
              <w:spacing w:line="360" w:lineRule="auto"/>
              <w:ind w:firstLine="1200" w:firstLineChars="500"/>
              <w:rPr>
                <w:rFonts w:hint="eastAsia"/>
                <w:color w:val="auto"/>
                <w:kern w:val="0"/>
                <w:sz w:val="24"/>
                <w:highlight w:val="none"/>
              </w:rPr>
            </w:pPr>
            <w:r>
              <w:rPr>
                <w:rFonts w:hint="eastAsia"/>
                <w:color w:val="auto"/>
                <w:kern w:val="0"/>
                <w:sz w:val="24"/>
                <w:highlight w:val="none"/>
              </w:rPr>
              <w:t>r0—参考位置距声源的距离，</w:t>
            </w:r>
            <w:r>
              <w:rPr>
                <w:rFonts w:hint="eastAsia"/>
                <w:color w:val="auto"/>
                <w:kern w:val="0"/>
                <w:sz w:val="24"/>
                <w:highlight w:val="none"/>
                <w:lang w:val="en-US" w:eastAsia="zh-CN"/>
              </w:rPr>
              <w:t>m</w:t>
            </w:r>
            <w:r>
              <w:rPr>
                <w:rFonts w:hint="eastAsia"/>
                <w:color w:val="auto"/>
                <w:kern w:val="0"/>
                <w:sz w:val="24"/>
                <w:highlight w:val="none"/>
              </w:rPr>
              <w:t>；</w:t>
            </w:r>
          </w:p>
          <w:p w14:paraId="0BA76747">
            <w:pPr>
              <w:adjustRightInd w:val="0"/>
              <w:snapToGrid w:val="0"/>
              <w:spacing w:line="360" w:lineRule="auto"/>
              <w:ind w:firstLine="1200" w:firstLineChars="500"/>
              <w:rPr>
                <w:rFonts w:hint="eastAsia"/>
                <w:color w:val="auto"/>
                <w:kern w:val="0"/>
                <w:sz w:val="24"/>
                <w:highlight w:val="none"/>
              </w:rPr>
            </w:pPr>
            <w:r>
              <w:rPr>
                <w:rFonts w:hint="eastAsia"/>
                <w:color w:val="auto"/>
                <w:kern w:val="0"/>
                <w:sz w:val="24"/>
                <w:highlight w:val="none"/>
              </w:rPr>
              <w:t>Loct—各种因素引起的衰减量，dB。</w:t>
            </w:r>
          </w:p>
          <w:p w14:paraId="65E93F51">
            <w:pPr>
              <w:adjustRightInd w:val="0"/>
              <w:snapToGrid w:val="0"/>
              <w:spacing w:line="360" w:lineRule="auto"/>
              <w:ind w:firstLine="456" w:firstLineChars="200"/>
              <w:rPr>
                <w:color w:val="auto"/>
                <w:spacing w:val="-6"/>
                <w:kern w:val="0"/>
                <w:sz w:val="24"/>
                <w:highlight w:val="none"/>
              </w:rPr>
            </w:pPr>
            <w:r>
              <w:rPr>
                <w:rFonts w:hint="eastAsia"/>
                <w:color w:val="auto"/>
                <w:spacing w:val="-6"/>
                <w:kern w:val="0"/>
                <w:sz w:val="24"/>
                <w:highlight w:val="none"/>
              </w:rPr>
              <w:t>如已知声源的倍频带声功率级Lwoct，且声源可看作是位于地面上的，则：</w:t>
            </w:r>
          </w:p>
          <w:p w14:paraId="060FD11F">
            <w:pPr>
              <w:adjustRightInd w:val="0"/>
              <w:snapToGrid w:val="0"/>
              <w:spacing w:line="240" w:lineRule="auto"/>
              <w:jc w:val="center"/>
              <w:rPr>
                <w:color w:val="auto"/>
                <w:kern w:val="0"/>
                <w:sz w:val="24"/>
                <w:highlight w:val="none"/>
              </w:rPr>
            </w:pPr>
            <w:r>
              <w:rPr>
                <w:color w:val="auto"/>
                <w:highlight w:val="none"/>
              </w:rPr>
              <w:drawing>
                <wp:inline distT="0" distB="0" distL="114300" distR="114300">
                  <wp:extent cx="2002790" cy="264795"/>
                  <wp:effectExtent l="0" t="0" r="8890" b="9525"/>
                  <wp:docPr id="17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0"/>
                          <pic:cNvPicPr>
                            <a:picLocks noChangeAspect="1"/>
                          </pic:cNvPicPr>
                        </pic:nvPicPr>
                        <pic:blipFill>
                          <a:blip r:embed="rId17"/>
                          <a:srcRect t="18529" b="20147"/>
                          <a:stretch>
                            <a:fillRect/>
                          </a:stretch>
                        </pic:blipFill>
                        <pic:spPr>
                          <a:xfrm>
                            <a:off x="0" y="0"/>
                            <a:ext cx="2002790" cy="264795"/>
                          </a:xfrm>
                          <a:prstGeom prst="rect">
                            <a:avLst/>
                          </a:prstGeom>
                          <a:noFill/>
                          <a:ln>
                            <a:noFill/>
                          </a:ln>
                        </pic:spPr>
                      </pic:pic>
                    </a:graphicData>
                  </a:graphic>
                </wp:inline>
              </w:drawing>
            </w:r>
          </w:p>
          <w:p w14:paraId="2E6F89A6">
            <w:pPr>
              <w:adjustRightInd w:val="0"/>
              <w:snapToGrid w:val="0"/>
              <w:spacing w:line="360" w:lineRule="auto"/>
              <w:ind w:firstLine="480" w:firstLineChars="200"/>
              <w:rPr>
                <w:rFonts w:hint="eastAsia"/>
                <w:color w:val="auto"/>
                <w:kern w:val="0"/>
                <w:sz w:val="24"/>
                <w:highlight w:val="none"/>
              </w:rPr>
            </w:pPr>
            <w:r>
              <w:rPr>
                <w:rFonts w:hint="eastAsia"/>
                <w:color w:val="auto"/>
                <w:kern w:val="0"/>
                <w:sz w:val="24"/>
                <w:highlight w:val="none"/>
                <w:lang w:val="en-US" w:eastAsia="zh-CN"/>
              </w:rPr>
              <w:t>④</w:t>
            </w:r>
            <w:r>
              <w:rPr>
                <w:rFonts w:hint="eastAsia"/>
                <w:color w:val="auto"/>
                <w:kern w:val="0"/>
                <w:sz w:val="24"/>
                <w:highlight w:val="none"/>
              </w:rPr>
              <w:t>计算总声压级</w:t>
            </w:r>
          </w:p>
          <w:p w14:paraId="0DEA1ACC">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rPr>
              <w:t>设第i个室外声源在预测点产生的A声级为LAin,i，在T时间内该声源工作时间为tin,i，第j个等效室外声源在预测点产生的A声级为LAout,j，在T时间内该声源工作时间为tout,j，则预测点的总等效声级为：</w:t>
            </w:r>
          </w:p>
          <w:p w14:paraId="4312FD3A">
            <w:pPr>
              <w:adjustRightInd w:val="0"/>
              <w:snapToGrid w:val="0"/>
              <w:spacing w:line="240" w:lineRule="auto"/>
              <w:jc w:val="center"/>
              <w:rPr>
                <w:color w:val="auto"/>
                <w:kern w:val="0"/>
                <w:sz w:val="24"/>
                <w:highlight w:val="none"/>
              </w:rPr>
            </w:pPr>
            <w:r>
              <w:rPr>
                <w:color w:val="auto"/>
                <w:highlight w:val="none"/>
              </w:rPr>
              <w:drawing>
                <wp:inline distT="0" distB="0" distL="114300" distR="114300">
                  <wp:extent cx="2689225" cy="400685"/>
                  <wp:effectExtent l="0" t="0" r="8255" b="10795"/>
                  <wp:docPr id="17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1"/>
                          <pic:cNvPicPr>
                            <a:picLocks noChangeAspect="1"/>
                          </pic:cNvPicPr>
                        </pic:nvPicPr>
                        <pic:blipFill>
                          <a:blip r:embed="rId18"/>
                          <a:srcRect b="14383"/>
                          <a:stretch>
                            <a:fillRect/>
                          </a:stretch>
                        </pic:blipFill>
                        <pic:spPr>
                          <a:xfrm>
                            <a:off x="0" y="0"/>
                            <a:ext cx="2689225" cy="400685"/>
                          </a:xfrm>
                          <a:prstGeom prst="rect">
                            <a:avLst/>
                          </a:prstGeom>
                          <a:noFill/>
                          <a:ln>
                            <a:noFill/>
                          </a:ln>
                        </pic:spPr>
                      </pic:pic>
                    </a:graphicData>
                  </a:graphic>
                </wp:inline>
              </w:drawing>
            </w:r>
          </w:p>
          <w:p w14:paraId="65290ABD">
            <w:pPr>
              <w:adjustRightInd w:val="0"/>
              <w:snapToGrid w:val="0"/>
              <w:spacing w:line="360" w:lineRule="auto"/>
              <w:ind w:firstLine="480" w:firstLineChars="200"/>
              <w:rPr>
                <w:rFonts w:hint="eastAsia"/>
                <w:color w:val="auto"/>
                <w:kern w:val="0"/>
                <w:sz w:val="24"/>
                <w:highlight w:val="none"/>
              </w:rPr>
            </w:pPr>
            <w:r>
              <w:rPr>
                <w:rFonts w:hint="eastAsia"/>
                <w:color w:val="auto"/>
                <w:kern w:val="0"/>
                <w:sz w:val="24"/>
                <w:highlight w:val="none"/>
              </w:rPr>
              <w:t>式中：T—计算等效声级的时间，</w:t>
            </w:r>
            <w:r>
              <w:rPr>
                <w:rFonts w:hint="eastAsia"/>
                <w:color w:val="auto"/>
                <w:kern w:val="0"/>
                <w:sz w:val="24"/>
                <w:highlight w:val="none"/>
                <w:lang w:val="en-US" w:eastAsia="zh-CN"/>
              </w:rPr>
              <w:t>h</w:t>
            </w:r>
            <w:r>
              <w:rPr>
                <w:rFonts w:hint="eastAsia"/>
                <w:color w:val="auto"/>
                <w:kern w:val="0"/>
                <w:sz w:val="24"/>
                <w:highlight w:val="none"/>
              </w:rPr>
              <w:t>；</w:t>
            </w:r>
          </w:p>
          <w:p w14:paraId="3F2C7BB1">
            <w:pPr>
              <w:adjustRightInd w:val="0"/>
              <w:snapToGrid w:val="0"/>
              <w:spacing w:line="360" w:lineRule="auto"/>
              <w:ind w:firstLine="1200" w:firstLineChars="500"/>
              <w:rPr>
                <w:rFonts w:hint="eastAsia"/>
                <w:color w:val="auto"/>
                <w:kern w:val="0"/>
                <w:sz w:val="24"/>
                <w:highlight w:val="none"/>
              </w:rPr>
            </w:pPr>
            <w:r>
              <w:rPr>
                <w:rFonts w:hint="eastAsia"/>
                <w:color w:val="auto"/>
                <w:kern w:val="0"/>
                <w:sz w:val="24"/>
                <w:highlight w:val="none"/>
              </w:rPr>
              <w:t>N—室外声源个数；</w:t>
            </w:r>
          </w:p>
          <w:p w14:paraId="46205A40">
            <w:pPr>
              <w:adjustRightInd w:val="0"/>
              <w:snapToGrid w:val="0"/>
              <w:spacing w:line="360" w:lineRule="auto"/>
              <w:ind w:firstLine="1200" w:firstLineChars="500"/>
              <w:rPr>
                <w:rFonts w:hint="eastAsia"/>
                <w:color w:val="auto"/>
                <w:kern w:val="0"/>
                <w:sz w:val="24"/>
                <w:highlight w:val="none"/>
              </w:rPr>
            </w:pPr>
            <w:r>
              <w:rPr>
                <w:rFonts w:hint="eastAsia"/>
                <w:color w:val="auto"/>
                <w:kern w:val="0"/>
                <w:sz w:val="24"/>
                <w:highlight w:val="none"/>
              </w:rPr>
              <w:t>M—等效室外声源个数。</w:t>
            </w:r>
          </w:p>
          <w:p w14:paraId="4E425E10">
            <w:pPr>
              <w:adjustRightInd w:val="0"/>
              <w:snapToGrid w:val="0"/>
              <w:spacing w:line="360" w:lineRule="auto"/>
              <w:ind w:firstLine="1200" w:firstLineChars="500"/>
              <w:rPr>
                <w:color w:val="auto"/>
                <w:kern w:val="0"/>
                <w:sz w:val="24"/>
                <w:highlight w:val="none"/>
              </w:rPr>
            </w:pPr>
            <w:r>
              <w:rPr>
                <w:rFonts w:hint="eastAsia"/>
                <w:color w:val="auto"/>
                <w:kern w:val="0"/>
                <w:sz w:val="24"/>
                <w:highlight w:val="none"/>
              </w:rPr>
              <w:t>Leqb－预测点的背景值，dB(A)。</w:t>
            </w:r>
          </w:p>
          <w:p w14:paraId="35ACD0D0">
            <w:pPr>
              <w:adjustRightInd w:val="0"/>
              <w:snapToGrid w:val="0"/>
              <w:spacing w:line="360" w:lineRule="auto"/>
              <w:ind w:firstLine="480" w:firstLineChars="200"/>
              <w:rPr>
                <w:rFonts w:hint="default" w:eastAsia="宋体"/>
                <w:color w:val="auto"/>
                <w:kern w:val="0"/>
                <w:sz w:val="24"/>
                <w:highlight w:val="none"/>
                <w:lang w:val="en-US" w:eastAsia="zh-CN"/>
              </w:rPr>
            </w:pPr>
            <w:r>
              <w:rPr>
                <w:rFonts w:hint="eastAsia"/>
                <w:color w:val="auto"/>
                <w:kern w:val="0"/>
                <w:sz w:val="24"/>
                <w:highlight w:val="none"/>
                <w:lang w:eastAsia="zh-CN"/>
              </w:rPr>
              <w:t>（</w:t>
            </w:r>
            <w:r>
              <w:rPr>
                <w:rFonts w:hint="eastAsia"/>
                <w:color w:val="auto"/>
                <w:kern w:val="0"/>
                <w:sz w:val="24"/>
                <w:highlight w:val="none"/>
                <w:lang w:val="en-US" w:eastAsia="zh-CN"/>
              </w:rPr>
              <w:t>2</w:t>
            </w:r>
            <w:r>
              <w:rPr>
                <w:rFonts w:hint="eastAsia"/>
                <w:color w:val="auto"/>
                <w:kern w:val="0"/>
                <w:sz w:val="24"/>
                <w:highlight w:val="none"/>
                <w:lang w:eastAsia="zh-CN"/>
              </w:rPr>
              <w:t>）</w:t>
            </w:r>
            <w:r>
              <w:rPr>
                <w:rFonts w:hint="eastAsia"/>
                <w:color w:val="auto"/>
                <w:kern w:val="0"/>
                <w:sz w:val="24"/>
                <w:highlight w:val="none"/>
                <w:lang w:val="en-US" w:eastAsia="zh-CN"/>
              </w:rPr>
              <w:t>预测结果</w:t>
            </w:r>
          </w:p>
          <w:p w14:paraId="2BDF36B5">
            <w:pPr>
              <w:widowControl/>
              <w:autoSpaceDE w:val="0"/>
              <w:autoSpaceDN w:val="0"/>
              <w:spacing w:line="360" w:lineRule="auto"/>
              <w:ind w:firstLine="480" w:firstLineChars="200"/>
              <w:rPr>
                <w:rFonts w:hint="default" w:ascii="Times New Roman" w:hAnsi="Times New Roman" w:cs="Times New Roman"/>
                <w:highlight w:val="none"/>
                <w:lang w:val="en-US" w:eastAsia="zh-CN"/>
              </w:rPr>
            </w:pPr>
            <w:r>
              <w:rPr>
                <w:rFonts w:hint="default" w:ascii="Times New Roman" w:hAnsi="Times New Roman" w:cs="Times New Roman"/>
                <w:sz w:val="24"/>
                <w:highlight w:val="none"/>
              </w:rPr>
              <w:t>根据预测模式及噪声源强参数及各产噪设备距四周厂界的距离，预测噪声源对四周厂界噪声的贡献值预测结果详见表4-</w:t>
            </w:r>
            <w:r>
              <w:rPr>
                <w:rFonts w:hint="default" w:ascii="Times New Roman" w:hAnsi="Times New Roman" w:cs="Times New Roman"/>
                <w:sz w:val="24"/>
                <w:highlight w:val="none"/>
                <w:lang w:val="en-US" w:eastAsia="zh-CN"/>
              </w:rPr>
              <w:t>1</w:t>
            </w:r>
            <w:r>
              <w:rPr>
                <w:rFonts w:hint="eastAsia" w:cs="Times New Roman"/>
                <w:sz w:val="24"/>
                <w:highlight w:val="none"/>
                <w:lang w:val="en-US" w:eastAsia="zh-CN"/>
              </w:rPr>
              <w:t>0</w:t>
            </w:r>
            <w:r>
              <w:rPr>
                <w:rFonts w:hint="default" w:ascii="Times New Roman" w:hAnsi="Times New Roman" w:cs="Times New Roman"/>
                <w:sz w:val="24"/>
                <w:highlight w:val="none"/>
              </w:rPr>
              <w:t>。</w:t>
            </w:r>
          </w:p>
          <w:p w14:paraId="5C699EF9">
            <w:pPr>
              <w:pStyle w:val="39"/>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表</w:t>
            </w:r>
            <w:r>
              <w:rPr>
                <w:rFonts w:hint="default" w:ascii="Times New Roman" w:hAnsi="Times New Roman" w:eastAsia="宋体" w:cs="Times New Roman"/>
                <w:b/>
                <w:bCs/>
                <w:color w:val="auto"/>
                <w:sz w:val="21"/>
                <w:szCs w:val="21"/>
                <w:highlight w:val="none"/>
              </w:rPr>
              <w:t>4-</w:t>
            </w:r>
            <w:r>
              <w:rPr>
                <w:rFonts w:hint="default" w:ascii="Times New Roman" w:hAnsi="Times New Roman" w:eastAsia="宋体" w:cs="Times New Roman"/>
                <w:b/>
                <w:bCs/>
                <w:color w:val="auto"/>
                <w:sz w:val="21"/>
                <w:szCs w:val="21"/>
                <w:highlight w:val="none"/>
                <w:lang w:val="en-US" w:eastAsia="zh-CN"/>
              </w:rPr>
              <w:t>1</w:t>
            </w:r>
            <w:r>
              <w:rPr>
                <w:rFonts w:hint="eastAsia" w:ascii="Times New Roman" w:hAnsi="Times New Roman" w:eastAsia="宋体" w:cs="Times New Roman"/>
                <w:b/>
                <w:bCs/>
                <w:color w:val="auto"/>
                <w:sz w:val="21"/>
                <w:szCs w:val="21"/>
                <w:highlight w:val="none"/>
                <w:lang w:val="en-US" w:eastAsia="zh-CN"/>
              </w:rPr>
              <w:t>0</w:t>
            </w:r>
            <w:r>
              <w:rPr>
                <w:rFonts w:hint="default" w:ascii="Times New Roman" w:hAnsi="Times New Roman" w:eastAsia="宋体" w:cs="Times New Roman"/>
                <w:b/>
                <w:bCs/>
                <w:color w:val="auto"/>
                <w:sz w:val="21"/>
                <w:szCs w:val="21"/>
                <w:highlight w:val="none"/>
                <w:lang w:val="en-US" w:eastAsia="zh-CN"/>
              </w:rPr>
              <w:t xml:space="preserve"> </w:t>
            </w:r>
            <w:r>
              <w:rPr>
                <w:rFonts w:hint="eastAsia" w:ascii="Times New Roman" w:hAnsi="Times New Roman" w:eastAsia="宋体" w:cs="Times New Roman"/>
                <w:b/>
                <w:bCs/>
                <w:color w:val="auto"/>
                <w:sz w:val="21"/>
                <w:szCs w:val="21"/>
                <w:highlight w:val="none"/>
                <w:lang w:val="en-US" w:eastAsia="zh-CN"/>
              </w:rPr>
              <w:t xml:space="preserve">    </w:t>
            </w:r>
            <w:r>
              <w:rPr>
                <w:rFonts w:hint="default" w:ascii="Times New Roman" w:hAnsi="Times New Roman" w:eastAsia="宋体" w:cs="Times New Roman"/>
                <w:b/>
                <w:bCs/>
                <w:sz w:val="21"/>
                <w:szCs w:val="21"/>
                <w:highlight w:val="none"/>
              </w:rPr>
              <w:t>项目厂界噪声值预测结果一览表</w:t>
            </w:r>
            <w:r>
              <w:rPr>
                <w:rFonts w:hint="default"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rPr>
              <w:t>单位：dB（A）</w:t>
            </w:r>
          </w:p>
          <w:tbl>
            <w:tblPr>
              <w:tblStyle w:val="19"/>
              <w:tblW w:w="4998" w:type="pct"/>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098"/>
              <w:gridCol w:w="1108"/>
              <w:gridCol w:w="887"/>
              <w:gridCol w:w="948"/>
              <w:gridCol w:w="1052"/>
              <w:gridCol w:w="906"/>
              <w:gridCol w:w="749"/>
              <w:gridCol w:w="1498"/>
            </w:tblGrid>
            <w:tr w14:paraId="22B0482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9" w:hRule="atLeast"/>
              </w:trPr>
              <w:tc>
                <w:tcPr>
                  <w:tcW w:w="665" w:type="pct"/>
                  <w:vMerge w:val="restart"/>
                  <w:noWrap w:val="0"/>
                  <w:vAlign w:val="center"/>
                </w:tcPr>
                <w:p w14:paraId="04AD6B65">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预测点</w:t>
                  </w:r>
                </w:p>
              </w:tc>
              <w:tc>
                <w:tcPr>
                  <w:tcW w:w="1209" w:type="pct"/>
                  <w:gridSpan w:val="2"/>
                  <w:noWrap w:val="0"/>
                  <w:vAlign w:val="center"/>
                </w:tcPr>
                <w:p w14:paraId="51EB4AA3">
                  <w:pPr>
                    <w:pStyle w:val="41"/>
                    <w:widowControl/>
                    <w:spacing w:line="240" w:lineRule="auto"/>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本底值</w:t>
                  </w:r>
                </w:p>
              </w:tc>
              <w:tc>
                <w:tcPr>
                  <w:tcW w:w="1212" w:type="pct"/>
                  <w:gridSpan w:val="2"/>
                  <w:noWrap w:val="0"/>
                  <w:vAlign w:val="center"/>
                </w:tcPr>
                <w:p w14:paraId="2392F733">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贡献值</w:t>
                  </w:r>
                </w:p>
              </w:tc>
              <w:tc>
                <w:tcPr>
                  <w:tcW w:w="1003" w:type="pct"/>
                  <w:gridSpan w:val="2"/>
                  <w:noWrap w:val="0"/>
                  <w:vAlign w:val="center"/>
                </w:tcPr>
                <w:p w14:paraId="6E117673">
                  <w:pPr>
                    <w:pStyle w:val="41"/>
                    <w:widowControl/>
                    <w:spacing w:line="240" w:lineRule="auto"/>
                    <w:rPr>
                      <w:rFonts w:hint="eastAsia"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预测值</w:t>
                  </w:r>
                </w:p>
              </w:tc>
              <w:tc>
                <w:tcPr>
                  <w:tcW w:w="908" w:type="pct"/>
                  <w:vMerge w:val="restart"/>
                  <w:noWrap w:val="0"/>
                  <w:vAlign w:val="center"/>
                </w:tcPr>
                <w:p w14:paraId="7A9A3B83">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达标情况</w:t>
                  </w:r>
                </w:p>
              </w:tc>
            </w:tr>
            <w:tr w14:paraId="5F0B119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65" w:type="pct"/>
                  <w:vMerge w:val="continue"/>
                  <w:tcBorders>
                    <w:bottom w:val="single" w:color="auto" w:sz="8" w:space="0"/>
                  </w:tcBorders>
                  <w:noWrap w:val="0"/>
                  <w:vAlign w:val="center"/>
                </w:tcPr>
                <w:p w14:paraId="5B25DCC3">
                  <w:pPr>
                    <w:pStyle w:val="41"/>
                    <w:widowControl/>
                    <w:spacing w:line="240" w:lineRule="auto"/>
                    <w:rPr>
                      <w:rFonts w:hint="default" w:ascii="Times New Roman" w:hAnsi="Times New Roman" w:cs="Times New Roman"/>
                      <w:highlight w:val="none"/>
                    </w:rPr>
                  </w:pPr>
                </w:p>
              </w:tc>
              <w:tc>
                <w:tcPr>
                  <w:tcW w:w="671" w:type="pct"/>
                  <w:tcBorders>
                    <w:bottom w:val="single" w:color="auto" w:sz="8" w:space="0"/>
                  </w:tcBorders>
                  <w:noWrap w:val="0"/>
                  <w:vAlign w:val="center"/>
                </w:tcPr>
                <w:p w14:paraId="6CDB194C">
                  <w:pPr>
                    <w:keepNext w:val="0"/>
                    <w:keepLines w:val="0"/>
                    <w:pageBreakBefore w:val="0"/>
                    <w:widowControl/>
                    <w:suppressLineNumbers w:val="0"/>
                    <w:bidi w:val="0"/>
                    <w:spacing w:line="240" w:lineRule="auto"/>
                    <w:jc w:val="center"/>
                    <w:textAlignment w:val="center"/>
                    <w:rPr>
                      <w:rFonts w:hint="default" w:ascii="Times New Roman" w:hAnsi="Times New Roman" w:cs="Times New Roman"/>
                      <w:highlight w:val="none"/>
                    </w:rPr>
                  </w:pP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昼间</w:t>
                  </w:r>
                </w:p>
              </w:tc>
              <w:tc>
                <w:tcPr>
                  <w:tcW w:w="537" w:type="pct"/>
                  <w:tcBorders>
                    <w:bottom w:val="single" w:color="auto" w:sz="8" w:space="0"/>
                  </w:tcBorders>
                  <w:noWrap w:val="0"/>
                  <w:vAlign w:val="center"/>
                </w:tcPr>
                <w:p w14:paraId="57F46F03">
                  <w:pPr>
                    <w:keepNext w:val="0"/>
                    <w:keepLines w:val="0"/>
                    <w:pageBreakBefore w:val="0"/>
                    <w:widowControl/>
                    <w:suppressLineNumbers w:val="0"/>
                    <w:bidi w:val="0"/>
                    <w:spacing w:line="240" w:lineRule="auto"/>
                    <w:jc w:val="center"/>
                    <w:textAlignment w:val="center"/>
                    <w:rPr>
                      <w:rFonts w:hint="default" w:ascii="Times New Roman" w:hAnsi="Times New Roman" w:cs="Times New Roman"/>
                      <w:highlight w:val="none"/>
                    </w:rPr>
                  </w:pP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夜间</w:t>
                  </w:r>
                </w:p>
              </w:tc>
              <w:tc>
                <w:tcPr>
                  <w:tcW w:w="574" w:type="pct"/>
                  <w:tcBorders>
                    <w:bottom w:val="single" w:color="auto" w:sz="8" w:space="0"/>
                  </w:tcBorders>
                  <w:noWrap w:val="0"/>
                  <w:vAlign w:val="center"/>
                </w:tcPr>
                <w:p w14:paraId="7EE42DE6">
                  <w:pPr>
                    <w:pStyle w:val="41"/>
                    <w:widowControl/>
                    <w:spacing w:line="240" w:lineRule="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昼间</w:t>
                  </w:r>
                </w:p>
              </w:tc>
              <w:tc>
                <w:tcPr>
                  <w:tcW w:w="637" w:type="pct"/>
                  <w:tcBorders>
                    <w:bottom w:val="single" w:color="auto" w:sz="8" w:space="0"/>
                  </w:tcBorders>
                  <w:noWrap w:val="0"/>
                  <w:vAlign w:val="center"/>
                </w:tcPr>
                <w:p w14:paraId="12FE4F3A">
                  <w:pPr>
                    <w:pStyle w:val="41"/>
                    <w:widowControl/>
                    <w:spacing w:line="240" w:lineRule="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夜间</w:t>
                  </w:r>
                </w:p>
              </w:tc>
              <w:tc>
                <w:tcPr>
                  <w:tcW w:w="549" w:type="pct"/>
                  <w:tcBorders>
                    <w:bottom w:val="single" w:color="auto" w:sz="8" w:space="0"/>
                  </w:tcBorders>
                  <w:noWrap w:val="0"/>
                  <w:vAlign w:val="center"/>
                </w:tcPr>
                <w:p w14:paraId="1BD481CF">
                  <w:pPr>
                    <w:pStyle w:val="41"/>
                    <w:widowControl/>
                    <w:spacing w:line="240" w:lineRule="auto"/>
                    <w:rPr>
                      <w:rFonts w:hint="eastAsia"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昼间</w:t>
                  </w:r>
                </w:p>
              </w:tc>
              <w:tc>
                <w:tcPr>
                  <w:tcW w:w="454" w:type="pct"/>
                  <w:tcBorders>
                    <w:bottom w:val="single" w:color="auto" w:sz="8" w:space="0"/>
                  </w:tcBorders>
                  <w:noWrap w:val="0"/>
                  <w:vAlign w:val="center"/>
                </w:tcPr>
                <w:p w14:paraId="6E9FDCAD">
                  <w:pPr>
                    <w:pStyle w:val="41"/>
                    <w:widowControl/>
                    <w:spacing w:line="240" w:lineRule="auto"/>
                    <w:rPr>
                      <w:rFonts w:hint="eastAsia"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夜间</w:t>
                  </w:r>
                </w:p>
              </w:tc>
              <w:tc>
                <w:tcPr>
                  <w:tcW w:w="908" w:type="pct"/>
                  <w:vMerge w:val="continue"/>
                  <w:tcBorders>
                    <w:bottom w:val="single" w:color="auto" w:sz="8" w:space="0"/>
                  </w:tcBorders>
                  <w:noWrap w:val="0"/>
                  <w:vAlign w:val="center"/>
                </w:tcPr>
                <w:p w14:paraId="769E4009">
                  <w:pPr>
                    <w:pStyle w:val="41"/>
                    <w:widowControl/>
                    <w:spacing w:line="240" w:lineRule="auto"/>
                    <w:rPr>
                      <w:rFonts w:hint="default" w:ascii="Times New Roman" w:hAnsi="Times New Roman" w:cs="Times New Roman"/>
                      <w:highlight w:val="none"/>
                    </w:rPr>
                  </w:pPr>
                </w:p>
              </w:tc>
            </w:tr>
            <w:tr w14:paraId="4E9A8BB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33" w:hRule="atLeast"/>
              </w:trPr>
              <w:tc>
                <w:tcPr>
                  <w:tcW w:w="665" w:type="pct"/>
                  <w:tcBorders>
                    <w:top w:val="single" w:color="auto" w:sz="8" w:space="0"/>
                    <w:tl2br w:val="nil"/>
                    <w:tr2bl w:val="nil"/>
                  </w:tcBorders>
                  <w:noWrap w:val="0"/>
                  <w:vAlign w:val="top"/>
                </w:tcPr>
                <w:p w14:paraId="641ABDAD">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东厂界</w:t>
                  </w:r>
                </w:p>
              </w:tc>
              <w:tc>
                <w:tcPr>
                  <w:tcW w:w="671" w:type="pct"/>
                  <w:tcBorders>
                    <w:top w:val="single" w:color="auto" w:sz="8" w:space="0"/>
                    <w:tl2br w:val="nil"/>
                    <w:tr2bl w:val="nil"/>
                  </w:tcBorders>
                  <w:noWrap w:val="0"/>
                  <w:vAlign w:val="center"/>
                </w:tcPr>
                <w:p w14:paraId="475779B5">
                  <w:pPr>
                    <w:keepNext w:val="0"/>
                    <w:keepLines w:val="0"/>
                    <w:pageBreakBefore w:val="0"/>
                    <w:widowControl/>
                    <w:suppressLineNumbers w:val="0"/>
                    <w:bidi w:val="0"/>
                    <w:spacing w:line="240" w:lineRule="auto"/>
                    <w:jc w:val="center"/>
                    <w:textAlignment w:val="center"/>
                    <w:rPr>
                      <w:rFonts w:hint="default" w:ascii="Times New Roman" w:hAnsi="Times New Roman" w:cs="Times New Roman"/>
                      <w:highlight w:val="none"/>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5</w:t>
                  </w: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1.1</w:t>
                  </w:r>
                </w:p>
              </w:tc>
              <w:tc>
                <w:tcPr>
                  <w:tcW w:w="537" w:type="pct"/>
                  <w:tcBorders>
                    <w:top w:val="single" w:color="auto" w:sz="8" w:space="0"/>
                    <w:tl2br w:val="nil"/>
                    <w:tr2bl w:val="nil"/>
                  </w:tcBorders>
                  <w:noWrap w:val="0"/>
                  <w:vAlign w:val="center"/>
                </w:tcPr>
                <w:p w14:paraId="0C34F1D2">
                  <w:pPr>
                    <w:keepNext w:val="0"/>
                    <w:keepLines w:val="0"/>
                    <w:pageBreakBefore w:val="0"/>
                    <w:widowControl/>
                    <w:suppressLineNumbers w:val="0"/>
                    <w:bidi w:val="0"/>
                    <w:spacing w:line="240" w:lineRule="auto"/>
                    <w:jc w:val="center"/>
                    <w:textAlignment w:val="center"/>
                    <w:rPr>
                      <w:rFonts w:hint="default" w:ascii="Times New Roman" w:hAnsi="Times New Roman" w:cs="Times New Roman"/>
                      <w:highlight w:val="none"/>
                    </w:rPr>
                  </w:pP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w:t>
                  </w:r>
                </w:p>
              </w:tc>
              <w:tc>
                <w:tcPr>
                  <w:tcW w:w="574" w:type="pct"/>
                  <w:tcBorders>
                    <w:top w:val="single" w:color="auto" w:sz="8" w:space="0"/>
                    <w:tl2br w:val="nil"/>
                    <w:tr2bl w:val="nil"/>
                  </w:tcBorders>
                  <w:noWrap w:val="0"/>
                  <w:vAlign w:val="top"/>
                </w:tcPr>
                <w:p w14:paraId="0759D162">
                  <w:pPr>
                    <w:pStyle w:val="41"/>
                    <w:widowControl/>
                    <w:spacing w:line="240" w:lineRule="auto"/>
                    <w:rPr>
                      <w:rFonts w:hint="default" w:ascii="Times New Roman" w:hAnsi="Times New Roman" w:eastAsia="宋体" w:cs="Times New Roman"/>
                      <w:snapToGrid w:val="0"/>
                      <w:kern w:val="2"/>
                      <w:sz w:val="21"/>
                      <w:szCs w:val="21"/>
                      <w:highlight w:val="none"/>
                      <w:lang w:val="en-US" w:eastAsia="zh-CN" w:bidi="ar-SA"/>
                    </w:rPr>
                  </w:pPr>
                  <w:r>
                    <w:rPr>
                      <w:rFonts w:hint="eastAsia" w:ascii="Times New Roman" w:hAnsi="Times New Roman" w:cs="Times New Roman"/>
                      <w:snapToGrid w:val="0"/>
                      <w:kern w:val="2"/>
                      <w:sz w:val="21"/>
                      <w:szCs w:val="21"/>
                      <w:highlight w:val="none"/>
                      <w:lang w:val="en-US" w:eastAsia="zh-CN" w:bidi="ar-SA"/>
                    </w:rPr>
                    <w:t>51.4</w:t>
                  </w:r>
                </w:p>
              </w:tc>
              <w:tc>
                <w:tcPr>
                  <w:tcW w:w="637" w:type="pct"/>
                  <w:tcBorders>
                    <w:top w:val="single" w:color="auto" w:sz="8" w:space="0"/>
                    <w:tl2br w:val="nil"/>
                    <w:tr2bl w:val="nil"/>
                  </w:tcBorders>
                  <w:noWrap w:val="0"/>
                  <w:vAlign w:val="top"/>
                </w:tcPr>
                <w:p w14:paraId="460330CF">
                  <w:pPr>
                    <w:pStyle w:val="41"/>
                    <w:widowControl/>
                    <w:spacing w:line="240" w:lineRule="auto"/>
                    <w:rPr>
                      <w:rFonts w:hint="default" w:ascii="Times New Roman" w:hAnsi="Times New Roman" w:eastAsia="宋体" w:cs="Times New Roman"/>
                      <w:snapToGrid w:val="0"/>
                      <w:kern w:val="2"/>
                      <w:sz w:val="21"/>
                      <w:szCs w:val="21"/>
                      <w:highlight w:val="none"/>
                      <w:lang w:val="en-US" w:eastAsia="zh-CN" w:bidi="ar-SA"/>
                    </w:rPr>
                  </w:pPr>
                  <w:r>
                    <w:rPr>
                      <w:rFonts w:hint="default" w:ascii="Times New Roman" w:hAnsi="Times New Roman" w:cs="Times New Roman"/>
                      <w:highlight w:val="none"/>
                    </w:rPr>
                    <w:t>4</w:t>
                  </w:r>
                  <w:r>
                    <w:rPr>
                      <w:rFonts w:hint="eastAsia" w:ascii="Times New Roman" w:hAnsi="Times New Roman" w:cs="Times New Roman"/>
                      <w:highlight w:val="none"/>
                      <w:lang w:val="en-US" w:eastAsia="zh-CN"/>
                    </w:rPr>
                    <w:t>4.6</w:t>
                  </w:r>
                </w:p>
              </w:tc>
              <w:tc>
                <w:tcPr>
                  <w:tcW w:w="549" w:type="pct"/>
                  <w:tcBorders>
                    <w:top w:val="single" w:color="auto" w:sz="8" w:space="0"/>
                    <w:tl2br w:val="nil"/>
                    <w:tr2bl w:val="nil"/>
                  </w:tcBorders>
                  <w:noWrap w:val="0"/>
                  <w:vAlign w:val="top"/>
                </w:tcPr>
                <w:p w14:paraId="2CC8B34C">
                  <w:pPr>
                    <w:pStyle w:val="41"/>
                    <w:widowControl/>
                    <w:spacing w:line="240" w:lineRule="auto"/>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62.5</w:t>
                  </w:r>
                </w:p>
              </w:tc>
              <w:tc>
                <w:tcPr>
                  <w:tcW w:w="749" w:type="dxa"/>
                  <w:tcBorders>
                    <w:top w:val="single" w:color="auto" w:sz="8" w:space="0"/>
                    <w:tl2br w:val="nil"/>
                    <w:tr2bl w:val="nil"/>
                  </w:tcBorders>
                  <w:noWrap w:val="0"/>
                  <w:vAlign w:val="top"/>
                </w:tcPr>
                <w:p w14:paraId="6FF3522B">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4</w:t>
                  </w:r>
                  <w:r>
                    <w:rPr>
                      <w:rFonts w:hint="eastAsia" w:ascii="Times New Roman" w:hAnsi="Times New Roman" w:cs="Times New Roman"/>
                      <w:highlight w:val="none"/>
                      <w:lang w:val="en-US" w:eastAsia="zh-CN"/>
                    </w:rPr>
                    <w:t>4.6</w:t>
                  </w:r>
                </w:p>
              </w:tc>
              <w:tc>
                <w:tcPr>
                  <w:tcW w:w="908" w:type="pct"/>
                  <w:tcBorders>
                    <w:top w:val="single" w:color="auto" w:sz="8" w:space="0"/>
                    <w:tl2br w:val="nil"/>
                    <w:tr2bl w:val="nil"/>
                  </w:tcBorders>
                  <w:noWrap w:val="0"/>
                  <w:vAlign w:val="top"/>
                </w:tcPr>
                <w:p w14:paraId="29FB6CED">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达标</w:t>
                  </w:r>
                </w:p>
              </w:tc>
            </w:tr>
            <w:tr w14:paraId="0EDB2B4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665" w:type="pct"/>
                  <w:tcBorders>
                    <w:tl2br w:val="nil"/>
                    <w:tr2bl w:val="nil"/>
                  </w:tcBorders>
                  <w:noWrap w:val="0"/>
                  <w:vAlign w:val="top"/>
                </w:tcPr>
                <w:p w14:paraId="1E76BEAD">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南厂界</w:t>
                  </w:r>
                </w:p>
              </w:tc>
              <w:tc>
                <w:tcPr>
                  <w:tcW w:w="671" w:type="pct"/>
                  <w:tcBorders>
                    <w:tl2br w:val="nil"/>
                    <w:tr2bl w:val="nil"/>
                  </w:tcBorders>
                  <w:noWrap w:val="0"/>
                  <w:vAlign w:val="center"/>
                </w:tcPr>
                <w:p w14:paraId="284423D4">
                  <w:pPr>
                    <w:keepNext w:val="0"/>
                    <w:keepLines w:val="0"/>
                    <w:pageBreakBefore w:val="0"/>
                    <w:widowControl/>
                    <w:suppressLineNumbers w:val="0"/>
                    <w:bidi w:val="0"/>
                    <w:spacing w:line="240" w:lineRule="auto"/>
                    <w:jc w:val="center"/>
                    <w:textAlignment w:val="center"/>
                    <w:rPr>
                      <w:rFonts w:hint="default" w:ascii="Times New Roman" w:hAnsi="Times New Roman" w:cs="Times New Roman"/>
                      <w:highlight w:val="none"/>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51</w:t>
                  </w: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.8</w:t>
                  </w:r>
                </w:p>
              </w:tc>
              <w:tc>
                <w:tcPr>
                  <w:tcW w:w="537" w:type="pct"/>
                  <w:tcBorders>
                    <w:tl2br w:val="nil"/>
                    <w:tr2bl w:val="nil"/>
                  </w:tcBorders>
                  <w:noWrap w:val="0"/>
                  <w:vAlign w:val="center"/>
                </w:tcPr>
                <w:p w14:paraId="47629FB4">
                  <w:pPr>
                    <w:keepNext w:val="0"/>
                    <w:keepLines w:val="0"/>
                    <w:pageBreakBefore w:val="0"/>
                    <w:widowControl/>
                    <w:suppressLineNumbers w:val="0"/>
                    <w:bidi w:val="0"/>
                    <w:spacing w:line="240" w:lineRule="auto"/>
                    <w:jc w:val="center"/>
                    <w:textAlignment w:val="center"/>
                    <w:rPr>
                      <w:rFonts w:hint="default" w:ascii="Times New Roman" w:hAnsi="Times New Roman" w:cs="Times New Roman"/>
                      <w:highlight w:val="none"/>
                    </w:rPr>
                  </w:pP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w:t>
                  </w:r>
                </w:p>
              </w:tc>
              <w:tc>
                <w:tcPr>
                  <w:tcW w:w="574" w:type="pct"/>
                  <w:tcBorders>
                    <w:tl2br w:val="nil"/>
                    <w:tr2bl w:val="nil"/>
                  </w:tcBorders>
                  <w:noWrap w:val="0"/>
                  <w:vAlign w:val="top"/>
                </w:tcPr>
                <w:p w14:paraId="70EE30FE">
                  <w:pPr>
                    <w:pStyle w:val="41"/>
                    <w:widowControl/>
                    <w:spacing w:line="240" w:lineRule="auto"/>
                    <w:rPr>
                      <w:rFonts w:hint="default" w:ascii="Times New Roman" w:hAnsi="Times New Roman" w:eastAsia="宋体" w:cs="Times New Roman"/>
                      <w:snapToGrid w:val="0"/>
                      <w:kern w:val="2"/>
                      <w:sz w:val="21"/>
                      <w:szCs w:val="21"/>
                      <w:highlight w:val="none"/>
                      <w:lang w:val="en-US" w:eastAsia="zh-CN" w:bidi="ar-SA"/>
                    </w:rPr>
                  </w:pPr>
                  <w:r>
                    <w:rPr>
                      <w:rFonts w:hint="eastAsia" w:ascii="Times New Roman" w:hAnsi="Times New Roman" w:cs="Times New Roman"/>
                      <w:snapToGrid w:val="0"/>
                      <w:kern w:val="2"/>
                      <w:sz w:val="21"/>
                      <w:szCs w:val="21"/>
                      <w:highlight w:val="none"/>
                      <w:lang w:val="en-US" w:eastAsia="zh-CN" w:bidi="ar-SA"/>
                    </w:rPr>
                    <w:t>50.1</w:t>
                  </w:r>
                </w:p>
              </w:tc>
              <w:tc>
                <w:tcPr>
                  <w:tcW w:w="637" w:type="pct"/>
                  <w:tcBorders>
                    <w:tl2br w:val="nil"/>
                    <w:tr2bl w:val="nil"/>
                  </w:tcBorders>
                  <w:noWrap w:val="0"/>
                  <w:vAlign w:val="top"/>
                </w:tcPr>
                <w:p w14:paraId="686A0198">
                  <w:pPr>
                    <w:pStyle w:val="41"/>
                    <w:widowControl/>
                    <w:spacing w:line="240" w:lineRule="auto"/>
                    <w:rPr>
                      <w:rFonts w:hint="default" w:ascii="Times New Roman" w:hAnsi="Times New Roman" w:eastAsia="宋体" w:cs="Times New Roman"/>
                      <w:snapToGrid w:val="0"/>
                      <w:kern w:val="2"/>
                      <w:sz w:val="21"/>
                      <w:szCs w:val="21"/>
                      <w:highlight w:val="none"/>
                      <w:lang w:val="en-US" w:eastAsia="zh-CN" w:bidi="ar-SA"/>
                    </w:rPr>
                  </w:pPr>
                  <w:r>
                    <w:rPr>
                      <w:rFonts w:hint="default" w:ascii="Times New Roman" w:hAnsi="Times New Roman" w:cs="Times New Roman"/>
                      <w:highlight w:val="none"/>
                    </w:rPr>
                    <w:t>4</w:t>
                  </w:r>
                  <w:r>
                    <w:rPr>
                      <w:rFonts w:hint="eastAsia" w:ascii="Times New Roman" w:hAnsi="Times New Roman" w:cs="Times New Roman"/>
                      <w:highlight w:val="none"/>
                      <w:lang w:val="en-US" w:eastAsia="zh-CN"/>
                    </w:rPr>
                    <w:t>3.4</w:t>
                  </w:r>
                </w:p>
              </w:tc>
              <w:tc>
                <w:tcPr>
                  <w:tcW w:w="549" w:type="pct"/>
                  <w:tcBorders>
                    <w:tl2br w:val="nil"/>
                    <w:tr2bl w:val="nil"/>
                  </w:tcBorders>
                  <w:noWrap w:val="0"/>
                  <w:vAlign w:val="top"/>
                </w:tcPr>
                <w:p w14:paraId="6E86D9F2">
                  <w:pPr>
                    <w:pStyle w:val="41"/>
                    <w:widowControl/>
                    <w:spacing w:line="240" w:lineRule="auto"/>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61.9</w:t>
                  </w:r>
                </w:p>
              </w:tc>
              <w:tc>
                <w:tcPr>
                  <w:tcW w:w="749" w:type="dxa"/>
                  <w:tcBorders>
                    <w:tl2br w:val="nil"/>
                    <w:tr2bl w:val="nil"/>
                  </w:tcBorders>
                  <w:noWrap w:val="0"/>
                  <w:vAlign w:val="top"/>
                </w:tcPr>
                <w:p w14:paraId="14AFBBF4">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4</w:t>
                  </w:r>
                  <w:r>
                    <w:rPr>
                      <w:rFonts w:hint="eastAsia" w:ascii="Times New Roman" w:hAnsi="Times New Roman" w:cs="Times New Roman"/>
                      <w:highlight w:val="none"/>
                      <w:lang w:val="en-US" w:eastAsia="zh-CN"/>
                    </w:rPr>
                    <w:t>3.4</w:t>
                  </w:r>
                </w:p>
              </w:tc>
              <w:tc>
                <w:tcPr>
                  <w:tcW w:w="908" w:type="pct"/>
                  <w:tcBorders>
                    <w:tl2br w:val="nil"/>
                    <w:tr2bl w:val="nil"/>
                  </w:tcBorders>
                  <w:noWrap w:val="0"/>
                  <w:vAlign w:val="top"/>
                </w:tcPr>
                <w:p w14:paraId="0EF25105">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达标</w:t>
                  </w:r>
                </w:p>
              </w:tc>
            </w:tr>
            <w:tr w14:paraId="6D6EA8D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665" w:type="pct"/>
                  <w:tcBorders>
                    <w:tl2br w:val="nil"/>
                    <w:tr2bl w:val="nil"/>
                  </w:tcBorders>
                  <w:noWrap w:val="0"/>
                  <w:vAlign w:val="top"/>
                </w:tcPr>
                <w:p w14:paraId="1836C653">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西厂界</w:t>
                  </w:r>
                </w:p>
              </w:tc>
              <w:tc>
                <w:tcPr>
                  <w:tcW w:w="671" w:type="pct"/>
                  <w:tcBorders>
                    <w:tl2br w:val="nil"/>
                    <w:tr2bl w:val="nil"/>
                  </w:tcBorders>
                  <w:noWrap w:val="0"/>
                  <w:vAlign w:val="center"/>
                </w:tcPr>
                <w:p w14:paraId="5606DC07">
                  <w:pPr>
                    <w:keepNext w:val="0"/>
                    <w:keepLines w:val="0"/>
                    <w:pageBreakBefore w:val="0"/>
                    <w:widowControl/>
                    <w:suppressLineNumbers w:val="0"/>
                    <w:bidi w:val="0"/>
                    <w:spacing w:line="240" w:lineRule="auto"/>
                    <w:jc w:val="center"/>
                    <w:textAlignment w:val="center"/>
                    <w:rPr>
                      <w:rFonts w:hint="default" w:ascii="Times New Roman" w:hAnsi="Times New Roman" w:cs="Times New Roman"/>
                      <w:highlight w:val="none"/>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5</w:t>
                  </w: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2.2</w:t>
                  </w:r>
                </w:p>
              </w:tc>
              <w:tc>
                <w:tcPr>
                  <w:tcW w:w="537" w:type="pct"/>
                  <w:tcBorders>
                    <w:tl2br w:val="nil"/>
                    <w:tr2bl w:val="nil"/>
                  </w:tcBorders>
                  <w:noWrap w:val="0"/>
                  <w:vAlign w:val="center"/>
                </w:tcPr>
                <w:p w14:paraId="0EDFEC96">
                  <w:pPr>
                    <w:keepNext w:val="0"/>
                    <w:keepLines w:val="0"/>
                    <w:pageBreakBefore w:val="0"/>
                    <w:widowControl/>
                    <w:suppressLineNumbers w:val="0"/>
                    <w:bidi w:val="0"/>
                    <w:spacing w:line="240" w:lineRule="auto"/>
                    <w:jc w:val="center"/>
                    <w:textAlignment w:val="center"/>
                    <w:rPr>
                      <w:rFonts w:hint="default" w:ascii="Times New Roman" w:hAnsi="Times New Roman" w:cs="Times New Roman"/>
                      <w:highlight w:val="none"/>
                    </w:rPr>
                  </w:pP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w:t>
                  </w:r>
                </w:p>
              </w:tc>
              <w:tc>
                <w:tcPr>
                  <w:tcW w:w="574" w:type="pct"/>
                  <w:tcBorders>
                    <w:tl2br w:val="nil"/>
                    <w:tr2bl w:val="nil"/>
                  </w:tcBorders>
                  <w:noWrap w:val="0"/>
                  <w:vAlign w:val="top"/>
                </w:tcPr>
                <w:p w14:paraId="52EFEC37">
                  <w:pPr>
                    <w:pStyle w:val="41"/>
                    <w:widowControl/>
                    <w:spacing w:line="240" w:lineRule="auto"/>
                    <w:rPr>
                      <w:rFonts w:hint="default" w:ascii="Times New Roman" w:hAnsi="Times New Roman" w:eastAsia="宋体" w:cs="Times New Roman"/>
                      <w:snapToGrid w:val="0"/>
                      <w:kern w:val="2"/>
                      <w:sz w:val="21"/>
                      <w:szCs w:val="21"/>
                      <w:highlight w:val="none"/>
                      <w:lang w:val="en-US" w:eastAsia="zh-CN" w:bidi="ar-SA"/>
                    </w:rPr>
                  </w:pPr>
                  <w:r>
                    <w:rPr>
                      <w:rFonts w:hint="eastAsia" w:ascii="Times New Roman" w:hAnsi="Times New Roman" w:cs="Times New Roman"/>
                      <w:highlight w:val="none"/>
                      <w:lang w:val="en-US" w:eastAsia="zh-CN"/>
                    </w:rPr>
                    <w:t>55.7</w:t>
                  </w:r>
                </w:p>
              </w:tc>
              <w:tc>
                <w:tcPr>
                  <w:tcW w:w="637" w:type="pct"/>
                  <w:tcBorders>
                    <w:tl2br w:val="nil"/>
                    <w:tr2bl w:val="nil"/>
                  </w:tcBorders>
                  <w:noWrap w:val="0"/>
                  <w:vAlign w:val="top"/>
                </w:tcPr>
                <w:p w14:paraId="3A904388">
                  <w:pPr>
                    <w:pStyle w:val="41"/>
                    <w:widowControl/>
                    <w:spacing w:line="240" w:lineRule="auto"/>
                    <w:rPr>
                      <w:rFonts w:hint="default" w:ascii="Times New Roman" w:hAnsi="Times New Roman" w:eastAsia="宋体" w:cs="Times New Roman"/>
                      <w:snapToGrid w:val="0"/>
                      <w:kern w:val="2"/>
                      <w:sz w:val="21"/>
                      <w:szCs w:val="21"/>
                      <w:highlight w:val="none"/>
                      <w:lang w:val="en-US" w:eastAsia="zh-CN" w:bidi="ar-SA"/>
                    </w:rPr>
                  </w:pPr>
                  <w:r>
                    <w:rPr>
                      <w:rFonts w:hint="eastAsia" w:ascii="Times New Roman" w:hAnsi="Times New Roman" w:cs="Times New Roman"/>
                      <w:highlight w:val="none"/>
                      <w:lang w:val="en-US" w:eastAsia="zh-CN"/>
                    </w:rPr>
                    <w:t>42.4</w:t>
                  </w:r>
                </w:p>
              </w:tc>
              <w:tc>
                <w:tcPr>
                  <w:tcW w:w="549" w:type="pct"/>
                  <w:tcBorders>
                    <w:tl2br w:val="nil"/>
                    <w:tr2bl w:val="nil"/>
                  </w:tcBorders>
                  <w:noWrap w:val="0"/>
                  <w:vAlign w:val="top"/>
                </w:tcPr>
                <w:p w14:paraId="322EE381">
                  <w:pPr>
                    <w:pStyle w:val="41"/>
                    <w:widowControl/>
                    <w:spacing w:line="240" w:lineRule="auto"/>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57.9</w:t>
                  </w:r>
                </w:p>
              </w:tc>
              <w:tc>
                <w:tcPr>
                  <w:tcW w:w="749" w:type="dxa"/>
                  <w:tcBorders>
                    <w:tl2br w:val="nil"/>
                    <w:tr2bl w:val="nil"/>
                  </w:tcBorders>
                  <w:noWrap w:val="0"/>
                  <w:vAlign w:val="top"/>
                </w:tcPr>
                <w:p w14:paraId="6CE86100">
                  <w:pPr>
                    <w:pStyle w:val="41"/>
                    <w:widowControl/>
                    <w:spacing w:line="240" w:lineRule="auto"/>
                    <w:rPr>
                      <w:rFonts w:hint="default" w:ascii="Times New Roman" w:hAnsi="Times New Roman" w:cs="Times New Roman"/>
                      <w:highlight w:val="none"/>
                    </w:rPr>
                  </w:pPr>
                  <w:r>
                    <w:rPr>
                      <w:rFonts w:hint="eastAsia" w:ascii="Times New Roman" w:hAnsi="Times New Roman" w:cs="Times New Roman"/>
                      <w:highlight w:val="none"/>
                      <w:lang w:val="en-US" w:eastAsia="zh-CN"/>
                    </w:rPr>
                    <w:t>42.4</w:t>
                  </w:r>
                </w:p>
              </w:tc>
              <w:tc>
                <w:tcPr>
                  <w:tcW w:w="908" w:type="pct"/>
                  <w:tcBorders>
                    <w:tl2br w:val="nil"/>
                    <w:tr2bl w:val="nil"/>
                  </w:tcBorders>
                  <w:noWrap w:val="0"/>
                  <w:vAlign w:val="top"/>
                </w:tcPr>
                <w:p w14:paraId="23DAC2B1">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达标</w:t>
                  </w:r>
                </w:p>
              </w:tc>
            </w:tr>
            <w:tr w14:paraId="0F62A2D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665" w:type="pct"/>
                  <w:tcBorders>
                    <w:tl2br w:val="nil"/>
                    <w:tr2bl w:val="nil"/>
                  </w:tcBorders>
                  <w:noWrap w:val="0"/>
                  <w:vAlign w:val="top"/>
                </w:tcPr>
                <w:p w14:paraId="1EF81ABF">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北厂界</w:t>
                  </w:r>
                </w:p>
              </w:tc>
              <w:tc>
                <w:tcPr>
                  <w:tcW w:w="671" w:type="pct"/>
                  <w:tcBorders>
                    <w:tl2br w:val="nil"/>
                    <w:tr2bl w:val="nil"/>
                  </w:tcBorders>
                  <w:noWrap w:val="0"/>
                  <w:vAlign w:val="center"/>
                </w:tcPr>
                <w:p w14:paraId="66311522">
                  <w:pPr>
                    <w:keepNext w:val="0"/>
                    <w:keepLines w:val="0"/>
                    <w:pageBreakBefore w:val="0"/>
                    <w:widowControl/>
                    <w:suppressLineNumbers w:val="0"/>
                    <w:bidi w:val="0"/>
                    <w:spacing w:line="240" w:lineRule="auto"/>
                    <w:jc w:val="center"/>
                    <w:textAlignment w:val="center"/>
                    <w:rPr>
                      <w:rFonts w:hint="default" w:ascii="Times New Roman" w:hAnsi="Times New Roman" w:cs="Times New Roman"/>
                      <w:highlight w:val="none"/>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51</w:t>
                  </w: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.4</w:t>
                  </w:r>
                </w:p>
              </w:tc>
              <w:tc>
                <w:tcPr>
                  <w:tcW w:w="537" w:type="pct"/>
                  <w:tcBorders>
                    <w:tl2br w:val="nil"/>
                    <w:tr2bl w:val="nil"/>
                  </w:tcBorders>
                  <w:noWrap w:val="0"/>
                  <w:vAlign w:val="center"/>
                </w:tcPr>
                <w:p w14:paraId="3092F01A">
                  <w:pPr>
                    <w:keepNext w:val="0"/>
                    <w:keepLines w:val="0"/>
                    <w:pageBreakBefore w:val="0"/>
                    <w:widowControl/>
                    <w:suppressLineNumbers w:val="0"/>
                    <w:bidi w:val="0"/>
                    <w:spacing w:line="240" w:lineRule="auto"/>
                    <w:jc w:val="center"/>
                    <w:textAlignment w:val="center"/>
                    <w:rPr>
                      <w:rFonts w:hint="default" w:ascii="Times New Roman" w:hAnsi="Times New Roman" w:cs="Times New Roman"/>
                      <w:highlight w:val="none"/>
                    </w:rPr>
                  </w:pP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w:t>
                  </w:r>
                </w:p>
              </w:tc>
              <w:tc>
                <w:tcPr>
                  <w:tcW w:w="574" w:type="pct"/>
                  <w:tcBorders>
                    <w:tl2br w:val="nil"/>
                    <w:tr2bl w:val="nil"/>
                  </w:tcBorders>
                  <w:noWrap w:val="0"/>
                  <w:vAlign w:val="top"/>
                </w:tcPr>
                <w:p w14:paraId="6EF7F655">
                  <w:pPr>
                    <w:pStyle w:val="41"/>
                    <w:widowControl/>
                    <w:spacing w:line="240" w:lineRule="auto"/>
                    <w:rPr>
                      <w:rFonts w:hint="default" w:ascii="Times New Roman" w:hAnsi="Times New Roman" w:eastAsia="宋体" w:cs="Times New Roman"/>
                      <w:snapToGrid w:val="0"/>
                      <w:kern w:val="2"/>
                      <w:sz w:val="21"/>
                      <w:szCs w:val="21"/>
                      <w:highlight w:val="none"/>
                      <w:lang w:val="en-US" w:eastAsia="zh-CN" w:bidi="ar-SA"/>
                    </w:rPr>
                  </w:pPr>
                  <w:r>
                    <w:rPr>
                      <w:rFonts w:hint="eastAsia" w:ascii="Times New Roman" w:hAnsi="Times New Roman" w:cs="Times New Roman"/>
                      <w:highlight w:val="none"/>
                      <w:lang w:val="en-US" w:eastAsia="zh-CN"/>
                    </w:rPr>
                    <w:t>58.2</w:t>
                  </w:r>
                </w:p>
              </w:tc>
              <w:tc>
                <w:tcPr>
                  <w:tcW w:w="637" w:type="pct"/>
                  <w:tcBorders>
                    <w:tl2br w:val="nil"/>
                    <w:tr2bl w:val="nil"/>
                  </w:tcBorders>
                  <w:noWrap w:val="0"/>
                  <w:vAlign w:val="top"/>
                </w:tcPr>
                <w:p w14:paraId="7A94D73E">
                  <w:pPr>
                    <w:pStyle w:val="41"/>
                    <w:widowControl/>
                    <w:spacing w:line="240" w:lineRule="auto"/>
                    <w:rPr>
                      <w:rFonts w:hint="default" w:ascii="Times New Roman" w:hAnsi="Times New Roman" w:eastAsia="宋体" w:cs="Times New Roman"/>
                      <w:snapToGrid w:val="0"/>
                      <w:kern w:val="2"/>
                      <w:sz w:val="21"/>
                      <w:szCs w:val="21"/>
                      <w:highlight w:val="none"/>
                      <w:lang w:val="en-US" w:eastAsia="zh-CN" w:bidi="ar-SA"/>
                    </w:rPr>
                  </w:pPr>
                  <w:r>
                    <w:rPr>
                      <w:rFonts w:hint="default" w:ascii="Times New Roman" w:hAnsi="Times New Roman" w:cs="Times New Roman"/>
                      <w:highlight w:val="none"/>
                      <w:lang w:val="en-US" w:eastAsia="zh-CN"/>
                    </w:rPr>
                    <w:t>4</w:t>
                  </w:r>
                  <w:r>
                    <w:rPr>
                      <w:rFonts w:hint="eastAsia" w:ascii="Times New Roman" w:hAnsi="Times New Roman" w:cs="Times New Roman"/>
                      <w:highlight w:val="none"/>
                      <w:lang w:val="en-US" w:eastAsia="zh-CN"/>
                    </w:rPr>
                    <w:t>5.2</w:t>
                  </w:r>
                </w:p>
              </w:tc>
              <w:tc>
                <w:tcPr>
                  <w:tcW w:w="549" w:type="pct"/>
                  <w:tcBorders>
                    <w:tl2br w:val="nil"/>
                    <w:tr2bl w:val="nil"/>
                  </w:tcBorders>
                  <w:noWrap w:val="0"/>
                  <w:vAlign w:val="top"/>
                </w:tcPr>
                <w:p w14:paraId="2DA629A6">
                  <w:pPr>
                    <w:pStyle w:val="41"/>
                    <w:widowControl/>
                    <w:spacing w:line="240" w:lineRule="auto"/>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58.6</w:t>
                  </w:r>
                </w:p>
              </w:tc>
              <w:tc>
                <w:tcPr>
                  <w:tcW w:w="749" w:type="dxa"/>
                  <w:tcBorders>
                    <w:tl2br w:val="nil"/>
                    <w:tr2bl w:val="nil"/>
                  </w:tcBorders>
                  <w:noWrap w:val="0"/>
                  <w:vAlign w:val="top"/>
                </w:tcPr>
                <w:p w14:paraId="3C32AA14">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lang w:val="en-US" w:eastAsia="zh-CN"/>
                    </w:rPr>
                    <w:t>4</w:t>
                  </w:r>
                  <w:r>
                    <w:rPr>
                      <w:rFonts w:hint="eastAsia" w:ascii="Times New Roman" w:hAnsi="Times New Roman" w:cs="Times New Roman"/>
                      <w:highlight w:val="none"/>
                      <w:lang w:val="en-US" w:eastAsia="zh-CN"/>
                    </w:rPr>
                    <w:t>5.2</w:t>
                  </w:r>
                </w:p>
              </w:tc>
              <w:tc>
                <w:tcPr>
                  <w:tcW w:w="908" w:type="pct"/>
                  <w:tcBorders>
                    <w:tl2br w:val="nil"/>
                    <w:tr2bl w:val="nil"/>
                  </w:tcBorders>
                  <w:noWrap w:val="0"/>
                  <w:vAlign w:val="top"/>
                </w:tcPr>
                <w:p w14:paraId="010250AA">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达标</w:t>
                  </w:r>
                </w:p>
              </w:tc>
            </w:tr>
          </w:tbl>
          <w:p w14:paraId="50D917F8">
            <w:pPr>
              <w:keepNext w:val="0"/>
              <w:keepLines w:val="0"/>
              <w:pageBreakBefore w:val="0"/>
              <w:widowControl/>
              <w:kinsoku/>
              <w:wordWrap/>
              <w:overflowPunct/>
              <w:topLinePunct w:val="0"/>
              <w:autoSpaceDE w:val="0"/>
              <w:autoSpaceDN w:val="0"/>
              <w:bidi w:val="0"/>
              <w:adjustRightInd/>
              <w:snapToGrid/>
              <w:spacing w:before="157" w:beforeLines="50"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由上表可见，本项目厂界噪声贡献值满足《工业企业厂界环境噪声排放标准》（GB12348-2008）中3类</w:t>
            </w:r>
            <w:r>
              <w:rPr>
                <w:rFonts w:hint="default" w:ascii="Times New Roman" w:hAnsi="Times New Roman" w:cs="Times New Roman"/>
                <w:sz w:val="24"/>
                <w:highlight w:val="none"/>
                <w:lang w:val="en-US" w:eastAsia="zh-CN"/>
              </w:rPr>
              <w:t>区</w:t>
            </w:r>
            <w:r>
              <w:rPr>
                <w:rFonts w:hint="default" w:ascii="Times New Roman" w:hAnsi="Times New Roman" w:cs="Times New Roman"/>
                <w:sz w:val="24"/>
                <w:highlight w:val="none"/>
              </w:rPr>
              <w:t>标准要求，项目周围200m范围内无声环境保护目标，因此项目的运营对周围声环境影响很小。</w:t>
            </w:r>
          </w:p>
          <w:p w14:paraId="306908E7">
            <w:pPr>
              <w:pStyle w:val="3"/>
              <w:spacing w:line="360" w:lineRule="auto"/>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val="en-US" w:eastAsia="zh-CN"/>
              </w:rPr>
              <w:t>3.</w:t>
            </w:r>
            <w:r>
              <w:rPr>
                <w:rFonts w:hint="eastAsia" w:ascii="Times New Roman" w:hAnsi="Times New Roman" w:eastAsia="宋体" w:cs="Times New Roman"/>
                <w:sz w:val="24"/>
                <w:highlight w:val="none"/>
                <w:lang w:val="en-US" w:eastAsia="zh-CN"/>
              </w:rPr>
              <w:t>3</w:t>
            </w:r>
            <w:r>
              <w:rPr>
                <w:rFonts w:hint="default" w:ascii="Times New Roman" w:hAnsi="Times New Roman" w:eastAsia="宋体" w:cs="Times New Roman"/>
                <w:sz w:val="24"/>
                <w:highlight w:val="none"/>
                <w:lang w:val="en-US" w:eastAsia="zh-CN"/>
              </w:rPr>
              <w:t xml:space="preserve"> 降噪措施</w:t>
            </w:r>
          </w:p>
          <w:p w14:paraId="69975481">
            <w:pPr>
              <w:widowControl/>
              <w:adjustRightInd/>
              <w:snapToGrid/>
              <w:spacing w:line="360" w:lineRule="auto"/>
              <w:ind w:firstLine="456" w:firstLineChars="200"/>
              <w:jc w:val="left"/>
              <w:rPr>
                <w:rFonts w:hint="default" w:ascii="Times New Roman" w:hAnsi="Times New Roman" w:eastAsia="宋体" w:cs="Times New Roman"/>
                <w:spacing w:val="-6"/>
                <w:sz w:val="24"/>
                <w:highlight w:val="none"/>
                <w:lang w:val="en-US" w:eastAsia="zh-CN"/>
              </w:rPr>
            </w:pPr>
            <w:r>
              <w:rPr>
                <w:rFonts w:hint="default" w:ascii="Times New Roman" w:hAnsi="Times New Roman" w:eastAsia="宋体" w:cs="Times New Roman"/>
                <w:spacing w:val="-6"/>
                <w:sz w:val="24"/>
                <w:highlight w:val="none"/>
                <w:lang w:val="en-US" w:eastAsia="zh-CN"/>
              </w:rPr>
              <w:t>为进一步减小运营过程中噪声对工作人员的影响，本项目采取以下降噪措施：</w:t>
            </w:r>
          </w:p>
          <w:p w14:paraId="5B7C57A9">
            <w:pPr>
              <w:widowControl/>
              <w:adjustRightInd/>
              <w:snapToGrid/>
              <w:spacing w:line="360" w:lineRule="auto"/>
              <w:ind w:firstLine="480" w:firstLineChars="200"/>
              <w:jc w:val="left"/>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val="en-US" w:eastAsia="zh-CN"/>
              </w:rPr>
              <w:t>（1）优先选用低噪声型号设备；</w:t>
            </w:r>
          </w:p>
          <w:p w14:paraId="14E45CD9">
            <w:pPr>
              <w:widowControl/>
              <w:adjustRightInd/>
              <w:snapToGrid/>
              <w:spacing w:line="360" w:lineRule="auto"/>
              <w:ind w:firstLine="480" w:firstLineChars="200"/>
              <w:jc w:val="left"/>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val="en-US" w:eastAsia="zh-CN"/>
              </w:rPr>
              <w:t>（2）对高噪声设备安装减振基座和消声器；</w:t>
            </w:r>
          </w:p>
          <w:p w14:paraId="09D351B2">
            <w:pPr>
              <w:widowControl/>
              <w:adjustRightInd/>
              <w:snapToGrid/>
              <w:spacing w:line="360" w:lineRule="auto"/>
              <w:ind w:firstLine="480" w:firstLineChars="200"/>
              <w:jc w:val="left"/>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val="en-US" w:eastAsia="zh-CN"/>
              </w:rPr>
              <w:t>（3）所用设备均分布在厂房内部，合理布局；</w:t>
            </w:r>
          </w:p>
          <w:p w14:paraId="2C0AE5C2">
            <w:pPr>
              <w:widowControl/>
              <w:adjustRightInd/>
              <w:snapToGrid/>
              <w:spacing w:line="360" w:lineRule="auto"/>
              <w:ind w:firstLine="480" w:firstLineChars="200"/>
              <w:jc w:val="left"/>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val="en-US" w:eastAsia="zh-CN"/>
              </w:rPr>
              <w:t>（4）加强设备日常检修和维护，以保证各设备正常运转，以免由于设备故障原因产生较大噪声；</w:t>
            </w:r>
          </w:p>
          <w:p w14:paraId="3789651E">
            <w:pPr>
              <w:widowControl/>
              <w:adjustRightInd/>
              <w:snapToGrid/>
              <w:spacing w:line="360" w:lineRule="auto"/>
              <w:ind w:firstLine="480" w:firstLineChars="200"/>
              <w:jc w:val="left"/>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val="en-US" w:eastAsia="zh-CN"/>
              </w:rPr>
              <w:t>（5）加强车辆管理，避免车辆不必要的怠速以及鸣笛；</w:t>
            </w:r>
          </w:p>
          <w:p w14:paraId="4DF667DB">
            <w:pPr>
              <w:widowControl/>
              <w:adjustRightInd/>
              <w:snapToGrid/>
              <w:spacing w:line="360" w:lineRule="auto"/>
              <w:ind w:firstLine="456" w:firstLineChars="200"/>
              <w:jc w:val="left"/>
              <w:rPr>
                <w:rFonts w:hint="default" w:ascii="Times New Roman" w:hAnsi="Times New Roman" w:eastAsia="宋体" w:cs="Times New Roman"/>
                <w:spacing w:val="-6"/>
                <w:sz w:val="24"/>
                <w:highlight w:val="none"/>
                <w:lang w:val="en-US" w:eastAsia="zh-CN"/>
              </w:rPr>
            </w:pPr>
            <w:r>
              <w:rPr>
                <w:rFonts w:hint="default" w:ascii="Times New Roman" w:hAnsi="Times New Roman" w:eastAsia="宋体" w:cs="Times New Roman"/>
                <w:spacing w:val="-6"/>
                <w:sz w:val="24"/>
                <w:highlight w:val="none"/>
                <w:lang w:val="en-US" w:eastAsia="zh-CN"/>
              </w:rPr>
              <w:t>（6）加强对职工的劳动保护，采用轮岗制度减少职工与高强度噪声接触时间；</w:t>
            </w:r>
          </w:p>
          <w:p w14:paraId="02CAB5D1">
            <w:pPr>
              <w:keepNext w:val="0"/>
              <w:keepLines w:val="0"/>
              <w:pageBreakBefore w:val="0"/>
              <w:widowControl/>
              <w:kinsoku/>
              <w:wordWrap/>
              <w:overflowPunct/>
              <w:topLinePunct w:val="0"/>
              <w:autoSpaceDE w:val="0"/>
              <w:autoSpaceDN w:val="0"/>
              <w:bidi w:val="0"/>
              <w:adjustRightInd/>
              <w:snapToGrid/>
              <w:spacing w:before="157" w:beforeLines="50"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eastAsia="宋体" w:cs="Times New Roman"/>
                <w:sz w:val="24"/>
                <w:highlight w:val="none"/>
                <w:lang w:val="en-US" w:eastAsia="zh-CN"/>
              </w:rPr>
              <w:t>（7）加强管理，教育员工文明生产，减少人为因素造成的噪声。</w:t>
            </w:r>
          </w:p>
          <w:p w14:paraId="3A47FF52">
            <w:pPr>
              <w:spacing w:line="360" w:lineRule="auto"/>
              <w:rPr>
                <w:rFonts w:hint="default" w:ascii="Times New Roman" w:hAnsi="Times New Roman" w:cs="Times New Roman"/>
                <w:b/>
                <w:bCs/>
                <w:sz w:val="24"/>
                <w:highlight w:val="none"/>
              </w:rPr>
            </w:pPr>
            <w:r>
              <w:rPr>
                <w:rFonts w:hint="default" w:ascii="Times New Roman" w:hAnsi="Times New Roman" w:cs="Times New Roman"/>
                <w:b/>
                <w:bCs/>
                <w:sz w:val="24"/>
                <w:highlight w:val="none"/>
              </w:rPr>
              <w:t>3.</w:t>
            </w:r>
            <w:r>
              <w:rPr>
                <w:rFonts w:hint="eastAsia" w:ascii="Times New Roman" w:hAnsi="Times New Roman" w:cs="Times New Roman"/>
                <w:b/>
                <w:bCs/>
                <w:sz w:val="24"/>
                <w:highlight w:val="none"/>
                <w:lang w:val="en-US" w:eastAsia="zh-CN"/>
              </w:rPr>
              <w:t xml:space="preserve">4 </w:t>
            </w:r>
            <w:r>
              <w:rPr>
                <w:rFonts w:hint="default" w:ascii="Times New Roman" w:hAnsi="Times New Roman" w:cs="Times New Roman"/>
                <w:b/>
                <w:bCs/>
                <w:sz w:val="24"/>
                <w:highlight w:val="none"/>
              </w:rPr>
              <w:t>噪声监测计划</w:t>
            </w:r>
          </w:p>
          <w:p w14:paraId="46D6FBE3">
            <w:pPr>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根据《排污单位自行监测技术指南》，本项目环境噪声监测方案见表4-</w:t>
            </w:r>
            <w:r>
              <w:rPr>
                <w:rFonts w:hint="eastAsia" w:ascii="Times New Roman" w:hAnsi="Times New Roman" w:cs="Times New Roman"/>
                <w:sz w:val="24"/>
                <w:highlight w:val="none"/>
                <w:lang w:val="en-US" w:eastAsia="zh-CN"/>
              </w:rPr>
              <w:t>1</w:t>
            </w:r>
            <w:r>
              <w:rPr>
                <w:rFonts w:hint="eastAsia" w:cs="Times New Roman"/>
                <w:sz w:val="24"/>
                <w:highlight w:val="none"/>
                <w:lang w:val="en-US" w:eastAsia="zh-CN"/>
              </w:rPr>
              <w:t>1</w:t>
            </w:r>
            <w:r>
              <w:rPr>
                <w:rFonts w:hint="default" w:ascii="Times New Roman" w:hAnsi="Times New Roman" w:cs="Times New Roman"/>
                <w:sz w:val="24"/>
                <w:highlight w:val="none"/>
              </w:rPr>
              <w:t>。</w:t>
            </w:r>
          </w:p>
          <w:p w14:paraId="2405EE18">
            <w:pPr>
              <w:pStyle w:val="42"/>
              <w:adjustRightInd w:val="0"/>
              <w:snapToGrid w:val="0"/>
              <w:spacing w:line="240" w:lineRule="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表4-</w:t>
            </w:r>
            <w:r>
              <w:rPr>
                <w:rFonts w:hint="eastAsia" w:ascii="Times New Roman" w:hAnsi="Times New Roman" w:eastAsia="宋体" w:cs="Times New Roman"/>
                <w:b/>
                <w:bCs/>
                <w:sz w:val="21"/>
                <w:szCs w:val="21"/>
                <w:highlight w:val="none"/>
                <w:lang w:val="en-US" w:eastAsia="zh-CN"/>
              </w:rPr>
              <w:t>1</w:t>
            </w:r>
            <w:r>
              <w:rPr>
                <w:rFonts w:hint="eastAsia" w:cs="Times New Roman"/>
                <w:b/>
                <w:bCs/>
                <w:sz w:val="21"/>
                <w:szCs w:val="21"/>
                <w:highlight w:val="none"/>
                <w:lang w:val="en-US" w:eastAsia="zh-CN"/>
              </w:rPr>
              <w:t>1</w:t>
            </w:r>
            <w:r>
              <w:rPr>
                <w:rFonts w:hint="eastAsia"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rPr>
              <w:t>项目运营期噪声监测计划</w:t>
            </w:r>
          </w:p>
          <w:tbl>
            <w:tblPr>
              <w:tblStyle w:val="19"/>
              <w:tblW w:w="4998" w:type="pct"/>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49"/>
              <w:gridCol w:w="2009"/>
              <w:gridCol w:w="1670"/>
              <w:gridCol w:w="1350"/>
              <w:gridCol w:w="1868"/>
            </w:tblGrid>
            <w:tr w14:paraId="71467E6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18" w:type="pct"/>
                  <w:tcBorders>
                    <w:bottom w:val="single" w:color="auto" w:sz="8" w:space="0"/>
                  </w:tcBorders>
                  <w:noWrap w:val="0"/>
                  <w:vAlign w:val="center"/>
                </w:tcPr>
                <w:p w14:paraId="1504BE16">
                  <w:pPr>
                    <w:adjustRightInd w:val="0"/>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类别</w:t>
                  </w:r>
                </w:p>
              </w:tc>
              <w:tc>
                <w:tcPr>
                  <w:tcW w:w="1218" w:type="pct"/>
                  <w:tcBorders>
                    <w:bottom w:val="single" w:color="auto" w:sz="8" w:space="0"/>
                  </w:tcBorders>
                  <w:noWrap w:val="0"/>
                  <w:vAlign w:val="center"/>
                </w:tcPr>
                <w:p w14:paraId="717231E5">
                  <w:pPr>
                    <w:adjustRightInd w:val="0"/>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监测位置</w:t>
                  </w:r>
                </w:p>
              </w:tc>
              <w:tc>
                <w:tcPr>
                  <w:tcW w:w="1012" w:type="pct"/>
                  <w:tcBorders>
                    <w:bottom w:val="single" w:color="auto" w:sz="8" w:space="0"/>
                  </w:tcBorders>
                  <w:noWrap w:val="0"/>
                  <w:vAlign w:val="center"/>
                </w:tcPr>
                <w:p w14:paraId="19D6D77A">
                  <w:pPr>
                    <w:adjustRightInd w:val="0"/>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监测项目</w:t>
                  </w:r>
                </w:p>
              </w:tc>
              <w:tc>
                <w:tcPr>
                  <w:tcW w:w="818" w:type="pct"/>
                  <w:tcBorders>
                    <w:bottom w:val="single" w:color="auto" w:sz="8" w:space="0"/>
                  </w:tcBorders>
                  <w:noWrap w:val="0"/>
                  <w:vAlign w:val="center"/>
                </w:tcPr>
                <w:p w14:paraId="79BB7FD4">
                  <w:pPr>
                    <w:adjustRightInd w:val="0"/>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监测频率</w:t>
                  </w:r>
                </w:p>
              </w:tc>
              <w:tc>
                <w:tcPr>
                  <w:tcW w:w="1132" w:type="pct"/>
                  <w:tcBorders>
                    <w:bottom w:val="single" w:color="auto" w:sz="8" w:space="0"/>
                  </w:tcBorders>
                  <w:noWrap w:val="0"/>
                  <w:vAlign w:val="center"/>
                </w:tcPr>
                <w:p w14:paraId="46CBD57B">
                  <w:pPr>
                    <w:adjustRightInd w:val="0"/>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实施单位</w:t>
                  </w:r>
                </w:p>
              </w:tc>
            </w:tr>
            <w:tr w14:paraId="4A54F3D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18" w:type="pct"/>
                  <w:tcBorders>
                    <w:top w:val="single" w:color="auto" w:sz="8" w:space="0"/>
                    <w:tl2br w:val="nil"/>
                    <w:tr2bl w:val="nil"/>
                  </w:tcBorders>
                  <w:noWrap w:val="0"/>
                  <w:vAlign w:val="center"/>
                </w:tcPr>
                <w:p w14:paraId="349AB796">
                  <w:pPr>
                    <w:adjustRightIn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厂界监测</w:t>
                  </w:r>
                </w:p>
              </w:tc>
              <w:tc>
                <w:tcPr>
                  <w:tcW w:w="1218" w:type="pct"/>
                  <w:tcBorders>
                    <w:top w:val="single" w:color="auto" w:sz="8" w:space="0"/>
                    <w:tl2br w:val="nil"/>
                    <w:tr2bl w:val="nil"/>
                  </w:tcBorders>
                  <w:noWrap w:val="0"/>
                  <w:vAlign w:val="center"/>
                </w:tcPr>
                <w:p w14:paraId="15AB5A22">
                  <w:pPr>
                    <w:adjustRightIn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厂界四周外1m</w:t>
                  </w:r>
                </w:p>
              </w:tc>
              <w:tc>
                <w:tcPr>
                  <w:tcW w:w="1012" w:type="pct"/>
                  <w:tcBorders>
                    <w:top w:val="single" w:color="auto" w:sz="8" w:space="0"/>
                    <w:tl2br w:val="nil"/>
                    <w:tr2bl w:val="nil"/>
                  </w:tcBorders>
                  <w:noWrap w:val="0"/>
                  <w:vAlign w:val="center"/>
                </w:tcPr>
                <w:p w14:paraId="04264D6C">
                  <w:pPr>
                    <w:adjustRightIn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等效A声级</w:t>
                  </w:r>
                </w:p>
              </w:tc>
              <w:tc>
                <w:tcPr>
                  <w:tcW w:w="818" w:type="pct"/>
                  <w:tcBorders>
                    <w:top w:val="single" w:color="auto" w:sz="8" w:space="0"/>
                    <w:tl2br w:val="nil"/>
                    <w:tr2bl w:val="nil"/>
                  </w:tcBorders>
                  <w:noWrap w:val="0"/>
                  <w:vAlign w:val="center"/>
                </w:tcPr>
                <w:p w14:paraId="2347085A">
                  <w:pPr>
                    <w:adjustRightIn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1次/季</w:t>
                  </w:r>
                </w:p>
              </w:tc>
              <w:tc>
                <w:tcPr>
                  <w:tcW w:w="1132" w:type="pct"/>
                  <w:tcBorders>
                    <w:top w:val="single" w:color="auto" w:sz="8" w:space="0"/>
                    <w:tl2br w:val="nil"/>
                    <w:tr2bl w:val="nil"/>
                  </w:tcBorders>
                  <w:noWrap w:val="0"/>
                  <w:vAlign w:val="center"/>
                </w:tcPr>
                <w:p w14:paraId="2758C430">
                  <w:pPr>
                    <w:adjustRightIn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企业自行委托</w:t>
                  </w:r>
                </w:p>
              </w:tc>
            </w:tr>
          </w:tbl>
          <w:p w14:paraId="48D31CF6">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4"/>
                <w:highlight w:val="none"/>
                <w:lang w:val="en-US" w:eastAsia="zh-CN"/>
              </w:rPr>
            </w:pPr>
            <w:r>
              <w:rPr>
                <w:rFonts w:hint="default" w:ascii="Times New Roman" w:hAnsi="Times New Roman" w:cs="Times New Roman"/>
                <w:b/>
                <w:bCs/>
                <w:sz w:val="24"/>
                <w:highlight w:val="none"/>
                <w:lang w:val="en-US" w:eastAsia="zh-CN"/>
              </w:rPr>
              <w:t>4 固体废物环境影响分析</w:t>
            </w:r>
          </w:p>
          <w:p w14:paraId="4AE3EEB0">
            <w:pPr>
              <w:pStyle w:val="3"/>
              <w:spacing w:line="360" w:lineRule="auto"/>
              <w:rPr>
                <w:rFonts w:hint="default" w:ascii="Times New Roman" w:hAnsi="Times New Roman" w:cs="Times New Roman"/>
                <w:highlight w:val="none"/>
                <w:lang w:val="en-US" w:eastAsia="zh-CN"/>
              </w:rPr>
            </w:pPr>
            <w:r>
              <w:rPr>
                <w:rFonts w:hint="default" w:ascii="Times New Roman" w:hAnsi="Times New Roman" w:cs="Times New Roman"/>
                <w:b/>
                <w:bCs/>
                <w:sz w:val="24"/>
                <w:highlight w:val="none"/>
                <w:lang w:val="en-US" w:eastAsia="zh-CN"/>
              </w:rPr>
              <w:t>4.1 固体废物产生及处置情况</w:t>
            </w:r>
          </w:p>
          <w:p w14:paraId="31E2D312">
            <w:p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cs="Times New Roman"/>
                <w:sz w:val="24"/>
                <w:highlight w:val="none"/>
              </w:rPr>
              <w:t>本项目固体废物主要为生产废物和生活垃圾</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生产固体废物又分为一般生产废物和危险废物。</w:t>
            </w:r>
          </w:p>
          <w:p w14:paraId="70448729">
            <w:p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（1）一般生产废物</w:t>
            </w:r>
          </w:p>
          <w:p w14:paraId="26667D5D">
            <w:pPr>
              <w:spacing w:line="360" w:lineRule="auto"/>
              <w:ind w:firstLine="480" w:firstLineChars="200"/>
              <w:rPr>
                <w:rFonts w:hint="default" w:ascii="Times New Roman" w:hAnsi="Times New Roman" w:cs="Times New Roman"/>
                <w:highlight w:val="none"/>
                <w:lang w:val="en-US" w:eastAsia="zh-CN"/>
              </w:rPr>
            </w:pPr>
            <w:r>
              <w:rPr>
                <w:rFonts w:hint="default" w:ascii="Times New Roman" w:hAnsi="Times New Roman" w:eastAsia="宋体" w:cs="Times New Roman"/>
                <w:b w:val="0"/>
                <w:bCs w:val="0"/>
                <w:snapToGrid w:val="0"/>
                <w:color w:val="000000"/>
                <w:kern w:val="0"/>
                <w:sz w:val="24"/>
                <w:szCs w:val="24"/>
                <w:highlight w:val="none"/>
                <w:lang w:val="en-US" w:eastAsia="zh-CN" w:bidi="ar-SA"/>
              </w:rPr>
              <w:t>①废弃包装</w:t>
            </w:r>
          </w:p>
          <w:p w14:paraId="6360F908">
            <w:p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两条生产线原料包装集中收集后送废品回收部门回收，年产生量为</w:t>
            </w:r>
            <w:r>
              <w:rPr>
                <w:rFonts w:hint="eastAsia" w:ascii="Times New Roman" w:hAnsi="Times New Roman" w:eastAsia="宋体" w:cs="Times New Roman"/>
                <w:b w:val="0"/>
                <w:bCs w:val="0"/>
                <w:snapToGrid w:val="0"/>
                <w:color w:val="000000"/>
                <w:kern w:val="0"/>
                <w:sz w:val="24"/>
                <w:szCs w:val="24"/>
                <w:highlight w:val="none"/>
                <w:lang w:val="en-US" w:eastAsia="zh-CN" w:bidi="ar-SA"/>
              </w:rPr>
              <w:t>7.5</w:t>
            </w:r>
            <w:r>
              <w:rPr>
                <w:rFonts w:hint="default" w:ascii="Times New Roman" w:hAnsi="Times New Roman" w:eastAsia="宋体" w:cs="Times New Roman"/>
                <w:b w:val="0"/>
                <w:bCs w:val="0"/>
                <w:snapToGrid w:val="0"/>
                <w:color w:val="000000"/>
                <w:kern w:val="0"/>
                <w:sz w:val="24"/>
                <w:szCs w:val="24"/>
                <w:highlight w:val="none"/>
                <w:lang w:val="en-US" w:eastAsia="zh-CN" w:bidi="ar-SA"/>
              </w:rPr>
              <w:t>t/a。</w:t>
            </w:r>
          </w:p>
          <w:p w14:paraId="11D8E3BA">
            <w:p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（2）危险废物</w:t>
            </w:r>
          </w:p>
          <w:p w14:paraId="2D9B4C7C">
            <w:p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cs="Times New Roman"/>
                <w:b w:val="0"/>
                <w:bCs w:val="0"/>
                <w:snapToGrid w:val="0"/>
                <w:color w:val="000000"/>
                <w:kern w:val="0"/>
                <w:sz w:val="24"/>
                <w:szCs w:val="24"/>
                <w:highlight w:val="none"/>
                <w:lang w:val="en-US" w:eastAsia="zh-CN" w:bidi="ar-SA"/>
              </w:rPr>
              <w:t>①含油污泥</w:t>
            </w:r>
          </w:p>
          <w:p w14:paraId="2FEFA040">
            <w:p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生产线废气处理产生的含油废水，经隔油沉淀池收集处理后，产生废沥青油，年产量约为</w:t>
            </w:r>
            <w:r>
              <w:rPr>
                <w:rFonts w:hint="eastAsia" w:cs="Times New Roman"/>
                <w:b w:val="0"/>
                <w:bCs w:val="0"/>
                <w:snapToGrid w:val="0"/>
                <w:color w:val="000000"/>
                <w:kern w:val="0"/>
                <w:sz w:val="24"/>
                <w:szCs w:val="24"/>
                <w:highlight w:val="none"/>
                <w:lang w:val="en-US" w:eastAsia="zh-CN" w:bidi="ar-SA"/>
              </w:rPr>
              <w:t>8.73</w:t>
            </w:r>
            <w:r>
              <w:rPr>
                <w:rFonts w:hint="default" w:ascii="Times New Roman" w:hAnsi="Times New Roman" w:eastAsia="宋体" w:cs="Times New Roman"/>
                <w:b w:val="0"/>
                <w:bCs w:val="0"/>
                <w:snapToGrid w:val="0"/>
                <w:color w:val="000000"/>
                <w:kern w:val="0"/>
                <w:sz w:val="24"/>
                <w:szCs w:val="24"/>
                <w:highlight w:val="none"/>
                <w:lang w:val="en-US" w:eastAsia="zh-CN" w:bidi="ar-SA"/>
              </w:rPr>
              <w:t>t/a</w:t>
            </w:r>
            <w:r>
              <w:rPr>
                <w:rFonts w:hint="eastAsia" w:ascii="Times New Roman" w:hAnsi="Times New Roman" w:eastAsia="宋体" w:cs="Times New Roman"/>
                <w:b w:val="0"/>
                <w:bCs w:val="0"/>
                <w:snapToGrid w:val="0"/>
                <w:color w:val="000000"/>
                <w:kern w:val="0"/>
                <w:sz w:val="24"/>
                <w:szCs w:val="24"/>
                <w:highlight w:val="none"/>
                <w:lang w:val="en-US" w:eastAsia="zh-CN" w:bidi="ar-SA"/>
              </w:rPr>
              <w:t>，</w:t>
            </w:r>
            <w:r>
              <w:rPr>
                <w:rFonts w:hint="default" w:ascii="Times New Roman" w:hAnsi="Times New Roman" w:eastAsia="宋体" w:cs="Times New Roman"/>
                <w:b w:val="0"/>
                <w:bCs w:val="0"/>
                <w:snapToGrid w:val="0"/>
                <w:color w:val="000000"/>
                <w:kern w:val="0"/>
                <w:sz w:val="24"/>
                <w:szCs w:val="24"/>
                <w:highlight w:val="none"/>
                <w:lang w:val="en-US" w:eastAsia="zh-CN" w:bidi="ar-SA"/>
              </w:rPr>
              <w:t>根据《国家危险废物名录》</w:t>
            </w:r>
            <w:r>
              <w:rPr>
                <w:rFonts w:hint="default" w:ascii="Times New Roman" w:hAnsi="Times New Roman" w:eastAsia="宋体" w:cs="Times New Roman"/>
                <w:color w:val="000000"/>
                <w:sz w:val="24"/>
                <w:highlight w:val="none"/>
                <w:lang w:val="en-US" w:eastAsia="zh-CN"/>
              </w:rPr>
              <w:t>（202</w:t>
            </w:r>
            <w:r>
              <w:rPr>
                <w:rFonts w:hint="eastAsia" w:ascii="Times New Roman" w:hAnsi="Times New Roman" w:eastAsia="宋体" w:cs="Times New Roman"/>
                <w:color w:val="000000"/>
                <w:sz w:val="24"/>
                <w:highlight w:val="none"/>
                <w:lang w:val="en-US" w:eastAsia="zh-CN"/>
              </w:rPr>
              <w:t>5</w:t>
            </w:r>
            <w:r>
              <w:rPr>
                <w:rFonts w:hint="default" w:ascii="Times New Roman" w:hAnsi="Times New Roman" w:eastAsia="宋体" w:cs="Times New Roman"/>
                <w:color w:val="000000"/>
                <w:sz w:val="24"/>
                <w:highlight w:val="none"/>
                <w:lang w:val="en-US" w:eastAsia="zh-CN"/>
              </w:rPr>
              <w:t>年版）</w:t>
            </w:r>
            <w:r>
              <w:rPr>
                <w:rFonts w:hint="default" w:ascii="Times New Roman" w:hAnsi="Times New Roman" w:eastAsia="宋体"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废沥青油</w:t>
            </w:r>
            <w:r>
              <w:rPr>
                <w:rFonts w:hint="default" w:ascii="Times New Roman" w:hAnsi="Times New Roman" w:eastAsia="宋体" w:cs="Times New Roman"/>
                <w:b w:val="0"/>
                <w:bCs w:val="0"/>
                <w:snapToGrid w:val="0"/>
                <w:color w:val="000000"/>
                <w:kern w:val="0"/>
                <w:sz w:val="24"/>
                <w:szCs w:val="24"/>
                <w:highlight w:val="none"/>
                <w:lang w:val="en-US" w:eastAsia="zh-CN" w:bidi="ar-SA"/>
              </w:rPr>
              <w:t>属于危险废物，废物类别HW08</w:t>
            </w:r>
            <w:r>
              <w:rPr>
                <w:rFonts w:hint="eastAsia" w:ascii="Times New Roman" w:hAnsi="Times New Roman" w:eastAsia="宋体" w:cs="Times New Roman"/>
                <w:b w:val="0"/>
                <w:bCs w:val="0"/>
                <w:snapToGrid w:val="0"/>
                <w:color w:val="000000"/>
                <w:kern w:val="0"/>
                <w:sz w:val="24"/>
                <w:szCs w:val="24"/>
                <w:highlight w:val="none"/>
                <w:lang w:val="en-US" w:eastAsia="zh-CN" w:bidi="ar-SA"/>
              </w:rPr>
              <w:t>废沥青油</w:t>
            </w:r>
            <w:r>
              <w:rPr>
                <w:rFonts w:hint="default" w:ascii="Times New Roman" w:hAnsi="Times New Roman" w:eastAsia="宋体" w:cs="Times New Roman"/>
                <w:b w:val="0"/>
                <w:bCs w:val="0"/>
                <w:snapToGrid w:val="0"/>
                <w:color w:val="000000"/>
                <w:kern w:val="0"/>
                <w:sz w:val="24"/>
                <w:szCs w:val="24"/>
                <w:highlight w:val="none"/>
                <w:lang w:val="en-US" w:eastAsia="zh-CN" w:bidi="ar-SA"/>
              </w:rPr>
              <w:t>，废物代码900-249-08，危险特性T，I。</w:t>
            </w:r>
            <w:r>
              <w:rPr>
                <w:rFonts w:hint="eastAsia" w:ascii="Times New Roman" w:hAnsi="Times New Roman" w:eastAsia="宋体" w:cs="Times New Roman"/>
                <w:b w:val="0"/>
                <w:bCs w:val="0"/>
                <w:snapToGrid w:val="0"/>
                <w:color w:val="000000"/>
                <w:kern w:val="0"/>
                <w:sz w:val="24"/>
                <w:szCs w:val="24"/>
                <w:highlight w:val="none"/>
                <w:lang w:val="en-US" w:eastAsia="zh-CN" w:bidi="ar-SA"/>
              </w:rPr>
              <w:t>废沥青油</w:t>
            </w:r>
            <w:r>
              <w:rPr>
                <w:rFonts w:hint="eastAsia" w:cs="Times New Roman"/>
                <w:b w:val="0"/>
                <w:bCs w:val="0"/>
                <w:snapToGrid w:val="0"/>
                <w:color w:val="000000"/>
                <w:kern w:val="0"/>
                <w:sz w:val="24"/>
                <w:szCs w:val="24"/>
                <w:highlight w:val="none"/>
                <w:lang w:val="en-US" w:eastAsia="zh-CN" w:bidi="ar-SA"/>
              </w:rPr>
              <w:t>集中收集后回用于生产</w:t>
            </w:r>
            <w:r>
              <w:rPr>
                <w:rFonts w:hint="eastAsia" w:ascii="Times New Roman" w:hAnsi="Times New Roman" w:eastAsia="宋体" w:cs="Times New Roman"/>
                <w:b w:val="0"/>
                <w:bCs w:val="0"/>
                <w:snapToGrid w:val="0"/>
                <w:color w:val="000000"/>
                <w:kern w:val="0"/>
                <w:sz w:val="24"/>
                <w:szCs w:val="24"/>
                <w:highlight w:val="none"/>
                <w:lang w:val="en-US" w:eastAsia="zh-CN" w:bidi="ar-SA"/>
              </w:rPr>
              <w:t>。</w:t>
            </w:r>
          </w:p>
          <w:p w14:paraId="306AF60B">
            <w:p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cs="Times New Roman"/>
                <w:b w:val="0"/>
                <w:bCs w:val="0"/>
                <w:snapToGrid w:val="0"/>
                <w:color w:val="000000"/>
                <w:kern w:val="0"/>
                <w:sz w:val="24"/>
                <w:szCs w:val="24"/>
                <w:highlight w:val="none"/>
                <w:lang w:val="en-US" w:eastAsia="zh-CN" w:bidi="ar-SA"/>
              </w:rPr>
              <w:t>②</w:t>
            </w:r>
            <w:r>
              <w:rPr>
                <w:rFonts w:hint="eastAsia" w:ascii="Times New Roman" w:hAnsi="Times New Roman" w:eastAsia="宋体" w:cs="Times New Roman"/>
                <w:b w:val="0"/>
                <w:bCs w:val="0"/>
                <w:snapToGrid w:val="0"/>
                <w:color w:val="000000"/>
                <w:kern w:val="0"/>
                <w:sz w:val="24"/>
                <w:szCs w:val="24"/>
                <w:highlight w:val="none"/>
                <w:lang w:val="en-US" w:eastAsia="zh-CN" w:bidi="ar-SA"/>
              </w:rPr>
              <w:t>废活性炭</w:t>
            </w:r>
          </w:p>
          <w:p w14:paraId="7108E36E">
            <w:p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根据企业提供的资料知，项目活性炭箱会产生废活性炭，</w:t>
            </w:r>
            <w:r>
              <w:rPr>
                <w:rFonts w:hint="eastAsia" w:cs="Times New Roman"/>
                <w:b w:val="0"/>
                <w:bCs w:val="0"/>
                <w:snapToGrid w:val="0"/>
                <w:color w:val="000000"/>
                <w:kern w:val="0"/>
                <w:sz w:val="24"/>
                <w:szCs w:val="24"/>
                <w:highlight w:val="none"/>
                <w:lang w:val="en-US" w:eastAsia="zh-CN" w:bidi="ar-SA"/>
              </w:rPr>
              <w:t>经过</w:t>
            </w:r>
            <w:r>
              <w:rPr>
                <w:rFonts w:hint="default" w:ascii="Times New Roman" w:hAnsi="Times New Roman" w:eastAsia="宋体" w:cs="Times New Roman"/>
                <w:b w:val="0"/>
                <w:bCs w:val="0"/>
                <w:snapToGrid w:val="0"/>
                <w:color w:val="000000"/>
                <w:kern w:val="0"/>
                <w:sz w:val="24"/>
                <w:szCs w:val="24"/>
                <w:highlight w:val="none"/>
                <w:lang w:val="en-US" w:eastAsia="zh-CN" w:bidi="ar-SA"/>
              </w:rPr>
              <w:t>一段时间的使用后需更换活性炭保证处理效果，项目活性炭箱活性炭填装量约6.4t/a，建设单位每年更换一次活性炭，</w:t>
            </w:r>
            <w:r>
              <w:rPr>
                <w:rFonts w:hint="eastAsia" w:cs="Times New Roman"/>
                <w:b w:val="0"/>
                <w:bCs w:val="0"/>
                <w:snapToGrid w:val="0"/>
                <w:color w:val="000000"/>
                <w:kern w:val="0"/>
                <w:sz w:val="24"/>
                <w:szCs w:val="24"/>
                <w:highlight w:val="none"/>
                <w:lang w:val="en-US" w:eastAsia="zh-CN" w:bidi="ar-SA"/>
              </w:rPr>
              <w:t>活性炭吸附量为0.84t/a，则</w:t>
            </w:r>
            <w:r>
              <w:rPr>
                <w:rFonts w:hint="default" w:ascii="Times New Roman" w:hAnsi="Times New Roman" w:eastAsia="宋体" w:cs="Times New Roman"/>
                <w:b w:val="0"/>
                <w:bCs w:val="0"/>
                <w:snapToGrid w:val="0"/>
                <w:color w:val="000000"/>
                <w:kern w:val="0"/>
                <w:sz w:val="24"/>
                <w:szCs w:val="24"/>
                <w:highlight w:val="none"/>
                <w:lang w:val="en-US" w:eastAsia="zh-CN" w:bidi="ar-SA"/>
              </w:rPr>
              <w:t>每次废活性炭的量约</w:t>
            </w:r>
            <w:r>
              <w:rPr>
                <w:rFonts w:hint="eastAsia" w:cs="Times New Roman"/>
                <w:b w:val="0"/>
                <w:bCs w:val="0"/>
                <w:snapToGrid w:val="0"/>
                <w:color w:val="000000"/>
                <w:kern w:val="0"/>
                <w:sz w:val="24"/>
                <w:szCs w:val="24"/>
                <w:highlight w:val="none"/>
                <w:lang w:val="en-US" w:eastAsia="zh-CN" w:bidi="ar-SA"/>
              </w:rPr>
              <w:t>7.24</w:t>
            </w:r>
            <w:r>
              <w:rPr>
                <w:rFonts w:hint="default" w:ascii="Times New Roman" w:hAnsi="Times New Roman" w:eastAsia="宋体" w:cs="Times New Roman"/>
                <w:b w:val="0"/>
                <w:bCs w:val="0"/>
                <w:snapToGrid w:val="0"/>
                <w:color w:val="000000"/>
                <w:kern w:val="0"/>
                <w:sz w:val="24"/>
                <w:szCs w:val="24"/>
                <w:highlight w:val="none"/>
                <w:lang w:val="en-US" w:eastAsia="zh-CN" w:bidi="ar-SA"/>
              </w:rPr>
              <w:t>t/a。根据《国家危险废物名录》</w:t>
            </w:r>
            <w:r>
              <w:rPr>
                <w:rFonts w:hint="default" w:ascii="Times New Roman" w:hAnsi="Times New Roman" w:eastAsia="宋体" w:cs="Times New Roman"/>
                <w:color w:val="000000"/>
                <w:sz w:val="24"/>
                <w:highlight w:val="none"/>
                <w:lang w:val="en-US" w:eastAsia="zh-CN"/>
              </w:rPr>
              <w:t>（202</w:t>
            </w:r>
            <w:r>
              <w:rPr>
                <w:rFonts w:hint="eastAsia" w:ascii="Times New Roman" w:hAnsi="Times New Roman" w:eastAsia="宋体" w:cs="Times New Roman"/>
                <w:color w:val="000000"/>
                <w:sz w:val="24"/>
                <w:highlight w:val="none"/>
                <w:lang w:val="en-US" w:eastAsia="zh-CN"/>
              </w:rPr>
              <w:t>5</w:t>
            </w:r>
            <w:r>
              <w:rPr>
                <w:rFonts w:hint="default" w:ascii="Times New Roman" w:hAnsi="Times New Roman" w:eastAsia="宋体" w:cs="Times New Roman"/>
                <w:color w:val="000000"/>
                <w:sz w:val="24"/>
                <w:highlight w:val="none"/>
                <w:lang w:val="en-US" w:eastAsia="zh-CN"/>
              </w:rPr>
              <w:t>年版）</w:t>
            </w:r>
            <w:r>
              <w:rPr>
                <w:rFonts w:hint="default" w:ascii="Times New Roman" w:hAnsi="Times New Roman" w:eastAsia="宋体"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废活性炭</w:t>
            </w:r>
            <w:r>
              <w:rPr>
                <w:rFonts w:hint="default" w:ascii="Times New Roman" w:hAnsi="Times New Roman" w:eastAsia="宋体" w:cs="Times New Roman"/>
                <w:b w:val="0"/>
                <w:bCs w:val="0"/>
                <w:snapToGrid w:val="0"/>
                <w:color w:val="000000"/>
                <w:kern w:val="0"/>
                <w:sz w:val="24"/>
                <w:szCs w:val="24"/>
                <w:highlight w:val="none"/>
                <w:lang w:val="en-US" w:eastAsia="zh-CN" w:bidi="ar-SA"/>
              </w:rPr>
              <w:t>属于危险废物，废物类别HW</w:t>
            </w:r>
            <w:r>
              <w:rPr>
                <w:rFonts w:hint="eastAsia" w:ascii="Times New Roman" w:hAnsi="Times New Roman" w:eastAsia="宋体" w:cs="Times New Roman"/>
                <w:b w:val="0"/>
                <w:bCs w:val="0"/>
                <w:snapToGrid w:val="0"/>
                <w:color w:val="000000"/>
                <w:kern w:val="0"/>
                <w:sz w:val="24"/>
                <w:szCs w:val="24"/>
                <w:highlight w:val="none"/>
                <w:lang w:val="en-US" w:eastAsia="zh-CN" w:bidi="ar-SA"/>
              </w:rPr>
              <w:t>49其他废物</w:t>
            </w:r>
            <w:r>
              <w:rPr>
                <w:rFonts w:hint="default" w:ascii="Times New Roman" w:hAnsi="Times New Roman" w:eastAsia="宋体" w:cs="Times New Roman"/>
                <w:b w:val="0"/>
                <w:bCs w:val="0"/>
                <w:snapToGrid w:val="0"/>
                <w:color w:val="000000"/>
                <w:kern w:val="0"/>
                <w:sz w:val="24"/>
                <w:szCs w:val="24"/>
                <w:highlight w:val="none"/>
                <w:lang w:val="en-US" w:eastAsia="zh-CN" w:bidi="ar-SA"/>
              </w:rPr>
              <w:t>，废物代码900-0</w:t>
            </w:r>
            <w:r>
              <w:rPr>
                <w:rFonts w:hint="eastAsia" w:ascii="Times New Roman" w:hAnsi="Times New Roman" w:eastAsia="宋体" w:cs="Times New Roman"/>
                <w:b w:val="0"/>
                <w:bCs w:val="0"/>
                <w:snapToGrid w:val="0"/>
                <w:color w:val="000000"/>
                <w:kern w:val="0"/>
                <w:sz w:val="24"/>
                <w:szCs w:val="24"/>
                <w:highlight w:val="none"/>
                <w:lang w:val="en-US" w:eastAsia="zh-CN" w:bidi="ar-SA"/>
              </w:rPr>
              <w:t>39</w:t>
            </w:r>
            <w:r>
              <w:rPr>
                <w:rFonts w:hint="default" w:ascii="Times New Roman" w:hAnsi="Times New Roman" w:eastAsia="宋体"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4</w:t>
            </w:r>
            <w:r>
              <w:rPr>
                <w:rFonts w:hint="default" w:ascii="Times New Roman" w:hAnsi="Times New Roman" w:eastAsia="宋体" w:cs="Times New Roman"/>
                <w:b w:val="0"/>
                <w:bCs w:val="0"/>
                <w:snapToGrid w:val="0"/>
                <w:color w:val="000000"/>
                <w:kern w:val="0"/>
                <w:sz w:val="24"/>
                <w:szCs w:val="24"/>
                <w:highlight w:val="none"/>
                <w:lang w:val="en-US" w:eastAsia="zh-CN" w:bidi="ar-SA"/>
              </w:rPr>
              <w:t>9，</w:t>
            </w:r>
            <w:r>
              <w:rPr>
                <w:rFonts w:hint="eastAsia" w:ascii="Times New Roman" w:hAnsi="Times New Roman" w:eastAsia="宋体" w:cs="Times New Roman"/>
                <w:b w:val="0"/>
                <w:bCs w:val="0"/>
                <w:snapToGrid w:val="0"/>
                <w:color w:val="000000"/>
                <w:kern w:val="0"/>
                <w:sz w:val="24"/>
                <w:szCs w:val="24"/>
                <w:highlight w:val="none"/>
                <w:lang w:val="en-US" w:eastAsia="zh-CN" w:bidi="ar-SA"/>
              </w:rPr>
              <w:t>废活性炭暂存于危废间</w:t>
            </w:r>
            <w:r>
              <w:rPr>
                <w:rFonts w:hint="default" w:ascii="Times New Roman" w:hAnsi="Times New Roman" w:eastAsia="宋体" w:cs="Times New Roman"/>
                <w:b w:val="0"/>
                <w:bCs w:val="0"/>
                <w:snapToGrid w:val="0"/>
                <w:color w:val="000000"/>
                <w:kern w:val="0"/>
                <w:sz w:val="24"/>
                <w:szCs w:val="24"/>
                <w:highlight w:val="none"/>
                <w:lang w:val="en-US" w:eastAsia="zh-CN" w:bidi="ar-SA"/>
              </w:rPr>
              <w:t>定期委托有资质的单位进行处置</w:t>
            </w:r>
            <w:r>
              <w:rPr>
                <w:rFonts w:hint="eastAsia" w:ascii="Times New Roman" w:hAnsi="Times New Roman" w:eastAsia="宋体" w:cs="Times New Roman"/>
                <w:b w:val="0"/>
                <w:bCs w:val="0"/>
                <w:snapToGrid w:val="0"/>
                <w:color w:val="000000"/>
                <w:kern w:val="0"/>
                <w:sz w:val="24"/>
                <w:szCs w:val="24"/>
                <w:highlight w:val="none"/>
                <w:lang w:val="en-US" w:eastAsia="zh-CN" w:bidi="ar-SA"/>
              </w:rPr>
              <w:t>。</w:t>
            </w:r>
          </w:p>
          <w:p w14:paraId="05C8023A">
            <w:pPr>
              <w:spacing w:line="360" w:lineRule="auto"/>
              <w:ind w:firstLine="480" w:firstLineChars="200"/>
              <w:rPr>
                <w:rFonts w:hint="default" w:ascii="Times New Roman" w:hAnsi="Times New Roman" w:cs="Times New Roman"/>
                <w:highlight w:val="none"/>
                <w:lang w:val="en-US" w:eastAsia="zh-CN"/>
              </w:rPr>
            </w:pPr>
            <w:r>
              <w:rPr>
                <w:rFonts w:hint="eastAsia" w:cs="Times New Roman"/>
                <w:b w:val="0"/>
                <w:bCs w:val="0"/>
                <w:snapToGrid w:val="0"/>
                <w:color w:val="000000"/>
                <w:kern w:val="0"/>
                <w:sz w:val="24"/>
                <w:szCs w:val="24"/>
                <w:highlight w:val="none"/>
                <w:lang w:val="en-US" w:eastAsia="zh-CN" w:bidi="ar-SA"/>
              </w:rPr>
              <w:t>③</w:t>
            </w:r>
            <w:r>
              <w:rPr>
                <w:rFonts w:hint="default" w:ascii="Times New Roman" w:hAnsi="Times New Roman" w:eastAsia="宋体" w:cs="Times New Roman"/>
                <w:b w:val="0"/>
                <w:bCs w:val="0"/>
                <w:snapToGrid w:val="0"/>
                <w:color w:val="000000"/>
                <w:kern w:val="0"/>
                <w:sz w:val="24"/>
                <w:szCs w:val="24"/>
                <w:highlight w:val="none"/>
                <w:lang w:val="en-US" w:eastAsia="zh-CN" w:bidi="ar-SA"/>
              </w:rPr>
              <w:t>沉渣</w:t>
            </w:r>
          </w:p>
          <w:p w14:paraId="54ECDDD1">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两条生产线产生的</w:t>
            </w:r>
            <w:r>
              <w:rPr>
                <w:rFonts w:hint="eastAsia" w:ascii="Times New Roman" w:hAnsi="Times New Roman" w:eastAsia="宋体" w:cs="Times New Roman"/>
                <w:b w:val="0"/>
                <w:bCs w:val="0"/>
                <w:snapToGrid w:val="0"/>
                <w:color w:val="000000"/>
                <w:kern w:val="0"/>
                <w:sz w:val="24"/>
                <w:szCs w:val="24"/>
                <w:highlight w:val="none"/>
                <w:lang w:val="en-US" w:eastAsia="zh-CN" w:bidi="ar-SA"/>
              </w:rPr>
              <w:t>设备清洗</w:t>
            </w:r>
            <w:r>
              <w:rPr>
                <w:rFonts w:hint="default" w:ascii="Times New Roman" w:hAnsi="Times New Roman" w:eastAsia="宋体" w:cs="Times New Roman"/>
                <w:b w:val="0"/>
                <w:bCs w:val="0"/>
                <w:snapToGrid w:val="0"/>
                <w:color w:val="000000"/>
                <w:kern w:val="0"/>
                <w:sz w:val="24"/>
                <w:szCs w:val="24"/>
                <w:highlight w:val="none"/>
                <w:lang w:val="en-US" w:eastAsia="zh-CN" w:bidi="ar-SA"/>
              </w:rPr>
              <w:t>废水经</w:t>
            </w:r>
            <w:r>
              <w:rPr>
                <w:rFonts w:hint="eastAsia" w:ascii="Times New Roman" w:hAnsi="Times New Roman" w:eastAsia="宋体" w:cs="Times New Roman"/>
                <w:b w:val="0"/>
                <w:bCs w:val="0"/>
                <w:snapToGrid w:val="0"/>
                <w:color w:val="000000"/>
                <w:kern w:val="0"/>
                <w:sz w:val="24"/>
                <w:szCs w:val="24"/>
                <w:highlight w:val="none"/>
                <w:lang w:val="en-US" w:eastAsia="zh-CN" w:bidi="ar-SA"/>
              </w:rPr>
              <w:t>隔油沉淀池</w:t>
            </w:r>
            <w:r>
              <w:rPr>
                <w:rFonts w:hint="default" w:ascii="Times New Roman" w:hAnsi="Times New Roman" w:eastAsia="宋体" w:cs="Times New Roman"/>
                <w:b w:val="0"/>
                <w:bCs w:val="0"/>
                <w:snapToGrid w:val="0"/>
                <w:color w:val="000000"/>
                <w:kern w:val="0"/>
                <w:sz w:val="24"/>
                <w:szCs w:val="24"/>
                <w:highlight w:val="none"/>
                <w:lang w:val="en-US" w:eastAsia="zh-CN" w:bidi="ar-SA"/>
              </w:rPr>
              <w:t>沉淀产生的沉渣；改性沥青防水卷材生产线冷却水池中的沉渣，年产量约</w:t>
            </w:r>
            <w:r>
              <w:rPr>
                <w:rFonts w:hint="eastAsia" w:ascii="Times New Roman" w:hAnsi="Times New Roman" w:cs="Times New Roman"/>
                <w:b w:val="0"/>
                <w:bCs w:val="0"/>
                <w:snapToGrid w:val="0"/>
                <w:color w:val="000000"/>
                <w:kern w:val="0"/>
                <w:sz w:val="24"/>
                <w:szCs w:val="24"/>
                <w:highlight w:val="none"/>
                <w:lang w:val="en-US" w:eastAsia="zh-CN" w:bidi="ar-SA"/>
              </w:rPr>
              <w:t>6</w:t>
            </w:r>
            <w:r>
              <w:rPr>
                <w:rFonts w:hint="default" w:ascii="Times New Roman" w:hAnsi="Times New Roman" w:eastAsia="宋体" w:cs="Times New Roman"/>
                <w:b w:val="0"/>
                <w:bCs w:val="0"/>
                <w:snapToGrid w:val="0"/>
                <w:color w:val="000000"/>
                <w:kern w:val="0"/>
                <w:sz w:val="24"/>
                <w:szCs w:val="24"/>
                <w:highlight w:val="none"/>
                <w:lang w:val="en-US" w:eastAsia="zh-CN" w:bidi="ar-SA"/>
              </w:rPr>
              <w:t>t/a，根据《国家危险废物名录》（2025年版），循环水池沉渣属于危险废物，废物类别HW06废有机溶剂与含有机溶剂废物，废物代码900-409-06，</w:t>
            </w:r>
            <w:r>
              <w:rPr>
                <w:rFonts w:hint="eastAsia" w:ascii="Times New Roman" w:hAnsi="Times New Roman" w:eastAsia="宋体" w:cs="Times New Roman"/>
                <w:b w:val="0"/>
                <w:bCs w:val="0"/>
                <w:snapToGrid w:val="0"/>
                <w:color w:val="000000"/>
                <w:kern w:val="0"/>
                <w:sz w:val="24"/>
                <w:szCs w:val="24"/>
                <w:highlight w:val="none"/>
                <w:lang w:val="en-US" w:eastAsia="zh-CN" w:bidi="ar-SA"/>
              </w:rPr>
              <w:t>沉渣</w:t>
            </w:r>
            <w:r>
              <w:rPr>
                <w:rFonts w:hint="eastAsia" w:ascii="Times New Roman" w:hAnsi="Times New Roman" w:cs="Times New Roman"/>
                <w:b w:val="0"/>
                <w:bCs w:val="0"/>
                <w:snapToGrid w:val="0"/>
                <w:color w:val="000000"/>
                <w:kern w:val="0"/>
                <w:sz w:val="24"/>
                <w:szCs w:val="24"/>
                <w:highlight w:val="none"/>
                <w:lang w:val="en-US" w:eastAsia="zh-CN" w:bidi="ar-SA"/>
              </w:rPr>
              <w:t>收集回用于生产</w:t>
            </w:r>
            <w:r>
              <w:rPr>
                <w:rFonts w:hint="eastAsia" w:ascii="Times New Roman" w:hAnsi="Times New Roman" w:eastAsia="宋体" w:cs="Times New Roman"/>
                <w:b w:val="0"/>
                <w:bCs w:val="0"/>
                <w:snapToGrid w:val="0"/>
                <w:color w:val="000000"/>
                <w:kern w:val="0"/>
                <w:sz w:val="24"/>
                <w:szCs w:val="24"/>
                <w:highlight w:val="none"/>
                <w:lang w:val="en-US" w:eastAsia="zh-CN" w:bidi="ar-SA"/>
              </w:rPr>
              <w:t>。</w:t>
            </w:r>
          </w:p>
          <w:p w14:paraId="194F0C4B">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cs="Times New Roman"/>
                <w:b w:val="0"/>
                <w:bCs w:val="0"/>
                <w:snapToGrid w:val="0"/>
                <w:color w:val="000000"/>
                <w:kern w:val="0"/>
                <w:sz w:val="24"/>
                <w:szCs w:val="24"/>
                <w:highlight w:val="none"/>
                <w:lang w:val="en-US" w:eastAsia="zh-CN" w:bidi="ar-SA"/>
              </w:rPr>
              <w:t>④</w:t>
            </w:r>
            <w:r>
              <w:rPr>
                <w:rFonts w:hint="eastAsia" w:ascii="Times New Roman" w:hAnsi="Times New Roman" w:eastAsia="宋体" w:cs="Times New Roman"/>
                <w:b w:val="0"/>
                <w:bCs w:val="0"/>
                <w:snapToGrid w:val="0"/>
                <w:color w:val="000000"/>
                <w:kern w:val="0"/>
                <w:sz w:val="24"/>
                <w:szCs w:val="24"/>
                <w:highlight w:val="none"/>
                <w:lang w:val="en-US" w:eastAsia="zh-CN" w:bidi="ar-SA"/>
              </w:rPr>
              <w:t>废润滑油</w:t>
            </w:r>
          </w:p>
          <w:p w14:paraId="6AAF4D3C">
            <w:pPr>
              <w:spacing w:line="360" w:lineRule="auto"/>
              <w:ind w:firstLine="480" w:firstLineChars="20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项目运营过程中机械设备保养、维修将产生少量废机油，年产量约为1t/a，根据《国家危险废物名录》</w:t>
            </w:r>
            <w:r>
              <w:rPr>
                <w:rFonts w:hint="default" w:ascii="Times New Roman" w:hAnsi="Times New Roman" w:eastAsia="宋体" w:cs="Times New Roman"/>
                <w:color w:val="000000"/>
                <w:sz w:val="24"/>
                <w:highlight w:val="none"/>
                <w:lang w:val="en-US" w:eastAsia="zh-CN"/>
              </w:rPr>
              <w:t>（202</w:t>
            </w:r>
            <w:r>
              <w:rPr>
                <w:rFonts w:hint="eastAsia" w:ascii="Times New Roman" w:hAnsi="Times New Roman" w:eastAsia="宋体" w:cs="Times New Roman"/>
                <w:color w:val="000000"/>
                <w:sz w:val="24"/>
                <w:highlight w:val="none"/>
                <w:lang w:val="en-US" w:eastAsia="zh-CN"/>
              </w:rPr>
              <w:t>5</w:t>
            </w:r>
            <w:r>
              <w:rPr>
                <w:rFonts w:hint="default" w:ascii="Times New Roman" w:hAnsi="Times New Roman" w:eastAsia="宋体" w:cs="Times New Roman"/>
                <w:color w:val="000000"/>
                <w:sz w:val="24"/>
                <w:highlight w:val="none"/>
                <w:lang w:val="en-US" w:eastAsia="zh-CN"/>
              </w:rPr>
              <w:t>年版）</w:t>
            </w:r>
            <w:r>
              <w:rPr>
                <w:rFonts w:hint="default" w:ascii="Times New Roman" w:hAnsi="Times New Roman" w:eastAsia="宋体" w:cs="Times New Roman"/>
                <w:b w:val="0"/>
                <w:bCs w:val="0"/>
                <w:snapToGrid w:val="0"/>
                <w:color w:val="000000"/>
                <w:kern w:val="0"/>
                <w:sz w:val="24"/>
                <w:szCs w:val="24"/>
                <w:highlight w:val="none"/>
                <w:lang w:val="en-US" w:eastAsia="zh-CN" w:bidi="ar-SA"/>
              </w:rPr>
              <w:t>，废机油属于危险废物，废物类别HW08废矿物油与含矿物油废物，废物代码900-214-08，</w:t>
            </w:r>
            <w:r>
              <w:rPr>
                <w:rFonts w:hint="eastAsia" w:ascii="Times New Roman" w:hAnsi="Times New Roman" w:eastAsia="宋体" w:cs="Times New Roman"/>
                <w:b w:val="0"/>
                <w:bCs w:val="0"/>
                <w:snapToGrid w:val="0"/>
                <w:color w:val="000000"/>
                <w:kern w:val="0"/>
                <w:sz w:val="24"/>
                <w:szCs w:val="24"/>
                <w:highlight w:val="none"/>
                <w:lang w:val="en-US" w:eastAsia="zh-CN" w:bidi="ar-SA"/>
              </w:rPr>
              <w:t>废润滑油暂存于危废间</w:t>
            </w:r>
            <w:r>
              <w:rPr>
                <w:rFonts w:hint="default" w:ascii="Times New Roman" w:hAnsi="Times New Roman" w:eastAsia="宋体" w:cs="Times New Roman"/>
                <w:b w:val="0"/>
                <w:bCs w:val="0"/>
                <w:snapToGrid w:val="0"/>
                <w:color w:val="000000"/>
                <w:kern w:val="0"/>
                <w:sz w:val="24"/>
                <w:szCs w:val="24"/>
                <w:highlight w:val="none"/>
                <w:lang w:val="en-US" w:eastAsia="zh-CN" w:bidi="ar-SA"/>
              </w:rPr>
              <w:t>定期委托有资质的单位进行处置</w:t>
            </w:r>
            <w:r>
              <w:rPr>
                <w:rFonts w:hint="eastAsia" w:ascii="Times New Roman" w:hAnsi="Times New Roman" w:eastAsia="宋体" w:cs="Times New Roman"/>
                <w:b w:val="0"/>
                <w:bCs w:val="0"/>
                <w:snapToGrid w:val="0"/>
                <w:color w:val="000000"/>
                <w:kern w:val="0"/>
                <w:sz w:val="24"/>
                <w:szCs w:val="24"/>
                <w:highlight w:val="none"/>
                <w:lang w:val="en-US" w:eastAsia="zh-CN" w:bidi="ar-SA"/>
              </w:rPr>
              <w:t>。</w:t>
            </w:r>
          </w:p>
          <w:p w14:paraId="2D0EE114">
            <w:pPr>
              <w:spacing w:line="360" w:lineRule="auto"/>
              <w:ind w:firstLine="480" w:firstLineChars="20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cs="Times New Roman"/>
                <w:b w:val="0"/>
                <w:bCs w:val="0"/>
                <w:snapToGrid w:val="0"/>
                <w:color w:val="000000"/>
                <w:kern w:val="0"/>
                <w:sz w:val="24"/>
                <w:szCs w:val="24"/>
                <w:highlight w:val="none"/>
                <w:lang w:val="en-US" w:eastAsia="zh-CN" w:bidi="ar-SA"/>
              </w:rPr>
              <w:t>⑤</w:t>
            </w:r>
            <w:r>
              <w:rPr>
                <w:rFonts w:hint="eastAsia" w:ascii="Times New Roman" w:hAnsi="Times New Roman" w:eastAsia="宋体" w:cs="Times New Roman"/>
                <w:b w:val="0"/>
                <w:bCs w:val="0"/>
                <w:snapToGrid w:val="0"/>
                <w:color w:val="000000"/>
                <w:kern w:val="0"/>
                <w:sz w:val="24"/>
                <w:szCs w:val="24"/>
                <w:highlight w:val="none"/>
                <w:lang w:val="en-US" w:eastAsia="zh-CN" w:bidi="ar-SA"/>
              </w:rPr>
              <w:t>沥青沾染物</w:t>
            </w:r>
          </w:p>
          <w:p w14:paraId="768668CF">
            <w:pPr>
              <w:spacing w:line="360" w:lineRule="auto"/>
              <w:ind w:firstLine="480" w:firstLineChars="20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项目运营过程中机械设备保养、维修将产生少量</w:t>
            </w:r>
            <w:r>
              <w:rPr>
                <w:rFonts w:hint="eastAsia" w:ascii="Times New Roman" w:hAnsi="Times New Roman" w:eastAsia="宋体" w:cs="Times New Roman"/>
                <w:b w:val="0"/>
                <w:bCs w:val="0"/>
                <w:snapToGrid w:val="0"/>
                <w:color w:val="000000"/>
                <w:kern w:val="0"/>
                <w:sz w:val="24"/>
                <w:szCs w:val="24"/>
                <w:highlight w:val="none"/>
                <w:lang w:val="en-US" w:eastAsia="zh-CN" w:bidi="ar-SA"/>
              </w:rPr>
              <w:t>沥青沾染物，例如手套，塑料桶，废旧沥青擦洗布等沥青沾染物，根据业主提供的资料沥青沾染物的产生量为3t/a</w:t>
            </w:r>
            <w:r>
              <w:rPr>
                <w:rFonts w:hint="eastAsia" w:cs="Times New Roman"/>
                <w:b w:val="0"/>
                <w:bCs w:val="0"/>
                <w:snapToGrid w:val="0"/>
                <w:color w:val="000000"/>
                <w:kern w:val="0"/>
                <w:sz w:val="24"/>
                <w:szCs w:val="24"/>
                <w:highlight w:val="none"/>
                <w:lang w:val="en-US" w:eastAsia="zh-CN" w:bidi="ar-SA"/>
              </w:rPr>
              <w:t>，根</w:t>
            </w:r>
            <w:r>
              <w:rPr>
                <w:rFonts w:hint="default" w:ascii="Times New Roman" w:hAnsi="Times New Roman" w:eastAsia="宋体" w:cs="Times New Roman"/>
                <w:b w:val="0"/>
                <w:bCs w:val="0"/>
                <w:snapToGrid w:val="0"/>
                <w:color w:val="000000"/>
                <w:kern w:val="0"/>
                <w:sz w:val="24"/>
                <w:szCs w:val="24"/>
                <w:highlight w:val="none"/>
                <w:lang w:val="en-US" w:eastAsia="zh-CN" w:bidi="ar-SA"/>
              </w:rPr>
              <w:t>据《国家危险废物名录》</w:t>
            </w:r>
            <w:r>
              <w:rPr>
                <w:rFonts w:hint="default" w:ascii="Times New Roman" w:hAnsi="Times New Roman" w:eastAsia="宋体" w:cs="Times New Roman"/>
                <w:color w:val="000000"/>
                <w:sz w:val="24"/>
                <w:highlight w:val="none"/>
                <w:lang w:val="en-US" w:eastAsia="zh-CN"/>
              </w:rPr>
              <w:t>（202</w:t>
            </w:r>
            <w:r>
              <w:rPr>
                <w:rFonts w:hint="eastAsia" w:ascii="Times New Roman" w:hAnsi="Times New Roman" w:eastAsia="宋体" w:cs="Times New Roman"/>
                <w:color w:val="000000"/>
                <w:sz w:val="24"/>
                <w:highlight w:val="none"/>
                <w:lang w:val="en-US" w:eastAsia="zh-CN"/>
              </w:rPr>
              <w:t>5</w:t>
            </w:r>
            <w:r>
              <w:rPr>
                <w:rFonts w:hint="default" w:ascii="Times New Roman" w:hAnsi="Times New Roman" w:eastAsia="宋体" w:cs="Times New Roman"/>
                <w:color w:val="000000"/>
                <w:sz w:val="24"/>
                <w:highlight w:val="none"/>
                <w:lang w:val="en-US" w:eastAsia="zh-CN"/>
              </w:rPr>
              <w:t>年版）</w:t>
            </w:r>
            <w:r>
              <w:rPr>
                <w:rFonts w:hint="default" w:ascii="Times New Roman" w:hAnsi="Times New Roman" w:eastAsia="宋体"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沥青沾染物</w:t>
            </w:r>
            <w:r>
              <w:rPr>
                <w:rFonts w:hint="default" w:ascii="Times New Roman" w:hAnsi="Times New Roman" w:eastAsia="宋体" w:cs="Times New Roman"/>
                <w:b w:val="0"/>
                <w:bCs w:val="0"/>
                <w:snapToGrid w:val="0"/>
                <w:color w:val="000000"/>
                <w:kern w:val="0"/>
                <w:sz w:val="24"/>
                <w:szCs w:val="24"/>
                <w:highlight w:val="none"/>
                <w:lang w:val="en-US" w:eastAsia="zh-CN" w:bidi="ar-SA"/>
              </w:rPr>
              <w:t>属于危险废物，废物类别HW08废矿物油与含矿物油废物，废物代码900-2</w:t>
            </w:r>
            <w:r>
              <w:rPr>
                <w:rFonts w:hint="eastAsia" w:ascii="Times New Roman" w:hAnsi="Times New Roman" w:eastAsia="宋体" w:cs="Times New Roman"/>
                <w:b w:val="0"/>
                <w:bCs w:val="0"/>
                <w:snapToGrid w:val="0"/>
                <w:color w:val="000000"/>
                <w:kern w:val="0"/>
                <w:sz w:val="24"/>
                <w:szCs w:val="24"/>
                <w:highlight w:val="none"/>
                <w:lang w:val="en-US" w:eastAsia="zh-CN" w:bidi="ar-SA"/>
              </w:rPr>
              <w:t>49</w:t>
            </w:r>
            <w:r>
              <w:rPr>
                <w:rFonts w:hint="default" w:ascii="Times New Roman" w:hAnsi="Times New Roman" w:eastAsia="宋体" w:cs="Times New Roman"/>
                <w:b w:val="0"/>
                <w:bCs w:val="0"/>
                <w:snapToGrid w:val="0"/>
                <w:color w:val="000000"/>
                <w:kern w:val="0"/>
                <w:sz w:val="24"/>
                <w:szCs w:val="24"/>
                <w:highlight w:val="none"/>
                <w:lang w:val="en-US" w:eastAsia="zh-CN" w:bidi="ar-SA"/>
              </w:rPr>
              <w:t>-08，</w:t>
            </w:r>
            <w:r>
              <w:rPr>
                <w:rFonts w:hint="eastAsia" w:ascii="Times New Roman" w:hAnsi="Times New Roman" w:eastAsia="宋体" w:cs="Times New Roman"/>
                <w:b w:val="0"/>
                <w:bCs w:val="0"/>
                <w:snapToGrid w:val="0"/>
                <w:color w:val="000000"/>
                <w:kern w:val="0"/>
                <w:sz w:val="24"/>
                <w:szCs w:val="24"/>
                <w:highlight w:val="none"/>
                <w:lang w:val="en-US" w:eastAsia="zh-CN" w:bidi="ar-SA"/>
              </w:rPr>
              <w:t>沥青沾染物暂存于危废间</w:t>
            </w:r>
            <w:r>
              <w:rPr>
                <w:rFonts w:hint="default" w:ascii="Times New Roman" w:hAnsi="Times New Roman" w:eastAsia="宋体" w:cs="Times New Roman"/>
                <w:b w:val="0"/>
                <w:bCs w:val="0"/>
                <w:snapToGrid w:val="0"/>
                <w:color w:val="000000"/>
                <w:kern w:val="0"/>
                <w:sz w:val="24"/>
                <w:szCs w:val="24"/>
                <w:highlight w:val="none"/>
                <w:lang w:val="en-US" w:eastAsia="zh-CN" w:bidi="ar-SA"/>
              </w:rPr>
              <w:t>定期委托有资质的单位进行处置</w:t>
            </w:r>
            <w:r>
              <w:rPr>
                <w:rFonts w:hint="eastAsia" w:ascii="Times New Roman" w:hAnsi="Times New Roman" w:eastAsia="宋体" w:cs="Times New Roman"/>
                <w:b w:val="0"/>
                <w:bCs w:val="0"/>
                <w:snapToGrid w:val="0"/>
                <w:color w:val="000000"/>
                <w:kern w:val="0"/>
                <w:sz w:val="24"/>
                <w:szCs w:val="24"/>
                <w:highlight w:val="none"/>
                <w:lang w:val="en-US" w:eastAsia="zh-CN" w:bidi="ar-SA"/>
              </w:rPr>
              <w:t>。</w:t>
            </w:r>
          </w:p>
          <w:p w14:paraId="1335F05B">
            <w:pPr>
              <w:numPr>
                <w:ilvl w:val="-1"/>
                <w:numId w:val="0"/>
              </w:numPr>
              <w:spacing w:line="360" w:lineRule="auto"/>
              <w:ind w:left="420" w:leftChars="200" w:firstLine="0" w:firstLineChars="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cs="Times New Roman"/>
                <w:b w:val="0"/>
                <w:bCs w:val="0"/>
                <w:snapToGrid w:val="0"/>
                <w:color w:val="000000"/>
                <w:kern w:val="0"/>
                <w:sz w:val="24"/>
                <w:szCs w:val="24"/>
                <w:highlight w:val="none"/>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生活垃圾</w:t>
            </w:r>
          </w:p>
          <w:p w14:paraId="70AE0D23">
            <w:pPr>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本项目</w:t>
            </w:r>
            <w:r>
              <w:rPr>
                <w:rFonts w:hint="eastAsia" w:cs="Times New Roman"/>
                <w:b w:val="0"/>
                <w:bCs w:val="0"/>
                <w:snapToGrid w:val="0"/>
                <w:color w:val="000000"/>
                <w:kern w:val="0"/>
                <w:sz w:val="24"/>
                <w:szCs w:val="24"/>
                <w:highlight w:val="none"/>
                <w:lang w:val="en-US" w:eastAsia="zh-CN" w:bidi="ar-SA"/>
              </w:rPr>
              <w:t>新增</w:t>
            </w:r>
            <w:r>
              <w:rPr>
                <w:rFonts w:hint="default" w:ascii="Times New Roman" w:hAnsi="Times New Roman" w:eastAsia="宋体" w:cs="Times New Roman"/>
                <w:b w:val="0"/>
                <w:bCs w:val="0"/>
                <w:snapToGrid w:val="0"/>
                <w:color w:val="000000"/>
                <w:kern w:val="0"/>
                <w:sz w:val="24"/>
                <w:szCs w:val="24"/>
                <w:highlight w:val="none"/>
                <w:lang w:val="en-US" w:eastAsia="zh-CN" w:bidi="ar-SA"/>
              </w:rPr>
              <w:t>劳动定员</w:t>
            </w:r>
            <w:r>
              <w:rPr>
                <w:rFonts w:hint="eastAsia" w:cs="Times New Roman"/>
                <w:b w:val="0"/>
                <w:bCs w:val="0"/>
                <w:snapToGrid w:val="0"/>
                <w:color w:val="000000"/>
                <w:kern w:val="0"/>
                <w:sz w:val="24"/>
                <w:szCs w:val="24"/>
                <w:highlight w:val="none"/>
                <w:lang w:val="en-US" w:eastAsia="zh-CN" w:bidi="ar-SA"/>
              </w:rPr>
              <w:t>6</w:t>
            </w:r>
            <w:r>
              <w:rPr>
                <w:rFonts w:hint="default" w:ascii="Times New Roman" w:hAnsi="Times New Roman" w:eastAsia="宋体" w:cs="Times New Roman"/>
                <w:b w:val="0"/>
                <w:bCs w:val="0"/>
                <w:snapToGrid w:val="0"/>
                <w:color w:val="000000"/>
                <w:kern w:val="0"/>
                <w:sz w:val="24"/>
                <w:szCs w:val="24"/>
                <w:highlight w:val="none"/>
                <w:lang w:val="en-US" w:eastAsia="zh-CN" w:bidi="ar-SA"/>
              </w:rPr>
              <w:t>人，年工作</w:t>
            </w:r>
            <w:r>
              <w:rPr>
                <w:rFonts w:hint="eastAsia" w:cs="Times New Roman"/>
                <w:b w:val="0"/>
                <w:bCs w:val="0"/>
                <w:snapToGrid w:val="0"/>
                <w:color w:val="000000"/>
                <w:kern w:val="0"/>
                <w:sz w:val="24"/>
                <w:szCs w:val="24"/>
                <w:highlight w:val="none"/>
                <w:lang w:val="en-US" w:eastAsia="zh-CN" w:bidi="ar-SA"/>
              </w:rPr>
              <w:t>240</w:t>
            </w:r>
            <w:r>
              <w:rPr>
                <w:rFonts w:hint="default" w:ascii="Times New Roman" w:hAnsi="Times New Roman" w:eastAsia="宋体" w:cs="Times New Roman"/>
                <w:b w:val="0"/>
                <w:bCs w:val="0"/>
                <w:snapToGrid w:val="0"/>
                <w:color w:val="000000"/>
                <w:kern w:val="0"/>
                <w:sz w:val="24"/>
                <w:szCs w:val="24"/>
                <w:highlight w:val="none"/>
                <w:lang w:val="en-US" w:eastAsia="zh-CN" w:bidi="ar-SA"/>
              </w:rPr>
              <w:t>天，生活垃圾按</w:t>
            </w:r>
            <w:r>
              <w:rPr>
                <w:rFonts w:hint="eastAsia" w:cs="Times New Roman"/>
                <w:b w:val="0"/>
                <w:bCs w:val="0"/>
                <w:snapToGrid w:val="0"/>
                <w:color w:val="000000"/>
                <w:kern w:val="0"/>
                <w:sz w:val="24"/>
                <w:szCs w:val="24"/>
                <w:highlight w:val="none"/>
                <w:lang w:val="en-US" w:eastAsia="zh-CN" w:bidi="ar-SA"/>
              </w:rPr>
              <w:t>1</w:t>
            </w:r>
            <w:r>
              <w:rPr>
                <w:rFonts w:hint="default" w:ascii="Times New Roman" w:hAnsi="Times New Roman" w:eastAsia="宋体" w:cs="Times New Roman"/>
                <w:b w:val="0"/>
                <w:bCs w:val="0"/>
                <w:snapToGrid w:val="0"/>
                <w:color w:val="000000"/>
                <w:kern w:val="0"/>
                <w:sz w:val="24"/>
                <w:szCs w:val="24"/>
                <w:highlight w:val="none"/>
                <w:lang w:val="en-US" w:eastAsia="zh-CN" w:bidi="ar-SA"/>
              </w:rPr>
              <w:t>kg/人·天，则职工产生的生活垃圾约</w:t>
            </w:r>
            <w:r>
              <w:rPr>
                <w:rFonts w:hint="eastAsia" w:cs="Times New Roman"/>
                <w:b w:val="0"/>
                <w:bCs w:val="0"/>
                <w:snapToGrid w:val="0"/>
                <w:color w:val="000000"/>
                <w:kern w:val="0"/>
                <w:sz w:val="24"/>
                <w:szCs w:val="24"/>
                <w:highlight w:val="none"/>
                <w:lang w:val="en-US" w:eastAsia="zh-CN" w:bidi="ar-SA"/>
              </w:rPr>
              <w:t>1.44</w:t>
            </w:r>
            <w:r>
              <w:rPr>
                <w:rFonts w:hint="default" w:ascii="Times New Roman" w:hAnsi="Times New Roman" w:eastAsia="宋体" w:cs="Times New Roman"/>
                <w:b w:val="0"/>
                <w:bCs w:val="0"/>
                <w:snapToGrid w:val="0"/>
                <w:color w:val="000000"/>
                <w:kern w:val="0"/>
                <w:sz w:val="24"/>
                <w:szCs w:val="24"/>
                <w:highlight w:val="none"/>
                <w:lang w:val="en-US" w:eastAsia="zh-CN" w:bidi="ar-SA"/>
              </w:rPr>
              <w:t>t/a。收集后由园区环卫部门定期清运。</w:t>
            </w:r>
          </w:p>
          <w:p w14:paraId="3CEBCB4B">
            <w:pPr>
              <w:pStyle w:val="3"/>
              <w:spacing w:line="360" w:lineRule="auto"/>
              <w:rPr>
                <w:rFonts w:hint="default" w:ascii="Times New Roman" w:hAnsi="Times New Roman" w:eastAsia="宋体" w:cs="Times New Roman"/>
                <w:b/>
                <w:bCs/>
                <w:sz w:val="24"/>
                <w:highlight w:val="none"/>
                <w:lang w:val="en-US" w:eastAsia="zh-CN"/>
              </w:rPr>
            </w:pPr>
            <w:r>
              <w:rPr>
                <w:rFonts w:hint="default" w:ascii="Times New Roman" w:hAnsi="Times New Roman" w:eastAsia="宋体" w:cs="Times New Roman"/>
                <w:b/>
                <w:bCs/>
                <w:sz w:val="24"/>
                <w:highlight w:val="none"/>
                <w:lang w:val="en-US" w:eastAsia="zh-CN"/>
              </w:rPr>
              <w:t>4.2 危险废物贮存方式及管理要求</w:t>
            </w:r>
          </w:p>
          <w:p w14:paraId="657E0D1F">
            <w:pPr>
              <w:spacing w:line="360" w:lineRule="auto"/>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bCs/>
                <w:sz w:val="24"/>
                <w:highlight w:val="none"/>
                <w:lang w:val="en-US" w:eastAsia="zh-CN"/>
              </w:rPr>
              <w:t>4.2.1 危险废物贮存方式</w:t>
            </w:r>
          </w:p>
          <w:p w14:paraId="228E100E">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（1）危险废物贮存方式</w:t>
            </w:r>
          </w:p>
          <w:p w14:paraId="33CC3EEE">
            <w:pPr>
              <w:pStyle w:val="51"/>
              <w:snapToGrid w:val="0"/>
              <w:ind w:firstLine="48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color w:val="auto"/>
                <w:szCs w:val="24"/>
                <w:highlight w:val="none"/>
                <w:lang w:val="en-US" w:eastAsia="zh-CN"/>
              </w:rPr>
              <w:t>本项目产生的危险废物依托原有工程危废贮存库，原有工程建设有1座危废贮存库，设计最大贮存量为</w:t>
            </w:r>
            <w:r>
              <w:rPr>
                <w:rFonts w:hint="eastAsia" w:cs="Times New Roman"/>
                <w:color w:val="auto"/>
                <w:szCs w:val="24"/>
                <w:highlight w:val="none"/>
                <w:lang w:val="en-US" w:eastAsia="zh-CN"/>
              </w:rPr>
              <w:t>10</w:t>
            </w:r>
            <w:r>
              <w:rPr>
                <w:rFonts w:hint="default" w:ascii="Times New Roman" w:hAnsi="Times New Roman" w:eastAsia="宋体" w:cs="Times New Roman"/>
                <w:color w:val="auto"/>
                <w:szCs w:val="24"/>
                <w:highlight w:val="none"/>
                <w:lang w:val="en-US" w:eastAsia="zh-CN"/>
              </w:rPr>
              <w:t>t，用于贮存危险废物</w:t>
            </w:r>
            <w:r>
              <w:rPr>
                <w:rFonts w:hint="eastAsia" w:cs="Times New Roman"/>
                <w:color w:val="auto"/>
                <w:szCs w:val="24"/>
                <w:highlight w:val="none"/>
                <w:lang w:val="en-US" w:eastAsia="zh-CN"/>
              </w:rPr>
              <w:t>，每季度委托有资质的单位进行拉运处置</w:t>
            </w:r>
            <w:r>
              <w:rPr>
                <w:rFonts w:hint="default" w:ascii="Times New Roman" w:hAnsi="Times New Roman" w:eastAsia="宋体" w:cs="Times New Roman"/>
                <w:color w:val="auto"/>
                <w:szCs w:val="24"/>
                <w:highlight w:val="none"/>
                <w:lang w:val="en-US" w:eastAsia="zh-CN"/>
              </w:rPr>
              <w:t>。原有工程危废产生量</w:t>
            </w:r>
            <w:r>
              <w:rPr>
                <w:rFonts w:hint="eastAsia" w:cs="Times New Roman"/>
                <w:color w:val="auto"/>
                <w:szCs w:val="24"/>
                <w:highlight w:val="none"/>
                <w:lang w:val="en-US" w:eastAsia="zh-CN"/>
              </w:rPr>
              <w:t>加新建设工程的总产生量为28.94t/a，本项目每年最大转运量为40t/a，本次增加后尚有余量。</w:t>
            </w:r>
            <w:r>
              <w:rPr>
                <w:rFonts w:hint="default" w:ascii="Times New Roman" w:hAnsi="Times New Roman" w:eastAsia="宋体" w:cs="Times New Roman"/>
                <w:color w:val="auto"/>
                <w:szCs w:val="24"/>
                <w:highlight w:val="none"/>
                <w:lang w:val="en-US" w:eastAsia="zh-CN"/>
              </w:rPr>
              <w:t>原有工程危废贮存库容量可以容纳本项目产生的危废，依托可行。</w:t>
            </w:r>
          </w:p>
          <w:p w14:paraId="58BAC0CB">
            <w:pPr>
              <w:pStyle w:val="7"/>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113" w:rightChars="0"/>
              <w:textAlignment w:val="auto"/>
              <w:rPr>
                <w:rFonts w:hint="default" w:ascii="Times New Roman" w:hAnsi="Times New Roman" w:eastAsia="宋体" w:cs="Times New Roman"/>
                <w:b/>
                <w:bCs/>
                <w:sz w:val="24"/>
                <w:highlight w:val="none"/>
                <w:lang w:val="en-US" w:eastAsia="zh-CN"/>
              </w:rPr>
            </w:pPr>
            <w:r>
              <w:rPr>
                <w:rFonts w:hint="default" w:ascii="Times New Roman" w:hAnsi="Times New Roman" w:eastAsia="宋体" w:cs="Times New Roman"/>
                <w:b/>
                <w:bCs/>
                <w:sz w:val="24"/>
                <w:highlight w:val="none"/>
                <w:lang w:val="en-US" w:eastAsia="zh-CN"/>
              </w:rPr>
              <w:t>4.2.2 危险废物管理要求</w:t>
            </w:r>
          </w:p>
          <w:p w14:paraId="42CAB9C6">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本项目运营期应按照《危险废物贮存污染控制标准》（GB18597-20</w:t>
            </w:r>
            <w:r>
              <w:rPr>
                <w:rFonts w:hint="eastAsia" w:ascii="Times New Roman" w:hAnsi="Times New Roman" w:eastAsia="宋体" w:cs="Times New Roman"/>
                <w:b w:val="0"/>
                <w:bCs w:val="0"/>
                <w:snapToGrid w:val="0"/>
                <w:color w:val="000000"/>
                <w:kern w:val="0"/>
                <w:sz w:val="24"/>
                <w:szCs w:val="24"/>
                <w:highlight w:val="none"/>
                <w:lang w:val="en-US" w:eastAsia="zh-CN" w:bidi="ar-SA"/>
              </w:rPr>
              <w:t>23</w:t>
            </w:r>
            <w:r>
              <w:rPr>
                <w:rFonts w:hint="default" w:ascii="Times New Roman" w:hAnsi="Times New Roman" w:eastAsia="宋体" w:cs="Times New Roman"/>
                <w:b w:val="0"/>
                <w:bCs w:val="0"/>
                <w:snapToGrid w:val="0"/>
                <w:color w:val="000000"/>
                <w:kern w:val="0"/>
                <w:sz w:val="24"/>
                <w:szCs w:val="24"/>
                <w:highlight w:val="none"/>
                <w:lang w:val="en-US" w:eastAsia="zh-CN" w:bidi="ar-SA"/>
              </w:rPr>
              <w:t>）中危险废物临时贮存方式进行贮存。危废收集、贮存、管理、转运、处置等全过程的环保要求。</w:t>
            </w:r>
          </w:p>
          <w:p w14:paraId="4FAEBA0D">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（1）建设要求</w:t>
            </w:r>
          </w:p>
          <w:p w14:paraId="7884FAB4">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危废暂存间按照《危险废物贮存污染控制标准》（GB18597-2023）相关要求进行建设，要求如下：</w:t>
            </w:r>
          </w:p>
          <w:p w14:paraId="5336AF03">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A.根据《危险废物贮存污染控制标准》（GB18597-2023）的要求，危废间应满足“五防”的要求：防风、防晒、防雨、防漏、防渗、防腐，同时要独立、密闭，上锁防盗，暂存间内要有安全照明设施和观察窗口，满足防泄漏、防盗、防火等措施。暂存间地面要防渗，顶部防水、防晒，防渗层为至少1m厚黏土层或2mm厚高密度聚乙烯或至少2mm厚其他人工材料，渗透系数≤1.0×10</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-10</w:t>
            </w:r>
            <w:r>
              <w:rPr>
                <w:rFonts w:hint="default" w:ascii="Times New Roman" w:hAnsi="Times New Roman" w:eastAsia="宋体" w:cs="Times New Roman"/>
                <w:b w:val="0"/>
                <w:bCs w:val="0"/>
                <w:snapToGrid w:val="0"/>
                <w:color w:val="000000"/>
                <w:kern w:val="0"/>
                <w:sz w:val="24"/>
                <w:szCs w:val="24"/>
                <w:highlight w:val="none"/>
                <w:lang w:val="en-US" w:eastAsia="zh-CN" w:bidi="ar-SA"/>
              </w:rPr>
              <w:t>cm/s；地面与裙脚要用坚固、防渗的材料建造，建筑材料必须与危险废物相容，门口要设置围堰；危废间内须设有泄漏液体收集装置或应急事故池（容积为</w:t>
            </w:r>
            <w:r>
              <w:rPr>
                <w:rFonts w:hint="eastAsia" w:ascii="Times New Roman" w:hAnsi="Times New Roman" w:eastAsia="宋体" w:cs="Times New Roman"/>
                <w:b w:val="0"/>
                <w:bCs w:val="0"/>
                <w:snapToGrid w:val="0"/>
                <w:color w:val="000000"/>
                <w:kern w:val="0"/>
                <w:sz w:val="24"/>
                <w:szCs w:val="24"/>
                <w:highlight w:val="none"/>
                <w:lang w:val="en-US" w:eastAsia="zh-CN" w:bidi="ar-SA"/>
              </w:rPr>
              <w:t>1</w:t>
            </w:r>
            <w:r>
              <w:rPr>
                <w:rFonts w:hint="default" w:ascii="Times New Roman" w:hAnsi="Times New Roman" w:eastAsia="宋体" w:cs="Times New Roman"/>
                <w:b w:val="0"/>
                <w:bCs w:val="0"/>
                <w:snapToGrid w:val="0"/>
                <w:color w:val="000000"/>
                <w:kern w:val="0"/>
                <w:sz w:val="24"/>
                <w:szCs w:val="24"/>
                <w:highlight w:val="none"/>
                <w:lang w:val="en-US" w:eastAsia="zh-CN" w:bidi="ar-SA"/>
              </w:rPr>
              <w:t>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），并按照《危险废物贮存污染控制标准》（GB18597-2023）相关要求进行管理；</w:t>
            </w:r>
          </w:p>
          <w:p w14:paraId="499E14CF">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B.危废暂存间应进行防渗漏处理，并按《危险废物贮存污染控制标准》（GB18597-2023）进行设计，按《危险废物识别标志设置技术规范》（HJ1276-2022）的规定设置警示标志。收运车应采用密闭运输方式，防止外泄。在厂内应设置专用的危险废物贮存设施。要求应远离办公生活区，贮存间的地基必须经防渗处理，以及贮存间要保证能防风、防雨、防晒，并由专人严格管理，确保危险废物的存放安全；</w:t>
            </w:r>
          </w:p>
          <w:p w14:paraId="55E87CA4">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C.危废暂存间的地面与裙脚要用坚固、防渗的材料建造，建筑材料必须与危险废物相容（不相互反应）﹔设施内要有安全照明设施和观察窗口；用以存放装载液体、半固体危险废物容器的地方，必须有耐腐蚀的硬化地面，且表面无裂隙；应设计堵截泄漏的裙脚，地面与裙脚所围建的容积不低于堵截最大容器的最大储量；不相容的危险废物必须分开存放，并设有隔离间隔断。</w:t>
            </w:r>
          </w:p>
          <w:p w14:paraId="75EF7E6E">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2</w:t>
            </w:r>
            <w:r>
              <w:rPr>
                <w:rFonts w:hint="default" w:ascii="Times New Roman" w:hAnsi="Times New Roman" w:eastAsia="宋体"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储存要求</w:t>
            </w:r>
          </w:p>
          <w:p w14:paraId="343FF0F1">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①必须将危险废物装入容器内。</w:t>
            </w:r>
          </w:p>
          <w:p w14:paraId="6ADDA37B">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②禁止将不相容（相互反应）的危险废物在同一容器内混装。</w:t>
            </w:r>
          </w:p>
          <w:p w14:paraId="14A514D7">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③无法装入常用容器的危险废物可用防漏胶袋等盛装。</w:t>
            </w:r>
          </w:p>
          <w:p w14:paraId="628BB5E2">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④半固体危险废物的容器内须留足够空间，容器顶部与液体表面之间保留100 mm以上的空间。</w:t>
            </w:r>
          </w:p>
          <w:p w14:paraId="3574CFA0">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⑤盛装危险废物的容器上必须粘贴符合《危险废物贮存污染控制标准》（GB18597-20</w:t>
            </w:r>
            <w:r>
              <w:rPr>
                <w:rFonts w:hint="eastAsia" w:ascii="Times New Roman" w:hAnsi="Times New Roman" w:eastAsia="宋体" w:cs="Times New Roman"/>
                <w:b w:val="0"/>
                <w:bCs w:val="0"/>
                <w:snapToGrid w:val="0"/>
                <w:color w:val="000000"/>
                <w:kern w:val="0"/>
                <w:sz w:val="24"/>
                <w:szCs w:val="24"/>
                <w:highlight w:val="none"/>
                <w:lang w:val="en-US" w:eastAsia="zh-CN" w:bidi="ar-SA"/>
              </w:rPr>
              <w:t>23</w:t>
            </w:r>
            <w:r>
              <w:rPr>
                <w:rFonts w:hint="default" w:ascii="Times New Roman" w:hAnsi="Times New Roman" w:eastAsia="宋体" w:cs="Times New Roman"/>
                <w:b w:val="0"/>
                <w:bCs w:val="0"/>
                <w:snapToGrid w:val="0"/>
                <w:color w:val="000000"/>
                <w:kern w:val="0"/>
                <w:sz w:val="24"/>
                <w:szCs w:val="24"/>
                <w:highlight w:val="none"/>
                <w:lang w:val="en-US" w:eastAsia="zh-CN" w:bidi="ar-SA"/>
              </w:rPr>
              <w:t>）附录A所示的标签。</w:t>
            </w:r>
          </w:p>
          <w:p w14:paraId="48E16C0D">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（2）危险废物贮存容器要求</w:t>
            </w:r>
          </w:p>
          <w:p w14:paraId="0AAC9019">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①应当使用符合标准的容器盛装危险废物。</w:t>
            </w:r>
          </w:p>
          <w:p w14:paraId="6BBDDF7E">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②装载危险废物的容器及材质要满足相应的强度要求。</w:t>
            </w:r>
          </w:p>
          <w:p w14:paraId="300CD365">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③装载危险废物的容器必须完好无损。</w:t>
            </w:r>
          </w:p>
          <w:p w14:paraId="09D90311">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④盛装危险废物的容器材质和衬里要与危险废物相容（不相互反应）。</w:t>
            </w:r>
          </w:p>
          <w:p w14:paraId="03B65210">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⑤液体危险废物可注入开孔直径不超过70mm并有放气孔的桶中。</w:t>
            </w:r>
          </w:p>
          <w:p w14:paraId="3A0A9F52">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（3）危险废物贮存设施的运行与管理</w:t>
            </w:r>
          </w:p>
          <w:p w14:paraId="78D8FB71">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①危险废物贮存前应进行检验，确保同预定接收的危险废物一致，并登记注册。</w:t>
            </w:r>
          </w:p>
          <w:p w14:paraId="10DFE92E">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②不得接收未粘贴符合规定的标签或标签没按规定填写的危险废物。</w:t>
            </w:r>
          </w:p>
          <w:p w14:paraId="3A5A1EBA">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③盛装在容器内的同类危险废物可以堆叠存放。</w:t>
            </w:r>
          </w:p>
          <w:p w14:paraId="1C5E00AC">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④每个堆间应留有搬运通道。</w:t>
            </w:r>
          </w:p>
          <w:p w14:paraId="54714A96">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⑤不得将不相容的废物混合或合并存放。</w:t>
            </w:r>
          </w:p>
          <w:p w14:paraId="04E4F103">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⑥危险废物产生者和危险废物贮存设施经营者均须</w:t>
            </w:r>
            <w:r>
              <w:rPr>
                <w:rFonts w:hint="eastAsia" w:cs="Times New Roman"/>
                <w:b w:val="0"/>
                <w:bCs w:val="0"/>
                <w:snapToGrid w:val="0"/>
                <w:color w:val="000000"/>
                <w:kern w:val="0"/>
                <w:sz w:val="24"/>
                <w:szCs w:val="24"/>
                <w:highlight w:val="none"/>
                <w:lang w:val="en-US" w:eastAsia="zh-CN" w:bidi="ar-SA"/>
              </w:rPr>
              <w:t>做好</w:t>
            </w:r>
            <w:r>
              <w:rPr>
                <w:rFonts w:hint="default" w:ascii="Times New Roman" w:hAnsi="Times New Roman" w:eastAsia="宋体" w:cs="Times New Roman"/>
                <w:b w:val="0"/>
                <w:bCs w:val="0"/>
                <w:snapToGrid w:val="0"/>
                <w:color w:val="000000"/>
                <w:kern w:val="0"/>
                <w:sz w:val="24"/>
                <w:szCs w:val="24"/>
                <w:highlight w:val="none"/>
                <w:lang w:val="en-US" w:eastAsia="zh-CN" w:bidi="ar-SA"/>
              </w:rPr>
              <w:t>危险废物情况的记录，记录上须注明危险废物的名称、来源、数量、特性和包装容器的类别、入库日期、存放库位、废物出库日期及接收单位名称。</w:t>
            </w:r>
          </w:p>
          <w:p w14:paraId="73E4F1AE">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⑦危险废物的记录和货单在危险废物回取后应继续保留3a。</w:t>
            </w:r>
          </w:p>
          <w:p w14:paraId="3F62CC77">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⑧必须定期对所贮存的危险废物包装容器及贮存设施进行检查，发现破损，应及时采取措施清理更换。</w:t>
            </w:r>
          </w:p>
          <w:p w14:paraId="25A3589F">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⑨泄漏液、清洗液、浸出液必须符合GB 8978的要求方可排放，气体导出口排出的气体经处理后，应满足GB 16297和GB 14554的要求。</w:t>
            </w:r>
          </w:p>
          <w:p w14:paraId="79F2CB9A">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（4）危险转移管理要求</w:t>
            </w:r>
          </w:p>
          <w:p w14:paraId="04E97773">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①危险废物的运输应采取危险废物转移制度，保证运输安全，防止非法转移和非法处置，保证危险废物的安全监控，防止危险废物污染事故发生。</w:t>
            </w:r>
          </w:p>
          <w:p w14:paraId="534DEA01">
            <w:pPr>
              <w:pStyle w:val="3"/>
              <w:spacing w:line="360" w:lineRule="auto"/>
              <w:ind w:firstLine="480" w:firstLineChars="200"/>
              <w:jc w:val="both"/>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②危险废物产生者和危险废物贮存设施经营者均须</w:t>
            </w:r>
            <w:r>
              <w:rPr>
                <w:rFonts w:hint="eastAsia" w:cs="Times New Roman"/>
                <w:b w:val="0"/>
                <w:bCs w:val="0"/>
                <w:snapToGrid w:val="0"/>
                <w:color w:val="000000"/>
                <w:kern w:val="0"/>
                <w:sz w:val="24"/>
                <w:szCs w:val="24"/>
                <w:highlight w:val="none"/>
                <w:lang w:val="en-US" w:eastAsia="zh-CN" w:bidi="ar-SA"/>
              </w:rPr>
              <w:t>做好</w:t>
            </w:r>
            <w:r>
              <w:rPr>
                <w:rFonts w:hint="default" w:ascii="Times New Roman" w:hAnsi="Times New Roman" w:eastAsia="宋体" w:cs="Times New Roman"/>
                <w:b w:val="0"/>
                <w:bCs w:val="0"/>
                <w:snapToGrid w:val="0"/>
                <w:color w:val="000000"/>
                <w:kern w:val="0"/>
                <w:sz w:val="24"/>
                <w:szCs w:val="24"/>
                <w:highlight w:val="none"/>
                <w:lang w:val="en-US" w:eastAsia="zh-CN" w:bidi="ar-SA"/>
              </w:rPr>
              <w:t>危险废物情况的记录，记录上须注明危险废物的名称、来源、数量、特性和包装容器的类别、入库日期、存放库位、废物出库日期及接收单位名称，危险废物的记录和货单在危险废物回收后应继续保留3年。</w:t>
            </w:r>
          </w:p>
          <w:p w14:paraId="659C015E">
            <w:pPr>
              <w:pStyle w:val="3"/>
              <w:spacing w:line="360" w:lineRule="auto"/>
              <w:ind w:firstLine="480" w:firstLineChars="200"/>
              <w:jc w:val="both"/>
              <w:rPr>
                <w:rFonts w:hint="default" w:ascii="Times New Roman" w:hAnsi="Times New Roman" w:eastAsia="宋体" w:cs="Times New Roman"/>
                <w:b/>
                <w:bCs/>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③必须定期</w:t>
            </w:r>
            <w:r>
              <w:rPr>
                <w:rFonts w:hint="eastAsia" w:cs="Times New Roman"/>
                <w:b w:val="0"/>
                <w:bCs w:val="0"/>
                <w:snapToGrid w:val="0"/>
                <w:color w:val="000000"/>
                <w:kern w:val="0"/>
                <w:sz w:val="24"/>
                <w:szCs w:val="24"/>
                <w:highlight w:val="none"/>
                <w:lang w:val="en-US" w:eastAsia="zh-CN" w:bidi="ar-SA"/>
              </w:rPr>
              <w:t>对</w:t>
            </w:r>
            <w:r>
              <w:rPr>
                <w:rFonts w:hint="default" w:ascii="Times New Roman" w:hAnsi="Times New Roman" w:eastAsia="宋体" w:cs="Times New Roman"/>
                <w:b w:val="0"/>
                <w:bCs w:val="0"/>
                <w:snapToGrid w:val="0"/>
                <w:color w:val="000000"/>
                <w:kern w:val="0"/>
                <w:sz w:val="24"/>
                <w:szCs w:val="24"/>
                <w:highlight w:val="none"/>
                <w:lang w:val="en-US" w:eastAsia="zh-CN" w:bidi="ar-SA"/>
              </w:rPr>
              <w:t>危险废物贮存设施进行检查，发现破损渗漏，应及时采取相应措施维护维修，确保其防渗满足要求。</w:t>
            </w:r>
          </w:p>
          <w:p w14:paraId="54C7DC1D">
            <w:pPr>
              <w:pStyle w:val="3"/>
              <w:spacing w:line="240" w:lineRule="auto"/>
              <w:ind w:firstLine="422" w:firstLineChars="200"/>
              <w:jc w:val="center"/>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bCs/>
                <w:snapToGrid w:val="0"/>
                <w:color w:val="000000"/>
                <w:kern w:val="0"/>
                <w:sz w:val="21"/>
                <w:szCs w:val="21"/>
                <w:highlight w:val="none"/>
                <w:lang w:val="en-US" w:eastAsia="zh-CN" w:bidi="ar-SA"/>
              </w:rPr>
              <w:t>表4-</w:t>
            </w:r>
            <w:r>
              <w:rPr>
                <w:rFonts w:hint="eastAsia" w:ascii="Times New Roman" w:hAnsi="Times New Roman" w:eastAsia="宋体" w:cs="Times New Roman"/>
                <w:b/>
                <w:bCs/>
                <w:snapToGrid w:val="0"/>
                <w:color w:val="000000"/>
                <w:kern w:val="0"/>
                <w:sz w:val="21"/>
                <w:szCs w:val="21"/>
                <w:highlight w:val="none"/>
                <w:lang w:val="en-US" w:eastAsia="zh-CN" w:bidi="ar-SA"/>
              </w:rPr>
              <w:t>1</w:t>
            </w:r>
            <w:r>
              <w:rPr>
                <w:rFonts w:hint="eastAsia" w:cs="Times New Roman"/>
                <w:b/>
                <w:bCs/>
                <w:snapToGrid w:val="0"/>
                <w:color w:val="000000"/>
                <w:kern w:val="0"/>
                <w:sz w:val="21"/>
                <w:szCs w:val="21"/>
                <w:highlight w:val="none"/>
                <w:lang w:val="en-US" w:eastAsia="zh-CN" w:bidi="ar-SA"/>
              </w:rPr>
              <w:t>2</w:t>
            </w:r>
            <w:r>
              <w:rPr>
                <w:rFonts w:hint="default" w:ascii="Times New Roman" w:hAnsi="Times New Roman" w:eastAsia="宋体" w:cs="Times New Roman"/>
                <w:b/>
                <w:bCs/>
                <w:snapToGrid w:val="0"/>
                <w:color w:val="000000"/>
                <w:kern w:val="0"/>
                <w:sz w:val="21"/>
                <w:szCs w:val="21"/>
                <w:highlight w:val="none"/>
                <w:lang w:val="en-US" w:eastAsia="zh-CN" w:bidi="ar-SA"/>
              </w:rPr>
              <w:t xml:space="preserve"> </w:t>
            </w:r>
            <w:r>
              <w:rPr>
                <w:rFonts w:hint="eastAsia" w:ascii="Times New Roman" w:hAnsi="Times New Roman" w:eastAsia="宋体" w:cs="Times New Roman"/>
                <w:b/>
                <w:bCs/>
                <w:snapToGrid w:val="0"/>
                <w:color w:val="000000"/>
                <w:kern w:val="0"/>
                <w:sz w:val="21"/>
                <w:szCs w:val="21"/>
                <w:highlight w:val="none"/>
                <w:lang w:val="en-US" w:eastAsia="zh-CN" w:bidi="ar-SA"/>
              </w:rPr>
              <w:t xml:space="preserve">    </w:t>
            </w:r>
            <w:r>
              <w:rPr>
                <w:rFonts w:hint="default" w:ascii="Times New Roman" w:hAnsi="Times New Roman" w:eastAsia="宋体" w:cs="Times New Roman"/>
                <w:b/>
                <w:bCs/>
                <w:snapToGrid w:val="0"/>
                <w:color w:val="000000"/>
                <w:kern w:val="0"/>
                <w:sz w:val="21"/>
                <w:szCs w:val="21"/>
                <w:highlight w:val="none"/>
                <w:lang w:val="en-US" w:eastAsia="zh-CN" w:bidi="ar-SA"/>
              </w:rPr>
              <w:t>固体废弃物综合利用途径一览表</w:t>
            </w:r>
          </w:p>
          <w:tbl>
            <w:tblPr>
              <w:tblStyle w:val="19"/>
              <w:tblW w:w="7998" w:type="dxa"/>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91"/>
              <w:gridCol w:w="859"/>
              <w:gridCol w:w="904"/>
              <w:gridCol w:w="746"/>
              <w:gridCol w:w="1156"/>
              <w:gridCol w:w="434"/>
              <w:gridCol w:w="702"/>
              <w:gridCol w:w="719"/>
              <w:gridCol w:w="619"/>
              <w:gridCol w:w="1368"/>
            </w:tblGrid>
            <w:tr w14:paraId="4F0C85B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491" w:type="dxa"/>
                  <w:tcBorders>
                    <w:bottom w:val="single" w:color="auto" w:sz="8" w:space="0"/>
                  </w:tcBorders>
                  <w:noWrap w:val="0"/>
                  <w:tcMar>
                    <w:top w:w="0" w:type="dxa"/>
                    <w:left w:w="0" w:type="dxa"/>
                    <w:bottom w:w="0" w:type="dxa"/>
                    <w:right w:w="0" w:type="dxa"/>
                  </w:tcMar>
                  <w:vAlign w:val="center"/>
                </w:tcPr>
                <w:p w14:paraId="61749641">
                  <w:pPr>
                    <w:pStyle w:val="3"/>
                    <w:spacing w:line="240" w:lineRule="auto"/>
                    <w:jc w:val="center"/>
                    <w:rPr>
                      <w:rFonts w:hint="default" w:ascii="Times New Roman" w:hAnsi="Times New Roman" w:eastAsia="宋体" w:cs="Times New Roman"/>
                      <w:b/>
                      <w:bCs/>
                      <w:snapToGrid w:val="0"/>
                      <w:color w:val="000000"/>
                      <w:kern w:val="0"/>
                      <w:sz w:val="21"/>
                      <w:szCs w:val="21"/>
                      <w:highlight w:val="none"/>
                      <w:lang w:val="en-US" w:eastAsia="zh-CN" w:bidi="ar-SA"/>
                    </w:rPr>
                  </w:pPr>
                  <w:r>
                    <w:rPr>
                      <w:rFonts w:hint="default" w:ascii="Times New Roman" w:hAnsi="Times New Roman" w:eastAsia="宋体" w:cs="Times New Roman"/>
                      <w:b/>
                      <w:bCs/>
                      <w:snapToGrid w:val="0"/>
                      <w:color w:val="000000"/>
                      <w:kern w:val="0"/>
                      <w:sz w:val="21"/>
                      <w:szCs w:val="21"/>
                      <w:highlight w:val="none"/>
                      <w:lang w:val="en-US" w:eastAsia="zh-CN" w:bidi="ar-SA"/>
                    </w:rPr>
                    <w:t>序号</w:t>
                  </w:r>
                </w:p>
              </w:tc>
              <w:tc>
                <w:tcPr>
                  <w:tcW w:w="859" w:type="dxa"/>
                  <w:tcBorders>
                    <w:bottom w:val="single" w:color="auto" w:sz="8" w:space="0"/>
                  </w:tcBorders>
                  <w:noWrap w:val="0"/>
                  <w:tcMar>
                    <w:top w:w="0" w:type="dxa"/>
                    <w:left w:w="0" w:type="dxa"/>
                    <w:bottom w:w="0" w:type="dxa"/>
                    <w:right w:w="0" w:type="dxa"/>
                  </w:tcMar>
                  <w:vAlign w:val="center"/>
                </w:tcPr>
                <w:p w14:paraId="68A0BB4D">
                  <w:pPr>
                    <w:pStyle w:val="3"/>
                    <w:spacing w:line="240" w:lineRule="auto"/>
                    <w:jc w:val="center"/>
                    <w:rPr>
                      <w:rFonts w:hint="default" w:ascii="Times New Roman" w:hAnsi="Times New Roman" w:eastAsia="宋体" w:cs="Times New Roman"/>
                      <w:b/>
                      <w:bCs/>
                      <w:snapToGrid w:val="0"/>
                      <w:color w:val="000000"/>
                      <w:kern w:val="0"/>
                      <w:sz w:val="21"/>
                      <w:szCs w:val="21"/>
                      <w:highlight w:val="none"/>
                      <w:lang w:val="en-US" w:eastAsia="zh-CN" w:bidi="ar-SA"/>
                    </w:rPr>
                  </w:pPr>
                  <w:r>
                    <w:rPr>
                      <w:rFonts w:hint="default" w:ascii="Times New Roman" w:hAnsi="Times New Roman" w:eastAsia="宋体" w:cs="Times New Roman"/>
                      <w:b/>
                      <w:bCs/>
                      <w:snapToGrid w:val="0"/>
                      <w:color w:val="000000"/>
                      <w:kern w:val="0"/>
                      <w:sz w:val="21"/>
                      <w:szCs w:val="21"/>
                      <w:highlight w:val="none"/>
                      <w:lang w:val="en-US" w:eastAsia="zh-CN" w:bidi="ar-SA"/>
                    </w:rPr>
                    <w:t>名称</w:t>
                  </w:r>
                </w:p>
              </w:tc>
              <w:tc>
                <w:tcPr>
                  <w:tcW w:w="904" w:type="dxa"/>
                  <w:tcBorders>
                    <w:bottom w:val="single" w:color="auto" w:sz="8" w:space="0"/>
                  </w:tcBorders>
                  <w:noWrap w:val="0"/>
                  <w:tcMar>
                    <w:top w:w="0" w:type="dxa"/>
                    <w:left w:w="0" w:type="dxa"/>
                    <w:bottom w:w="0" w:type="dxa"/>
                    <w:right w:w="0" w:type="dxa"/>
                  </w:tcMar>
                  <w:vAlign w:val="center"/>
                </w:tcPr>
                <w:p w14:paraId="66F75E0C">
                  <w:pPr>
                    <w:pStyle w:val="3"/>
                    <w:spacing w:line="240" w:lineRule="auto"/>
                    <w:jc w:val="center"/>
                    <w:rPr>
                      <w:rFonts w:hint="default" w:ascii="Times New Roman" w:hAnsi="Times New Roman" w:eastAsia="宋体" w:cs="Times New Roman"/>
                      <w:b/>
                      <w:bCs/>
                      <w:snapToGrid w:val="0"/>
                      <w:color w:val="000000"/>
                      <w:kern w:val="0"/>
                      <w:sz w:val="21"/>
                      <w:szCs w:val="21"/>
                      <w:highlight w:val="none"/>
                      <w:lang w:val="en-US" w:eastAsia="zh-CN" w:bidi="ar-SA"/>
                    </w:rPr>
                  </w:pPr>
                  <w:r>
                    <w:rPr>
                      <w:rFonts w:hint="eastAsia" w:ascii="Times New Roman" w:hAnsi="Times New Roman" w:eastAsia="宋体" w:cs="Times New Roman"/>
                      <w:b/>
                      <w:bCs/>
                      <w:snapToGrid w:val="0"/>
                      <w:color w:val="000000"/>
                      <w:kern w:val="0"/>
                      <w:sz w:val="21"/>
                      <w:szCs w:val="21"/>
                      <w:highlight w:val="none"/>
                      <w:lang w:val="en-US" w:eastAsia="zh-CN" w:bidi="ar-SA"/>
                    </w:rPr>
                    <w:t>来源</w:t>
                  </w:r>
                </w:p>
              </w:tc>
              <w:tc>
                <w:tcPr>
                  <w:tcW w:w="746" w:type="dxa"/>
                  <w:tcBorders>
                    <w:bottom w:val="single" w:color="auto" w:sz="8" w:space="0"/>
                  </w:tcBorders>
                  <w:noWrap w:val="0"/>
                  <w:tcMar>
                    <w:top w:w="0" w:type="dxa"/>
                    <w:left w:w="0" w:type="dxa"/>
                    <w:bottom w:w="0" w:type="dxa"/>
                    <w:right w:w="0" w:type="dxa"/>
                  </w:tcMar>
                  <w:vAlign w:val="center"/>
                </w:tcPr>
                <w:p w14:paraId="65A28C7F">
                  <w:pPr>
                    <w:pStyle w:val="3"/>
                    <w:spacing w:line="240" w:lineRule="auto"/>
                    <w:jc w:val="center"/>
                    <w:rPr>
                      <w:rFonts w:hint="default" w:ascii="Times New Roman" w:hAnsi="Times New Roman" w:eastAsia="宋体" w:cs="Times New Roman"/>
                      <w:b/>
                      <w:bCs/>
                      <w:snapToGrid w:val="0"/>
                      <w:color w:val="000000"/>
                      <w:kern w:val="0"/>
                      <w:sz w:val="21"/>
                      <w:szCs w:val="21"/>
                      <w:highlight w:val="none"/>
                      <w:lang w:val="en-US" w:eastAsia="zh-CN" w:bidi="ar-SA"/>
                    </w:rPr>
                  </w:pPr>
                  <w:r>
                    <w:rPr>
                      <w:rFonts w:hint="eastAsia" w:ascii="Times New Roman" w:hAnsi="Times New Roman" w:eastAsia="宋体" w:cs="Times New Roman"/>
                      <w:b/>
                      <w:bCs/>
                      <w:snapToGrid w:val="0"/>
                      <w:color w:val="000000"/>
                      <w:kern w:val="0"/>
                      <w:sz w:val="21"/>
                      <w:szCs w:val="21"/>
                      <w:highlight w:val="none"/>
                      <w:lang w:val="en-US" w:eastAsia="zh-CN" w:bidi="ar-SA"/>
                    </w:rPr>
                    <w:t>废物类别</w:t>
                  </w:r>
                </w:p>
              </w:tc>
              <w:tc>
                <w:tcPr>
                  <w:tcW w:w="1156" w:type="dxa"/>
                  <w:tcBorders>
                    <w:bottom w:val="single" w:color="auto" w:sz="8" w:space="0"/>
                  </w:tcBorders>
                  <w:noWrap w:val="0"/>
                  <w:tcMar>
                    <w:top w:w="0" w:type="dxa"/>
                    <w:left w:w="0" w:type="dxa"/>
                    <w:bottom w:w="0" w:type="dxa"/>
                    <w:right w:w="0" w:type="dxa"/>
                  </w:tcMar>
                  <w:vAlign w:val="center"/>
                </w:tcPr>
                <w:p w14:paraId="63F4A203">
                  <w:pPr>
                    <w:pStyle w:val="3"/>
                    <w:spacing w:line="240" w:lineRule="auto"/>
                    <w:jc w:val="center"/>
                    <w:rPr>
                      <w:rFonts w:hint="default" w:ascii="Times New Roman" w:hAnsi="Times New Roman" w:eastAsia="宋体" w:cs="Times New Roman"/>
                      <w:b/>
                      <w:bCs/>
                      <w:snapToGrid w:val="0"/>
                      <w:color w:val="000000"/>
                      <w:kern w:val="0"/>
                      <w:sz w:val="21"/>
                      <w:szCs w:val="21"/>
                      <w:highlight w:val="none"/>
                      <w:lang w:val="en-US" w:eastAsia="zh-CN" w:bidi="ar-SA"/>
                    </w:rPr>
                  </w:pPr>
                  <w:r>
                    <w:rPr>
                      <w:rFonts w:hint="eastAsia" w:ascii="Times New Roman" w:hAnsi="Times New Roman" w:eastAsia="宋体" w:cs="Times New Roman"/>
                      <w:b/>
                      <w:bCs/>
                      <w:snapToGrid w:val="0"/>
                      <w:color w:val="000000"/>
                      <w:kern w:val="0"/>
                      <w:sz w:val="21"/>
                      <w:szCs w:val="21"/>
                      <w:highlight w:val="none"/>
                      <w:lang w:val="en-US" w:eastAsia="zh-CN" w:bidi="ar-SA"/>
                    </w:rPr>
                    <w:t>废物代码</w:t>
                  </w:r>
                </w:p>
              </w:tc>
              <w:tc>
                <w:tcPr>
                  <w:tcW w:w="434" w:type="dxa"/>
                  <w:tcBorders>
                    <w:bottom w:val="single" w:color="auto" w:sz="8" w:space="0"/>
                  </w:tcBorders>
                  <w:noWrap w:val="0"/>
                  <w:tcMar>
                    <w:top w:w="0" w:type="dxa"/>
                    <w:left w:w="0" w:type="dxa"/>
                    <w:bottom w:w="0" w:type="dxa"/>
                    <w:right w:w="0" w:type="dxa"/>
                  </w:tcMar>
                  <w:vAlign w:val="center"/>
                </w:tcPr>
                <w:p w14:paraId="7082F555">
                  <w:pPr>
                    <w:pStyle w:val="3"/>
                    <w:spacing w:line="240" w:lineRule="auto"/>
                    <w:jc w:val="center"/>
                    <w:rPr>
                      <w:rFonts w:hint="default" w:ascii="Times New Roman" w:hAnsi="Times New Roman" w:eastAsia="宋体" w:cs="Times New Roman"/>
                      <w:b/>
                      <w:bCs/>
                      <w:snapToGrid w:val="0"/>
                      <w:color w:val="000000"/>
                      <w:kern w:val="0"/>
                      <w:sz w:val="21"/>
                      <w:szCs w:val="21"/>
                      <w:highlight w:val="none"/>
                      <w:lang w:val="en-US" w:eastAsia="zh-CN" w:bidi="ar-SA"/>
                    </w:rPr>
                  </w:pPr>
                  <w:r>
                    <w:rPr>
                      <w:rFonts w:hint="eastAsia" w:ascii="Times New Roman" w:hAnsi="Times New Roman" w:eastAsia="宋体" w:cs="Times New Roman"/>
                      <w:b/>
                      <w:bCs/>
                      <w:snapToGrid w:val="0"/>
                      <w:color w:val="000000"/>
                      <w:kern w:val="0"/>
                      <w:sz w:val="21"/>
                      <w:szCs w:val="21"/>
                      <w:highlight w:val="none"/>
                      <w:lang w:val="en-US" w:eastAsia="zh-CN" w:bidi="ar-SA"/>
                    </w:rPr>
                    <w:t>形态</w:t>
                  </w:r>
                </w:p>
              </w:tc>
              <w:tc>
                <w:tcPr>
                  <w:tcW w:w="702" w:type="dxa"/>
                  <w:tcBorders>
                    <w:bottom w:val="single" w:color="auto" w:sz="8" w:space="0"/>
                  </w:tcBorders>
                  <w:noWrap w:val="0"/>
                  <w:tcMar>
                    <w:top w:w="0" w:type="dxa"/>
                    <w:left w:w="0" w:type="dxa"/>
                    <w:bottom w:w="0" w:type="dxa"/>
                    <w:right w:w="0" w:type="dxa"/>
                  </w:tcMar>
                  <w:vAlign w:val="center"/>
                </w:tcPr>
                <w:p w14:paraId="52E8E3B2">
                  <w:pPr>
                    <w:pStyle w:val="3"/>
                    <w:spacing w:line="240" w:lineRule="auto"/>
                    <w:jc w:val="center"/>
                    <w:rPr>
                      <w:rFonts w:hint="default" w:ascii="Times New Roman" w:hAnsi="Times New Roman" w:eastAsia="宋体" w:cs="Times New Roman"/>
                      <w:b/>
                      <w:bCs/>
                      <w:snapToGrid w:val="0"/>
                      <w:color w:val="000000"/>
                      <w:kern w:val="0"/>
                      <w:sz w:val="21"/>
                      <w:szCs w:val="21"/>
                      <w:highlight w:val="none"/>
                      <w:lang w:val="en-US" w:eastAsia="zh-CN" w:bidi="ar-SA"/>
                    </w:rPr>
                  </w:pPr>
                  <w:r>
                    <w:rPr>
                      <w:rFonts w:hint="eastAsia" w:ascii="Times New Roman" w:hAnsi="Times New Roman" w:eastAsia="宋体" w:cs="Times New Roman"/>
                      <w:b/>
                      <w:bCs/>
                      <w:snapToGrid w:val="0"/>
                      <w:color w:val="000000"/>
                      <w:kern w:val="0"/>
                      <w:sz w:val="21"/>
                      <w:szCs w:val="21"/>
                      <w:highlight w:val="none"/>
                      <w:lang w:val="en-US" w:eastAsia="zh-CN" w:bidi="ar-SA"/>
                    </w:rPr>
                    <w:t>产生量（t/a）</w:t>
                  </w:r>
                </w:p>
              </w:tc>
              <w:tc>
                <w:tcPr>
                  <w:tcW w:w="719" w:type="dxa"/>
                  <w:tcBorders>
                    <w:bottom w:val="single" w:color="auto" w:sz="8" w:space="0"/>
                  </w:tcBorders>
                  <w:noWrap w:val="0"/>
                  <w:tcMar>
                    <w:top w:w="0" w:type="dxa"/>
                    <w:left w:w="0" w:type="dxa"/>
                    <w:bottom w:w="0" w:type="dxa"/>
                    <w:right w:w="0" w:type="dxa"/>
                  </w:tcMar>
                  <w:vAlign w:val="center"/>
                </w:tcPr>
                <w:p w14:paraId="305A8ECE">
                  <w:pPr>
                    <w:pStyle w:val="3"/>
                    <w:spacing w:line="240" w:lineRule="auto"/>
                    <w:jc w:val="center"/>
                    <w:rPr>
                      <w:rFonts w:hint="default" w:ascii="Times New Roman" w:hAnsi="Times New Roman" w:eastAsia="宋体" w:cs="Times New Roman"/>
                      <w:b/>
                      <w:bCs/>
                      <w:snapToGrid w:val="0"/>
                      <w:color w:val="000000"/>
                      <w:kern w:val="0"/>
                      <w:sz w:val="21"/>
                      <w:szCs w:val="21"/>
                      <w:highlight w:val="none"/>
                      <w:lang w:val="en-US" w:eastAsia="zh-CN" w:bidi="ar-SA"/>
                    </w:rPr>
                  </w:pPr>
                  <w:r>
                    <w:rPr>
                      <w:rFonts w:hint="eastAsia" w:ascii="Times New Roman" w:hAnsi="Times New Roman" w:eastAsia="宋体" w:cs="Times New Roman"/>
                      <w:b/>
                      <w:bCs/>
                      <w:snapToGrid w:val="0"/>
                      <w:color w:val="000000"/>
                      <w:kern w:val="0"/>
                      <w:sz w:val="21"/>
                      <w:szCs w:val="21"/>
                      <w:highlight w:val="none"/>
                      <w:lang w:val="en-US" w:eastAsia="zh-CN" w:bidi="ar-SA"/>
                    </w:rPr>
                    <w:t>主要成分</w:t>
                  </w:r>
                </w:p>
              </w:tc>
              <w:tc>
                <w:tcPr>
                  <w:tcW w:w="619" w:type="dxa"/>
                  <w:tcBorders>
                    <w:bottom w:val="single" w:color="auto" w:sz="8" w:space="0"/>
                  </w:tcBorders>
                  <w:noWrap w:val="0"/>
                  <w:tcMar>
                    <w:top w:w="0" w:type="dxa"/>
                    <w:left w:w="0" w:type="dxa"/>
                    <w:bottom w:w="0" w:type="dxa"/>
                    <w:right w:w="0" w:type="dxa"/>
                  </w:tcMar>
                  <w:vAlign w:val="center"/>
                </w:tcPr>
                <w:p w14:paraId="522373B4">
                  <w:pPr>
                    <w:pStyle w:val="3"/>
                    <w:spacing w:line="240" w:lineRule="auto"/>
                    <w:jc w:val="center"/>
                    <w:rPr>
                      <w:rFonts w:hint="default" w:ascii="Times New Roman" w:hAnsi="Times New Roman" w:eastAsia="宋体" w:cs="Times New Roman"/>
                      <w:b/>
                      <w:bCs/>
                      <w:snapToGrid w:val="0"/>
                      <w:color w:val="000000"/>
                      <w:kern w:val="0"/>
                      <w:sz w:val="21"/>
                      <w:szCs w:val="21"/>
                      <w:highlight w:val="none"/>
                      <w:lang w:val="en-US" w:eastAsia="zh-CN" w:bidi="ar-SA"/>
                    </w:rPr>
                  </w:pPr>
                  <w:r>
                    <w:rPr>
                      <w:rFonts w:hint="eastAsia" w:ascii="Times New Roman" w:hAnsi="Times New Roman" w:eastAsia="宋体" w:cs="Times New Roman"/>
                      <w:b/>
                      <w:bCs/>
                      <w:snapToGrid w:val="0"/>
                      <w:color w:val="000000"/>
                      <w:kern w:val="0"/>
                      <w:sz w:val="21"/>
                      <w:szCs w:val="21"/>
                      <w:highlight w:val="none"/>
                      <w:lang w:val="en-US" w:eastAsia="zh-CN" w:bidi="ar-SA"/>
                    </w:rPr>
                    <w:t>危险特性</w:t>
                  </w:r>
                </w:p>
              </w:tc>
              <w:tc>
                <w:tcPr>
                  <w:tcW w:w="1368" w:type="dxa"/>
                  <w:tcBorders>
                    <w:bottom w:val="single" w:color="auto" w:sz="8" w:space="0"/>
                  </w:tcBorders>
                  <w:noWrap w:val="0"/>
                  <w:tcMar>
                    <w:top w:w="0" w:type="dxa"/>
                    <w:left w:w="0" w:type="dxa"/>
                    <w:bottom w:w="0" w:type="dxa"/>
                    <w:right w:w="0" w:type="dxa"/>
                  </w:tcMar>
                  <w:vAlign w:val="center"/>
                </w:tcPr>
                <w:p w14:paraId="66781B95">
                  <w:pPr>
                    <w:pStyle w:val="3"/>
                    <w:spacing w:line="240" w:lineRule="auto"/>
                    <w:jc w:val="center"/>
                    <w:rPr>
                      <w:rFonts w:hint="default" w:ascii="Times New Roman" w:hAnsi="Times New Roman" w:eastAsia="宋体" w:cs="Times New Roman"/>
                      <w:b/>
                      <w:bCs/>
                      <w:snapToGrid w:val="0"/>
                      <w:color w:val="000000"/>
                      <w:kern w:val="0"/>
                      <w:sz w:val="21"/>
                      <w:szCs w:val="21"/>
                      <w:highlight w:val="none"/>
                      <w:lang w:val="en-US" w:eastAsia="zh-CN" w:bidi="ar-SA"/>
                    </w:rPr>
                  </w:pPr>
                  <w:r>
                    <w:rPr>
                      <w:rFonts w:hint="default" w:ascii="Times New Roman" w:hAnsi="Times New Roman" w:eastAsia="宋体" w:cs="Times New Roman"/>
                      <w:b/>
                      <w:bCs/>
                      <w:snapToGrid w:val="0"/>
                      <w:color w:val="000000"/>
                      <w:kern w:val="0"/>
                      <w:sz w:val="21"/>
                      <w:szCs w:val="21"/>
                      <w:highlight w:val="none"/>
                      <w:lang w:val="en-US" w:eastAsia="zh-CN" w:bidi="ar-SA"/>
                    </w:rPr>
                    <w:t>处理措施</w:t>
                  </w:r>
                </w:p>
              </w:tc>
            </w:tr>
            <w:tr w14:paraId="2EFC3CD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491" w:type="dxa"/>
                  <w:tcBorders>
                    <w:top w:val="single" w:color="auto" w:sz="8" w:space="0"/>
                    <w:tl2br w:val="nil"/>
                    <w:tr2bl w:val="nil"/>
                  </w:tcBorders>
                  <w:noWrap w:val="0"/>
                  <w:tcMar>
                    <w:top w:w="0" w:type="dxa"/>
                    <w:left w:w="0" w:type="dxa"/>
                    <w:bottom w:w="0" w:type="dxa"/>
                    <w:right w:w="0" w:type="dxa"/>
                  </w:tcMar>
                  <w:vAlign w:val="center"/>
                </w:tcPr>
                <w:p w14:paraId="29C1CFFE">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1</w:t>
                  </w:r>
                </w:p>
              </w:tc>
              <w:tc>
                <w:tcPr>
                  <w:tcW w:w="859" w:type="dxa"/>
                  <w:tcBorders>
                    <w:top w:val="single" w:color="auto" w:sz="8" w:space="0"/>
                    <w:tl2br w:val="nil"/>
                    <w:tr2bl w:val="nil"/>
                  </w:tcBorders>
                  <w:noWrap w:val="0"/>
                  <w:tcMar>
                    <w:top w:w="0" w:type="dxa"/>
                    <w:left w:w="0" w:type="dxa"/>
                    <w:bottom w:w="0" w:type="dxa"/>
                    <w:right w:w="0" w:type="dxa"/>
                  </w:tcMar>
                  <w:vAlign w:val="center"/>
                </w:tcPr>
                <w:p w14:paraId="420A09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vertAlign w:val="baseline"/>
                      <w:lang w:val="en-US" w:eastAsia="zh-CN" w:bidi="ar"/>
                    </w:rPr>
                    <w:t>废</w:t>
                  </w:r>
                  <w:r>
                    <w:rPr>
                      <w:rFonts w:hint="eastAsia" w:ascii="Times New Roman" w:hAnsi="Times New Roman" w:eastAsia="宋体" w:cs="Times New Roman"/>
                      <w:color w:val="000000"/>
                      <w:kern w:val="0"/>
                      <w:sz w:val="21"/>
                      <w:szCs w:val="21"/>
                      <w:highlight w:val="none"/>
                      <w:vertAlign w:val="baseline"/>
                      <w:lang w:val="en-US" w:eastAsia="zh-CN" w:bidi="ar"/>
                    </w:rPr>
                    <w:t>弃包装</w:t>
                  </w:r>
                </w:p>
              </w:tc>
              <w:tc>
                <w:tcPr>
                  <w:tcW w:w="904" w:type="dxa"/>
                  <w:tcBorders>
                    <w:top w:val="single" w:color="auto" w:sz="8" w:space="0"/>
                    <w:tl2br w:val="nil"/>
                    <w:tr2bl w:val="nil"/>
                  </w:tcBorders>
                  <w:noWrap w:val="0"/>
                  <w:tcMar>
                    <w:top w:w="0" w:type="dxa"/>
                    <w:left w:w="0" w:type="dxa"/>
                    <w:bottom w:w="0" w:type="dxa"/>
                    <w:right w:w="0" w:type="dxa"/>
                  </w:tcMar>
                  <w:vAlign w:val="center"/>
                </w:tcPr>
                <w:p w14:paraId="42AFB726">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生产线</w:t>
                  </w:r>
                </w:p>
              </w:tc>
              <w:tc>
                <w:tcPr>
                  <w:tcW w:w="746" w:type="dxa"/>
                  <w:tcBorders>
                    <w:top w:val="single" w:color="auto" w:sz="8" w:space="0"/>
                    <w:tl2br w:val="nil"/>
                    <w:tr2bl w:val="nil"/>
                  </w:tcBorders>
                  <w:noWrap w:val="0"/>
                  <w:tcMar>
                    <w:top w:w="0" w:type="dxa"/>
                    <w:left w:w="0" w:type="dxa"/>
                    <w:bottom w:w="0" w:type="dxa"/>
                    <w:right w:w="0" w:type="dxa"/>
                  </w:tcMar>
                  <w:vAlign w:val="center"/>
                </w:tcPr>
                <w:p w14:paraId="5ADE62EB">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一般固废</w:t>
                  </w:r>
                </w:p>
              </w:tc>
              <w:tc>
                <w:tcPr>
                  <w:tcW w:w="1156" w:type="dxa"/>
                  <w:tcBorders>
                    <w:top w:val="single" w:color="auto" w:sz="8" w:space="0"/>
                    <w:tl2br w:val="nil"/>
                    <w:tr2bl w:val="nil"/>
                  </w:tcBorders>
                  <w:noWrap w:val="0"/>
                  <w:tcMar>
                    <w:top w:w="0" w:type="dxa"/>
                    <w:left w:w="0" w:type="dxa"/>
                    <w:bottom w:w="0" w:type="dxa"/>
                    <w:right w:w="0" w:type="dxa"/>
                  </w:tcMar>
                  <w:vAlign w:val="center"/>
                </w:tcPr>
                <w:p w14:paraId="1C89CED3">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302-999-99</w:t>
                  </w:r>
                </w:p>
              </w:tc>
              <w:tc>
                <w:tcPr>
                  <w:tcW w:w="434" w:type="dxa"/>
                  <w:tcBorders>
                    <w:top w:val="single" w:color="auto" w:sz="8" w:space="0"/>
                    <w:tl2br w:val="nil"/>
                    <w:tr2bl w:val="nil"/>
                  </w:tcBorders>
                  <w:noWrap w:val="0"/>
                  <w:tcMar>
                    <w:top w:w="0" w:type="dxa"/>
                    <w:left w:w="0" w:type="dxa"/>
                    <w:bottom w:w="0" w:type="dxa"/>
                    <w:right w:w="0" w:type="dxa"/>
                  </w:tcMar>
                  <w:vAlign w:val="center"/>
                </w:tcPr>
                <w:p w14:paraId="548554F2">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固</w:t>
                  </w:r>
                </w:p>
              </w:tc>
              <w:tc>
                <w:tcPr>
                  <w:tcW w:w="702" w:type="dxa"/>
                  <w:tcBorders>
                    <w:top w:val="single" w:color="auto" w:sz="8" w:space="0"/>
                    <w:tl2br w:val="nil"/>
                    <w:tr2bl w:val="nil"/>
                  </w:tcBorders>
                  <w:noWrap w:val="0"/>
                  <w:tcMar>
                    <w:top w:w="0" w:type="dxa"/>
                    <w:left w:w="0" w:type="dxa"/>
                    <w:bottom w:w="0" w:type="dxa"/>
                    <w:right w:w="0" w:type="dxa"/>
                  </w:tcMar>
                  <w:vAlign w:val="center"/>
                </w:tcPr>
                <w:p w14:paraId="21353DB4">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7.5</w:t>
                  </w:r>
                </w:p>
              </w:tc>
              <w:tc>
                <w:tcPr>
                  <w:tcW w:w="719" w:type="dxa"/>
                  <w:tcBorders>
                    <w:top w:val="single" w:color="auto" w:sz="8" w:space="0"/>
                    <w:tl2br w:val="nil"/>
                    <w:tr2bl w:val="nil"/>
                  </w:tcBorders>
                  <w:noWrap w:val="0"/>
                  <w:tcMar>
                    <w:top w:w="0" w:type="dxa"/>
                    <w:left w:w="0" w:type="dxa"/>
                    <w:bottom w:w="0" w:type="dxa"/>
                    <w:right w:w="0" w:type="dxa"/>
                  </w:tcMar>
                  <w:vAlign w:val="center"/>
                </w:tcPr>
                <w:p w14:paraId="650E4996">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w:t>
                  </w:r>
                </w:p>
              </w:tc>
              <w:tc>
                <w:tcPr>
                  <w:tcW w:w="619" w:type="dxa"/>
                  <w:tcBorders>
                    <w:top w:val="single" w:color="auto" w:sz="8" w:space="0"/>
                    <w:tl2br w:val="nil"/>
                    <w:tr2bl w:val="nil"/>
                  </w:tcBorders>
                  <w:noWrap w:val="0"/>
                  <w:tcMar>
                    <w:top w:w="0" w:type="dxa"/>
                    <w:left w:w="0" w:type="dxa"/>
                    <w:bottom w:w="0" w:type="dxa"/>
                    <w:right w:w="0" w:type="dxa"/>
                  </w:tcMar>
                  <w:vAlign w:val="center"/>
                </w:tcPr>
                <w:p w14:paraId="61ED1561">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w:t>
                  </w:r>
                </w:p>
              </w:tc>
              <w:tc>
                <w:tcPr>
                  <w:tcW w:w="1368" w:type="dxa"/>
                  <w:tcBorders>
                    <w:top w:val="single" w:color="auto" w:sz="8" w:space="0"/>
                    <w:tl2br w:val="nil"/>
                    <w:tr2bl w:val="nil"/>
                  </w:tcBorders>
                  <w:noWrap w:val="0"/>
                  <w:tcMar>
                    <w:top w:w="0" w:type="dxa"/>
                    <w:left w:w="0" w:type="dxa"/>
                    <w:bottom w:w="0" w:type="dxa"/>
                    <w:right w:w="0" w:type="dxa"/>
                  </w:tcMar>
                  <w:vAlign w:val="center"/>
                </w:tcPr>
                <w:p w14:paraId="10E6D946">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集中收集后外售</w:t>
                  </w:r>
                </w:p>
              </w:tc>
            </w:tr>
            <w:tr w14:paraId="6DE6E84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91" w:type="dxa"/>
                  <w:tcBorders>
                    <w:tl2br w:val="nil"/>
                    <w:tr2bl w:val="nil"/>
                  </w:tcBorders>
                  <w:noWrap w:val="0"/>
                  <w:tcMar>
                    <w:top w:w="0" w:type="dxa"/>
                    <w:left w:w="0" w:type="dxa"/>
                    <w:bottom w:w="0" w:type="dxa"/>
                    <w:right w:w="0" w:type="dxa"/>
                  </w:tcMar>
                  <w:vAlign w:val="center"/>
                </w:tcPr>
                <w:p w14:paraId="3ABCEB87">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3</w:t>
                  </w:r>
                </w:p>
              </w:tc>
              <w:tc>
                <w:tcPr>
                  <w:tcW w:w="859" w:type="dxa"/>
                  <w:tcBorders>
                    <w:tl2br w:val="nil"/>
                    <w:tr2bl w:val="nil"/>
                  </w:tcBorders>
                  <w:noWrap w:val="0"/>
                  <w:tcMar>
                    <w:top w:w="0" w:type="dxa"/>
                    <w:left w:w="0" w:type="dxa"/>
                    <w:bottom w:w="0" w:type="dxa"/>
                    <w:right w:w="0" w:type="dxa"/>
                  </w:tcMar>
                  <w:vAlign w:val="center"/>
                </w:tcPr>
                <w:p w14:paraId="15A294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cs="Times New Roman"/>
                      <w:color w:val="000000"/>
                      <w:kern w:val="0"/>
                      <w:sz w:val="21"/>
                      <w:szCs w:val="21"/>
                      <w:highlight w:val="none"/>
                      <w:vertAlign w:val="baseline"/>
                      <w:lang w:val="en-US" w:eastAsia="zh-CN" w:bidi="ar"/>
                    </w:rPr>
                    <w:t>含油污泥</w:t>
                  </w:r>
                </w:p>
              </w:tc>
              <w:tc>
                <w:tcPr>
                  <w:tcW w:w="904" w:type="dxa"/>
                  <w:vMerge w:val="restart"/>
                  <w:tcBorders>
                    <w:tl2br w:val="nil"/>
                    <w:tr2bl w:val="nil"/>
                  </w:tcBorders>
                  <w:noWrap w:val="0"/>
                  <w:tcMar>
                    <w:top w:w="0" w:type="dxa"/>
                    <w:left w:w="0" w:type="dxa"/>
                    <w:bottom w:w="0" w:type="dxa"/>
                    <w:right w:w="0" w:type="dxa"/>
                  </w:tcMar>
                  <w:vAlign w:val="center"/>
                </w:tcPr>
                <w:p w14:paraId="3197E11E">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废气处理</w:t>
                  </w:r>
                </w:p>
              </w:tc>
              <w:tc>
                <w:tcPr>
                  <w:tcW w:w="746" w:type="dxa"/>
                  <w:tcBorders>
                    <w:tl2br w:val="nil"/>
                    <w:tr2bl w:val="nil"/>
                  </w:tcBorders>
                  <w:noWrap w:val="0"/>
                  <w:tcMar>
                    <w:top w:w="0" w:type="dxa"/>
                    <w:left w:w="0" w:type="dxa"/>
                    <w:bottom w:w="0" w:type="dxa"/>
                    <w:right w:w="0" w:type="dxa"/>
                  </w:tcMar>
                  <w:vAlign w:val="center"/>
                </w:tcPr>
                <w:p w14:paraId="354D3AC0">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HW08</w:t>
                  </w:r>
                </w:p>
              </w:tc>
              <w:tc>
                <w:tcPr>
                  <w:tcW w:w="1156" w:type="dxa"/>
                  <w:tcBorders>
                    <w:tl2br w:val="nil"/>
                    <w:tr2bl w:val="nil"/>
                  </w:tcBorders>
                  <w:noWrap w:val="0"/>
                  <w:tcMar>
                    <w:top w:w="0" w:type="dxa"/>
                    <w:left w:w="0" w:type="dxa"/>
                    <w:bottom w:w="0" w:type="dxa"/>
                    <w:right w:w="0" w:type="dxa"/>
                  </w:tcMar>
                  <w:vAlign w:val="center"/>
                </w:tcPr>
                <w:p w14:paraId="7FEE6365">
                  <w:pPr>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900-249-08</w:t>
                  </w:r>
                </w:p>
              </w:tc>
              <w:tc>
                <w:tcPr>
                  <w:tcW w:w="434" w:type="dxa"/>
                  <w:tcBorders>
                    <w:tl2br w:val="nil"/>
                    <w:tr2bl w:val="nil"/>
                  </w:tcBorders>
                  <w:noWrap w:val="0"/>
                  <w:tcMar>
                    <w:top w:w="0" w:type="dxa"/>
                    <w:left w:w="0" w:type="dxa"/>
                    <w:bottom w:w="0" w:type="dxa"/>
                    <w:right w:w="0" w:type="dxa"/>
                  </w:tcMar>
                  <w:vAlign w:val="center"/>
                </w:tcPr>
                <w:p w14:paraId="3DDF337F">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液</w:t>
                  </w:r>
                </w:p>
              </w:tc>
              <w:tc>
                <w:tcPr>
                  <w:tcW w:w="702" w:type="dxa"/>
                  <w:tcBorders>
                    <w:tl2br w:val="nil"/>
                    <w:tr2bl w:val="nil"/>
                  </w:tcBorders>
                  <w:noWrap w:val="0"/>
                  <w:tcMar>
                    <w:top w:w="0" w:type="dxa"/>
                    <w:left w:w="0" w:type="dxa"/>
                    <w:bottom w:w="0" w:type="dxa"/>
                    <w:right w:w="0" w:type="dxa"/>
                  </w:tcMar>
                  <w:vAlign w:val="center"/>
                </w:tcPr>
                <w:p w14:paraId="3B4D8AFD">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cs="Times New Roman"/>
                      <w:b w:val="0"/>
                      <w:bCs w:val="0"/>
                      <w:snapToGrid w:val="0"/>
                      <w:color w:val="000000"/>
                      <w:kern w:val="0"/>
                      <w:sz w:val="21"/>
                      <w:szCs w:val="21"/>
                      <w:highlight w:val="none"/>
                      <w:lang w:val="en-US" w:eastAsia="zh-CN" w:bidi="ar-SA"/>
                    </w:rPr>
                    <w:t>8.73</w:t>
                  </w:r>
                </w:p>
              </w:tc>
              <w:tc>
                <w:tcPr>
                  <w:tcW w:w="719" w:type="dxa"/>
                  <w:tcBorders>
                    <w:tl2br w:val="nil"/>
                    <w:tr2bl w:val="nil"/>
                  </w:tcBorders>
                  <w:noWrap w:val="0"/>
                  <w:tcMar>
                    <w:top w:w="0" w:type="dxa"/>
                    <w:left w:w="0" w:type="dxa"/>
                    <w:bottom w:w="0" w:type="dxa"/>
                    <w:right w:w="0" w:type="dxa"/>
                  </w:tcMar>
                  <w:vAlign w:val="center"/>
                </w:tcPr>
                <w:p w14:paraId="4F5CFFCD">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沥青油</w:t>
                  </w:r>
                </w:p>
              </w:tc>
              <w:tc>
                <w:tcPr>
                  <w:tcW w:w="619" w:type="dxa"/>
                  <w:tcBorders>
                    <w:tl2br w:val="nil"/>
                    <w:tr2bl w:val="nil"/>
                  </w:tcBorders>
                  <w:noWrap w:val="0"/>
                  <w:tcMar>
                    <w:top w:w="0" w:type="dxa"/>
                    <w:left w:w="0" w:type="dxa"/>
                    <w:bottom w:w="0" w:type="dxa"/>
                    <w:right w:w="0" w:type="dxa"/>
                  </w:tcMar>
                  <w:vAlign w:val="center"/>
                </w:tcPr>
                <w:p w14:paraId="36E90494">
                  <w:pPr>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T，I</w:t>
                  </w:r>
                </w:p>
              </w:tc>
              <w:tc>
                <w:tcPr>
                  <w:tcW w:w="1368" w:type="dxa"/>
                  <w:tcBorders>
                    <w:tl2br w:val="nil"/>
                    <w:tr2bl w:val="nil"/>
                  </w:tcBorders>
                  <w:noWrap w:val="0"/>
                  <w:tcMar>
                    <w:top w:w="0" w:type="dxa"/>
                    <w:left w:w="0" w:type="dxa"/>
                    <w:bottom w:w="0" w:type="dxa"/>
                    <w:right w:w="0" w:type="dxa"/>
                  </w:tcMar>
                  <w:vAlign w:val="center"/>
                </w:tcPr>
                <w:p w14:paraId="32D9F7F9">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集中收集后回用于生产</w:t>
                  </w:r>
                </w:p>
              </w:tc>
            </w:tr>
            <w:tr w14:paraId="4C20097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1" w:hRule="atLeast"/>
                <w:jc w:val="center"/>
              </w:trPr>
              <w:tc>
                <w:tcPr>
                  <w:tcW w:w="491" w:type="dxa"/>
                  <w:tcBorders>
                    <w:tl2br w:val="nil"/>
                    <w:tr2bl w:val="nil"/>
                  </w:tcBorders>
                  <w:noWrap w:val="0"/>
                  <w:tcMar>
                    <w:top w:w="0" w:type="dxa"/>
                    <w:left w:w="0" w:type="dxa"/>
                    <w:bottom w:w="0" w:type="dxa"/>
                    <w:right w:w="0" w:type="dxa"/>
                  </w:tcMar>
                  <w:vAlign w:val="center"/>
                </w:tcPr>
                <w:p w14:paraId="7A5358B4">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4</w:t>
                  </w:r>
                </w:p>
              </w:tc>
              <w:tc>
                <w:tcPr>
                  <w:tcW w:w="859" w:type="dxa"/>
                  <w:tcBorders>
                    <w:tl2br w:val="nil"/>
                    <w:tr2bl w:val="nil"/>
                  </w:tcBorders>
                  <w:noWrap w:val="0"/>
                  <w:tcMar>
                    <w:top w:w="0" w:type="dxa"/>
                    <w:left w:w="0" w:type="dxa"/>
                    <w:bottom w:w="0" w:type="dxa"/>
                    <w:right w:w="0" w:type="dxa"/>
                  </w:tcMar>
                  <w:vAlign w:val="center"/>
                </w:tcPr>
                <w:p w14:paraId="3BF966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vertAlign w:val="baseline"/>
                      <w:lang w:val="en-US" w:eastAsia="zh-CN" w:bidi="ar"/>
                    </w:rPr>
                    <w:t>废活性炭</w:t>
                  </w:r>
                </w:p>
              </w:tc>
              <w:tc>
                <w:tcPr>
                  <w:tcW w:w="904" w:type="dxa"/>
                  <w:vMerge w:val="continue"/>
                  <w:tcBorders>
                    <w:tl2br w:val="nil"/>
                    <w:tr2bl w:val="nil"/>
                  </w:tcBorders>
                  <w:noWrap w:val="0"/>
                  <w:tcMar>
                    <w:top w:w="0" w:type="dxa"/>
                    <w:left w:w="0" w:type="dxa"/>
                    <w:bottom w:w="0" w:type="dxa"/>
                    <w:right w:w="0" w:type="dxa"/>
                  </w:tcMar>
                  <w:vAlign w:val="center"/>
                </w:tcPr>
                <w:p w14:paraId="576BEC6A">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p>
              </w:tc>
              <w:tc>
                <w:tcPr>
                  <w:tcW w:w="746" w:type="dxa"/>
                  <w:tcBorders>
                    <w:tl2br w:val="nil"/>
                    <w:tr2bl w:val="nil"/>
                  </w:tcBorders>
                  <w:noWrap w:val="0"/>
                  <w:tcMar>
                    <w:top w:w="0" w:type="dxa"/>
                    <w:left w:w="0" w:type="dxa"/>
                    <w:bottom w:w="0" w:type="dxa"/>
                    <w:right w:w="0" w:type="dxa"/>
                  </w:tcMar>
                  <w:vAlign w:val="center"/>
                </w:tcPr>
                <w:p w14:paraId="5FF3D8AB">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HW49</w:t>
                  </w:r>
                </w:p>
              </w:tc>
              <w:tc>
                <w:tcPr>
                  <w:tcW w:w="1156" w:type="dxa"/>
                  <w:tcBorders>
                    <w:tl2br w:val="nil"/>
                    <w:tr2bl w:val="nil"/>
                  </w:tcBorders>
                  <w:noWrap w:val="0"/>
                  <w:tcMar>
                    <w:top w:w="0" w:type="dxa"/>
                    <w:left w:w="0" w:type="dxa"/>
                    <w:bottom w:w="0" w:type="dxa"/>
                    <w:right w:w="0" w:type="dxa"/>
                  </w:tcMar>
                  <w:vAlign w:val="center"/>
                </w:tcPr>
                <w:p w14:paraId="0D6B7E1C">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900-039-49</w:t>
                  </w:r>
                </w:p>
              </w:tc>
              <w:tc>
                <w:tcPr>
                  <w:tcW w:w="434" w:type="dxa"/>
                  <w:tcBorders>
                    <w:tl2br w:val="nil"/>
                    <w:tr2bl w:val="nil"/>
                  </w:tcBorders>
                  <w:noWrap w:val="0"/>
                  <w:tcMar>
                    <w:top w:w="0" w:type="dxa"/>
                    <w:left w:w="0" w:type="dxa"/>
                    <w:bottom w:w="0" w:type="dxa"/>
                    <w:right w:w="0" w:type="dxa"/>
                  </w:tcMar>
                  <w:vAlign w:val="center"/>
                </w:tcPr>
                <w:p w14:paraId="4297922C">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固</w:t>
                  </w:r>
                </w:p>
              </w:tc>
              <w:tc>
                <w:tcPr>
                  <w:tcW w:w="702" w:type="dxa"/>
                  <w:tcBorders>
                    <w:tl2br w:val="nil"/>
                    <w:tr2bl w:val="nil"/>
                  </w:tcBorders>
                  <w:noWrap w:val="0"/>
                  <w:tcMar>
                    <w:top w:w="0" w:type="dxa"/>
                    <w:left w:w="0" w:type="dxa"/>
                    <w:bottom w:w="0" w:type="dxa"/>
                    <w:right w:w="0" w:type="dxa"/>
                  </w:tcMar>
                  <w:vAlign w:val="center"/>
                </w:tcPr>
                <w:p w14:paraId="7BB6F104">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cs="Times New Roman"/>
                      <w:b w:val="0"/>
                      <w:bCs w:val="0"/>
                      <w:snapToGrid w:val="0"/>
                      <w:color w:val="000000"/>
                      <w:kern w:val="0"/>
                      <w:sz w:val="21"/>
                      <w:szCs w:val="21"/>
                      <w:highlight w:val="none"/>
                      <w:lang w:val="en-US" w:eastAsia="zh-CN" w:bidi="ar-SA"/>
                    </w:rPr>
                    <w:t>7.24</w:t>
                  </w:r>
                </w:p>
              </w:tc>
              <w:tc>
                <w:tcPr>
                  <w:tcW w:w="719" w:type="dxa"/>
                  <w:tcBorders>
                    <w:tl2br w:val="nil"/>
                    <w:tr2bl w:val="nil"/>
                  </w:tcBorders>
                  <w:noWrap w:val="0"/>
                  <w:tcMar>
                    <w:top w:w="0" w:type="dxa"/>
                    <w:left w:w="0" w:type="dxa"/>
                    <w:bottom w:w="0" w:type="dxa"/>
                    <w:right w:w="0" w:type="dxa"/>
                  </w:tcMar>
                  <w:vAlign w:val="center"/>
                </w:tcPr>
                <w:p w14:paraId="41695543">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活性炭</w:t>
                  </w:r>
                </w:p>
              </w:tc>
              <w:tc>
                <w:tcPr>
                  <w:tcW w:w="619" w:type="dxa"/>
                  <w:tcBorders>
                    <w:tl2br w:val="nil"/>
                    <w:tr2bl w:val="nil"/>
                  </w:tcBorders>
                  <w:noWrap w:val="0"/>
                  <w:tcMar>
                    <w:top w:w="0" w:type="dxa"/>
                    <w:left w:w="0" w:type="dxa"/>
                    <w:bottom w:w="0" w:type="dxa"/>
                    <w:right w:w="0" w:type="dxa"/>
                  </w:tcMar>
                  <w:vAlign w:val="center"/>
                </w:tcPr>
                <w:p w14:paraId="58304493">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T</w:t>
                  </w:r>
                </w:p>
              </w:tc>
              <w:tc>
                <w:tcPr>
                  <w:tcW w:w="1368" w:type="dxa"/>
                  <w:tcBorders>
                    <w:tl2br w:val="nil"/>
                    <w:tr2bl w:val="nil"/>
                  </w:tcBorders>
                  <w:noWrap w:val="0"/>
                  <w:tcMar>
                    <w:top w:w="0" w:type="dxa"/>
                    <w:left w:w="0" w:type="dxa"/>
                    <w:bottom w:w="0" w:type="dxa"/>
                    <w:right w:w="0" w:type="dxa"/>
                  </w:tcMar>
                  <w:vAlign w:val="center"/>
                </w:tcPr>
                <w:p w14:paraId="4500A478">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暂存于危废间，定期委托有资质的单位处理</w:t>
                  </w:r>
                </w:p>
              </w:tc>
            </w:tr>
            <w:tr w14:paraId="1ADFDB5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491" w:type="dxa"/>
                  <w:tcBorders>
                    <w:tl2br w:val="nil"/>
                    <w:tr2bl w:val="nil"/>
                  </w:tcBorders>
                  <w:noWrap w:val="0"/>
                  <w:tcMar>
                    <w:top w:w="0" w:type="dxa"/>
                    <w:left w:w="0" w:type="dxa"/>
                    <w:bottom w:w="0" w:type="dxa"/>
                    <w:right w:w="0" w:type="dxa"/>
                  </w:tcMar>
                  <w:vAlign w:val="center"/>
                </w:tcPr>
                <w:p w14:paraId="1735ADDB">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5</w:t>
                  </w:r>
                </w:p>
              </w:tc>
              <w:tc>
                <w:tcPr>
                  <w:tcW w:w="859" w:type="dxa"/>
                  <w:tcBorders>
                    <w:tl2br w:val="nil"/>
                    <w:tr2bl w:val="nil"/>
                  </w:tcBorders>
                  <w:noWrap w:val="0"/>
                  <w:tcMar>
                    <w:top w:w="0" w:type="dxa"/>
                    <w:left w:w="0" w:type="dxa"/>
                    <w:bottom w:w="0" w:type="dxa"/>
                    <w:right w:w="0" w:type="dxa"/>
                  </w:tcMar>
                  <w:vAlign w:val="center"/>
                </w:tcPr>
                <w:p w14:paraId="572063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vertAlign w:val="baseline"/>
                      <w:lang w:val="en-US" w:eastAsia="zh-CN" w:bidi="ar"/>
                    </w:rPr>
                    <w:t>沉渣</w:t>
                  </w:r>
                </w:p>
              </w:tc>
              <w:tc>
                <w:tcPr>
                  <w:tcW w:w="904" w:type="dxa"/>
                  <w:tcBorders>
                    <w:tl2br w:val="nil"/>
                    <w:tr2bl w:val="nil"/>
                  </w:tcBorders>
                  <w:noWrap w:val="0"/>
                  <w:tcMar>
                    <w:top w:w="0" w:type="dxa"/>
                    <w:left w:w="0" w:type="dxa"/>
                    <w:bottom w:w="0" w:type="dxa"/>
                    <w:right w:w="0" w:type="dxa"/>
                  </w:tcMar>
                  <w:vAlign w:val="center"/>
                </w:tcPr>
                <w:p w14:paraId="42A007E2">
                  <w:pPr>
                    <w:pStyle w:val="3"/>
                    <w:spacing w:line="240" w:lineRule="auto"/>
                    <w:jc w:val="center"/>
                    <w:rPr>
                      <w:rFonts w:hint="eastAsia"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废水处理</w:t>
                  </w:r>
                </w:p>
              </w:tc>
              <w:tc>
                <w:tcPr>
                  <w:tcW w:w="746" w:type="dxa"/>
                  <w:tcBorders>
                    <w:tl2br w:val="nil"/>
                    <w:tr2bl w:val="nil"/>
                  </w:tcBorders>
                  <w:noWrap w:val="0"/>
                  <w:tcMar>
                    <w:top w:w="0" w:type="dxa"/>
                    <w:left w:w="0" w:type="dxa"/>
                    <w:bottom w:w="0" w:type="dxa"/>
                    <w:right w:w="0" w:type="dxa"/>
                  </w:tcMar>
                  <w:vAlign w:val="center"/>
                </w:tcPr>
                <w:p w14:paraId="01D416E4">
                  <w:pPr>
                    <w:pStyle w:val="3"/>
                    <w:spacing w:line="240" w:lineRule="auto"/>
                    <w:jc w:val="center"/>
                    <w:rPr>
                      <w:rFonts w:hint="eastAsia"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HW06</w:t>
                  </w:r>
                </w:p>
              </w:tc>
              <w:tc>
                <w:tcPr>
                  <w:tcW w:w="1156" w:type="dxa"/>
                  <w:tcBorders>
                    <w:tl2br w:val="nil"/>
                    <w:tr2bl w:val="nil"/>
                  </w:tcBorders>
                  <w:noWrap w:val="0"/>
                  <w:tcMar>
                    <w:top w:w="0" w:type="dxa"/>
                    <w:left w:w="0" w:type="dxa"/>
                    <w:bottom w:w="0" w:type="dxa"/>
                    <w:right w:w="0" w:type="dxa"/>
                  </w:tcMar>
                  <w:vAlign w:val="center"/>
                </w:tcPr>
                <w:p w14:paraId="4260585F">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900-409-06</w:t>
                  </w:r>
                </w:p>
              </w:tc>
              <w:tc>
                <w:tcPr>
                  <w:tcW w:w="434" w:type="dxa"/>
                  <w:tcBorders>
                    <w:tl2br w:val="nil"/>
                    <w:tr2bl w:val="nil"/>
                  </w:tcBorders>
                  <w:noWrap w:val="0"/>
                  <w:tcMar>
                    <w:top w:w="0" w:type="dxa"/>
                    <w:left w:w="0" w:type="dxa"/>
                    <w:bottom w:w="0" w:type="dxa"/>
                    <w:right w:w="0" w:type="dxa"/>
                  </w:tcMar>
                  <w:vAlign w:val="center"/>
                </w:tcPr>
                <w:p w14:paraId="4EDF4C34">
                  <w:pPr>
                    <w:pStyle w:val="3"/>
                    <w:spacing w:line="240" w:lineRule="auto"/>
                    <w:jc w:val="center"/>
                    <w:rPr>
                      <w:rFonts w:hint="eastAsia"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固</w:t>
                  </w:r>
                </w:p>
              </w:tc>
              <w:tc>
                <w:tcPr>
                  <w:tcW w:w="702" w:type="dxa"/>
                  <w:tcBorders>
                    <w:tl2br w:val="nil"/>
                    <w:tr2bl w:val="nil"/>
                  </w:tcBorders>
                  <w:noWrap w:val="0"/>
                  <w:tcMar>
                    <w:top w:w="0" w:type="dxa"/>
                    <w:left w:w="0" w:type="dxa"/>
                    <w:bottom w:w="0" w:type="dxa"/>
                    <w:right w:w="0" w:type="dxa"/>
                  </w:tcMar>
                  <w:vAlign w:val="center"/>
                </w:tcPr>
                <w:p w14:paraId="7AFFA3D9">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cs="Times New Roman"/>
                      <w:b w:val="0"/>
                      <w:bCs w:val="0"/>
                      <w:snapToGrid w:val="0"/>
                      <w:color w:val="000000"/>
                      <w:kern w:val="0"/>
                      <w:sz w:val="21"/>
                      <w:szCs w:val="21"/>
                      <w:highlight w:val="none"/>
                      <w:lang w:val="en-US" w:eastAsia="zh-CN" w:bidi="ar-SA"/>
                    </w:rPr>
                    <w:t>6</w:t>
                  </w:r>
                </w:p>
              </w:tc>
              <w:tc>
                <w:tcPr>
                  <w:tcW w:w="719" w:type="dxa"/>
                  <w:tcBorders>
                    <w:tl2br w:val="nil"/>
                    <w:tr2bl w:val="nil"/>
                  </w:tcBorders>
                  <w:noWrap w:val="0"/>
                  <w:tcMar>
                    <w:top w:w="0" w:type="dxa"/>
                    <w:left w:w="0" w:type="dxa"/>
                    <w:bottom w:w="0" w:type="dxa"/>
                    <w:right w:w="0" w:type="dxa"/>
                  </w:tcMar>
                  <w:vAlign w:val="center"/>
                </w:tcPr>
                <w:p w14:paraId="43653D5B">
                  <w:pPr>
                    <w:pStyle w:val="3"/>
                    <w:spacing w:line="240" w:lineRule="auto"/>
                    <w:jc w:val="center"/>
                    <w:rPr>
                      <w:rFonts w:hint="eastAsia"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w:t>
                  </w:r>
                </w:p>
              </w:tc>
              <w:tc>
                <w:tcPr>
                  <w:tcW w:w="619" w:type="dxa"/>
                  <w:tcBorders>
                    <w:tl2br w:val="nil"/>
                    <w:tr2bl w:val="nil"/>
                  </w:tcBorders>
                  <w:noWrap w:val="0"/>
                  <w:tcMar>
                    <w:top w:w="0" w:type="dxa"/>
                    <w:left w:w="0" w:type="dxa"/>
                    <w:bottom w:w="0" w:type="dxa"/>
                    <w:right w:w="0" w:type="dxa"/>
                  </w:tcMar>
                  <w:vAlign w:val="center"/>
                </w:tcPr>
                <w:p w14:paraId="70706885">
                  <w:pPr>
                    <w:pStyle w:val="3"/>
                    <w:spacing w:line="240" w:lineRule="auto"/>
                    <w:jc w:val="center"/>
                    <w:rPr>
                      <w:rFonts w:hint="eastAsia"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T</w:t>
                  </w:r>
                </w:p>
              </w:tc>
              <w:tc>
                <w:tcPr>
                  <w:tcW w:w="1368" w:type="dxa"/>
                  <w:tcBorders>
                    <w:tl2br w:val="nil"/>
                    <w:tr2bl w:val="nil"/>
                  </w:tcBorders>
                  <w:noWrap w:val="0"/>
                  <w:tcMar>
                    <w:top w:w="0" w:type="dxa"/>
                    <w:left w:w="0" w:type="dxa"/>
                    <w:bottom w:w="0" w:type="dxa"/>
                    <w:right w:w="0" w:type="dxa"/>
                  </w:tcMar>
                  <w:vAlign w:val="center"/>
                </w:tcPr>
                <w:p w14:paraId="251AE2D9">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cs="Times New Roman"/>
                      <w:b w:val="0"/>
                      <w:bCs w:val="0"/>
                      <w:snapToGrid w:val="0"/>
                      <w:color w:val="000000"/>
                      <w:kern w:val="0"/>
                      <w:sz w:val="21"/>
                      <w:szCs w:val="21"/>
                      <w:highlight w:val="none"/>
                      <w:lang w:val="en-US" w:eastAsia="zh-CN" w:bidi="ar-SA"/>
                    </w:rPr>
                    <w:t>回用于生产</w:t>
                  </w:r>
                </w:p>
              </w:tc>
            </w:tr>
            <w:tr w14:paraId="4788A1C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491" w:type="dxa"/>
                  <w:tcBorders>
                    <w:tl2br w:val="nil"/>
                    <w:tr2bl w:val="nil"/>
                  </w:tcBorders>
                  <w:noWrap w:val="0"/>
                  <w:tcMar>
                    <w:top w:w="0" w:type="dxa"/>
                    <w:left w:w="0" w:type="dxa"/>
                    <w:bottom w:w="0" w:type="dxa"/>
                    <w:right w:w="0" w:type="dxa"/>
                  </w:tcMar>
                  <w:vAlign w:val="center"/>
                </w:tcPr>
                <w:p w14:paraId="7725C283">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6</w:t>
                  </w:r>
                </w:p>
              </w:tc>
              <w:tc>
                <w:tcPr>
                  <w:tcW w:w="859" w:type="dxa"/>
                  <w:tcBorders>
                    <w:tl2br w:val="nil"/>
                    <w:tr2bl w:val="nil"/>
                  </w:tcBorders>
                  <w:noWrap w:val="0"/>
                  <w:tcMar>
                    <w:top w:w="0" w:type="dxa"/>
                    <w:left w:w="0" w:type="dxa"/>
                    <w:bottom w:w="0" w:type="dxa"/>
                    <w:right w:w="0" w:type="dxa"/>
                  </w:tcMar>
                  <w:vAlign w:val="center"/>
                </w:tcPr>
                <w:p w14:paraId="6E51986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废润滑油</w:t>
                  </w:r>
                </w:p>
              </w:tc>
              <w:tc>
                <w:tcPr>
                  <w:tcW w:w="904" w:type="dxa"/>
                  <w:tcBorders>
                    <w:tl2br w:val="nil"/>
                    <w:tr2bl w:val="nil"/>
                  </w:tcBorders>
                  <w:noWrap w:val="0"/>
                  <w:tcMar>
                    <w:top w:w="0" w:type="dxa"/>
                    <w:left w:w="0" w:type="dxa"/>
                    <w:bottom w:w="0" w:type="dxa"/>
                    <w:right w:w="0" w:type="dxa"/>
                  </w:tcMar>
                  <w:vAlign w:val="center"/>
                </w:tcPr>
                <w:p w14:paraId="6886E889">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设备维护</w:t>
                  </w:r>
                </w:p>
              </w:tc>
              <w:tc>
                <w:tcPr>
                  <w:tcW w:w="746" w:type="dxa"/>
                  <w:tcBorders>
                    <w:tl2br w:val="nil"/>
                    <w:tr2bl w:val="nil"/>
                  </w:tcBorders>
                  <w:noWrap w:val="0"/>
                  <w:tcMar>
                    <w:top w:w="0" w:type="dxa"/>
                    <w:left w:w="0" w:type="dxa"/>
                    <w:bottom w:w="0" w:type="dxa"/>
                    <w:right w:w="0" w:type="dxa"/>
                  </w:tcMar>
                  <w:vAlign w:val="center"/>
                </w:tcPr>
                <w:p w14:paraId="7E94F509">
                  <w:pPr>
                    <w:pStyle w:val="3"/>
                    <w:spacing w:line="240" w:lineRule="auto"/>
                    <w:jc w:val="center"/>
                    <w:rPr>
                      <w:rFonts w:hint="default" w:ascii="Times New Roman" w:hAnsi="Times New Roman" w:eastAsia="宋体" w:cs="Times New Roman"/>
                      <w:b w:val="0"/>
                      <w:bCs w:val="0"/>
                      <w:snapToGrid w:val="0"/>
                      <w:color w:val="000000"/>
                      <w:kern w:val="0"/>
                      <w:sz w:val="21"/>
                      <w:szCs w:val="21"/>
                      <w:lang w:val="en-US" w:eastAsia="zh-CN" w:bidi="ar-SA"/>
                    </w:rPr>
                  </w:pPr>
                  <w:r>
                    <w:rPr>
                      <w:rFonts w:hint="eastAsia" w:ascii="Times New Roman" w:hAnsi="Times New Roman" w:eastAsia="宋体" w:cs="Times New Roman"/>
                      <w:b w:val="0"/>
                      <w:bCs w:val="0"/>
                      <w:snapToGrid w:val="0"/>
                      <w:color w:val="000000"/>
                      <w:kern w:val="0"/>
                      <w:sz w:val="21"/>
                      <w:szCs w:val="21"/>
                      <w:lang w:val="en-US" w:eastAsia="zh-CN" w:bidi="ar-SA"/>
                    </w:rPr>
                    <w:t>HW08</w:t>
                  </w:r>
                </w:p>
              </w:tc>
              <w:tc>
                <w:tcPr>
                  <w:tcW w:w="1156" w:type="dxa"/>
                  <w:tcBorders>
                    <w:tl2br w:val="nil"/>
                    <w:tr2bl w:val="nil"/>
                  </w:tcBorders>
                  <w:noWrap w:val="0"/>
                  <w:tcMar>
                    <w:top w:w="0" w:type="dxa"/>
                    <w:left w:w="0" w:type="dxa"/>
                    <w:bottom w:w="0" w:type="dxa"/>
                    <w:right w:w="0" w:type="dxa"/>
                  </w:tcMar>
                  <w:vAlign w:val="center"/>
                </w:tcPr>
                <w:p w14:paraId="5C2F8B18">
                  <w:pPr>
                    <w:pStyle w:val="3"/>
                    <w:spacing w:line="240" w:lineRule="auto"/>
                    <w:jc w:val="center"/>
                    <w:rPr>
                      <w:rFonts w:hint="default" w:ascii="Times New Roman" w:hAnsi="Times New Roman" w:eastAsia="宋体" w:cs="Times New Roman"/>
                      <w:b w:val="0"/>
                      <w:bCs w:val="0"/>
                      <w:snapToGrid w:val="0"/>
                      <w:color w:val="000000"/>
                      <w:kern w:val="0"/>
                      <w:sz w:val="21"/>
                      <w:szCs w:val="21"/>
                      <w:lang w:val="en-US" w:eastAsia="zh-CN" w:bidi="ar-SA"/>
                    </w:rPr>
                  </w:pPr>
                  <w:r>
                    <w:rPr>
                      <w:rFonts w:hint="default" w:ascii="Times New Roman" w:hAnsi="Times New Roman" w:eastAsia="宋体" w:cs="Times New Roman"/>
                      <w:b w:val="0"/>
                      <w:bCs w:val="0"/>
                      <w:snapToGrid w:val="0"/>
                      <w:color w:val="000000"/>
                      <w:kern w:val="0"/>
                      <w:sz w:val="21"/>
                      <w:szCs w:val="21"/>
                      <w:lang w:val="en-US" w:eastAsia="zh-CN" w:bidi="ar-SA"/>
                    </w:rPr>
                    <w:t>900-214-08</w:t>
                  </w:r>
                </w:p>
              </w:tc>
              <w:tc>
                <w:tcPr>
                  <w:tcW w:w="434" w:type="dxa"/>
                  <w:tcBorders>
                    <w:tl2br w:val="nil"/>
                    <w:tr2bl w:val="nil"/>
                  </w:tcBorders>
                  <w:noWrap w:val="0"/>
                  <w:tcMar>
                    <w:top w:w="0" w:type="dxa"/>
                    <w:left w:w="0" w:type="dxa"/>
                    <w:bottom w:w="0" w:type="dxa"/>
                    <w:right w:w="0" w:type="dxa"/>
                  </w:tcMar>
                  <w:vAlign w:val="center"/>
                </w:tcPr>
                <w:p w14:paraId="083AA6F1">
                  <w:pPr>
                    <w:pStyle w:val="3"/>
                    <w:spacing w:line="240" w:lineRule="auto"/>
                    <w:jc w:val="center"/>
                    <w:rPr>
                      <w:rFonts w:hint="eastAsia" w:ascii="Times New Roman" w:hAnsi="Times New Roman" w:eastAsia="宋体" w:cs="Times New Roman"/>
                      <w:b w:val="0"/>
                      <w:bCs w:val="0"/>
                      <w:snapToGrid w:val="0"/>
                      <w:color w:val="000000"/>
                      <w:kern w:val="0"/>
                      <w:sz w:val="21"/>
                      <w:szCs w:val="21"/>
                      <w:lang w:val="en-US" w:eastAsia="zh-CN" w:bidi="ar-SA"/>
                    </w:rPr>
                  </w:pPr>
                  <w:r>
                    <w:rPr>
                      <w:rFonts w:hint="eastAsia" w:ascii="Times New Roman" w:hAnsi="Times New Roman" w:eastAsia="宋体" w:cs="Times New Roman"/>
                      <w:b w:val="0"/>
                      <w:bCs w:val="0"/>
                      <w:snapToGrid w:val="0"/>
                      <w:color w:val="000000"/>
                      <w:kern w:val="0"/>
                      <w:sz w:val="21"/>
                      <w:szCs w:val="21"/>
                      <w:lang w:val="en-US" w:eastAsia="zh-CN" w:bidi="ar-SA"/>
                    </w:rPr>
                    <w:t>液</w:t>
                  </w:r>
                </w:p>
              </w:tc>
              <w:tc>
                <w:tcPr>
                  <w:tcW w:w="702" w:type="dxa"/>
                  <w:tcBorders>
                    <w:tl2br w:val="nil"/>
                    <w:tr2bl w:val="nil"/>
                  </w:tcBorders>
                  <w:noWrap w:val="0"/>
                  <w:tcMar>
                    <w:top w:w="0" w:type="dxa"/>
                    <w:left w:w="0" w:type="dxa"/>
                    <w:bottom w:w="0" w:type="dxa"/>
                    <w:right w:w="0" w:type="dxa"/>
                  </w:tcMar>
                  <w:vAlign w:val="center"/>
                </w:tcPr>
                <w:p w14:paraId="5DC082E2">
                  <w:pPr>
                    <w:pStyle w:val="3"/>
                    <w:spacing w:line="240" w:lineRule="auto"/>
                    <w:jc w:val="center"/>
                    <w:rPr>
                      <w:rFonts w:hint="default" w:ascii="Times New Roman" w:hAnsi="Times New Roman" w:eastAsia="宋体" w:cs="Times New Roman"/>
                      <w:b w:val="0"/>
                      <w:bCs w:val="0"/>
                      <w:snapToGrid w:val="0"/>
                      <w:color w:val="000000"/>
                      <w:kern w:val="0"/>
                      <w:sz w:val="21"/>
                      <w:szCs w:val="21"/>
                      <w:lang w:val="en-US" w:eastAsia="zh-CN" w:bidi="ar-SA"/>
                    </w:rPr>
                  </w:pPr>
                  <w:r>
                    <w:rPr>
                      <w:rFonts w:hint="eastAsia" w:ascii="Times New Roman" w:hAnsi="Times New Roman" w:eastAsia="宋体" w:cs="Times New Roman"/>
                      <w:b w:val="0"/>
                      <w:bCs w:val="0"/>
                      <w:snapToGrid w:val="0"/>
                      <w:color w:val="000000"/>
                      <w:kern w:val="0"/>
                      <w:sz w:val="21"/>
                      <w:szCs w:val="21"/>
                      <w:lang w:val="en-US" w:eastAsia="zh-CN" w:bidi="ar-SA"/>
                    </w:rPr>
                    <w:t>1</w:t>
                  </w:r>
                </w:p>
              </w:tc>
              <w:tc>
                <w:tcPr>
                  <w:tcW w:w="719" w:type="dxa"/>
                  <w:tcBorders>
                    <w:tl2br w:val="nil"/>
                    <w:tr2bl w:val="nil"/>
                  </w:tcBorders>
                  <w:noWrap w:val="0"/>
                  <w:tcMar>
                    <w:top w:w="0" w:type="dxa"/>
                    <w:left w:w="0" w:type="dxa"/>
                    <w:bottom w:w="0" w:type="dxa"/>
                    <w:right w:w="0" w:type="dxa"/>
                  </w:tcMar>
                  <w:vAlign w:val="center"/>
                </w:tcPr>
                <w:p w14:paraId="1E094BFB">
                  <w:pPr>
                    <w:pStyle w:val="3"/>
                    <w:spacing w:line="240" w:lineRule="auto"/>
                    <w:jc w:val="center"/>
                    <w:rPr>
                      <w:rFonts w:hint="eastAsia" w:ascii="Times New Roman" w:hAnsi="Times New Roman" w:eastAsia="宋体" w:cs="Times New Roman"/>
                      <w:b w:val="0"/>
                      <w:bCs w:val="0"/>
                      <w:snapToGrid w:val="0"/>
                      <w:color w:val="000000"/>
                      <w:kern w:val="0"/>
                      <w:sz w:val="21"/>
                      <w:szCs w:val="21"/>
                      <w:lang w:val="en-US" w:eastAsia="zh-CN" w:bidi="ar-SA"/>
                    </w:rPr>
                  </w:pPr>
                  <w:r>
                    <w:rPr>
                      <w:rFonts w:hint="eastAsia" w:ascii="Times New Roman" w:hAnsi="Times New Roman" w:eastAsia="宋体" w:cs="Times New Roman"/>
                      <w:b w:val="0"/>
                      <w:bCs w:val="0"/>
                      <w:snapToGrid w:val="0"/>
                      <w:color w:val="000000"/>
                      <w:kern w:val="0"/>
                      <w:sz w:val="21"/>
                      <w:szCs w:val="21"/>
                      <w:lang w:val="en-US" w:eastAsia="zh-CN" w:bidi="ar-SA"/>
                    </w:rPr>
                    <w:t>机油</w:t>
                  </w:r>
                </w:p>
              </w:tc>
              <w:tc>
                <w:tcPr>
                  <w:tcW w:w="619" w:type="dxa"/>
                  <w:tcBorders>
                    <w:tl2br w:val="nil"/>
                    <w:tr2bl w:val="nil"/>
                  </w:tcBorders>
                  <w:noWrap w:val="0"/>
                  <w:tcMar>
                    <w:top w:w="0" w:type="dxa"/>
                    <w:left w:w="0" w:type="dxa"/>
                    <w:bottom w:w="0" w:type="dxa"/>
                    <w:right w:w="0" w:type="dxa"/>
                  </w:tcMar>
                  <w:vAlign w:val="center"/>
                </w:tcPr>
                <w:p w14:paraId="099C102F">
                  <w:pPr>
                    <w:pStyle w:val="3"/>
                    <w:spacing w:line="240" w:lineRule="auto"/>
                    <w:jc w:val="center"/>
                    <w:rPr>
                      <w:rFonts w:hint="eastAsia" w:ascii="Times New Roman" w:hAnsi="Times New Roman" w:eastAsia="宋体" w:cs="Times New Roman"/>
                      <w:b w:val="0"/>
                      <w:bCs w:val="0"/>
                      <w:snapToGrid w:val="0"/>
                      <w:color w:val="000000"/>
                      <w:kern w:val="0"/>
                      <w:sz w:val="21"/>
                      <w:szCs w:val="21"/>
                      <w:lang w:val="en-US" w:eastAsia="zh-CN" w:bidi="ar-SA"/>
                    </w:rPr>
                  </w:pPr>
                  <w:r>
                    <w:rPr>
                      <w:rFonts w:hint="default" w:ascii="Times New Roman" w:hAnsi="Times New Roman" w:eastAsia="宋体" w:cs="Times New Roman"/>
                      <w:b w:val="0"/>
                      <w:bCs w:val="0"/>
                      <w:snapToGrid w:val="0"/>
                      <w:color w:val="000000"/>
                      <w:kern w:val="0"/>
                      <w:sz w:val="21"/>
                      <w:szCs w:val="21"/>
                      <w:lang w:val="en-US" w:eastAsia="zh-CN" w:bidi="ar-SA"/>
                    </w:rPr>
                    <w:t>T，I</w:t>
                  </w:r>
                </w:p>
              </w:tc>
              <w:tc>
                <w:tcPr>
                  <w:tcW w:w="1368" w:type="dxa"/>
                  <w:vMerge w:val="restart"/>
                  <w:tcBorders>
                    <w:tl2br w:val="nil"/>
                    <w:tr2bl w:val="nil"/>
                  </w:tcBorders>
                  <w:noWrap w:val="0"/>
                  <w:tcMar>
                    <w:top w:w="0" w:type="dxa"/>
                    <w:left w:w="0" w:type="dxa"/>
                    <w:bottom w:w="0" w:type="dxa"/>
                    <w:right w:w="0" w:type="dxa"/>
                  </w:tcMar>
                  <w:vAlign w:val="center"/>
                </w:tcPr>
                <w:p w14:paraId="2D0C2462">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暂存于危废间，定期委托有资质的单位处理</w:t>
                  </w:r>
                </w:p>
              </w:tc>
            </w:tr>
            <w:tr w14:paraId="6ECCD7E3">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491" w:type="dxa"/>
                  <w:tcBorders>
                    <w:tl2br w:val="nil"/>
                    <w:tr2bl w:val="nil"/>
                  </w:tcBorders>
                  <w:noWrap w:val="0"/>
                  <w:tcMar>
                    <w:top w:w="0" w:type="dxa"/>
                    <w:left w:w="0" w:type="dxa"/>
                    <w:bottom w:w="0" w:type="dxa"/>
                    <w:right w:w="0" w:type="dxa"/>
                  </w:tcMar>
                  <w:vAlign w:val="center"/>
                </w:tcPr>
                <w:p w14:paraId="3592A6A0">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cs="Times New Roman"/>
                      <w:b w:val="0"/>
                      <w:bCs w:val="0"/>
                      <w:snapToGrid w:val="0"/>
                      <w:color w:val="000000"/>
                      <w:kern w:val="0"/>
                      <w:sz w:val="21"/>
                      <w:szCs w:val="21"/>
                      <w:highlight w:val="none"/>
                      <w:lang w:val="en-US" w:eastAsia="zh-CN" w:bidi="ar-SA"/>
                    </w:rPr>
                    <w:t>7</w:t>
                  </w:r>
                </w:p>
              </w:tc>
              <w:tc>
                <w:tcPr>
                  <w:tcW w:w="859" w:type="dxa"/>
                  <w:tcBorders>
                    <w:tl2br w:val="nil"/>
                    <w:tr2bl w:val="nil"/>
                  </w:tcBorders>
                  <w:noWrap w:val="0"/>
                  <w:tcMar>
                    <w:top w:w="0" w:type="dxa"/>
                    <w:left w:w="0" w:type="dxa"/>
                    <w:bottom w:w="0" w:type="dxa"/>
                    <w:right w:w="0" w:type="dxa"/>
                  </w:tcMar>
                  <w:vAlign w:val="center"/>
                </w:tcPr>
                <w:p w14:paraId="658F10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cs="Times New Roman"/>
                      <w:color w:val="000000"/>
                      <w:kern w:val="0"/>
                      <w:sz w:val="21"/>
                      <w:szCs w:val="21"/>
                      <w:highlight w:val="none"/>
                      <w:vertAlign w:val="baseline"/>
                      <w:lang w:val="en-US" w:eastAsia="zh-CN" w:bidi="ar"/>
                    </w:rPr>
                    <w:t>沥青沾染物</w:t>
                  </w:r>
                </w:p>
              </w:tc>
              <w:tc>
                <w:tcPr>
                  <w:tcW w:w="904" w:type="dxa"/>
                  <w:tcBorders>
                    <w:tl2br w:val="nil"/>
                    <w:tr2bl w:val="nil"/>
                  </w:tcBorders>
                  <w:noWrap w:val="0"/>
                  <w:tcMar>
                    <w:top w:w="0" w:type="dxa"/>
                    <w:left w:w="0" w:type="dxa"/>
                    <w:bottom w:w="0" w:type="dxa"/>
                    <w:right w:w="0" w:type="dxa"/>
                  </w:tcMar>
                  <w:vAlign w:val="center"/>
                </w:tcPr>
                <w:p w14:paraId="1B328913">
                  <w:pPr>
                    <w:pStyle w:val="3"/>
                    <w:spacing w:line="240" w:lineRule="auto"/>
                    <w:jc w:val="center"/>
                    <w:rPr>
                      <w:rFonts w:hint="eastAsia"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设备维护</w:t>
                  </w:r>
                </w:p>
              </w:tc>
              <w:tc>
                <w:tcPr>
                  <w:tcW w:w="746" w:type="dxa"/>
                  <w:tcBorders>
                    <w:tl2br w:val="nil"/>
                    <w:tr2bl w:val="nil"/>
                  </w:tcBorders>
                  <w:noWrap w:val="0"/>
                  <w:tcMar>
                    <w:top w:w="0" w:type="dxa"/>
                    <w:left w:w="0" w:type="dxa"/>
                    <w:bottom w:w="0" w:type="dxa"/>
                    <w:right w:w="0" w:type="dxa"/>
                  </w:tcMar>
                  <w:vAlign w:val="center"/>
                </w:tcPr>
                <w:p w14:paraId="22ADC95E">
                  <w:pPr>
                    <w:pStyle w:val="3"/>
                    <w:spacing w:line="240" w:lineRule="auto"/>
                    <w:jc w:val="center"/>
                    <w:rPr>
                      <w:rFonts w:hint="eastAsia" w:ascii="Times New Roman" w:hAnsi="Times New Roman" w:eastAsia="宋体" w:cs="Times New Roman"/>
                      <w:b w:val="0"/>
                      <w:bCs w:val="0"/>
                      <w:snapToGrid w:val="0"/>
                      <w:color w:val="000000"/>
                      <w:kern w:val="0"/>
                      <w:sz w:val="21"/>
                      <w:szCs w:val="21"/>
                      <w:lang w:val="en-US" w:eastAsia="zh-CN" w:bidi="ar-SA"/>
                    </w:rPr>
                  </w:pPr>
                  <w:r>
                    <w:rPr>
                      <w:rFonts w:hint="eastAsia" w:ascii="Times New Roman" w:hAnsi="Times New Roman" w:eastAsia="宋体" w:cs="Times New Roman"/>
                      <w:b w:val="0"/>
                      <w:bCs w:val="0"/>
                      <w:snapToGrid w:val="0"/>
                      <w:color w:val="000000"/>
                      <w:kern w:val="0"/>
                      <w:sz w:val="21"/>
                      <w:szCs w:val="21"/>
                      <w:lang w:val="en-US" w:eastAsia="zh-CN" w:bidi="ar-SA"/>
                    </w:rPr>
                    <w:t>HW08</w:t>
                  </w:r>
                </w:p>
              </w:tc>
              <w:tc>
                <w:tcPr>
                  <w:tcW w:w="1156" w:type="dxa"/>
                  <w:tcBorders>
                    <w:tl2br w:val="nil"/>
                    <w:tr2bl w:val="nil"/>
                  </w:tcBorders>
                  <w:noWrap w:val="0"/>
                  <w:tcMar>
                    <w:top w:w="0" w:type="dxa"/>
                    <w:left w:w="0" w:type="dxa"/>
                    <w:bottom w:w="0" w:type="dxa"/>
                    <w:right w:w="0" w:type="dxa"/>
                  </w:tcMar>
                  <w:vAlign w:val="center"/>
                </w:tcPr>
                <w:p w14:paraId="523D99C4">
                  <w:pPr>
                    <w:pStyle w:val="3"/>
                    <w:spacing w:line="240" w:lineRule="auto"/>
                    <w:jc w:val="center"/>
                    <w:rPr>
                      <w:rFonts w:hint="default" w:ascii="Times New Roman" w:hAnsi="Times New Roman" w:eastAsia="宋体" w:cs="Times New Roman"/>
                      <w:b w:val="0"/>
                      <w:bCs w:val="0"/>
                      <w:snapToGrid w:val="0"/>
                      <w:color w:val="000000"/>
                      <w:kern w:val="0"/>
                      <w:sz w:val="21"/>
                      <w:szCs w:val="21"/>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900-249-08</w:t>
                  </w:r>
                </w:p>
              </w:tc>
              <w:tc>
                <w:tcPr>
                  <w:tcW w:w="434" w:type="dxa"/>
                  <w:tcBorders>
                    <w:tl2br w:val="nil"/>
                    <w:tr2bl w:val="nil"/>
                  </w:tcBorders>
                  <w:noWrap w:val="0"/>
                  <w:tcMar>
                    <w:top w:w="0" w:type="dxa"/>
                    <w:left w:w="0" w:type="dxa"/>
                    <w:bottom w:w="0" w:type="dxa"/>
                    <w:right w:w="0" w:type="dxa"/>
                  </w:tcMar>
                  <w:vAlign w:val="center"/>
                </w:tcPr>
                <w:p w14:paraId="62EF98F5">
                  <w:pPr>
                    <w:pStyle w:val="3"/>
                    <w:spacing w:line="240" w:lineRule="auto"/>
                    <w:jc w:val="center"/>
                    <w:rPr>
                      <w:rFonts w:hint="eastAsia" w:ascii="Times New Roman" w:hAnsi="Times New Roman" w:eastAsia="宋体" w:cs="Times New Roman"/>
                      <w:b w:val="0"/>
                      <w:bCs w:val="0"/>
                      <w:snapToGrid w:val="0"/>
                      <w:color w:val="000000"/>
                      <w:kern w:val="0"/>
                      <w:sz w:val="21"/>
                      <w:szCs w:val="21"/>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固</w:t>
                  </w:r>
                </w:p>
              </w:tc>
              <w:tc>
                <w:tcPr>
                  <w:tcW w:w="702" w:type="dxa"/>
                  <w:tcBorders>
                    <w:tl2br w:val="nil"/>
                    <w:tr2bl w:val="nil"/>
                  </w:tcBorders>
                  <w:noWrap w:val="0"/>
                  <w:tcMar>
                    <w:top w:w="0" w:type="dxa"/>
                    <w:left w:w="0" w:type="dxa"/>
                    <w:bottom w:w="0" w:type="dxa"/>
                    <w:right w:w="0" w:type="dxa"/>
                  </w:tcMar>
                  <w:vAlign w:val="center"/>
                </w:tcPr>
                <w:p w14:paraId="76296B00">
                  <w:pPr>
                    <w:pStyle w:val="3"/>
                    <w:spacing w:line="240" w:lineRule="auto"/>
                    <w:jc w:val="center"/>
                    <w:rPr>
                      <w:rFonts w:hint="default" w:ascii="Times New Roman" w:hAnsi="Times New Roman" w:eastAsia="宋体" w:cs="Times New Roman"/>
                      <w:b w:val="0"/>
                      <w:bCs w:val="0"/>
                      <w:snapToGrid w:val="0"/>
                      <w:color w:val="000000"/>
                      <w:kern w:val="0"/>
                      <w:sz w:val="21"/>
                      <w:szCs w:val="21"/>
                      <w:lang w:val="en-US" w:eastAsia="zh-CN" w:bidi="ar-SA"/>
                    </w:rPr>
                  </w:pPr>
                  <w:r>
                    <w:rPr>
                      <w:rFonts w:hint="eastAsia" w:cs="Times New Roman"/>
                      <w:b w:val="0"/>
                      <w:bCs w:val="0"/>
                      <w:snapToGrid w:val="0"/>
                      <w:color w:val="000000"/>
                      <w:kern w:val="0"/>
                      <w:sz w:val="21"/>
                      <w:szCs w:val="21"/>
                      <w:lang w:val="en-US" w:eastAsia="zh-CN" w:bidi="ar-SA"/>
                    </w:rPr>
                    <w:t>3</w:t>
                  </w:r>
                </w:p>
              </w:tc>
              <w:tc>
                <w:tcPr>
                  <w:tcW w:w="719" w:type="dxa"/>
                  <w:tcBorders>
                    <w:tl2br w:val="nil"/>
                    <w:tr2bl w:val="nil"/>
                  </w:tcBorders>
                  <w:noWrap w:val="0"/>
                  <w:tcMar>
                    <w:top w:w="0" w:type="dxa"/>
                    <w:left w:w="0" w:type="dxa"/>
                    <w:bottom w:w="0" w:type="dxa"/>
                    <w:right w:w="0" w:type="dxa"/>
                  </w:tcMar>
                  <w:vAlign w:val="center"/>
                </w:tcPr>
                <w:p w14:paraId="79E1240F">
                  <w:pPr>
                    <w:pStyle w:val="3"/>
                    <w:spacing w:line="240" w:lineRule="auto"/>
                    <w:jc w:val="center"/>
                    <w:rPr>
                      <w:rFonts w:hint="eastAsia" w:ascii="Times New Roman" w:hAnsi="Times New Roman" w:eastAsia="宋体" w:cs="Times New Roman"/>
                      <w:b w:val="0"/>
                      <w:bCs w:val="0"/>
                      <w:snapToGrid w:val="0"/>
                      <w:color w:val="000000"/>
                      <w:kern w:val="0"/>
                      <w:sz w:val="21"/>
                      <w:szCs w:val="21"/>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沥青油</w:t>
                  </w:r>
                </w:p>
              </w:tc>
              <w:tc>
                <w:tcPr>
                  <w:tcW w:w="619" w:type="dxa"/>
                  <w:tcBorders>
                    <w:tl2br w:val="nil"/>
                    <w:tr2bl w:val="nil"/>
                  </w:tcBorders>
                  <w:noWrap w:val="0"/>
                  <w:tcMar>
                    <w:top w:w="0" w:type="dxa"/>
                    <w:left w:w="0" w:type="dxa"/>
                    <w:bottom w:w="0" w:type="dxa"/>
                    <w:right w:w="0" w:type="dxa"/>
                  </w:tcMar>
                  <w:vAlign w:val="center"/>
                </w:tcPr>
                <w:p w14:paraId="4C2CDE51">
                  <w:pPr>
                    <w:pStyle w:val="3"/>
                    <w:spacing w:line="240" w:lineRule="auto"/>
                    <w:jc w:val="center"/>
                    <w:rPr>
                      <w:rFonts w:hint="default" w:ascii="Times New Roman" w:hAnsi="Times New Roman" w:eastAsia="宋体" w:cs="Times New Roman"/>
                      <w:b w:val="0"/>
                      <w:bCs w:val="0"/>
                      <w:snapToGrid w:val="0"/>
                      <w:color w:val="000000"/>
                      <w:kern w:val="0"/>
                      <w:sz w:val="21"/>
                      <w:szCs w:val="21"/>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T，I</w:t>
                  </w:r>
                </w:p>
              </w:tc>
              <w:tc>
                <w:tcPr>
                  <w:tcW w:w="1368" w:type="dxa"/>
                  <w:vMerge w:val="continue"/>
                  <w:tcBorders>
                    <w:tl2br w:val="nil"/>
                    <w:tr2bl w:val="nil"/>
                  </w:tcBorders>
                  <w:noWrap w:val="0"/>
                  <w:tcMar>
                    <w:top w:w="0" w:type="dxa"/>
                    <w:left w:w="0" w:type="dxa"/>
                    <w:bottom w:w="0" w:type="dxa"/>
                    <w:right w:w="0" w:type="dxa"/>
                  </w:tcMar>
                  <w:vAlign w:val="center"/>
                </w:tcPr>
                <w:p w14:paraId="283BF1E2">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p>
              </w:tc>
            </w:tr>
            <w:tr w14:paraId="31DAB4C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491" w:type="dxa"/>
                  <w:tcBorders>
                    <w:tl2br w:val="nil"/>
                    <w:tr2bl w:val="nil"/>
                  </w:tcBorders>
                  <w:noWrap w:val="0"/>
                  <w:tcMar>
                    <w:top w:w="0" w:type="dxa"/>
                    <w:left w:w="0" w:type="dxa"/>
                    <w:bottom w:w="0" w:type="dxa"/>
                    <w:right w:w="0" w:type="dxa"/>
                  </w:tcMar>
                  <w:vAlign w:val="center"/>
                </w:tcPr>
                <w:p w14:paraId="0E58F26D">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cs="Times New Roman"/>
                      <w:b w:val="0"/>
                      <w:bCs w:val="0"/>
                      <w:snapToGrid w:val="0"/>
                      <w:color w:val="000000"/>
                      <w:kern w:val="0"/>
                      <w:sz w:val="21"/>
                      <w:szCs w:val="21"/>
                      <w:highlight w:val="none"/>
                      <w:lang w:val="en-US" w:eastAsia="zh-CN" w:bidi="ar-SA"/>
                    </w:rPr>
                    <w:t>8</w:t>
                  </w:r>
                </w:p>
              </w:tc>
              <w:tc>
                <w:tcPr>
                  <w:tcW w:w="859" w:type="dxa"/>
                  <w:tcBorders>
                    <w:tl2br w:val="nil"/>
                    <w:tr2bl w:val="nil"/>
                  </w:tcBorders>
                  <w:noWrap w:val="0"/>
                  <w:tcMar>
                    <w:top w:w="0" w:type="dxa"/>
                    <w:left w:w="0" w:type="dxa"/>
                    <w:bottom w:w="0" w:type="dxa"/>
                    <w:right w:w="0" w:type="dxa"/>
                  </w:tcMar>
                  <w:vAlign w:val="center"/>
                </w:tcPr>
                <w:p w14:paraId="259AD5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生活垃圾</w:t>
                  </w:r>
                </w:p>
              </w:tc>
              <w:tc>
                <w:tcPr>
                  <w:tcW w:w="904" w:type="dxa"/>
                  <w:tcBorders>
                    <w:tl2br w:val="nil"/>
                    <w:tr2bl w:val="nil"/>
                  </w:tcBorders>
                  <w:noWrap w:val="0"/>
                  <w:tcMar>
                    <w:top w:w="0" w:type="dxa"/>
                    <w:left w:w="0" w:type="dxa"/>
                    <w:bottom w:w="0" w:type="dxa"/>
                    <w:right w:w="0" w:type="dxa"/>
                  </w:tcMar>
                  <w:vAlign w:val="center"/>
                </w:tcPr>
                <w:p w14:paraId="240D93D7">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员工生活</w:t>
                  </w:r>
                </w:p>
              </w:tc>
              <w:tc>
                <w:tcPr>
                  <w:tcW w:w="746" w:type="dxa"/>
                  <w:tcBorders>
                    <w:tl2br w:val="nil"/>
                    <w:tr2bl w:val="nil"/>
                  </w:tcBorders>
                  <w:noWrap w:val="0"/>
                  <w:tcMar>
                    <w:top w:w="0" w:type="dxa"/>
                    <w:left w:w="0" w:type="dxa"/>
                    <w:bottom w:w="0" w:type="dxa"/>
                    <w:right w:w="0" w:type="dxa"/>
                  </w:tcMar>
                  <w:vAlign w:val="center"/>
                </w:tcPr>
                <w:p w14:paraId="11CCFF68">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w:t>
                  </w:r>
                </w:p>
              </w:tc>
              <w:tc>
                <w:tcPr>
                  <w:tcW w:w="1156" w:type="dxa"/>
                  <w:tcBorders>
                    <w:tl2br w:val="nil"/>
                    <w:tr2bl w:val="nil"/>
                  </w:tcBorders>
                  <w:noWrap w:val="0"/>
                  <w:tcMar>
                    <w:top w:w="0" w:type="dxa"/>
                    <w:left w:w="0" w:type="dxa"/>
                    <w:bottom w:w="0" w:type="dxa"/>
                    <w:right w:w="0" w:type="dxa"/>
                  </w:tcMar>
                  <w:vAlign w:val="center"/>
                </w:tcPr>
                <w:p w14:paraId="3FEAF7BE">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w:t>
                  </w:r>
                </w:p>
              </w:tc>
              <w:tc>
                <w:tcPr>
                  <w:tcW w:w="434" w:type="dxa"/>
                  <w:tcBorders>
                    <w:tl2br w:val="nil"/>
                    <w:tr2bl w:val="nil"/>
                  </w:tcBorders>
                  <w:noWrap w:val="0"/>
                  <w:tcMar>
                    <w:top w:w="0" w:type="dxa"/>
                    <w:left w:w="0" w:type="dxa"/>
                    <w:bottom w:w="0" w:type="dxa"/>
                    <w:right w:w="0" w:type="dxa"/>
                  </w:tcMar>
                  <w:vAlign w:val="center"/>
                </w:tcPr>
                <w:p w14:paraId="72D9E9CA">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固</w:t>
                  </w:r>
                </w:p>
              </w:tc>
              <w:tc>
                <w:tcPr>
                  <w:tcW w:w="702" w:type="dxa"/>
                  <w:tcBorders>
                    <w:tl2br w:val="nil"/>
                    <w:tr2bl w:val="nil"/>
                  </w:tcBorders>
                  <w:noWrap w:val="0"/>
                  <w:tcMar>
                    <w:top w:w="0" w:type="dxa"/>
                    <w:left w:w="0" w:type="dxa"/>
                    <w:bottom w:w="0" w:type="dxa"/>
                    <w:right w:w="0" w:type="dxa"/>
                  </w:tcMar>
                  <w:vAlign w:val="center"/>
                </w:tcPr>
                <w:p w14:paraId="41A3A607">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cs="Times New Roman"/>
                      <w:b w:val="0"/>
                      <w:bCs w:val="0"/>
                      <w:snapToGrid w:val="0"/>
                      <w:color w:val="000000"/>
                      <w:kern w:val="0"/>
                      <w:sz w:val="21"/>
                      <w:szCs w:val="21"/>
                      <w:highlight w:val="none"/>
                      <w:lang w:val="en-US" w:eastAsia="zh-CN" w:bidi="ar-SA"/>
                    </w:rPr>
                    <w:t>1.44</w:t>
                  </w:r>
                </w:p>
              </w:tc>
              <w:tc>
                <w:tcPr>
                  <w:tcW w:w="719" w:type="dxa"/>
                  <w:tcBorders>
                    <w:tl2br w:val="nil"/>
                    <w:tr2bl w:val="nil"/>
                  </w:tcBorders>
                  <w:noWrap w:val="0"/>
                  <w:tcMar>
                    <w:top w:w="0" w:type="dxa"/>
                    <w:left w:w="0" w:type="dxa"/>
                    <w:bottom w:w="0" w:type="dxa"/>
                    <w:right w:w="0" w:type="dxa"/>
                  </w:tcMar>
                  <w:vAlign w:val="center"/>
                </w:tcPr>
                <w:p w14:paraId="10534709">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w:t>
                  </w:r>
                </w:p>
              </w:tc>
              <w:tc>
                <w:tcPr>
                  <w:tcW w:w="619" w:type="dxa"/>
                  <w:tcBorders>
                    <w:tl2br w:val="nil"/>
                    <w:tr2bl w:val="nil"/>
                  </w:tcBorders>
                  <w:noWrap w:val="0"/>
                  <w:tcMar>
                    <w:top w:w="0" w:type="dxa"/>
                    <w:left w:w="0" w:type="dxa"/>
                    <w:bottom w:w="0" w:type="dxa"/>
                    <w:right w:w="0" w:type="dxa"/>
                  </w:tcMar>
                  <w:vAlign w:val="center"/>
                </w:tcPr>
                <w:p w14:paraId="1C6697D3">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w:t>
                  </w:r>
                </w:p>
              </w:tc>
              <w:tc>
                <w:tcPr>
                  <w:tcW w:w="1368" w:type="dxa"/>
                  <w:tcBorders>
                    <w:tl2br w:val="nil"/>
                    <w:tr2bl w:val="nil"/>
                  </w:tcBorders>
                  <w:noWrap w:val="0"/>
                  <w:tcMar>
                    <w:top w:w="0" w:type="dxa"/>
                    <w:left w:w="0" w:type="dxa"/>
                    <w:bottom w:w="0" w:type="dxa"/>
                    <w:right w:w="0" w:type="dxa"/>
                  </w:tcMar>
                  <w:vAlign w:val="center"/>
                </w:tcPr>
                <w:p w14:paraId="2364FD14">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环卫部门清运</w:t>
                  </w:r>
                </w:p>
              </w:tc>
            </w:tr>
          </w:tbl>
          <w:p w14:paraId="3B124702">
            <w:pPr>
              <w:pStyle w:val="3"/>
              <w:keepNext/>
              <w:keepLines/>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综上所述，本</w:t>
            </w:r>
            <w:r>
              <w:rPr>
                <w:rFonts w:hint="eastAsia" w:cs="Times New Roman"/>
                <w:b w:val="0"/>
                <w:bCs w:val="0"/>
                <w:snapToGrid w:val="0"/>
                <w:color w:val="000000"/>
                <w:kern w:val="0"/>
                <w:sz w:val="24"/>
                <w:szCs w:val="24"/>
                <w:highlight w:val="none"/>
                <w:lang w:val="en-US" w:eastAsia="zh-CN" w:bidi="ar-SA"/>
              </w:rPr>
              <w:t>项目所有</w:t>
            </w:r>
            <w:r>
              <w:rPr>
                <w:rFonts w:hint="default" w:ascii="Times New Roman" w:hAnsi="Times New Roman" w:eastAsia="宋体" w:cs="Times New Roman"/>
                <w:b w:val="0"/>
                <w:bCs w:val="0"/>
                <w:snapToGrid w:val="0"/>
                <w:color w:val="000000"/>
                <w:kern w:val="0"/>
                <w:sz w:val="24"/>
                <w:szCs w:val="24"/>
                <w:highlight w:val="none"/>
                <w:lang w:val="en-US" w:eastAsia="zh-CN" w:bidi="ar-SA"/>
              </w:rPr>
              <w:t>固体废物均得到妥善处置，对外环境造成的影响较小。</w:t>
            </w:r>
          </w:p>
          <w:p w14:paraId="355798C6">
            <w:pPr>
              <w:pStyle w:val="3"/>
              <w:numPr>
                <w:ilvl w:val="0"/>
                <w:numId w:val="0"/>
              </w:numPr>
              <w:spacing w:line="360" w:lineRule="auto"/>
              <w:ind w:firstLine="0" w:firstLineChars="0"/>
              <w:rPr>
                <w:rFonts w:hint="default" w:ascii="Times New Roman" w:hAnsi="Times New Roman" w:eastAsia="宋体" w:cs="Times New Roman"/>
                <w:b/>
                <w:bCs/>
                <w:kern w:val="2"/>
                <w:sz w:val="24"/>
                <w:szCs w:val="24"/>
                <w:highlight w:val="none"/>
                <w:lang w:val="en-US" w:eastAsia="zh-CN" w:bidi="ar-SA"/>
              </w:rPr>
            </w:pPr>
            <w:r>
              <w:rPr>
                <w:rFonts w:hint="eastAsia" w:ascii="Times New Roman" w:hAnsi="Times New Roman" w:eastAsia="宋体" w:cs="Times New Roman"/>
                <w:b/>
                <w:bCs/>
                <w:kern w:val="2"/>
                <w:sz w:val="24"/>
                <w:szCs w:val="24"/>
                <w:highlight w:val="none"/>
                <w:lang w:val="en-US" w:eastAsia="zh-CN" w:bidi="ar-SA"/>
              </w:rPr>
              <w:t>5项目“三本账”</w:t>
            </w:r>
          </w:p>
          <w:p w14:paraId="2DFD0204">
            <w:pPr>
              <w:tabs>
                <w:tab w:val="left" w:pos="3469"/>
              </w:tabs>
              <w:adjustRightInd w:val="0"/>
              <w:snapToGrid w:val="0"/>
              <w:spacing w:line="360" w:lineRule="auto"/>
              <w:ind w:firstLine="480" w:firstLineChars="200"/>
              <w:rPr>
                <w:rFonts w:ascii="Times New Roman" w:hAnsi="Times New Roman" w:eastAsia="宋体" w:cs="Times New Roman"/>
                <w:kern w:val="0"/>
                <w:sz w:val="24"/>
              </w:rPr>
            </w:pPr>
            <w:r>
              <w:rPr>
                <w:rFonts w:hint="eastAsia" w:ascii="Times New Roman" w:hAnsi="Times New Roman" w:eastAsia="宋体" w:cs="Times New Roman"/>
                <w:kern w:val="0"/>
                <w:sz w:val="24"/>
              </w:rPr>
              <w:t>新疆</w:t>
            </w:r>
            <w:r>
              <w:rPr>
                <w:rFonts w:hint="eastAsia" w:cs="Times New Roman"/>
                <w:kern w:val="0"/>
                <w:sz w:val="24"/>
                <w:lang w:val="en-US" w:eastAsia="zh-CN"/>
              </w:rPr>
              <w:t>建疆防水新材料</w:t>
            </w:r>
            <w:r>
              <w:rPr>
                <w:rFonts w:hint="eastAsia" w:ascii="Times New Roman" w:hAnsi="Times New Roman" w:eastAsia="宋体" w:cs="Times New Roman"/>
                <w:kern w:val="0"/>
                <w:sz w:val="24"/>
              </w:rPr>
              <w:t>有限公司建设地点位于新疆昌吉州昌吉市高新技术产业开发区东四路与科荟路交叉口东南方向98米，根据《新疆</w:t>
            </w:r>
            <w:r>
              <w:rPr>
                <w:rFonts w:hint="eastAsia" w:ascii="Times New Roman" w:hAnsi="Times New Roman" w:eastAsia="宋体" w:cs="Times New Roman"/>
                <w:kern w:val="0"/>
                <w:sz w:val="24"/>
                <w:lang w:val="en-US" w:eastAsia="zh-CN"/>
              </w:rPr>
              <w:t>天</w:t>
            </w:r>
            <w:r>
              <w:rPr>
                <w:rFonts w:hint="eastAsia" w:cs="Times New Roman"/>
                <w:kern w:val="0"/>
                <w:sz w:val="24"/>
                <w:lang w:val="en-US" w:eastAsia="zh-CN"/>
              </w:rPr>
              <w:t>佳</w:t>
            </w:r>
            <w:r>
              <w:rPr>
                <w:rFonts w:hint="eastAsia" w:ascii="Times New Roman" w:hAnsi="Times New Roman" w:eastAsia="宋体" w:cs="Times New Roman"/>
                <w:kern w:val="0"/>
                <w:sz w:val="24"/>
                <w:lang w:val="en-US" w:eastAsia="zh-CN"/>
              </w:rPr>
              <w:t>利美防水保温</w:t>
            </w:r>
            <w:r>
              <w:rPr>
                <w:rFonts w:hint="eastAsia" w:ascii="Times New Roman" w:hAnsi="Times New Roman" w:eastAsia="宋体" w:cs="Times New Roman"/>
                <w:kern w:val="0"/>
                <w:sz w:val="24"/>
              </w:rPr>
              <w:t>有限公司年产</w:t>
            </w:r>
            <w:r>
              <w:rPr>
                <w:rFonts w:hint="eastAsia" w:ascii="Times New Roman" w:hAnsi="Times New Roman" w:eastAsia="宋体" w:cs="Times New Roman"/>
                <w:kern w:val="0"/>
                <w:sz w:val="24"/>
                <w:lang w:val="en-US" w:eastAsia="zh-CN"/>
              </w:rPr>
              <w:t>1000万m</w:t>
            </w:r>
            <w:r>
              <w:rPr>
                <w:rFonts w:hint="eastAsia" w:ascii="Times New Roman" w:hAnsi="Times New Roman" w:eastAsia="宋体" w:cs="Times New Roman"/>
                <w:kern w:val="0"/>
                <w:sz w:val="24"/>
                <w:vertAlign w:val="superscript"/>
                <w:lang w:val="en-US" w:eastAsia="zh-CN"/>
              </w:rPr>
              <w:t>2</w:t>
            </w:r>
            <w:r>
              <w:rPr>
                <w:rFonts w:hint="eastAsia" w:ascii="Times New Roman" w:hAnsi="Times New Roman" w:eastAsia="宋体" w:cs="Times New Roman"/>
                <w:kern w:val="0"/>
                <w:sz w:val="24"/>
                <w:lang w:val="en-US" w:eastAsia="zh-CN"/>
              </w:rPr>
              <w:t>防水卷材料</w:t>
            </w:r>
            <w:r>
              <w:rPr>
                <w:rFonts w:hint="eastAsia" w:ascii="Times New Roman" w:hAnsi="Times New Roman" w:eastAsia="宋体" w:cs="Times New Roman"/>
                <w:kern w:val="0"/>
                <w:sz w:val="24"/>
              </w:rPr>
              <w:t>项目》环评批复：项目扩建前主要产品</w:t>
            </w:r>
            <w:r>
              <w:rPr>
                <w:rFonts w:hint="eastAsia" w:ascii="Times New Roman" w:hAnsi="Times New Roman" w:eastAsia="宋体" w:cs="Times New Roman"/>
                <w:kern w:val="0"/>
                <w:sz w:val="24"/>
                <w:lang w:val="en-US" w:eastAsia="zh-CN"/>
              </w:rPr>
              <w:t>1000万m</w:t>
            </w:r>
            <w:r>
              <w:rPr>
                <w:rFonts w:hint="eastAsia" w:ascii="Times New Roman" w:hAnsi="Times New Roman" w:eastAsia="宋体" w:cs="Times New Roman"/>
                <w:kern w:val="0"/>
                <w:sz w:val="24"/>
                <w:vertAlign w:val="superscript"/>
                <w:lang w:val="en-US" w:eastAsia="zh-CN"/>
              </w:rPr>
              <w:t>2</w:t>
            </w:r>
            <w:r>
              <w:rPr>
                <w:rFonts w:hint="eastAsia" w:ascii="Times New Roman" w:hAnsi="Times New Roman" w:eastAsia="宋体" w:cs="Times New Roman"/>
                <w:kern w:val="0"/>
                <w:sz w:val="24"/>
                <w:lang w:val="en-US" w:eastAsia="zh-CN"/>
              </w:rPr>
              <w:t>防水卷材料项目。</w:t>
            </w:r>
            <w:r>
              <w:rPr>
                <w:rFonts w:hint="eastAsia" w:ascii="Times New Roman" w:hAnsi="Times New Roman" w:eastAsia="宋体" w:cs="Times New Roman"/>
                <w:kern w:val="0"/>
                <w:sz w:val="24"/>
              </w:rPr>
              <w:t>改扩建后，</w:t>
            </w:r>
            <w:r>
              <w:rPr>
                <w:rFonts w:hint="eastAsia" w:ascii="Times New Roman" w:hAnsi="Times New Roman" w:eastAsia="宋体" w:cs="Times New Roman"/>
                <w:kern w:val="0"/>
                <w:sz w:val="24"/>
                <w:lang w:val="en-US" w:eastAsia="zh-CN"/>
              </w:rPr>
              <w:t>主要产品</w:t>
            </w:r>
            <w:r>
              <w:rPr>
                <w:rFonts w:hint="eastAsia" w:cs="Times New Roman"/>
                <w:kern w:val="0"/>
                <w:sz w:val="24"/>
                <w:lang w:val="en-US" w:eastAsia="zh-CN"/>
              </w:rPr>
              <w:t>为</w:t>
            </w:r>
            <w:r>
              <w:rPr>
                <w:rFonts w:hint="eastAsia" w:ascii="Times New Roman" w:hAnsi="Times New Roman" w:eastAsia="宋体" w:cs="Times New Roman"/>
                <w:kern w:val="0"/>
                <w:sz w:val="24"/>
                <w:lang w:val="en-US" w:eastAsia="zh-CN"/>
              </w:rPr>
              <w:t>1</w:t>
            </w:r>
            <w:r>
              <w:rPr>
                <w:rFonts w:hint="eastAsia" w:cs="Times New Roman"/>
                <w:kern w:val="0"/>
                <w:sz w:val="24"/>
                <w:lang w:val="en-US" w:eastAsia="zh-CN"/>
              </w:rPr>
              <w:t>0</w:t>
            </w:r>
            <w:r>
              <w:rPr>
                <w:rFonts w:hint="eastAsia" w:ascii="Times New Roman" w:hAnsi="Times New Roman" w:eastAsia="宋体" w:cs="Times New Roman"/>
                <w:kern w:val="0"/>
                <w:sz w:val="24"/>
                <w:lang w:val="en-US" w:eastAsia="zh-CN"/>
              </w:rPr>
              <w:t>00万m</w:t>
            </w:r>
            <w:r>
              <w:rPr>
                <w:rFonts w:hint="eastAsia" w:ascii="Times New Roman" w:hAnsi="Times New Roman" w:eastAsia="宋体" w:cs="Times New Roman"/>
                <w:kern w:val="0"/>
                <w:sz w:val="24"/>
                <w:vertAlign w:val="superscript"/>
                <w:lang w:val="en-US" w:eastAsia="zh-CN"/>
              </w:rPr>
              <w:t>2</w:t>
            </w:r>
            <w:r>
              <w:rPr>
                <w:rFonts w:hint="eastAsia" w:ascii="Times New Roman" w:hAnsi="Times New Roman" w:eastAsia="宋体" w:cs="Times New Roman"/>
                <w:kern w:val="0"/>
                <w:sz w:val="24"/>
                <w:lang w:val="en-US" w:eastAsia="zh-CN"/>
              </w:rPr>
              <w:t>防水卷材料及800吨防水涂料。</w:t>
            </w:r>
          </w:p>
          <w:p w14:paraId="483708BE">
            <w:pPr>
              <w:tabs>
                <w:tab w:val="left" w:pos="3469"/>
              </w:tabs>
              <w:adjustRightInd w:val="0"/>
              <w:snapToGrid w:val="0"/>
              <w:spacing w:line="360" w:lineRule="auto"/>
              <w:ind w:firstLine="480" w:firstLineChars="200"/>
              <w:rPr>
                <w:rFonts w:hint="eastAsia" w:ascii="Times New Roman" w:hAnsi="Times New Roman" w:eastAsia="宋体" w:cs="Times New Roman"/>
                <w:kern w:val="0"/>
                <w:sz w:val="24"/>
                <w:lang w:val="en-US" w:eastAsia="zh-CN"/>
              </w:rPr>
            </w:pPr>
            <w:r>
              <w:rPr>
                <w:rFonts w:hint="eastAsia" w:ascii="Times New Roman" w:hAnsi="Times New Roman" w:eastAsia="宋体" w:cs="Times New Roman"/>
                <w:kern w:val="0"/>
                <w:sz w:val="24"/>
              </w:rPr>
              <w:t>本次</w:t>
            </w:r>
            <w:r>
              <w:rPr>
                <w:rFonts w:ascii="Times New Roman" w:hAnsi="Times New Roman" w:eastAsia="宋体" w:cs="Times New Roman"/>
                <w:kern w:val="0"/>
                <w:sz w:val="24"/>
              </w:rPr>
              <w:t>扩建，在保持原有产品的基础上，</w:t>
            </w:r>
            <w:r>
              <w:rPr>
                <w:rFonts w:hint="eastAsia" w:ascii="Times New Roman" w:hAnsi="Times New Roman" w:eastAsia="宋体" w:cs="Times New Roman"/>
                <w:kern w:val="0"/>
                <w:sz w:val="24"/>
                <w:lang w:val="en-US" w:eastAsia="zh-CN"/>
              </w:rPr>
              <w:t>不</w:t>
            </w:r>
            <w:r>
              <w:rPr>
                <w:rFonts w:hint="eastAsia" w:ascii="Times New Roman" w:hAnsi="Times New Roman" w:eastAsia="宋体" w:cs="Times New Roman"/>
                <w:kern w:val="0"/>
                <w:sz w:val="24"/>
              </w:rPr>
              <w:t>新增</w:t>
            </w:r>
            <w:r>
              <w:rPr>
                <w:rFonts w:hint="eastAsia" w:ascii="Times New Roman" w:hAnsi="Times New Roman" w:eastAsia="宋体" w:cs="Times New Roman"/>
                <w:kern w:val="0"/>
                <w:sz w:val="24"/>
                <w:lang w:val="en-US" w:eastAsia="zh-CN"/>
              </w:rPr>
              <w:t>占地，在现有车间内</w:t>
            </w:r>
            <w:r>
              <w:rPr>
                <w:rFonts w:hint="eastAsia" w:cs="Times New Roman"/>
                <w:kern w:val="0"/>
                <w:sz w:val="24"/>
                <w:lang w:val="en-US" w:eastAsia="zh-CN"/>
              </w:rPr>
              <w:t>建设</w:t>
            </w:r>
            <w:r>
              <w:rPr>
                <w:rFonts w:hint="eastAsia" w:ascii="Times New Roman" w:hAnsi="Times New Roman" w:eastAsia="宋体" w:cs="Times New Roman"/>
                <w:kern w:val="0"/>
                <w:sz w:val="24"/>
                <w:lang w:val="en-US" w:eastAsia="zh-CN"/>
              </w:rPr>
              <w:t>一条500m2的防水卷生产线和800t涂料生产项目。</w:t>
            </w:r>
          </w:p>
          <w:p w14:paraId="75229DCC">
            <w:pPr>
              <w:tabs>
                <w:tab w:val="left" w:pos="3469"/>
              </w:tabs>
              <w:adjustRightInd w:val="0"/>
              <w:snapToGrid w:val="0"/>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kern w:val="0"/>
                <w:sz w:val="24"/>
              </w:rPr>
              <w:t>扩建前后项目污染物产排情况对比见下表4-1</w:t>
            </w:r>
            <w:r>
              <w:rPr>
                <w:rFonts w:hint="eastAsia" w:ascii="Times New Roman" w:hAnsi="Times New Roman" w:eastAsia="宋体" w:cs="Times New Roman"/>
                <w:kern w:val="0"/>
                <w:sz w:val="24"/>
                <w:lang w:val="en-US" w:eastAsia="zh-CN"/>
              </w:rPr>
              <w:t>2</w:t>
            </w:r>
          </w:p>
          <w:p w14:paraId="29706086">
            <w:pPr>
              <w:pStyle w:val="25"/>
              <w:rPr>
                <w:rFonts w:cs="Times New Roman"/>
              </w:rPr>
            </w:pPr>
            <w:r>
              <w:rPr>
                <w:rStyle w:val="47"/>
                <w:rFonts w:cs="Times New Roman"/>
              </w:rPr>
              <w:t>表4-1</w:t>
            </w:r>
            <w:r>
              <w:rPr>
                <w:rStyle w:val="47"/>
                <w:rFonts w:hint="eastAsia" w:cs="Times New Roman"/>
              </w:rPr>
              <w:t>3</w:t>
            </w:r>
            <w:r>
              <w:rPr>
                <w:rStyle w:val="47"/>
                <w:rFonts w:cs="Times New Roman"/>
              </w:rPr>
              <w:t xml:space="preserve">    项目“三本账”一览</w:t>
            </w:r>
            <w:r>
              <w:rPr>
                <w:rFonts w:cs="Times New Roman"/>
              </w:rPr>
              <w:t>表</w:t>
            </w:r>
          </w:p>
          <w:tbl>
            <w:tblPr>
              <w:tblStyle w:val="19"/>
              <w:tblW w:w="793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486"/>
              <w:gridCol w:w="1227"/>
              <w:gridCol w:w="1159"/>
              <w:gridCol w:w="952"/>
              <w:gridCol w:w="1552"/>
              <w:gridCol w:w="1094"/>
            </w:tblGrid>
            <w:tr w14:paraId="265ABA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tcBorders>
                    <w:top w:val="single" w:color="auto" w:sz="12" w:space="0"/>
                    <w:bottom w:val="single" w:color="auto" w:sz="12" w:space="0"/>
                  </w:tcBorders>
                  <w:tcMar>
                    <w:left w:w="28" w:type="dxa"/>
                    <w:right w:w="28" w:type="dxa"/>
                  </w:tcMar>
                  <w:vAlign w:val="center"/>
                </w:tcPr>
                <w:p w14:paraId="5733B6C4">
                  <w:pPr>
                    <w:pStyle w:val="28"/>
                    <w:rPr>
                      <w:b/>
                      <w:bCs/>
                    </w:rPr>
                  </w:pPr>
                  <w:r>
                    <w:rPr>
                      <w:b/>
                      <w:bCs/>
                    </w:rPr>
                    <w:t>项目</w:t>
                  </w:r>
                </w:p>
                <w:p w14:paraId="75F75EFB">
                  <w:pPr>
                    <w:pStyle w:val="28"/>
                    <w:rPr>
                      <w:b/>
                      <w:bCs/>
                    </w:rPr>
                  </w:pPr>
                  <w:r>
                    <w:rPr>
                      <w:b/>
                      <w:bCs/>
                    </w:rPr>
                    <w:t>分类</w:t>
                  </w:r>
                </w:p>
              </w:tc>
              <w:tc>
                <w:tcPr>
                  <w:tcW w:w="1486" w:type="dxa"/>
                  <w:tcBorders>
                    <w:top w:val="single" w:color="auto" w:sz="12" w:space="0"/>
                    <w:bottom w:val="single" w:color="auto" w:sz="12" w:space="0"/>
                  </w:tcBorders>
                  <w:tcMar>
                    <w:left w:w="28" w:type="dxa"/>
                    <w:right w:w="28" w:type="dxa"/>
                  </w:tcMar>
                  <w:vAlign w:val="center"/>
                </w:tcPr>
                <w:p w14:paraId="2E03C4F6">
                  <w:pPr>
                    <w:pStyle w:val="28"/>
                    <w:rPr>
                      <w:b/>
                      <w:bCs/>
                    </w:rPr>
                  </w:pPr>
                  <w:r>
                    <w:rPr>
                      <w:b/>
                      <w:bCs/>
                    </w:rPr>
                    <w:t>污染物名称</w:t>
                  </w:r>
                </w:p>
              </w:tc>
              <w:tc>
                <w:tcPr>
                  <w:tcW w:w="1227" w:type="dxa"/>
                  <w:tcBorders>
                    <w:top w:val="single" w:color="auto" w:sz="12" w:space="0"/>
                    <w:bottom w:val="single" w:color="auto" w:sz="12" w:space="0"/>
                  </w:tcBorders>
                  <w:tcMar>
                    <w:left w:w="28" w:type="dxa"/>
                    <w:right w:w="28" w:type="dxa"/>
                  </w:tcMar>
                  <w:vAlign w:val="center"/>
                </w:tcPr>
                <w:p w14:paraId="61A7DBEB">
                  <w:pPr>
                    <w:pStyle w:val="28"/>
                    <w:rPr>
                      <w:b/>
                      <w:bCs/>
                    </w:rPr>
                  </w:pPr>
                  <w:r>
                    <w:rPr>
                      <w:b/>
                      <w:bCs/>
                    </w:rPr>
                    <w:t>原有工程排放量（固体废物产生量t/a）</w:t>
                  </w:r>
                </w:p>
              </w:tc>
              <w:tc>
                <w:tcPr>
                  <w:tcW w:w="1159" w:type="dxa"/>
                  <w:tcBorders>
                    <w:top w:val="single" w:color="auto" w:sz="12" w:space="0"/>
                    <w:bottom w:val="single" w:color="auto" w:sz="12" w:space="0"/>
                  </w:tcBorders>
                  <w:tcMar>
                    <w:left w:w="28" w:type="dxa"/>
                    <w:right w:w="28" w:type="dxa"/>
                  </w:tcMar>
                  <w:vAlign w:val="center"/>
                </w:tcPr>
                <w:p w14:paraId="7FACBC4E">
                  <w:pPr>
                    <w:pStyle w:val="28"/>
                    <w:rPr>
                      <w:b/>
                      <w:bCs/>
                    </w:rPr>
                  </w:pPr>
                  <w:r>
                    <w:rPr>
                      <w:b/>
                      <w:bCs/>
                    </w:rPr>
                    <w:t>本项目排放量（固体废物产生量t/a）</w:t>
                  </w:r>
                </w:p>
              </w:tc>
              <w:tc>
                <w:tcPr>
                  <w:tcW w:w="952" w:type="dxa"/>
                  <w:tcBorders>
                    <w:top w:val="single" w:color="auto" w:sz="12" w:space="0"/>
                    <w:bottom w:val="single" w:color="auto" w:sz="12" w:space="0"/>
                  </w:tcBorders>
                  <w:tcMar>
                    <w:left w:w="28" w:type="dxa"/>
                    <w:right w:w="28" w:type="dxa"/>
                  </w:tcMar>
                  <w:vAlign w:val="center"/>
                </w:tcPr>
                <w:p w14:paraId="20C0F8CB">
                  <w:pPr>
                    <w:pStyle w:val="28"/>
                    <w:rPr>
                      <w:b/>
                      <w:bCs/>
                    </w:rPr>
                  </w:pPr>
                  <w:r>
                    <w:rPr>
                      <w:b/>
                      <w:bCs/>
                    </w:rPr>
                    <w:t>以新带老削减量t/a</w:t>
                  </w:r>
                </w:p>
              </w:tc>
              <w:tc>
                <w:tcPr>
                  <w:tcW w:w="1552" w:type="dxa"/>
                  <w:tcBorders>
                    <w:top w:val="single" w:color="auto" w:sz="12" w:space="0"/>
                    <w:bottom w:val="single" w:color="auto" w:sz="12" w:space="0"/>
                  </w:tcBorders>
                  <w:tcMar>
                    <w:left w:w="28" w:type="dxa"/>
                    <w:right w:w="28" w:type="dxa"/>
                  </w:tcMar>
                  <w:vAlign w:val="center"/>
                </w:tcPr>
                <w:p w14:paraId="26155259">
                  <w:pPr>
                    <w:pStyle w:val="28"/>
                    <w:rPr>
                      <w:b/>
                      <w:bCs/>
                    </w:rPr>
                  </w:pPr>
                  <w:r>
                    <w:rPr>
                      <w:b/>
                      <w:bCs/>
                    </w:rPr>
                    <w:t>本项目建成后全厂排放量（固体废物产生量t/a）</w:t>
                  </w:r>
                </w:p>
              </w:tc>
              <w:tc>
                <w:tcPr>
                  <w:tcW w:w="1094" w:type="dxa"/>
                  <w:tcBorders>
                    <w:top w:val="single" w:color="auto" w:sz="12" w:space="0"/>
                    <w:bottom w:val="single" w:color="auto" w:sz="12" w:space="0"/>
                  </w:tcBorders>
                  <w:tcMar>
                    <w:left w:w="28" w:type="dxa"/>
                    <w:right w:w="28" w:type="dxa"/>
                  </w:tcMar>
                  <w:vAlign w:val="center"/>
                </w:tcPr>
                <w:p w14:paraId="1B04E891">
                  <w:pPr>
                    <w:pStyle w:val="28"/>
                    <w:rPr>
                      <w:b/>
                      <w:bCs/>
                    </w:rPr>
                  </w:pPr>
                  <w:r>
                    <w:rPr>
                      <w:b/>
                      <w:bCs/>
                    </w:rPr>
                    <w:t>变化量t/a</w:t>
                  </w:r>
                </w:p>
              </w:tc>
            </w:tr>
            <w:tr w14:paraId="12F777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restart"/>
                  <w:tcBorders>
                    <w:top w:val="single" w:color="auto" w:sz="12" w:space="0"/>
                  </w:tcBorders>
                  <w:vAlign w:val="center"/>
                </w:tcPr>
                <w:p w14:paraId="01A0411E">
                  <w:pPr>
                    <w:pStyle w:val="28"/>
                    <w:rPr>
                      <w:lang w:val="en-US"/>
                    </w:rPr>
                  </w:pPr>
                  <w:r>
                    <w:rPr>
                      <w:rFonts w:hint="eastAsia"/>
                      <w:lang w:val="en-US"/>
                    </w:rPr>
                    <w:t>废水</w:t>
                  </w:r>
                </w:p>
              </w:tc>
              <w:tc>
                <w:tcPr>
                  <w:tcW w:w="1486" w:type="dxa"/>
                  <w:tcBorders>
                    <w:top w:val="single" w:color="auto" w:sz="12" w:space="0"/>
                    <w:bottom w:val="single" w:color="auto" w:sz="4" w:space="0"/>
                  </w:tcBorders>
                  <w:vAlign w:val="center"/>
                </w:tcPr>
                <w:p w14:paraId="7BEEDECE">
                  <w:pPr>
                    <w:pStyle w:val="28"/>
                    <w:rPr>
                      <w:lang w:val="en-US"/>
                    </w:rPr>
                  </w:pPr>
                  <w:r>
                    <w:rPr>
                      <w:rFonts w:hint="eastAsia"/>
                      <w:lang w:val="en-US"/>
                    </w:rPr>
                    <w:t>COD</w:t>
                  </w:r>
                  <w:r>
                    <w:rPr>
                      <w:b/>
                      <w:bCs/>
                      <w:snapToGrid w:val="0"/>
                      <w:kern w:val="0"/>
                      <w:szCs w:val="21"/>
                      <w:vertAlign w:val="subscript"/>
                    </w:rPr>
                    <w:t>Cr</w:t>
                  </w:r>
                </w:p>
              </w:tc>
              <w:tc>
                <w:tcPr>
                  <w:tcW w:w="1227" w:type="dxa"/>
                  <w:tcBorders>
                    <w:top w:val="single" w:color="auto" w:sz="12" w:space="0"/>
                    <w:bottom w:val="single" w:color="auto" w:sz="4" w:space="0"/>
                  </w:tcBorders>
                  <w:vAlign w:val="center"/>
                </w:tcPr>
                <w:p w14:paraId="15E68CE9">
                  <w:pPr>
                    <w:pStyle w:val="28"/>
                    <w:rPr>
                      <w:rFonts w:hint="default"/>
                      <w:color w:val="FF0000"/>
                      <w:lang w:val="en-US"/>
                    </w:rPr>
                  </w:pPr>
                  <w:r>
                    <w:rPr>
                      <w:rFonts w:hint="eastAsia"/>
                      <w:lang w:val="en-US" w:eastAsia="zh-CN"/>
                    </w:rPr>
                    <w:t>0.09</w:t>
                  </w:r>
                </w:p>
              </w:tc>
              <w:tc>
                <w:tcPr>
                  <w:tcW w:w="1159" w:type="dxa"/>
                  <w:tcBorders>
                    <w:top w:val="single" w:color="auto" w:sz="12" w:space="0"/>
                    <w:bottom w:val="single" w:color="auto" w:sz="4" w:space="0"/>
                  </w:tcBorders>
                </w:tcPr>
                <w:p w14:paraId="48B88044">
                  <w:pPr>
                    <w:pStyle w:val="28"/>
                    <w:rPr>
                      <w:rFonts w:hint="default"/>
                      <w:lang w:val="en-US" w:eastAsia="zh-CN"/>
                    </w:rPr>
                  </w:pPr>
                  <w:r>
                    <w:rPr>
                      <w:rFonts w:hint="eastAsia"/>
                      <w:lang w:val="en-US" w:eastAsia="zh-CN"/>
                    </w:rPr>
                    <w:t>0.026</w:t>
                  </w:r>
                </w:p>
              </w:tc>
              <w:tc>
                <w:tcPr>
                  <w:tcW w:w="952" w:type="dxa"/>
                  <w:tcBorders>
                    <w:top w:val="single" w:color="auto" w:sz="12" w:space="0"/>
                    <w:bottom w:val="single" w:color="auto" w:sz="4" w:space="0"/>
                  </w:tcBorders>
                  <w:vAlign w:val="center"/>
                </w:tcPr>
                <w:p w14:paraId="691D7E54">
                  <w:pPr>
                    <w:pStyle w:val="28"/>
                    <w:rPr>
                      <w:lang w:val="en-US"/>
                    </w:rPr>
                  </w:pPr>
                  <w:r>
                    <w:rPr>
                      <w:rFonts w:hint="eastAsia"/>
                      <w:lang w:val="en-US"/>
                    </w:rPr>
                    <w:t>0</w:t>
                  </w:r>
                </w:p>
              </w:tc>
              <w:tc>
                <w:tcPr>
                  <w:tcW w:w="1552" w:type="dxa"/>
                  <w:tcBorders>
                    <w:top w:val="single" w:color="auto" w:sz="12" w:space="0"/>
                    <w:bottom w:val="single" w:color="auto" w:sz="4" w:space="0"/>
                  </w:tcBorders>
                </w:tcPr>
                <w:p w14:paraId="2B843D40">
                  <w:pPr>
                    <w:pStyle w:val="28"/>
                    <w:rPr>
                      <w:rFonts w:hint="default"/>
                      <w:lang w:val="en-US" w:eastAsia="zh-CN"/>
                    </w:rPr>
                  </w:pPr>
                  <w:r>
                    <w:rPr>
                      <w:rFonts w:hint="eastAsia"/>
                      <w:lang w:val="en-US" w:eastAsia="zh-CN"/>
                    </w:rPr>
                    <w:t>0.116</w:t>
                  </w:r>
                </w:p>
              </w:tc>
              <w:tc>
                <w:tcPr>
                  <w:tcW w:w="1094" w:type="dxa"/>
                  <w:tcBorders>
                    <w:top w:val="single" w:color="auto" w:sz="12" w:space="0"/>
                    <w:bottom w:val="single" w:color="auto" w:sz="4" w:space="0"/>
                  </w:tcBorders>
                  <w:vAlign w:val="top"/>
                </w:tcPr>
                <w:p w14:paraId="0B2E86D6">
                  <w:pPr>
                    <w:pStyle w:val="28"/>
                    <w:ind w:left="0" w:leftChars="0" w:right="0" w:rightChars="0" w:firstLine="0" w:firstLineChars="0"/>
                    <w:rPr>
                      <w:lang w:val="en-US"/>
                    </w:rPr>
                  </w:pPr>
                  <w:r>
                    <w:rPr>
                      <w:rFonts w:hint="eastAsia"/>
                      <w:lang w:val="en-US" w:eastAsia="zh-CN"/>
                    </w:rPr>
                    <w:t>+0.026</w:t>
                  </w:r>
                </w:p>
              </w:tc>
            </w:tr>
            <w:tr w14:paraId="1EF4D3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vAlign w:val="center"/>
                </w:tcPr>
                <w:p w14:paraId="3AA73608">
                  <w:pPr>
                    <w:pStyle w:val="28"/>
                  </w:pPr>
                </w:p>
              </w:tc>
              <w:tc>
                <w:tcPr>
                  <w:tcW w:w="1486" w:type="dxa"/>
                  <w:tcBorders>
                    <w:top w:val="single" w:color="auto" w:sz="4" w:space="0"/>
                    <w:bottom w:val="single" w:color="auto" w:sz="4" w:space="0"/>
                  </w:tcBorders>
                  <w:vAlign w:val="center"/>
                </w:tcPr>
                <w:p w14:paraId="3BD0B1F0">
                  <w:pPr>
                    <w:pStyle w:val="28"/>
                    <w:rPr>
                      <w:lang w:val="en-US"/>
                    </w:rPr>
                  </w:pPr>
                  <w:r>
                    <w:rPr>
                      <w:rFonts w:hint="eastAsia"/>
                      <w:lang w:val="en-US"/>
                    </w:rPr>
                    <w:t>BOD</w:t>
                  </w:r>
                  <w:r>
                    <w:rPr>
                      <w:rFonts w:hint="eastAsia"/>
                      <w:vertAlign w:val="subscript"/>
                      <w:lang w:val="en-US"/>
                    </w:rPr>
                    <w:t>5</w:t>
                  </w:r>
                </w:p>
              </w:tc>
              <w:tc>
                <w:tcPr>
                  <w:tcW w:w="1227" w:type="dxa"/>
                  <w:tcBorders>
                    <w:top w:val="single" w:color="auto" w:sz="4" w:space="0"/>
                    <w:bottom w:val="single" w:color="auto" w:sz="4" w:space="0"/>
                  </w:tcBorders>
                  <w:vAlign w:val="center"/>
                </w:tcPr>
                <w:p w14:paraId="504726A5">
                  <w:pPr>
                    <w:pStyle w:val="28"/>
                    <w:rPr>
                      <w:rFonts w:hint="default"/>
                      <w:color w:val="FF0000"/>
                      <w:lang w:val="en-US"/>
                    </w:rPr>
                  </w:pPr>
                  <w:r>
                    <w:rPr>
                      <w:rFonts w:hint="eastAsia"/>
                      <w:lang w:val="en-US" w:eastAsia="zh-CN"/>
                    </w:rPr>
                    <w:t>0.03</w:t>
                  </w:r>
                </w:p>
              </w:tc>
              <w:tc>
                <w:tcPr>
                  <w:tcW w:w="1159" w:type="dxa"/>
                  <w:tcBorders>
                    <w:top w:val="single" w:color="auto" w:sz="4" w:space="0"/>
                    <w:bottom w:val="single" w:color="auto" w:sz="4" w:space="0"/>
                  </w:tcBorders>
                </w:tcPr>
                <w:p w14:paraId="54A25557">
                  <w:pPr>
                    <w:pStyle w:val="28"/>
                    <w:rPr>
                      <w:rFonts w:hint="default"/>
                      <w:lang w:val="en-US" w:eastAsia="zh-CN"/>
                    </w:rPr>
                  </w:pPr>
                  <w:r>
                    <w:rPr>
                      <w:rFonts w:hint="eastAsia"/>
                      <w:lang w:val="en-US" w:eastAsia="zh-CN"/>
                    </w:rPr>
                    <w:t>0.014</w:t>
                  </w:r>
                </w:p>
              </w:tc>
              <w:tc>
                <w:tcPr>
                  <w:tcW w:w="952" w:type="dxa"/>
                  <w:tcBorders>
                    <w:top w:val="single" w:color="auto" w:sz="4" w:space="0"/>
                    <w:bottom w:val="single" w:color="auto" w:sz="4" w:space="0"/>
                  </w:tcBorders>
                  <w:vAlign w:val="center"/>
                </w:tcPr>
                <w:p w14:paraId="72B0DCCB">
                  <w:pPr>
                    <w:pStyle w:val="28"/>
                    <w:rPr>
                      <w:lang w:val="en-US"/>
                    </w:rPr>
                  </w:pPr>
                  <w:r>
                    <w:rPr>
                      <w:rFonts w:hint="eastAsia"/>
                      <w:lang w:val="en-US"/>
                    </w:rPr>
                    <w:t>0</w:t>
                  </w:r>
                </w:p>
              </w:tc>
              <w:tc>
                <w:tcPr>
                  <w:tcW w:w="1552" w:type="dxa"/>
                  <w:tcBorders>
                    <w:top w:val="single" w:color="auto" w:sz="4" w:space="0"/>
                    <w:bottom w:val="single" w:color="auto" w:sz="4" w:space="0"/>
                  </w:tcBorders>
                </w:tcPr>
                <w:p w14:paraId="0613510F">
                  <w:pPr>
                    <w:pStyle w:val="28"/>
                    <w:rPr>
                      <w:rFonts w:hint="default"/>
                      <w:lang w:val="en-US" w:eastAsia="zh-CN"/>
                    </w:rPr>
                  </w:pPr>
                  <w:r>
                    <w:rPr>
                      <w:rFonts w:hint="eastAsia"/>
                      <w:lang w:val="en-US" w:eastAsia="zh-CN"/>
                    </w:rPr>
                    <w:t>0.044</w:t>
                  </w:r>
                </w:p>
              </w:tc>
              <w:tc>
                <w:tcPr>
                  <w:tcW w:w="1094" w:type="dxa"/>
                  <w:tcBorders>
                    <w:top w:val="single" w:color="auto" w:sz="4" w:space="0"/>
                    <w:bottom w:val="single" w:color="auto" w:sz="4" w:space="0"/>
                  </w:tcBorders>
                  <w:vAlign w:val="top"/>
                </w:tcPr>
                <w:p w14:paraId="2E1962EC">
                  <w:pPr>
                    <w:pStyle w:val="28"/>
                    <w:ind w:left="0" w:leftChars="0" w:right="0" w:rightChars="0" w:firstLine="0" w:firstLineChars="0"/>
                    <w:rPr>
                      <w:lang w:val="en-US"/>
                    </w:rPr>
                  </w:pPr>
                  <w:r>
                    <w:rPr>
                      <w:rFonts w:hint="eastAsia"/>
                      <w:lang w:val="en-US" w:eastAsia="zh-CN"/>
                    </w:rPr>
                    <w:t>+0.014</w:t>
                  </w:r>
                </w:p>
              </w:tc>
            </w:tr>
            <w:tr w14:paraId="31BDD6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vAlign w:val="center"/>
                </w:tcPr>
                <w:p w14:paraId="31666295">
                  <w:pPr>
                    <w:pStyle w:val="28"/>
                  </w:pPr>
                </w:p>
              </w:tc>
              <w:tc>
                <w:tcPr>
                  <w:tcW w:w="1486" w:type="dxa"/>
                  <w:tcBorders>
                    <w:top w:val="single" w:color="auto" w:sz="4" w:space="0"/>
                    <w:bottom w:val="single" w:color="auto" w:sz="4" w:space="0"/>
                  </w:tcBorders>
                  <w:vAlign w:val="center"/>
                </w:tcPr>
                <w:p w14:paraId="3FE0CB57">
                  <w:pPr>
                    <w:pStyle w:val="28"/>
                    <w:rPr>
                      <w:lang w:val="en-US"/>
                    </w:rPr>
                  </w:pPr>
                  <w:r>
                    <w:rPr>
                      <w:rFonts w:hint="eastAsia"/>
                      <w:lang w:val="en-US"/>
                    </w:rPr>
                    <w:t>SS</w:t>
                  </w:r>
                </w:p>
              </w:tc>
              <w:tc>
                <w:tcPr>
                  <w:tcW w:w="1227" w:type="dxa"/>
                  <w:tcBorders>
                    <w:top w:val="single" w:color="auto" w:sz="4" w:space="0"/>
                    <w:bottom w:val="single" w:color="auto" w:sz="4" w:space="0"/>
                  </w:tcBorders>
                  <w:vAlign w:val="center"/>
                </w:tcPr>
                <w:p w14:paraId="2DE5A0F3">
                  <w:pPr>
                    <w:pStyle w:val="28"/>
                    <w:rPr>
                      <w:rFonts w:hint="default"/>
                      <w:color w:val="FF0000"/>
                      <w:lang w:val="en-US"/>
                    </w:rPr>
                  </w:pPr>
                  <w:r>
                    <w:rPr>
                      <w:rFonts w:hint="eastAsia"/>
                      <w:lang w:val="en-US" w:eastAsia="zh-CN"/>
                    </w:rPr>
                    <w:t>0.1</w:t>
                  </w:r>
                </w:p>
              </w:tc>
              <w:tc>
                <w:tcPr>
                  <w:tcW w:w="1159" w:type="dxa"/>
                  <w:tcBorders>
                    <w:top w:val="single" w:color="auto" w:sz="4" w:space="0"/>
                    <w:bottom w:val="single" w:color="auto" w:sz="4" w:space="0"/>
                  </w:tcBorders>
                  <w:vAlign w:val="center"/>
                </w:tcPr>
                <w:p w14:paraId="5D5C43AC">
                  <w:pPr>
                    <w:pStyle w:val="28"/>
                    <w:rPr>
                      <w:rFonts w:hint="default"/>
                      <w:lang w:val="en-US" w:eastAsia="zh-CN"/>
                    </w:rPr>
                  </w:pPr>
                  <w:r>
                    <w:rPr>
                      <w:rFonts w:hint="eastAsia"/>
                      <w:lang w:val="en-US" w:eastAsia="zh-CN"/>
                    </w:rPr>
                    <w:t>0.018</w:t>
                  </w:r>
                </w:p>
              </w:tc>
              <w:tc>
                <w:tcPr>
                  <w:tcW w:w="952" w:type="dxa"/>
                  <w:tcBorders>
                    <w:top w:val="single" w:color="auto" w:sz="4" w:space="0"/>
                    <w:bottom w:val="single" w:color="auto" w:sz="4" w:space="0"/>
                  </w:tcBorders>
                  <w:vAlign w:val="center"/>
                </w:tcPr>
                <w:p w14:paraId="379CFC92">
                  <w:pPr>
                    <w:pStyle w:val="28"/>
                    <w:rPr>
                      <w:lang w:val="en-US"/>
                    </w:rPr>
                  </w:pPr>
                  <w:r>
                    <w:rPr>
                      <w:rFonts w:hint="eastAsia"/>
                      <w:lang w:val="en-US"/>
                    </w:rPr>
                    <w:t>0</w:t>
                  </w:r>
                </w:p>
              </w:tc>
              <w:tc>
                <w:tcPr>
                  <w:tcW w:w="1552" w:type="dxa"/>
                  <w:tcBorders>
                    <w:top w:val="single" w:color="auto" w:sz="4" w:space="0"/>
                    <w:bottom w:val="single" w:color="auto" w:sz="4" w:space="0"/>
                  </w:tcBorders>
                  <w:vAlign w:val="center"/>
                </w:tcPr>
                <w:p w14:paraId="1C9233C6">
                  <w:pPr>
                    <w:pStyle w:val="28"/>
                    <w:rPr>
                      <w:rFonts w:hint="default"/>
                      <w:lang w:val="en-US" w:eastAsia="zh-CN"/>
                    </w:rPr>
                  </w:pPr>
                  <w:r>
                    <w:rPr>
                      <w:rFonts w:hint="eastAsia"/>
                      <w:lang w:val="en-US" w:eastAsia="zh-CN"/>
                    </w:rPr>
                    <w:t>0.118</w:t>
                  </w:r>
                </w:p>
              </w:tc>
              <w:tc>
                <w:tcPr>
                  <w:tcW w:w="1094" w:type="dxa"/>
                  <w:tcBorders>
                    <w:top w:val="single" w:color="auto" w:sz="4" w:space="0"/>
                    <w:bottom w:val="single" w:color="auto" w:sz="4" w:space="0"/>
                  </w:tcBorders>
                  <w:vAlign w:val="center"/>
                </w:tcPr>
                <w:p w14:paraId="2FD8F864">
                  <w:pPr>
                    <w:pStyle w:val="28"/>
                    <w:ind w:left="0" w:leftChars="0" w:right="0" w:rightChars="0" w:firstLine="0" w:firstLineChars="0"/>
                    <w:rPr>
                      <w:lang w:val="en-US"/>
                    </w:rPr>
                  </w:pPr>
                  <w:r>
                    <w:rPr>
                      <w:rFonts w:hint="eastAsia"/>
                      <w:lang w:val="en-US" w:eastAsia="zh-CN"/>
                    </w:rPr>
                    <w:t>+0.018</w:t>
                  </w:r>
                </w:p>
              </w:tc>
            </w:tr>
            <w:tr w14:paraId="54F4E8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vAlign w:val="center"/>
                </w:tcPr>
                <w:p w14:paraId="5AD7824A">
                  <w:pPr>
                    <w:pStyle w:val="28"/>
                  </w:pPr>
                </w:p>
              </w:tc>
              <w:tc>
                <w:tcPr>
                  <w:tcW w:w="1486" w:type="dxa"/>
                  <w:tcBorders>
                    <w:top w:val="single" w:color="auto" w:sz="4" w:space="0"/>
                    <w:bottom w:val="single" w:color="auto" w:sz="4" w:space="0"/>
                  </w:tcBorders>
                  <w:vAlign w:val="center"/>
                </w:tcPr>
                <w:p w14:paraId="18AE2C4C">
                  <w:pPr>
                    <w:pStyle w:val="28"/>
                    <w:rPr>
                      <w:lang w:val="en-US"/>
                    </w:rPr>
                  </w:pPr>
                  <w:r>
                    <w:rPr>
                      <w:rFonts w:hint="eastAsia"/>
                      <w:lang w:val="en-US"/>
                    </w:rPr>
                    <w:t>NH</w:t>
                  </w:r>
                  <w:r>
                    <w:rPr>
                      <w:rFonts w:hint="eastAsia"/>
                      <w:vertAlign w:val="subscript"/>
                      <w:lang w:val="en-US"/>
                    </w:rPr>
                    <w:t>3</w:t>
                  </w:r>
                  <w:r>
                    <w:rPr>
                      <w:rFonts w:hint="eastAsia"/>
                      <w:lang w:val="en-US"/>
                    </w:rPr>
                    <w:t>-N</w:t>
                  </w:r>
                </w:p>
              </w:tc>
              <w:tc>
                <w:tcPr>
                  <w:tcW w:w="1227" w:type="dxa"/>
                  <w:tcBorders>
                    <w:top w:val="single" w:color="auto" w:sz="4" w:space="0"/>
                    <w:bottom w:val="single" w:color="auto" w:sz="4" w:space="0"/>
                  </w:tcBorders>
                  <w:vAlign w:val="center"/>
                </w:tcPr>
                <w:p w14:paraId="6CE62A29">
                  <w:pPr>
                    <w:pStyle w:val="28"/>
                    <w:rPr>
                      <w:rFonts w:hint="default"/>
                      <w:color w:val="FF0000"/>
                      <w:lang w:val="en-US"/>
                    </w:rPr>
                  </w:pPr>
                  <w:r>
                    <w:rPr>
                      <w:rFonts w:hint="eastAsia"/>
                      <w:lang w:val="en-US" w:eastAsia="zh-CN"/>
                    </w:rPr>
                    <w:t>0.02</w:t>
                  </w:r>
                </w:p>
              </w:tc>
              <w:tc>
                <w:tcPr>
                  <w:tcW w:w="1159" w:type="dxa"/>
                  <w:tcBorders>
                    <w:top w:val="single" w:color="auto" w:sz="4" w:space="0"/>
                    <w:bottom w:val="single" w:color="auto" w:sz="4" w:space="0"/>
                  </w:tcBorders>
                  <w:vAlign w:val="center"/>
                </w:tcPr>
                <w:p w14:paraId="54EC5CD5">
                  <w:pPr>
                    <w:pStyle w:val="28"/>
                    <w:rPr>
                      <w:rFonts w:hint="default"/>
                      <w:lang w:val="en-US" w:eastAsia="zh-CN"/>
                    </w:rPr>
                  </w:pPr>
                  <w:r>
                    <w:rPr>
                      <w:rFonts w:hint="eastAsia"/>
                      <w:lang w:val="en-US" w:eastAsia="zh-CN"/>
                    </w:rPr>
                    <w:t>0.003</w:t>
                  </w:r>
                </w:p>
              </w:tc>
              <w:tc>
                <w:tcPr>
                  <w:tcW w:w="952" w:type="dxa"/>
                  <w:tcBorders>
                    <w:top w:val="single" w:color="auto" w:sz="4" w:space="0"/>
                    <w:bottom w:val="single" w:color="auto" w:sz="4" w:space="0"/>
                  </w:tcBorders>
                  <w:vAlign w:val="center"/>
                </w:tcPr>
                <w:p w14:paraId="0AB22DA0">
                  <w:pPr>
                    <w:pStyle w:val="28"/>
                    <w:rPr>
                      <w:lang w:val="en-US"/>
                    </w:rPr>
                  </w:pPr>
                  <w:r>
                    <w:rPr>
                      <w:rFonts w:hint="eastAsia"/>
                      <w:lang w:val="en-US"/>
                    </w:rPr>
                    <w:t>0</w:t>
                  </w:r>
                </w:p>
              </w:tc>
              <w:tc>
                <w:tcPr>
                  <w:tcW w:w="1552" w:type="dxa"/>
                  <w:tcBorders>
                    <w:top w:val="single" w:color="auto" w:sz="4" w:space="0"/>
                    <w:bottom w:val="single" w:color="auto" w:sz="4" w:space="0"/>
                  </w:tcBorders>
                  <w:vAlign w:val="center"/>
                </w:tcPr>
                <w:p w14:paraId="708D0938">
                  <w:pPr>
                    <w:pStyle w:val="28"/>
                    <w:rPr>
                      <w:rFonts w:hint="default"/>
                      <w:lang w:val="en-US" w:eastAsia="zh-CN"/>
                    </w:rPr>
                  </w:pPr>
                  <w:r>
                    <w:rPr>
                      <w:rFonts w:hint="eastAsia"/>
                      <w:lang w:val="en-US" w:eastAsia="zh-CN"/>
                    </w:rPr>
                    <w:t>0.023</w:t>
                  </w:r>
                </w:p>
              </w:tc>
              <w:tc>
                <w:tcPr>
                  <w:tcW w:w="1094" w:type="dxa"/>
                  <w:tcBorders>
                    <w:top w:val="single" w:color="auto" w:sz="4" w:space="0"/>
                    <w:bottom w:val="single" w:color="auto" w:sz="4" w:space="0"/>
                  </w:tcBorders>
                  <w:vAlign w:val="center"/>
                </w:tcPr>
                <w:p w14:paraId="6DA7AF17">
                  <w:pPr>
                    <w:pStyle w:val="28"/>
                    <w:ind w:left="0" w:leftChars="0" w:right="0" w:rightChars="0" w:firstLine="0" w:firstLineChars="0"/>
                    <w:rPr>
                      <w:lang w:val="en-US"/>
                    </w:rPr>
                  </w:pPr>
                  <w:r>
                    <w:rPr>
                      <w:rFonts w:hint="eastAsia"/>
                      <w:lang w:val="en-US" w:eastAsia="zh-CN"/>
                    </w:rPr>
                    <w:t>+0.003</w:t>
                  </w:r>
                </w:p>
              </w:tc>
            </w:tr>
            <w:tr w14:paraId="0039C3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67" w:type="dxa"/>
                  <w:vMerge w:val="restart"/>
                  <w:tcBorders>
                    <w:tl2br w:val="nil"/>
                    <w:tr2bl w:val="nil"/>
                  </w:tcBorders>
                  <w:vAlign w:val="center"/>
                </w:tcPr>
                <w:p w14:paraId="4C8825FC">
                  <w:pPr>
                    <w:pStyle w:val="28"/>
                    <w:rPr>
                      <w:lang w:val="en-US"/>
                    </w:rPr>
                  </w:pPr>
                  <w:r>
                    <w:rPr>
                      <w:rFonts w:hint="eastAsia"/>
                      <w:lang w:val="en-US"/>
                    </w:rPr>
                    <w:t>废气</w:t>
                  </w:r>
                </w:p>
              </w:tc>
              <w:tc>
                <w:tcPr>
                  <w:tcW w:w="1486" w:type="dxa"/>
                  <w:tcBorders>
                    <w:tl2br w:val="nil"/>
                    <w:tr2bl w:val="nil"/>
                  </w:tcBorders>
                  <w:vAlign w:val="center"/>
                </w:tcPr>
                <w:p w14:paraId="1E261F8C">
                  <w:pPr>
                    <w:pStyle w:val="28"/>
                    <w:rPr>
                      <w:lang w:val="en-US"/>
                    </w:rPr>
                  </w:pPr>
                  <w:r>
                    <w:rPr>
                      <w:lang w:val="en-US"/>
                    </w:rPr>
                    <w:t>颗粒物</w:t>
                  </w:r>
                </w:p>
              </w:tc>
              <w:tc>
                <w:tcPr>
                  <w:tcW w:w="1227" w:type="dxa"/>
                  <w:tcBorders>
                    <w:tl2br w:val="nil"/>
                    <w:tr2bl w:val="nil"/>
                  </w:tcBorders>
                  <w:vAlign w:val="center"/>
                </w:tcPr>
                <w:p w14:paraId="37950006">
                  <w:pPr>
                    <w:pStyle w:val="28"/>
                    <w:rPr>
                      <w:rFonts w:hint="default"/>
                      <w:lang w:val="en-US" w:eastAsia="zh-CN"/>
                    </w:rPr>
                  </w:pPr>
                  <w:r>
                    <w:rPr>
                      <w:rFonts w:hint="eastAsia"/>
                      <w:lang w:val="en-US" w:eastAsia="zh-CN"/>
                    </w:rPr>
                    <w:t>0.015</w:t>
                  </w:r>
                </w:p>
              </w:tc>
              <w:tc>
                <w:tcPr>
                  <w:tcW w:w="1159" w:type="dxa"/>
                  <w:tcBorders>
                    <w:tl2br w:val="nil"/>
                    <w:tr2bl w:val="nil"/>
                  </w:tcBorders>
                  <w:vAlign w:val="center"/>
                </w:tcPr>
                <w:p w14:paraId="6A2EA890">
                  <w:pPr>
                    <w:pStyle w:val="28"/>
                    <w:rPr>
                      <w:rFonts w:hint="default"/>
                      <w:lang w:val="en-US" w:eastAsia="zh-CN"/>
                    </w:rPr>
                  </w:pPr>
                  <w:r>
                    <w:rPr>
                      <w:rFonts w:hint="eastAsia"/>
                      <w:lang w:val="en-US" w:eastAsia="zh-CN"/>
                    </w:rPr>
                    <w:t>0.11</w:t>
                  </w:r>
                </w:p>
              </w:tc>
              <w:tc>
                <w:tcPr>
                  <w:tcW w:w="952" w:type="dxa"/>
                  <w:tcBorders>
                    <w:tl2br w:val="nil"/>
                    <w:tr2bl w:val="nil"/>
                  </w:tcBorders>
                  <w:vAlign w:val="center"/>
                </w:tcPr>
                <w:p w14:paraId="1B0599F8">
                  <w:pPr>
                    <w:pStyle w:val="28"/>
                    <w:rPr>
                      <w:lang w:val="en-US"/>
                    </w:rPr>
                  </w:pPr>
                  <w:r>
                    <w:rPr>
                      <w:rFonts w:hint="eastAsia"/>
                      <w:lang w:val="en-US"/>
                    </w:rPr>
                    <w:t>0</w:t>
                  </w:r>
                </w:p>
              </w:tc>
              <w:tc>
                <w:tcPr>
                  <w:tcW w:w="1552" w:type="dxa"/>
                  <w:tcBorders>
                    <w:tl2br w:val="nil"/>
                    <w:tr2bl w:val="nil"/>
                  </w:tcBorders>
                  <w:vAlign w:val="center"/>
                </w:tcPr>
                <w:p w14:paraId="40F08A06">
                  <w:pPr>
                    <w:pStyle w:val="28"/>
                    <w:rPr>
                      <w:rFonts w:hint="default"/>
                      <w:lang w:val="en-US" w:eastAsia="zh-CN"/>
                    </w:rPr>
                  </w:pPr>
                  <w:r>
                    <w:rPr>
                      <w:rFonts w:hint="eastAsia"/>
                      <w:lang w:val="en-US" w:eastAsia="zh-CN"/>
                    </w:rPr>
                    <w:t>0.125</w:t>
                  </w:r>
                </w:p>
              </w:tc>
              <w:tc>
                <w:tcPr>
                  <w:tcW w:w="1094" w:type="dxa"/>
                  <w:tcBorders>
                    <w:tl2br w:val="nil"/>
                    <w:tr2bl w:val="nil"/>
                  </w:tcBorders>
                  <w:vAlign w:val="center"/>
                </w:tcPr>
                <w:p w14:paraId="66EBD43B">
                  <w:pPr>
                    <w:pStyle w:val="28"/>
                    <w:ind w:left="0" w:leftChars="0" w:right="0" w:rightChars="0" w:firstLine="0" w:firstLineChars="0"/>
                    <w:rPr>
                      <w:lang w:val="en-US"/>
                    </w:rPr>
                  </w:pPr>
                  <w:r>
                    <w:rPr>
                      <w:rFonts w:hint="eastAsia"/>
                      <w:lang w:val="en-US" w:eastAsia="zh-CN"/>
                    </w:rPr>
                    <w:t>+0.08</w:t>
                  </w:r>
                </w:p>
              </w:tc>
            </w:tr>
            <w:tr w14:paraId="5B2CDF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tcBorders>
                    <w:tl2br w:val="nil"/>
                    <w:tr2bl w:val="nil"/>
                  </w:tcBorders>
                  <w:vAlign w:val="center"/>
                </w:tcPr>
                <w:p w14:paraId="430597EB">
                  <w:pPr>
                    <w:pStyle w:val="28"/>
                  </w:pPr>
                </w:p>
              </w:tc>
              <w:tc>
                <w:tcPr>
                  <w:tcW w:w="1486" w:type="dxa"/>
                  <w:tcBorders>
                    <w:tl2br w:val="nil"/>
                    <w:tr2bl w:val="nil"/>
                  </w:tcBorders>
                  <w:vAlign w:val="center"/>
                </w:tcPr>
                <w:p w14:paraId="48A1E864">
                  <w:pPr>
                    <w:pStyle w:val="28"/>
                    <w:rPr>
                      <w:lang w:val="en-US"/>
                    </w:rPr>
                  </w:pPr>
                  <w:r>
                    <w:rPr>
                      <w:rFonts w:hint="eastAsia"/>
                      <w:lang w:val="en-US"/>
                    </w:rPr>
                    <w:t>二氧化硫</w:t>
                  </w:r>
                </w:p>
              </w:tc>
              <w:tc>
                <w:tcPr>
                  <w:tcW w:w="1227" w:type="dxa"/>
                  <w:tcBorders>
                    <w:tl2br w:val="nil"/>
                    <w:tr2bl w:val="nil"/>
                  </w:tcBorders>
                  <w:vAlign w:val="center"/>
                </w:tcPr>
                <w:p w14:paraId="065D1A46">
                  <w:pPr>
                    <w:pStyle w:val="28"/>
                    <w:rPr>
                      <w:rFonts w:hint="default"/>
                      <w:lang w:val="en-US" w:eastAsia="zh-CN"/>
                    </w:rPr>
                  </w:pPr>
                  <w:r>
                    <w:rPr>
                      <w:rFonts w:hint="eastAsia"/>
                      <w:lang w:val="en-US" w:eastAsia="zh-CN"/>
                    </w:rPr>
                    <w:t>0.004</w:t>
                  </w:r>
                </w:p>
              </w:tc>
              <w:tc>
                <w:tcPr>
                  <w:tcW w:w="1159" w:type="dxa"/>
                  <w:tcBorders>
                    <w:tl2br w:val="nil"/>
                    <w:tr2bl w:val="nil"/>
                  </w:tcBorders>
                  <w:vAlign w:val="center"/>
                </w:tcPr>
                <w:p w14:paraId="3CC5B005">
                  <w:pPr>
                    <w:pStyle w:val="28"/>
                    <w:rPr>
                      <w:rFonts w:hint="default"/>
                      <w:lang w:val="en-US" w:eastAsia="zh-CN"/>
                    </w:rPr>
                  </w:pPr>
                  <w:r>
                    <w:rPr>
                      <w:rFonts w:hint="eastAsia"/>
                      <w:lang w:val="en-US" w:eastAsia="zh-CN"/>
                    </w:rPr>
                    <w:t>0.22</w:t>
                  </w:r>
                </w:p>
              </w:tc>
              <w:tc>
                <w:tcPr>
                  <w:tcW w:w="952" w:type="dxa"/>
                  <w:tcBorders>
                    <w:tl2br w:val="nil"/>
                    <w:tr2bl w:val="nil"/>
                  </w:tcBorders>
                  <w:vAlign w:val="center"/>
                </w:tcPr>
                <w:p w14:paraId="06FE7953">
                  <w:pPr>
                    <w:pStyle w:val="28"/>
                    <w:rPr>
                      <w:lang w:val="en-US"/>
                    </w:rPr>
                  </w:pPr>
                  <w:r>
                    <w:rPr>
                      <w:rFonts w:hint="eastAsia"/>
                      <w:lang w:val="en-US"/>
                    </w:rPr>
                    <w:t>0</w:t>
                  </w:r>
                </w:p>
              </w:tc>
              <w:tc>
                <w:tcPr>
                  <w:tcW w:w="1552" w:type="dxa"/>
                  <w:tcBorders>
                    <w:tl2br w:val="nil"/>
                    <w:tr2bl w:val="nil"/>
                  </w:tcBorders>
                  <w:vAlign w:val="center"/>
                </w:tcPr>
                <w:p w14:paraId="6B811FE5">
                  <w:pPr>
                    <w:pStyle w:val="28"/>
                    <w:rPr>
                      <w:rFonts w:hint="default"/>
                      <w:lang w:val="en-US" w:eastAsia="zh-CN"/>
                    </w:rPr>
                  </w:pPr>
                  <w:r>
                    <w:rPr>
                      <w:rFonts w:hint="eastAsia"/>
                      <w:lang w:val="en-US" w:eastAsia="zh-CN"/>
                    </w:rPr>
                    <w:t>0.224</w:t>
                  </w:r>
                </w:p>
              </w:tc>
              <w:tc>
                <w:tcPr>
                  <w:tcW w:w="1094" w:type="dxa"/>
                  <w:tcBorders>
                    <w:tl2br w:val="nil"/>
                    <w:tr2bl w:val="nil"/>
                  </w:tcBorders>
                  <w:vAlign w:val="center"/>
                </w:tcPr>
                <w:p w14:paraId="53B17D9D">
                  <w:pPr>
                    <w:pStyle w:val="28"/>
                    <w:ind w:left="0" w:leftChars="0" w:right="0" w:rightChars="0" w:firstLine="0" w:firstLineChars="0"/>
                    <w:rPr>
                      <w:lang w:val="en-US"/>
                    </w:rPr>
                  </w:pPr>
                  <w:r>
                    <w:rPr>
                      <w:rFonts w:hint="eastAsia"/>
                      <w:lang w:val="en-US" w:eastAsia="zh-CN"/>
                    </w:rPr>
                    <w:t>+0.22</w:t>
                  </w:r>
                </w:p>
              </w:tc>
            </w:tr>
            <w:tr w14:paraId="2860D7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tcBorders>
                    <w:tl2br w:val="nil"/>
                    <w:tr2bl w:val="nil"/>
                  </w:tcBorders>
                  <w:vAlign w:val="center"/>
                </w:tcPr>
                <w:p w14:paraId="6390C248">
                  <w:pPr>
                    <w:pStyle w:val="28"/>
                  </w:pPr>
                </w:p>
              </w:tc>
              <w:tc>
                <w:tcPr>
                  <w:tcW w:w="1486" w:type="dxa"/>
                  <w:tcBorders>
                    <w:tl2br w:val="nil"/>
                    <w:tr2bl w:val="nil"/>
                  </w:tcBorders>
                  <w:vAlign w:val="center"/>
                </w:tcPr>
                <w:p w14:paraId="437A35D3">
                  <w:pPr>
                    <w:pStyle w:val="28"/>
                    <w:rPr>
                      <w:lang w:val="en-US"/>
                    </w:rPr>
                  </w:pPr>
                  <w:r>
                    <w:rPr>
                      <w:rFonts w:hint="eastAsia"/>
                      <w:lang w:val="en-US"/>
                    </w:rPr>
                    <w:t>氮氧化物</w:t>
                  </w:r>
                </w:p>
              </w:tc>
              <w:tc>
                <w:tcPr>
                  <w:tcW w:w="1227" w:type="dxa"/>
                  <w:tcBorders>
                    <w:tl2br w:val="nil"/>
                    <w:tr2bl w:val="nil"/>
                  </w:tcBorders>
                  <w:vAlign w:val="center"/>
                </w:tcPr>
                <w:p w14:paraId="426FA82F">
                  <w:pPr>
                    <w:pStyle w:val="28"/>
                    <w:rPr>
                      <w:rFonts w:hint="default"/>
                      <w:lang w:val="en-US" w:eastAsia="zh-CN"/>
                    </w:rPr>
                  </w:pPr>
                  <w:r>
                    <w:rPr>
                      <w:rFonts w:hint="eastAsia"/>
                      <w:lang w:val="en-US" w:eastAsia="zh-CN"/>
                    </w:rPr>
                    <w:t>0.177</w:t>
                  </w:r>
                </w:p>
              </w:tc>
              <w:tc>
                <w:tcPr>
                  <w:tcW w:w="1159" w:type="dxa"/>
                  <w:tcBorders>
                    <w:tl2br w:val="nil"/>
                    <w:tr2bl w:val="nil"/>
                  </w:tcBorders>
                  <w:vAlign w:val="center"/>
                </w:tcPr>
                <w:p w14:paraId="5093E652">
                  <w:pPr>
                    <w:pStyle w:val="28"/>
                    <w:rPr>
                      <w:rFonts w:hint="default" w:eastAsiaTheme="minorEastAsia"/>
                      <w:lang w:val="en-US" w:eastAsia="zh-CN"/>
                    </w:rPr>
                  </w:pPr>
                  <w:r>
                    <w:rPr>
                      <w:rFonts w:hint="eastAsia" w:eastAsiaTheme="minorEastAsia"/>
                      <w:lang w:val="en-US" w:eastAsia="zh-CN"/>
                    </w:rPr>
                    <w:t>0.19</w:t>
                  </w:r>
                </w:p>
              </w:tc>
              <w:tc>
                <w:tcPr>
                  <w:tcW w:w="952" w:type="dxa"/>
                  <w:tcBorders>
                    <w:tl2br w:val="nil"/>
                    <w:tr2bl w:val="nil"/>
                  </w:tcBorders>
                  <w:vAlign w:val="center"/>
                </w:tcPr>
                <w:p w14:paraId="54F7AA0F">
                  <w:pPr>
                    <w:pStyle w:val="28"/>
                    <w:rPr>
                      <w:lang w:val="en-US"/>
                    </w:rPr>
                  </w:pPr>
                  <w:r>
                    <w:rPr>
                      <w:rFonts w:hint="eastAsia"/>
                      <w:lang w:val="en-US"/>
                    </w:rPr>
                    <w:t>0</w:t>
                  </w:r>
                </w:p>
              </w:tc>
              <w:tc>
                <w:tcPr>
                  <w:tcW w:w="1552" w:type="dxa"/>
                  <w:tcBorders>
                    <w:tl2br w:val="nil"/>
                    <w:tr2bl w:val="nil"/>
                  </w:tcBorders>
                  <w:vAlign w:val="center"/>
                </w:tcPr>
                <w:p w14:paraId="3C43EC39">
                  <w:pPr>
                    <w:pStyle w:val="28"/>
                    <w:rPr>
                      <w:rFonts w:hint="default"/>
                      <w:lang w:val="en-US" w:eastAsia="zh-CN"/>
                    </w:rPr>
                  </w:pPr>
                  <w:r>
                    <w:rPr>
                      <w:rFonts w:hint="eastAsia"/>
                      <w:lang w:val="en-US" w:eastAsia="zh-CN"/>
                    </w:rPr>
                    <w:t>0.367</w:t>
                  </w:r>
                </w:p>
              </w:tc>
              <w:tc>
                <w:tcPr>
                  <w:tcW w:w="1094" w:type="dxa"/>
                  <w:tcBorders>
                    <w:tl2br w:val="nil"/>
                    <w:tr2bl w:val="nil"/>
                  </w:tcBorders>
                  <w:vAlign w:val="center"/>
                </w:tcPr>
                <w:p w14:paraId="14CA1A54">
                  <w:pPr>
                    <w:pStyle w:val="28"/>
                    <w:ind w:left="0" w:leftChars="0" w:right="0" w:rightChars="0" w:firstLine="0" w:firstLineChars="0"/>
                    <w:rPr>
                      <w:lang w:val="en-US"/>
                    </w:rPr>
                  </w:pPr>
                  <w:r>
                    <w:rPr>
                      <w:rFonts w:hint="eastAsia" w:eastAsiaTheme="minorEastAsia"/>
                      <w:lang w:val="en-US" w:eastAsia="zh-CN"/>
                    </w:rPr>
                    <w:t>+0.17</w:t>
                  </w:r>
                </w:p>
              </w:tc>
            </w:tr>
            <w:tr w14:paraId="42BD49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tcBorders>
                    <w:tl2br w:val="nil"/>
                    <w:tr2bl w:val="nil"/>
                  </w:tcBorders>
                  <w:vAlign w:val="center"/>
                </w:tcPr>
                <w:p w14:paraId="449F4897">
                  <w:pPr>
                    <w:pStyle w:val="28"/>
                  </w:pPr>
                </w:p>
              </w:tc>
              <w:tc>
                <w:tcPr>
                  <w:tcW w:w="1486" w:type="dxa"/>
                  <w:tcBorders>
                    <w:tl2br w:val="nil"/>
                    <w:tr2bl w:val="nil"/>
                  </w:tcBorders>
                  <w:vAlign w:val="center"/>
                </w:tcPr>
                <w:p w14:paraId="71FC0463">
                  <w:pPr>
                    <w:pStyle w:val="28"/>
                    <w:rPr>
                      <w:rFonts w:hint="eastAsia" w:eastAsia="宋体"/>
                      <w:lang w:val="en-US" w:eastAsia="zh-CN"/>
                    </w:rPr>
                  </w:pPr>
                  <w:r>
                    <w:rPr>
                      <w:rFonts w:hint="eastAsia"/>
                      <w:lang w:val="en-US" w:eastAsia="zh-CN"/>
                    </w:rPr>
                    <w:t>苯并芘</w:t>
                  </w:r>
                </w:p>
              </w:tc>
              <w:tc>
                <w:tcPr>
                  <w:tcW w:w="1227" w:type="dxa"/>
                  <w:tcBorders>
                    <w:tl2br w:val="nil"/>
                    <w:tr2bl w:val="nil"/>
                  </w:tcBorders>
                  <w:vAlign w:val="center"/>
                </w:tcPr>
                <w:p w14:paraId="02423895">
                  <w:pPr>
                    <w:pStyle w:val="28"/>
                    <w:rPr>
                      <w:rFonts w:hint="default"/>
                      <w:lang w:val="en-US" w:eastAsia="zh-CN"/>
                    </w:rPr>
                  </w:pPr>
                  <w:r>
                    <w:rPr>
                      <w:rFonts w:hint="eastAsia"/>
                      <w:lang w:val="en-US" w:eastAsia="zh-CN"/>
                    </w:rPr>
                    <w:t>0.00038kg/a</w:t>
                  </w:r>
                </w:p>
              </w:tc>
              <w:tc>
                <w:tcPr>
                  <w:tcW w:w="1159" w:type="dxa"/>
                  <w:tcBorders>
                    <w:tl2br w:val="nil"/>
                    <w:tr2bl w:val="nil"/>
                  </w:tcBorders>
                  <w:vAlign w:val="center"/>
                </w:tcPr>
                <w:p w14:paraId="21EE2613">
                  <w:pPr>
                    <w:pStyle w:val="28"/>
                    <w:rPr>
                      <w:rFonts w:hint="default" w:eastAsiaTheme="minorEastAsia"/>
                      <w:lang w:val="en-US" w:eastAsia="zh-CN"/>
                    </w:rPr>
                  </w:pPr>
                  <w:r>
                    <w:rPr>
                      <w:rFonts w:hint="eastAsia" w:eastAsiaTheme="minorEastAsia"/>
                      <w:lang w:val="en-US" w:eastAsia="zh-CN"/>
                    </w:rPr>
                    <w:t>0.09</w:t>
                  </w:r>
                  <w:r>
                    <w:rPr>
                      <w:rFonts w:hint="eastAsia"/>
                      <w:lang w:val="en-US" w:eastAsia="zh-CN"/>
                    </w:rPr>
                    <w:t>kg/a</w:t>
                  </w:r>
                </w:p>
              </w:tc>
              <w:tc>
                <w:tcPr>
                  <w:tcW w:w="952" w:type="dxa"/>
                  <w:tcBorders>
                    <w:tl2br w:val="nil"/>
                    <w:tr2bl w:val="nil"/>
                  </w:tcBorders>
                  <w:vAlign w:val="center"/>
                </w:tcPr>
                <w:p w14:paraId="51A40718">
                  <w:pPr>
                    <w:pStyle w:val="28"/>
                    <w:rPr>
                      <w:rFonts w:hint="eastAsia" w:eastAsia="宋体"/>
                      <w:lang w:val="en-US" w:eastAsia="zh-CN"/>
                    </w:rPr>
                  </w:pPr>
                  <w:r>
                    <w:rPr>
                      <w:rFonts w:hint="eastAsia"/>
                      <w:lang w:val="en-US" w:eastAsia="zh-CN"/>
                    </w:rPr>
                    <w:t>0</w:t>
                  </w:r>
                </w:p>
              </w:tc>
              <w:tc>
                <w:tcPr>
                  <w:tcW w:w="1552" w:type="dxa"/>
                  <w:tcBorders>
                    <w:tl2br w:val="nil"/>
                    <w:tr2bl w:val="nil"/>
                  </w:tcBorders>
                  <w:vAlign w:val="center"/>
                </w:tcPr>
                <w:p w14:paraId="757EF414">
                  <w:pPr>
                    <w:pStyle w:val="28"/>
                    <w:rPr>
                      <w:rFonts w:hint="default" w:eastAsiaTheme="minorEastAsia"/>
                      <w:lang w:val="en-US" w:eastAsia="zh-CN"/>
                    </w:rPr>
                  </w:pPr>
                  <w:r>
                    <w:rPr>
                      <w:rFonts w:hint="eastAsia" w:eastAsiaTheme="minorEastAsia"/>
                      <w:lang w:val="en-US" w:eastAsia="zh-CN"/>
                    </w:rPr>
                    <w:t>0.09038kg/a</w:t>
                  </w:r>
                </w:p>
              </w:tc>
              <w:tc>
                <w:tcPr>
                  <w:tcW w:w="1094" w:type="dxa"/>
                  <w:tcBorders>
                    <w:tl2br w:val="nil"/>
                    <w:tr2bl w:val="nil"/>
                  </w:tcBorders>
                  <w:vAlign w:val="center"/>
                </w:tcPr>
                <w:p w14:paraId="1A5871BA">
                  <w:pPr>
                    <w:pStyle w:val="28"/>
                    <w:ind w:left="0" w:leftChars="0" w:right="0" w:rightChars="0" w:firstLine="0" w:firstLineChars="0"/>
                    <w:rPr>
                      <w:rFonts w:eastAsiaTheme="minorEastAsia"/>
                      <w:lang w:val="en-US" w:eastAsia="zh-CN"/>
                    </w:rPr>
                  </w:pPr>
                  <w:r>
                    <w:rPr>
                      <w:rFonts w:hint="eastAsia" w:eastAsiaTheme="minorEastAsia"/>
                      <w:lang w:val="en-US" w:eastAsia="zh-CN"/>
                    </w:rPr>
                    <w:t>+0.075</w:t>
                  </w:r>
                  <w:r>
                    <w:rPr>
                      <w:rFonts w:hint="eastAsia"/>
                      <w:lang w:val="en-US" w:eastAsia="zh-CN"/>
                    </w:rPr>
                    <w:t>kg/a</w:t>
                  </w:r>
                </w:p>
              </w:tc>
            </w:tr>
            <w:tr w14:paraId="211779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tcBorders>
                    <w:tl2br w:val="nil"/>
                    <w:tr2bl w:val="nil"/>
                  </w:tcBorders>
                  <w:vAlign w:val="center"/>
                </w:tcPr>
                <w:p w14:paraId="726B99EA">
                  <w:pPr>
                    <w:pStyle w:val="28"/>
                  </w:pPr>
                </w:p>
              </w:tc>
              <w:tc>
                <w:tcPr>
                  <w:tcW w:w="1486" w:type="dxa"/>
                  <w:tcBorders>
                    <w:tl2br w:val="nil"/>
                    <w:tr2bl w:val="nil"/>
                  </w:tcBorders>
                  <w:vAlign w:val="center"/>
                </w:tcPr>
                <w:p w14:paraId="12479F52">
                  <w:pPr>
                    <w:pStyle w:val="28"/>
                    <w:rPr>
                      <w:rFonts w:hint="default" w:eastAsia="宋体"/>
                      <w:lang w:val="en-US" w:eastAsia="zh-CN"/>
                    </w:rPr>
                  </w:pPr>
                  <w:r>
                    <w:rPr>
                      <w:rFonts w:hint="eastAsia"/>
                      <w:lang w:val="en-US" w:eastAsia="zh-CN"/>
                    </w:rPr>
                    <w:t>沥青烟</w:t>
                  </w:r>
                </w:p>
              </w:tc>
              <w:tc>
                <w:tcPr>
                  <w:tcW w:w="1227" w:type="dxa"/>
                  <w:tcBorders>
                    <w:tl2br w:val="nil"/>
                    <w:tr2bl w:val="nil"/>
                  </w:tcBorders>
                  <w:vAlign w:val="center"/>
                </w:tcPr>
                <w:p w14:paraId="54EE247B">
                  <w:pPr>
                    <w:pStyle w:val="28"/>
                    <w:rPr>
                      <w:rFonts w:hint="default"/>
                      <w:lang w:val="en-US" w:eastAsia="zh-CN"/>
                    </w:rPr>
                  </w:pPr>
                  <w:r>
                    <w:rPr>
                      <w:rFonts w:hint="eastAsia"/>
                      <w:lang w:val="en-US" w:eastAsia="zh-CN"/>
                    </w:rPr>
                    <w:t>1.38</w:t>
                  </w:r>
                </w:p>
              </w:tc>
              <w:tc>
                <w:tcPr>
                  <w:tcW w:w="1159" w:type="dxa"/>
                  <w:tcBorders>
                    <w:tl2br w:val="nil"/>
                    <w:tr2bl w:val="nil"/>
                  </w:tcBorders>
                  <w:vAlign w:val="center"/>
                </w:tcPr>
                <w:p w14:paraId="07BBCAEC">
                  <w:pPr>
                    <w:pStyle w:val="28"/>
                    <w:rPr>
                      <w:rFonts w:hint="default" w:eastAsiaTheme="minorEastAsia"/>
                      <w:lang w:val="en-US" w:eastAsia="zh-CN"/>
                    </w:rPr>
                  </w:pPr>
                  <w:r>
                    <w:rPr>
                      <w:rFonts w:hint="eastAsia" w:eastAsiaTheme="minorEastAsia"/>
                      <w:lang w:val="en-US" w:eastAsia="zh-CN"/>
                    </w:rPr>
                    <w:t>0.17</w:t>
                  </w:r>
                </w:p>
              </w:tc>
              <w:tc>
                <w:tcPr>
                  <w:tcW w:w="952" w:type="dxa"/>
                  <w:tcBorders>
                    <w:tl2br w:val="nil"/>
                    <w:tr2bl w:val="nil"/>
                  </w:tcBorders>
                  <w:vAlign w:val="center"/>
                </w:tcPr>
                <w:p w14:paraId="02257EF2">
                  <w:pPr>
                    <w:pStyle w:val="28"/>
                    <w:rPr>
                      <w:rFonts w:hint="eastAsia" w:eastAsia="宋体"/>
                      <w:lang w:val="en-US" w:eastAsia="zh-CN"/>
                    </w:rPr>
                  </w:pPr>
                  <w:r>
                    <w:rPr>
                      <w:rFonts w:hint="eastAsia"/>
                      <w:lang w:val="en-US" w:eastAsia="zh-CN"/>
                    </w:rPr>
                    <w:t>0</w:t>
                  </w:r>
                </w:p>
              </w:tc>
              <w:tc>
                <w:tcPr>
                  <w:tcW w:w="1552" w:type="dxa"/>
                  <w:tcBorders>
                    <w:tl2br w:val="nil"/>
                    <w:tr2bl w:val="nil"/>
                  </w:tcBorders>
                  <w:vAlign w:val="center"/>
                </w:tcPr>
                <w:p w14:paraId="2911093D">
                  <w:pPr>
                    <w:pStyle w:val="28"/>
                    <w:rPr>
                      <w:rFonts w:hint="default" w:eastAsiaTheme="minorEastAsia"/>
                      <w:lang w:val="en-US" w:eastAsia="zh-CN"/>
                    </w:rPr>
                  </w:pPr>
                  <w:r>
                    <w:rPr>
                      <w:rFonts w:hint="eastAsia" w:eastAsiaTheme="minorEastAsia"/>
                      <w:lang w:val="en-US" w:eastAsia="zh-CN"/>
                    </w:rPr>
                    <w:t>1.55</w:t>
                  </w:r>
                </w:p>
              </w:tc>
              <w:tc>
                <w:tcPr>
                  <w:tcW w:w="1094" w:type="dxa"/>
                  <w:tcBorders>
                    <w:tl2br w:val="nil"/>
                    <w:tr2bl w:val="nil"/>
                  </w:tcBorders>
                  <w:vAlign w:val="center"/>
                </w:tcPr>
                <w:p w14:paraId="2ED4D511">
                  <w:pPr>
                    <w:pStyle w:val="28"/>
                    <w:ind w:left="0" w:leftChars="0" w:right="0" w:rightChars="0" w:firstLine="0" w:firstLineChars="0"/>
                    <w:rPr>
                      <w:rFonts w:eastAsiaTheme="minorEastAsia"/>
                      <w:lang w:val="en-US" w:eastAsia="zh-CN"/>
                    </w:rPr>
                  </w:pPr>
                  <w:r>
                    <w:rPr>
                      <w:rFonts w:hint="eastAsia" w:eastAsiaTheme="minorEastAsia"/>
                      <w:lang w:val="en-US" w:eastAsia="zh-CN"/>
                    </w:rPr>
                    <w:t>+0.24</w:t>
                  </w:r>
                </w:p>
              </w:tc>
            </w:tr>
            <w:tr w14:paraId="1332E4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tcBorders>
                    <w:tl2br w:val="nil"/>
                    <w:tr2bl w:val="nil"/>
                  </w:tcBorders>
                  <w:vAlign w:val="center"/>
                </w:tcPr>
                <w:p w14:paraId="1670BA74">
                  <w:pPr>
                    <w:pStyle w:val="28"/>
                  </w:pPr>
                </w:p>
              </w:tc>
              <w:tc>
                <w:tcPr>
                  <w:tcW w:w="1486" w:type="dxa"/>
                  <w:tcBorders>
                    <w:tl2br w:val="nil"/>
                    <w:tr2bl w:val="nil"/>
                  </w:tcBorders>
                  <w:vAlign w:val="center"/>
                </w:tcPr>
                <w:p w14:paraId="786B7DAE">
                  <w:pPr>
                    <w:pStyle w:val="28"/>
                    <w:rPr>
                      <w:rFonts w:hint="eastAsia" w:eastAsia="宋体"/>
                      <w:lang w:val="en-US" w:eastAsia="zh-CN"/>
                    </w:rPr>
                  </w:pPr>
                  <w:r>
                    <w:rPr>
                      <w:rFonts w:hint="eastAsia"/>
                      <w:lang w:val="en-US" w:eastAsia="zh-CN"/>
                    </w:rPr>
                    <w:t>非甲烷总烃</w:t>
                  </w:r>
                </w:p>
              </w:tc>
              <w:tc>
                <w:tcPr>
                  <w:tcW w:w="1227" w:type="dxa"/>
                  <w:tcBorders>
                    <w:tl2br w:val="nil"/>
                    <w:tr2bl w:val="nil"/>
                  </w:tcBorders>
                  <w:vAlign w:val="center"/>
                </w:tcPr>
                <w:p w14:paraId="6CCEF1D0">
                  <w:pPr>
                    <w:pStyle w:val="28"/>
                    <w:rPr>
                      <w:rFonts w:hint="default"/>
                      <w:lang w:val="en-US" w:eastAsia="zh-CN"/>
                    </w:rPr>
                  </w:pPr>
                  <w:r>
                    <w:rPr>
                      <w:rFonts w:hint="eastAsia"/>
                      <w:lang w:val="en-US" w:eastAsia="zh-CN"/>
                    </w:rPr>
                    <w:t>0.056</w:t>
                  </w:r>
                </w:p>
              </w:tc>
              <w:tc>
                <w:tcPr>
                  <w:tcW w:w="1159" w:type="dxa"/>
                  <w:tcBorders>
                    <w:tl2br w:val="nil"/>
                    <w:tr2bl w:val="nil"/>
                  </w:tcBorders>
                  <w:vAlign w:val="center"/>
                </w:tcPr>
                <w:p w14:paraId="404E90AB">
                  <w:pPr>
                    <w:pStyle w:val="28"/>
                    <w:rPr>
                      <w:rFonts w:hint="default" w:eastAsiaTheme="minorEastAsia"/>
                      <w:lang w:val="en-US" w:eastAsia="zh-CN"/>
                    </w:rPr>
                  </w:pPr>
                  <w:r>
                    <w:rPr>
                      <w:rFonts w:hint="eastAsia" w:eastAsiaTheme="minorEastAsia"/>
                      <w:lang w:val="en-US" w:eastAsia="zh-CN"/>
                    </w:rPr>
                    <w:t>1.27</w:t>
                  </w:r>
                </w:p>
              </w:tc>
              <w:tc>
                <w:tcPr>
                  <w:tcW w:w="952" w:type="dxa"/>
                  <w:tcBorders>
                    <w:tl2br w:val="nil"/>
                    <w:tr2bl w:val="nil"/>
                  </w:tcBorders>
                  <w:vAlign w:val="center"/>
                </w:tcPr>
                <w:p w14:paraId="7DC8CB2E">
                  <w:pPr>
                    <w:pStyle w:val="28"/>
                    <w:rPr>
                      <w:rFonts w:hint="default" w:eastAsia="宋体"/>
                      <w:lang w:val="en-US" w:eastAsia="zh-CN"/>
                    </w:rPr>
                  </w:pPr>
                  <w:r>
                    <w:rPr>
                      <w:rFonts w:hint="eastAsia"/>
                      <w:lang w:val="en-US" w:eastAsia="zh-CN"/>
                    </w:rPr>
                    <w:t>0.014</w:t>
                  </w:r>
                </w:p>
              </w:tc>
              <w:tc>
                <w:tcPr>
                  <w:tcW w:w="1552" w:type="dxa"/>
                  <w:tcBorders>
                    <w:tl2br w:val="nil"/>
                    <w:tr2bl w:val="nil"/>
                  </w:tcBorders>
                  <w:vAlign w:val="center"/>
                </w:tcPr>
                <w:p w14:paraId="647FE06B">
                  <w:pPr>
                    <w:pStyle w:val="28"/>
                    <w:rPr>
                      <w:rFonts w:hint="default" w:eastAsiaTheme="minorEastAsia"/>
                      <w:lang w:val="en-US" w:eastAsia="zh-CN"/>
                    </w:rPr>
                  </w:pPr>
                  <w:r>
                    <w:rPr>
                      <w:rFonts w:hint="eastAsia" w:eastAsiaTheme="minorEastAsia"/>
                      <w:lang w:val="en-US" w:eastAsia="zh-CN"/>
                    </w:rPr>
                    <w:t>1.312</w:t>
                  </w:r>
                </w:p>
              </w:tc>
              <w:tc>
                <w:tcPr>
                  <w:tcW w:w="1094" w:type="dxa"/>
                  <w:tcBorders>
                    <w:tl2br w:val="nil"/>
                    <w:tr2bl w:val="nil"/>
                  </w:tcBorders>
                  <w:vAlign w:val="center"/>
                </w:tcPr>
                <w:p w14:paraId="0DEF6934">
                  <w:pPr>
                    <w:pStyle w:val="28"/>
                    <w:rPr>
                      <w:rFonts w:hint="default" w:eastAsiaTheme="minorEastAsia"/>
                      <w:lang w:val="en-US" w:eastAsia="zh-CN"/>
                    </w:rPr>
                  </w:pPr>
                  <w:r>
                    <w:rPr>
                      <w:rFonts w:hint="eastAsia" w:eastAsiaTheme="minorEastAsia"/>
                      <w:lang w:val="en-US" w:eastAsia="zh-CN"/>
                    </w:rPr>
                    <w:t>+1.256</w:t>
                  </w:r>
                </w:p>
              </w:tc>
            </w:tr>
            <w:tr w14:paraId="32E6ED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restart"/>
                  <w:tcBorders>
                    <w:tl2br w:val="nil"/>
                    <w:tr2bl w:val="nil"/>
                  </w:tcBorders>
                  <w:vAlign w:val="center"/>
                </w:tcPr>
                <w:p w14:paraId="262F21DF">
                  <w:pPr>
                    <w:pStyle w:val="28"/>
                  </w:pPr>
                  <w:r>
                    <w:t>固体废物</w:t>
                  </w:r>
                </w:p>
              </w:tc>
              <w:tc>
                <w:tcPr>
                  <w:tcW w:w="1486" w:type="dxa"/>
                  <w:tcBorders>
                    <w:tl2br w:val="nil"/>
                    <w:tr2bl w:val="nil"/>
                  </w:tcBorders>
                  <w:vAlign w:val="center"/>
                </w:tcPr>
                <w:p w14:paraId="79333D80">
                  <w:pPr>
                    <w:pStyle w:val="28"/>
                    <w:rPr>
                      <w:lang w:val="en-US"/>
                    </w:rPr>
                  </w:pPr>
                  <w:r>
                    <w:rPr>
                      <w:rFonts w:hint="eastAsia"/>
                    </w:rPr>
                    <w:t>废包装物</w:t>
                  </w:r>
                </w:p>
              </w:tc>
              <w:tc>
                <w:tcPr>
                  <w:tcW w:w="1227" w:type="dxa"/>
                  <w:tcBorders>
                    <w:tl2br w:val="nil"/>
                    <w:tr2bl w:val="nil"/>
                  </w:tcBorders>
                  <w:vAlign w:val="center"/>
                </w:tcPr>
                <w:p w14:paraId="3DCB615E">
                  <w:pPr>
                    <w:pStyle w:val="28"/>
                    <w:rPr>
                      <w:rFonts w:hint="default" w:eastAsia="宋体"/>
                      <w:lang w:val="en-US" w:eastAsia="zh-CN"/>
                    </w:rPr>
                  </w:pPr>
                  <w:r>
                    <w:rPr>
                      <w:rFonts w:hint="eastAsia"/>
                      <w:lang w:val="en-US" w:eastAsia="zh-CN"/>
                    </w:rPr>
                    <w:t>4.4</w:t>
                  </w:r>
                </w:p>
              </w:tc>
              <w:tc>
                <w:tcPr>
                  <w:tcW w:w="1159" w:type="dxa"/>
                  <w:tcBorders>
                    <w:tl2br w:val="nil"/>
                    <w:tr2bl w:val="nil"/>
                  </w:tcBorders>
                  <w:vAlign w:val="center"/>
                </w:tcPr>
                <w:p w14:paraId="3E633561">
                  <w:pPr>
                    <w:pStyle w:val="28"/>
                    <w:rPr>
                      <w:rFonts w:hint="default" w:eastAsia="宋体"/>
                      <w:lang w:val="en-US" w:eastAsia="zh-CN"/>
                    </w:rPr>
                  </w:pPr>
                  <w:r>
                    <w:rPr>
                      <w:rFonts w:hint="eastAsia"/>
                      <w:lang w:val="en-US" w:eastAsia="zh-CN"/>
                    </w:rPr>
                    <w:t>7.5</w:t>
                  </w:r>
                </w:p>
              </w:tc>
              <w:tc>
                <w:tcPr>
                  <w:tcW w:w="952" w:type="dxa"/>
                  <w:tcBorders>
                    <w:tl2br w:val="nil"/>
                    <w:tr2bl w:val="nil"/>
                  </w:tcBorders>
                  <w:vAlign w:val="center"/>
                </w:tcPr>
                <w:p w14:paraId="7F03A918">
                  <w:pPr>
                    <w:pStyle w:val="28"/>
                    <w:rPr>
                      <w:rFonts w:hint="eastAsia" w:eastAsia="宋体"/>
                      <w:lang w:val="en-US" w:eastAsia="zh-CN"/>
                    </w:rPr>
                  </w:pPr>
                  <w:r>
                    <w:rPr>
                      <w:rFonts w:hint="eastAsia"/>
                      <w:lang w:val="en-US" w:eastAsia="zh-CN"/>
                    </w:rPr>
                    <w:t>0</w:t>
                  </w:r>
                </w:p>
              </w:tc>
              <w:tc>
                <w:tcPr>
                  <w:tcW w:w="1552" w:type="dxa"/>
                  <w:tcBorders>
                    <w:tl2br w:val="nil"/>
                    <w:tr2bl w:val="nil"/>
                  </w:tcBorders>
                  <w:vAlign w:val="center"/>
                </w:tcPr>
                <w:p w14:paraId="4A7AFC46">
                  <w:pPr>
                    <w:pStyle w:val="28"/>
                    <w:rPr>
                      <w:rFonts w:hint="default" w:eastAsia="宋体"/>
                      <w:lang w:val="en-US" w:eastAsia="zh-CN"/>
                    </w:rPr>
                  </w:pPr>
                  <w:r>
                    <w:rPr>
                      <w:rFonts w:hint="eastAsia"/>
                      <w:lang w:val="en-US" w:eastAsia="zh-CN"/>
                    </w:rPr>
                    <w:t>11.9</w:t>
                  </w:r>
                </w:p>
              </w:tc>
              <w:tc>
                <w:tcPr>
                  <w:tcW w:w="1094" w:type="dxa"/>
                  <w:tcBorders>
                    <w:tl2br w:val="nil"/>
                    <w:tr2bl w:val="nil"/>
                  </w:tcBorders>
                  <w:vAlign w:val="center"/>
                </w:tcPr>
                <w:p w14:paraId="6B2CDB53">
                  <w:pPr>
                    <w:pStyle w:val="28"/>
                    <w:ind w:left="0" w:leftChars="0" w:right="0" w:rightChars="0" w:firstLine="0" w:firstLineChars="0"/>
                    <w:rPr>
                      <w:rFonts w:hint="eastAsia" w:eastAsia="宋体"/>
                      <w:lang w:val="en-US" w:eastAsia="zh-CN"/>
                    </w:rPr>
                  </w:pPr>
                  <w:r>
                    <w:rPr>
                      <w:rFonts w:hint="eastAsia"/>
                      <w:lang w:val="en-US" w:eastAsia="zh-CN"/>
                    </w:rPr>
                    <w:t>+7.5</w:t>
                  </w:r>
                </w:p>
              </w:tc>
            </w:tr>
            <w:tr w14:paraId="65AE9A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tcBorders>
                    <w:tl2br w:val="nil"/>
                    <w:tr2bl w:val="nil"/>
                  </w:tcBorders>
                  <w:vAlign w:val="center"/>
                </w:tcPr>
                <w:p w14:paraId="603016A3">
                  <w:pPr>
                    <w:pStyle w:val="28"/>
                  </w:pPr>
                </w:p>
              </w:tc>
              <w:tc>
                <w:tcPr>
                  <w:tcW w:w="1486" w:type="dxa"/>
                  <w:tcBorders>
                    <w:tl2br w:val="nil"/>
                    <w:tr2bl w:val="nil"/>
                  </w:tcBorders>
                  <w:vAlign w:val="center"/>
                </w:tcPr>
                <w:p w14:paraId="2FE15E75">
                  <w:pPr>
                    <w:pStyle w:val="28"/>
                    <w:rPr>
                      <w:lang w:val="en-US"/>
                    </w:rPr>
                  </w:pPr>
                  <w:r>
                    <w:rPr>
                      <w:rFonts w:hint="eastAsia"/>
                      <w:lang w:val="en-US"/>
                    </w:rPr>
                    <w:t>生活垃圾</w:t>
                  </w:r>
                </w:p>
              </w:tc>
              <w:tc>
                <w:tcPr>
                  <w:tcW w:w="1227" w:type="dxa"/>
                  <w:tcBorders>
                    <w:tl2br w:val="nil"/>
                    <w:tr2bl w:val="nil"/>
                  </w:tcBorders>
                  <w:vAlign w:val="center"/>
                </w:tcPr>
                <w:p w14:paraId="73F16FEA">
                  <w:pPr>
                    <w:pStyle w:val="28"/>
                    <w:rPr>
                      <w:rFonts w:hint="default" w:eastAsia="宋体"/>
                      <w:lang w:val="en-US" w:eastAsia="zh-CN"/>
                    </w:rPr>
                  </w:pPr>
                  <w:r>
                    <w:rPr>
                      <w:rFonts w:hint="eastAsia"/>
                      <w:lang w:val="en-US" w:eastAsia="zh-CN"/>
                    </w:rPr>
                    <w:t>1.8</w:t>
                  </w:r>
                </w:p>
              </w:tc>
              <w:tc>
                <w:tcPr>
                  <w:tcW w:w="1159" w:type="dxa"/>
                  <w:tcBorders>
                    <w:tl2br w:val="nil"/>
                    <w:tr2bl w:val="nil"/>
                  </w:tcBorders>
                  <w:vAlign w:val="center"/>
                </w:tcPr>
                <w:p w14:paraId="105F53CE">
                  <w:pPr>
                    <w:pStyle w:val="28"/>
                    <w:rPr>
                      <w:rFonts w:hint="default"/>
                      <w:lang w:val="en-US" w:eastAsia="zh-CN"/>
                    </w:rPr>
                  </w:pPr>
                  <w:r>
                    <w:rPr>
                      <w:rFonts w:hint="eastAsia"/>
                      <w:lang w:val="en-US" w:eastAsia="zh-CN"/>
                    </w:rPr>
                    <w:t>1.44</w:t>
                  </w:r>
                </w:p>
              </w:tc>
              <w:tc>
                <w:tcPr>
                  <w:tcW w:w="952" w:type="dxa"/>
                  <w:tcBorders>
                    <w:tl2br w:val="nil"/>
                    <w:tr2bl w:val="nil"/>
                  </w:tcBorders>
                  <w:vAlign w:val="center"/>
                </w:tcPr>
                <w:p w14:paraId="341EB99D">
                  <w:pPr>
                    <w:pStyle w:val="28"/>
                    <w:rPr>
                      <w:rFonts w:hint="eastAsia" w:eastAsia="宋体"/>
                      <w:lang w:val="en-US" w:eastAsia="zh-CN"/>
                    </w:rPr>
                  </w:pPr>
                  <w:r>
                    <w:rPr>
                      <w:rFonts w:hint="eastAsia"/>
                      <w:lang w:val="en-US" w:eastAsia="zh-CN"/>
                    </w:rPr>
                    <w:t>0</w:t>
                  </w:r>
                </w:p>
              </w:tc>
              <w:tc>
                <w:tcPr>
                  <w:tcW w:w="1552" w:type="dxa"/>
                  <w:tcBorders>
                    <w:tl2br w:val="nil"/>
                    <w:tr2bl w:val="nil"/>
                  </w:tcBorders>
                  <w:vAlign w:val="center"/>
                </w:tcPr>
                <w:p w14:paraId="19C38338">
                  <w:pPr>
                    <w:pStyle w:val="28"/>
                    <w:rPr>
                      <w:rFonts w:hint="default" w:eastAsia="宋体"/>
                      <w:lang w:val="en-US" w:eastAsia="zh-CN"/>
                    </w:rPr>
                  </w:pPr>
                  <w:r>
                    <w:rPr>
                      <w:rFonts w:hint="eastAsia"/>
                      <w:lang w:val="en-US" w:eastAsia="zh-CN"/>
                    </w:rPr>
                    <w:t>3.24</w:t>
                  </w:r>
                </w:p>
              </w:tc>
              <w:tc>
                <w:tcPr>
                  <w:tcW w:w="1094" w:type="dxa"/>
                  <w:tcBorders>
                    <w:tl2br w:val="nil"/>
                    <w:tr2bl w:val="nil"/>
                  </w:tcBorders>
                  <w:vAlign w:val="center"/>
                </w:tcPr>
                <w:p w14:paraId="7C8DC43F">
                  <w:pPr>
                    <w:pStyle w:val="28"/>
                    <w:ind w:left="0" w:leftChars="0" w:right="0" w:rightChars="0" w:firstLine="0" w:firstLineChars="0"/>
                    <w:rPr>
                      <w:lang w:val="en-US"/>
                    </w:rPr>
                  </w:pPr>
                  <w:r>
                    <w:rPr>
                      <w:rFonts w:hint="eastAsia"/>
                      <w:lang w:val="en-US" w:eastAsia="zh-CN"/>
                    </w:rPr>
                    <w:t>+1.44</w:t>
                  </w:r>
                </w:p>
              </w:tc>
            </w:tr>
            <w:tr w14:paraId="38FCAE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tcBorders>
                    <w:tl2br w:val="nil"/>
                    <w:tr2bl w:val="nil"/>
                  </w:tcBorders>
                  <w:vAlign w:val="center"/>
                </w:tcPr>
                <w:p w14:paraId="3F095BF3">
                  <w:pPr>
                    <w:pStyle w:val="28"/>
                  </w:pPr>
                </w:p>
              </w:tc>
              <w:tc>
                <w:tcPr>
                  <w:tcW w:w="1486" w:type="dxa"/>
                  <w:tcBorders>
                    <w:tl2br w:val="nil"/>
                    <w:tr2bl w:val="nil"/>
                  </w:tcBorders>
                  <w:vAlign w:val="center"/>
                </w:tcPr>
                <w:p w14:paraId="6A3E0904">
                  <w:pPr>
                    <w:pStyle w:val="28"/>
                    <w:rPr>
                      <w:rFonts w:hint="eastAsia" w:eastAsia="宋体"/>
                      <w:lang w:val="en-US" w:eastAsia="zh-CN"/>
                    </w:rPr>
                  </w:pPr>
                  <w:r>
                    <w:rPr>
                      <w:rFonts w:hint="eastAsia"/>
                      <w:lang w:val="en-US" w:eastAsia="zh-CN"/>
                    </w:rPr>
                    <w:t>含油污泥</w:t>
                  </w:r>
                </w:p>
              </w:tc>
              <w:tc>
                <w:tcPr>
                  <w:tcW w:w="1227" w:type="dxa"/>
                  <w:tcBorders>
                    <w:tl2br w:val="nil"/>
                    <w:tr2bl w:val="nil"/>
                  </w:tcBorders>
                  <w:vAlign w:val="center"/>
                </w:tcPr>
                <w:p w14:paraId="4299DE92">
                  <w:pPr>
                    <w:pStyle w:val="28"/>
                    <w:rPr>
                      <w:rFonts w:hint="eastAsia" w:eastAsia="宋体"/>
                      <w:lang w:val="en-US" w:eastAsia="zh-CN"/>
                    </w:rPr>
                  </w:pPr>
                  <w:r>
                    <w:rPr>
                      <w:rFonts w:hint="eastAsia"/>
                      <w:lang w:val="en-US" w:eastAsia="zh-CN"/>
                    </w:rPr>
                    <w:t>/</w:t>
                  </w:r>
                </w:p>
              </w:tc>
              <w:tc>
                <w:tcPr>
                  <w:tcW w:w="1159" w:type="dxa"/>
                  <w:tcBorders>
                    <w:tl2br w:val="nil"/>
                    <w:tr2bl w:val="nil"/>
                  </w:tcBorders>
                  <w:vAlign w:val="center"/>
                </w:tcPr>
                <w:p w14:paraId="5243E8DF">
                  <w:pPr>
                    <w:pStyle w:val="28"/>
                    <w:rPr>
                      <w:rFonts w:hint="default"/>
                      <w:lang w:val="en-US" w:eastAsia="zh-CN"/>
                    </w:rPr>
                  </w:pPr>
                  <w:r>
                    <w:rPr>
                      <w:rFonts w:hint="eastAsia"/>
                      <w:lang w:val="en-US" w:eastAsia="zh-CN"/>
                    </w:rPr>
                    <w:t>8.73</w:t>
                  </w:r>
                </w:p>
              </w:tc>
              <w:tc>
                <w:tcPr>
                  <w:tcW w:w="952" w:type="dxa"/>
                  <w:tcBorders>
                    <w:tl2br w:val="nil"/>
                    <w:tr2bl w:val="nil"/>
                  </w:tcBorders>
                  <w:vAlign w:val="center"/>
                </w:tcPr>
                <w:p w14:paraId="7328EE61">
                  <w:pPr>
                    <w:pStyle w:val="28"/>
                    <w:rPr>
                      <w:rFonts w:hint="eastAsia" w:eastAsia="宋体"/>
                      <w:lang w:val="en-US" w:eastAsia="zh-CN"/>
                    </w:rPr>
                  </w:pPr>
                  <w:r>
                    <w:rPr>
                      <w:rFonts w:hint="eastAsia"/>
                      <w:lang w:val="en-US" w:eastAsia="zh-CN"/>
                    </w:rPr>
                    <w:t>0</w:t>
                  </w:r>
                </w:p>
              </w:tc>
              <w:tc>
                <w:tcPr>
                  <w:tcW w:w="1552" w:type="dxa"/>
                  <w:tcBorders>
                    <w:tl2br w:val="nil"/>
                    <w:tr2bl w:val="nil"/>
                  </w:tcBorders>
                  <w:vAlign w:val="center"/>
                </w:tcPr>
                <w:p w14:paraId="18EB12DB">
                  <w:pPr>
                    <w:pStyle w:val="28"/>
                    <w:rPr>
                      <w:rFonts w:hint="eastAsia" w:eastAsia="宋体"/>
                      <w:lang w:val="en-US" w:eastAsia="zh-CN"/>
                    </w:rPr>
                  </w:pPr>
                  <w:r>
                    <w:rPr>
                      <w:rFonts w:hint="eastAsia"/>
                      <w:lang w:val="en-US" w:eastAsia="zh-CN"/>
                    </w:rPr>
                    <w:t>8.73</w:t>
                  </w:r>
                </w:p>
              </w:tc>
              <w:tc>
                <w:tcPr>
                  <w:tcW w:w="1094" w:type="dxa"/>
                  <w:tcBorders>
                    <w:tl2br w:val="nil"/>
                    <w:tr2bl w:val="nil"/>
                  </w:tcBorders>
                  <w:vAlign w:val="center"/>
                </w:tcPr>
                <w:p w14:paraId="0357275C">
                  <w:pPr>
                    <w:pStyle w:val="28"/>
                    <w:ind w:left="0" w:leftChars="0" w:right="0" w:rightChars="0" w:firstLine="0" w:firstLineChars="0"/>
                    <w:rPr>
                      <w:lang w:val="en-US"/>
                    </w:rPr>
                  </w:pPr>
                  <w:r>
                    <w:rPr>
                      <w:rFonts w:hint="eastAsia"/>
                      <w:lang w:val="en-US" w:eastAsia="zh-CN"/>
                    </w:rPr>
                    <w:t>+8.73</w:t>
                  </w:r>
                </w:p>
              </w:tc>
            </w:tr>
            <w:tr w14:paraId="2C76CD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tcBorders>
                    <w:tl2br w:val="nil"/>
                    <w:tr2bl w:val="nil"/>
                  </w:tcBorders>
                  <w:vAlign w:val="center"/>
                </w:tcPr>
                <w:p w14:paraId="51F888A6">
                  <w:pPr>
                    <w:pStyle w:val="28"/>
                  </w:pPr>
                </w:p>
              </w:tc>
              <w:tc>
                <w:tcPr>
                  <w:tcW w:w="1486" w:type="dxa"/>
                  <w:tcBorders>
                    <w:tl2br w:val="nil"/>
                    <w:tr2bl w:val="nil"/>
                  </w:tcBorders>
                  <w:vAlign w:val="center"/>
                </w:tcPr>
                <w:p w14:paraId="17FE481C">
                  <w:pPr>
                    <w:pStyle w:val="28"/>
                    <w:rPr>
                      <w:rFonts w:hint="default"/>
                      <w:lang w:val="en-US" w:eastAsia="zh-CN"/>
                    </w:rPr>
                  </w:pPr>
                  <w:r>
                    <w:rPr>
                      <w:rFonts w:hint="eastAsia"/>
                      <w:lang w:val="en-US" w:eastAsia="zh-CN"/>
                    </w:rPr>
                    <w:t>沉渣</w:t>
                  </w:r>
                </w:p>
              </w:tc>
              <w:tc>
                <w:tcPr>
                  <w:tcW w:w="1227" w:type="dxa"/>
                  <w:tcBorders>
                    <w:tl2br w:val="nil"/>
                    <w:tr2bl w:val="nil"/>
                  </w:tcBorders>
                  <w:vAlign w:val="center"/>
                </w:tcPr>
                <w:p w14:paraId="67E18EF1">
                  <w:pPr>
                    <w:pStyle w:val="28"/>
                    <w:rPr>
                      <w:rFonts w:hint="default"/>
                      <w:lang w:val="en-US" w:eastAsia="zh-CN"/>
                    </w:rPr>
                  </w:pPr>
                  <w:r>
                    <w:rPr>
                      <w:rFonts w:hint="eastAsia"/>
                      <w:lang w:val="en-US" w:eastAsia="zh-CN"/>
                    </w:rPr>
                    <w:t>/</w:t>
                  </w:r>
                </w:p>
              </w:tc>
              <w:tc>
                <w:tcPr>
                  <w:tcW w:w="1159" w:type="dxa"/>
                  <w:tcBorders>
                    <w:tl2br w:val="nil"/>
                    <w:tr2bl w:val="nil"/>
                  </w:tcBorders>
                  <w:vAlign w:val="center"/>
                </w:tcPr>
                <w:p w14:paraId="7D37A29B">
                  <w:pPr>
                    <w:pStyle w:val="28"/>
                    <w:rPr>
                      <w:rFonts w:hint="default"/>
                      <w:lang w:val="en-US" w:eastAsia="zh-CN"/>
                    </w:rPr>
                  </w:pPr>
                  <w:r>
                    <w:rPr>
                      <w:rFonts w:hint="eastAsia"/>
                      <w:lang w:val="en-US" w:eastAsia="zh-CN"/>
                    </w:rPr>
                    <w:t>6</w:t>
                  </w:r>
                </w:p>
              </w:tc>
              <w:tc>
                <w:tcPr>
                  <w:tcW w:w="952" w:type="dxa"/>
                  <w:tcBorders>
                    <w:tl2br w:val="nil"/>
                    <w:tr2bl w:val="nil"/>
                  </w:tcBorders>
                  <w:vAlign w:val="center"/>
                </w:tcPr>
                <w:p w14:paraId="33E8B5D2">
                  <w:pPr>
                    <w:pStyle w:val="28"/>
                    <w:rPr>
                      <w:rFonts w:hint="default"/>
                      <w:lang w:val="en-US" w:eastAsia="zh-CN"/>
                    </w:rPr>
                  </w:pPr>
                  <w:r>
                    <w:rPr>
                      <w:rFonts w:hint="eastAsia"/>
                      <w:lang w:val="en-US" w:eastAsia="zh-CN"/>
                    </w:rPr>
                    <w:t>/</w:t>
                  </w:r>
                </w:p>
              </w:tc>
              <w:tc>
                <w:tcPr>
                  <w:tcW w:w="1552" w:type="dxa"/>
                  <w:tcBorders>
                    <w:tl2br w:val="nil"/>
                    <w:tr2bl w:val="nil"/>
                  </w:tcBorders>
                  <w:vAlign w:val="center"/>
                </w:tcPr>
                <w:p w14:paraId="70FAE936">
                  <w:pPr>
                    <w:pStyle w:val="28"/>
                    <w:rPr>
                      <w:rFonts w:hint="default"/>
                      <w:lang w:val="en-US" w:eastAsia="zh-CN"/>
                    </w:rPr>
                  </w:pPr>
                  <w:r>
                    <w:rPr>
                      <w:rFonts w:hint="eastAsia"/>
                      <w:lang w:val="en-US" w:eastAsia="zh-CN"/>
                    </w:rPr>
                    <w:t>6</w:t>
                  </w:r>
                </w:p>
              </w:tc>
              <w:tc>
                <w:tcPr>
                  <w:tcW w:w="1094" w:type="dxa"/>
                  <w:tcBorders>
                    <w:tl2br w:val="nil"/>
                    <w:tr2bl w:val="nil"/>
                  </w:tcBorders>
                  <w:vAlign w:val="center"/>
                </w:tcPr>
                <w:p w14:paraId="457F8830">
                  <w:pPr>
                    <w:pStyle w:val="28"/>
                    <w:ind w:left="0" w:leftChars="0" w:right="0" w:rightChars="0" w:firstLine="0" w:firstLineChars="0"/>
                    <w:rPr>
                      <w:rFonts w:hint="default"/>
                      <w:lang w:val="en-US" w:eastAsia="zh-CN"/>
                    </w:rPr>
                  </w:pPr>
                  <w:r>
                    <w:rPr>
                      <w:rFonts w:hint="eastAsia"/>
                      <w:lang w:val="en-US" w:eastAsia="zh-CN"/>
                    </w:rPr>
                    <w:t>+6</w:t>
                  </w:r>
                </w:p>
              </w:tc>
            </w:tr>
            <w:tr w14:paraId="000870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tcBorders>
                    <w:tl2br w:val="nil"/>
                    <w:tr2bl w:val="nil"/>
                  </w:tcBorders>
                  <w:vAlign w:val="center"/>
                </w:tcPr>
                <w:p w14:paraId="2C5B796B">
                  <w:pPr>
                    <w:pStyle w:val="28"/>
                  </w:pPr>
                </w:p>
              </w:tc>
              <w:tc>
                <w:tcPr>
                  <w:tcW w:w="1486" w:type="dxa"/>
                  <w:tcBorders>
                    <w:tl2br w:val="nil"/>
                    <w:tr2bl w:val="nil"/>
                  </w:tcBorders>
                  <w:vAlign w:val="center"/>
                </w:tcPr>
                <w:p w14:paraId="62386CE5">
                  <w:pPr>
                    <w:pStyle w:val="28"/>
                    <w:rPr>
                      <w:rFonts w:hint="default"/>
                      <w:lang w:val="en-US" w:eastAsia="zh-CN"/>
                    </w:rPr>
                  </w:pPr>
                  <w:r>
                    <w:rPr>
                      <w:rFonts w:hint="eastAsia"/>
                      <w:lang w:val="en-US" w:eastAsia="zh-CN"/>
                    </w:rPr>
                    <w:t>废润滑油</w:t>
                  </w:r>
                </w:p>
              </w:tc>
              <w:tc>
                <w:tcPr>
                  <w:tcW w:w="1227" w:type="dxa"/>
                  <w:tcBorders>
                    <w:tl2br w:val="nil"/>
                    <w:tr2bl w:val="nil"/>
                  </w:tcBorders>
                  <w:vAlign w:val="center"/>
                </w:tcPr>
                <w:p w14:paraId="56E844A6">
                  <w:pPr>
                    <w:pStyle w:val="28"/>
                    <w:rPr>
                      <w:rFonts w:hint="eastAsia" w:eastAsia="宋体"/>
                      <w:lang w:val="en-US" w:eastAsia="zh-CN"/>
                    </w:rPr>
                  </w:pPr>
                  <w:r>
                    <w:rPr>
                      <w:rFonts w:hint="eastAsia"/>
                      <w:lang w:val="en-US" w:eastAsia="zh-CN"/>
                    </w:rPr>
                    <w:t>/</w:t>
                  </w:r>
                </w:p>
              </w:tc>
              <w:tc>
                <w:tcPr>
                  <w:tcW w:w="1159" w:type="dxa"/>
                  <w:tcBorders>
                    <w:tl2br w:val="nil"/>
                    <w:tr2bl w:val="nil"/>
                  </w:tcBorders>
                  <w:vAlign w:val="center"/>
                </w:tcPr>
                <w:p w14:paraId="598D9482">
                  <w:pPr>
                    <w:pStyle w:val="28"/>
                    <w:rPr>
                      <w:rFonts w:hint="default"/>
                      <w:lang w:val="en-US" w:eastAsia="zh-CN"/>
                    </w:rPr>
                  </w:pPr>
                  <w:r>
                    <w:rPr>
                      <w:rFonts w:hint="eastAsia"/>
                      <w:lang w:val="en-US" w:eastAsia="zh-CN"/>
                    </w:rPr>
                    <w:t>1</w:t>
                  </w:r>
                </w:p>
              </w:tc>
              <w:tc>
                <w:tcPr>
                  <w:tcW w:w="952" w:type="dxa"/>
                  <w:tcBorders>
                    <w:tl2br w:val="nil"/>
                    <w:tr2bl w:val="nil"/>
                  </w:tcBorders>
                  <w:vAlign w:val="center"/>
                </w:tcPr>
                <w:p w14:paraId="20382EB5">
                  <w:pPr>
                    <w:pStyle w:val="28"/>
                    <w:rPr>
                      <w:rFonts w:hint="eastAsia" w:eastAsia="宋体"/>
                      <w:lang w:val="en-US" w:eastAsia="zh-CN"/>
                    </w:rPr>
                  </w:pPr>
                  <w:r>
                    <w:rPr>
                      <w:rFonts w:hint="eastAsia"/>
                      <w:lang w:val="en-US" w:eastAsia="zh-CN"/>
                    </w:rPr>
                    <w:t>0</w:t>
                  </w:r>
                </w:p>
              </w:tc>
              <w:tc>
                <w:tcPr>
                  <w:tcW w:w="1552" w:type="dxa"/>
                  <w:tcBorders>
                    <w:tl2br w:val="nil"/>
                    <w:tr2bl w:val="nil"/>
                  </w:tcBorders>
                  <w:vAlign w:val="center"/>
                </w:tcPr>
                <w:p w14:paraId="7ABFE699">
                  <w:pPr>
                    <w:pStyle w:val="28"/>
                    <w:rPr>
                      <w:rFonts w:hint="eastAsia" w:eastAsia="宋体"/>
                      <w:lang w:val="en-US" w:eastAsia="zh-CN"/>
                    </w:rPr>
                  </w:pPr>
                  <w:r>
                    <w:rPr>
                      <w:rFonts w:hint="eastAsia"/>
                      <w:lang w:val="en-US" w:eastAsia="zh-CN"/>
                    </w:rPr>
                    <w:t>1</w:t>
                  </w:r>
                </w:p>
              </w:tc>
              <w:tc>
                <w:tcPr>
                  <w:tcW w:w="1094" w:type="dxa"/>
                  <w:tcBorders>
                    <w:tl2br w:val="nil"/>
                    <w:tr2bl w:val="nil"/>
                  </w:tcBorders>
                  <w:vAlign w:val="center"/>
                </w:tcPr>
                <w:p w14:paraId="7CE14A44">
                  <w:pPr>
                    <w:pStyle w:val="28"/>
                    <w:ind w:left="0" w:leftChars="0" w:right="0" w:rightChars="0" w:firstLine="0" w:firstLineChars="0"/>
                    <w:rPr>
                      <w:lang w:val="en-US"/>
                    </w:rPr>
                  </w:pPr>
                  <w:r>
                    <w:rPr>
                      <w:rFonts w:hint="eastAsia"/>
                      <w:lang w:val="en-US" w:eastAsia="zh-CN"/>
                    </w:rPr>
                    <w:t>+1</w:t>
                  </w:r>
                </w:p>
              </w:tc>
            </w:tr>
            <w:tr w14:paraId="21FA56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tcBorders>
                    <w:tl2br w:val="nil"/>
                    <w:tr2bl w:val="nil"/>
                  </w:tcBorders>
                  <w:vAlign w:val="center"/>
                </w:tcPr>
                <w:p w14:paraId="315FAC8D">
                  <w:pPr>
                    <w:pStyle w:val="28"/>
                  </w:pPr>
                </w:p>
              </w:tc>
              <w:tc>
                <w:tcPr>
                  <w:tcW w:w="1486" w:type="dxa"/>
                  <w:tcBorders>
                    <w:tl2br w:val="nil"/>
                    <w:tr2bl w:val="nil"/>
                  </w:tcBorders>
                  <w:vAlign w:val="center"/>
                </w:tcPr>
                <w:p w14:paraId="13DD4FB2">
                  <w:pPr>
                    <w:pStyle w:val="28"/>
                    <w:rPr>
                      <w:rFonts w:hint="eastAsia" w:eastAsia="宋体"/>
                      <w:lang w:val="en-US" w:eastAsia="zh-CN"/>
                    </w:rPr>
                  </w:pPr>
                  <w:r>
                    <w:rPr>
                      <w:rFonts w:hint="eastAsia"/>
                      <w:lang w:val="en-US"/>
                    </w:rPr>
                    <w:t>废</w:t>
                  </w:r>
                  <w:r>
                    <w:rPr>
                      <w:rFonts w:hint="eastAsia"/>
                      <w:lang w:val="en-US" w:eastAsia="zh-CN"/>
                    </w:rPr>
                    <w:t>活性炭</w:t>
                  </w:r>
                </w:p>
              </w:tc>
              <w:tc>
                <w:tcPr>
                  <w:tcW w:w="1227" w:type="dxa"/>
                  <w:tcBorders>
                    <w:tl2br w:val="nil"/>
                    <w:tr2bl w:val="nil"/>
                  </w:tcBorders>
                  <w:vAlign w:val="center"/>
                </w:tcPr>
                <w:p w14:paraId="2C4721D4">
                  <w:pPr>
                    <w:pStyle w:val="28"/>
                    <w:rPr>
                      <w:rFonts w:hint="default" w:eastAsia="PMingLiU"/>
                      <w:lang w:val="en-US" w:eastAsia="zh-CN"/>
                    </w:rPr>
                  </w:pPr>
                  <w:r>
                    <w:rPr>
                      <w:rFonts w:hint="eastAsia" w:eastAsia="PMingLiU"/>
                      <w:lang w:val="en-US" w:eastAsia="zh-CN"/>
                    </w:rPr>
                    <w:t>/</w:t>
                  </w:r>
                </w:p>
              </w:tc>
              <w:tc>
                <w:tcPr>
                  <w:tcW w:w="1159" w:type="dxa"/>
                  <w:tcBorders>
                    <w:tl2br w:val="nil"/>
                    <w:tr2bl w:val="nil"/>
                  </w:tcBorders>
                  <w:vAlign w:val="center"/>
                </w:tcPr>
                <w:p w14:paraId="3FE98467">
                  <w:pPr>
                    <w:pStyle w:val="28"/>
                    <w:rPr>
                      <w:rFonts w:hint="default" w:eastAsia="宋体"/>
                      <w:lang w:val="en-US" w:eastAsia="zh-CN"/>
                    </w:rPr>
                  </w:pPr>
                  <w:r>
                    <w:rPr>
                      <w:rFonts w:hint="eastAsia"/>
                      <w:lang w:val="en-US" w:eastAsia="zh-CN"/>
                    </w:rPr>
                    <w:t>7.24</w:t>
                  </w:r>
                </w:p>
              </w:tc>
              <w:tc>
                <w:tcPr>
                  <w:tcW w:w="952" w:type="dxa"/>
                  <w:tcBorders>
                    <w:tl2br w:val="nil"/>
                    <w:tr2bl w:val="nil"/>
                  </w:tcBorders>
                  <w:vAlign w:val="center"/>
                </w:tcPr>
                <w:p w14:paraId="7C893AB5">
                  <w:pPr>
                    <w:pStyle w:val="28"/>
                    <w:rPr>
                      <w:rFonts w:hint="eastAsia" w:eastAsia="宋体"/>
                      <w:lang w:val="en-US" w:eastAsia="zh-CN"/>
                    </w:rPr>
                  </w:pPr>
                  <w:r>
                    <w:rPr>
                      <w:rFonts w:hint="eastAsia"/>
                      <w:lang w:val="en-US" w:eastAsia="zh-CN"/>
                    </w:rPr>
                    <w:t>0</w:t>
                  </w:r>
                </w:p>
              </w:tc>
              <w:tc>
                <w:tcPr>
                  <w:tcW w:w="1552" w:type="dxa"/>
                  <w:tcBorders>
                    <w:tl2br w:val="nil"/>
                    <w:tr2bl w:val="nil"/>
                  </w:tcBorders>
                  <w:vAlign w:val="center"/>
                </w:tcPr>
                <w:p w14:paraId="379E230C">
                  <w:pPr>
                    <w:pStyle w:val="28"/>
                    <w:rPr>
                      <w:rFonts w:hint="default" w:eastAsia="宋体"/>
                      <w:lang w:val="en-US" w:eastAsia="zh-CN"/>
                    </w:rPr>
                  </w:pPr>
                  <w:r>
                    <w:rPr>
                      <w:rFonts w:hint="eastAsia"/>
                      <w:lang w:val="en-US" w:eastAsia="zh-CN"/>
                    </w:rPr>
                    <w:t>7.24</w:t>
                  </w:r>
                </w:p>
              </w:tc>
              <w:tc>
                <w:tcPr>
                  <w:tcW w:w="1094" w:type="dxa"/>
                  <w:tcBorders>
                    <w:tl2br w:val="nil"/>
                    <w:tr2bl w:val="nil"/>
                  </w:tcBorders>
                  <w:vAlign w:val="center"/>
                </w:tcPr>
                <w:p w14:paraId="48B34F69">
                  <w:pPr>
                    <w:pStyle w:val="28"/>
                    <w:ind w:left="0" w:leftChars="0" w:right="0" w:rightChars="0" w:firstLine="0" w:firstLineChars="0"/>
                    <w:rPr>
                      <w:rFonts w:hint="default"/>
                      <w:lang w:val="en-US"/>
                    </w:rPr>
                  </w:pPr>
                  <w:r>
                    <w:rPr>
                      <w:rFonts w:hint="eastAsia"/>
                      <w:lang w:val="en-US" w:eastAsia="zh-CN"/>
                    </w:rPr>
                    <w:t>+7.24</w:t>
                  </w:r>
                </w:p>
              </w:tc>
            </w:tr>
            <w:tr w14:paraId="7E60DC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7" w:type="dxa"/>
                  <w:vMerge w:val="continue"/>
                  <w:tcBorders>
                    <w:bottom w:val="single" w:color="auto" w:sz="4" w:space="0"/>
                    <w:tl2br w:val="nil"/>
                    <w:tr2bl w:val="nil"/>
                  </w:tcBorders>
                  <w:vAlign w:val="center"/>
                </w:tcPr>
                <w:p w14:paraId="56173B2C">
                  <w:pPr>
                    <w:pStyle w:val="28"/>
                  </w:pPr>
                </w:p>
              </w:tc>
              <w:tc>
                <w:tcPr>
                  <w:tcW w:w="1486" w:type="dxa"/>
                  <w:tcBorders>
                    <w:bottom w:val="single" w:color="auto" w:sz="4" w:space="0"/>
                    <w:tl2br w:val="nil"/>
                    <w:tr2bl w:val="nil"/>
                  </w:tcBorders>
                  <w:vAlign w:val="center"/>
                </w:tcPr>
                <w:p w14:paraId="3443150E">
                  <w:pPr>
                    <w:pStyle w:val="28"/>
                    <w:rPr>
                      <w:rFonts w:hint="default"/>
                      <w:lang w:val="en-US" w:eastAsia="zh-CN"/>
                    </w:rPr>
                  </w:pPr>
                  <w:r>
                    <w:rPr>
                      <w:rFonts w:hint="eastAsia"/>
                      <w:lang w:val="en-US" w:eastAsia="zh-CN"/>
                    </w:rPr>
                    <w:t>沥青沾染物</w:t>
                  </w:r>
                </w:p>
              </w:tc>
              <w:tc>
                <w:tcPr>
                  <w:tcW w:w="1227" w:type="dxa"/>
                  <w:tcBorders>
                    <w:bottom w:val="single" w:color="auto" w:sz="4" w:space="0"/>
                    <w:tl2br w:val="nil"/>
                    <w:tr2bl w:val="nil"/>
                  </w:tcBorders>
                  <w:vAlign w:val="center"/>
                </w:tcPr>
                <w:p w14:paraId="6BEFFF99">
                  <w:pPr>
                    <w:pStyle w:val="28"/>
                    <w:rPr>
                      <w:rFonts w:hint="default" w:eastAsia="PMingLiU"/>
                      <w:lang w:val="en-US" w:eastAsia="zh-CN"/>
                    </w:rPr>
                  </w:pPr>
                  <w:r>
                    <w:rPr>
                      <w:rFonts w:hint="eastAsia" w:eastAsia="PMingLiU"/>
                      <w:lang w:val="en-US" w:eastAsia="zh-CN"/>
                    </w:rPr>
                    <w:t>/</w:t>
                  </w:r>
                </w:p>
              </w:tc>
              <w:tc>
                <w:tcPr>
                  <w:tcW w:w="1159" w:type="dxa"/>
                  <w:tcBorders>
                    <w:bottom w:val="single" w:color="auto" w:sz="4" w:space="0"/>
                    <w:tl2br w:val="nil"/>
                    <w:tr2bl w:val="nil"/>
                  </w:tcBorders>
                  <w:vAlign w:val="center"/>
                </w:tcPr>
                <w:p w14:paraId="720A6E88">
                  <w:pPr>
                    <w:pStyle w:val="28"/>
                    <w:rPr>
                      <w:rFonts w:hint="default"/>
                      <w:lang w:val="en-US" w:eastAsia="zh-CN"/>
                    </w:rPr>
                  </w:pPr>
                  <w:r>
                    <w:rPr>
                      <w:rFonts w:hint="eastAsia"/>
                      <w:lang w:val="en-US" w:eastAsia="zh-CN"/>
                    </w:rPr>
                    <w:t>3</w:t>
                  </w:r>
                </w:p>
              </w:tc>
              <w:tc>
                <w:tcPr>
                  <w:tcW w:w="952" w:type="dxa"/>
                  <w:tcBorders>
                    <w:bottom w:val="single" w:color="auto" w:sz="4" w:space="0"/>
                    <w:tl2br w:val="nil"/>
                    <w:tr2bl w:val="nil"/>
                  </w:tcBorders>
                  <w:vAlign w:val="center"/>
                </w:tcPr>
                <w:p w14:paraId="5634C198">
                  <w:pPr>
                    <w:pStyle w:val="28"/>
                    <w:rPr>
                      <w:rFonts w:hint="default"/>
                      <w:lang w:val="en-US" w:eastAsia="zh-CN"/>
                    </w:rPr>
                  </w:pPr>
                  <w:r>
                    <w:rPr>
                      <w:rFonts w:hint="eastAsia"/>
                      <w:lang w:val="en-US" w:eastAsia="zh-CN"/>
                    </w:rPr>
                    <w:t>0</w:t>
                  </w:r>
                </w:p>
              </w:tc>
              <w:tc>
                <w:tcPr>
                  <w:tcW w:w="1552" w:type="dxa"/>
                  <w:tcBorders>
                    <w:bottom w:val="single" w:color="auto" w:sz="4" w:space="0"/>
                    <w:tl2br w:val="nil"/>
                    <w:tr2bl w:val="nil"/>
                  </w:tcBorders>
                  <w:vAlign w:val="center"/>
                </w:tcPr>
                <w:p w14:paraId="2317C34A">
                  <w:pPr>
                    <w:pStyle w:val="28"/>
                    <w:rPr>
                      <w:rFonts w:hint="default"/>
                      <w:lang w:val="en-US" w:eastAsia="zh-CN"/>
                    </w:rPr>
                  </w:pPr>
                  <w:r>
                    <w:rPr>
                      <w:rFonts w:hint="eastAsia"/>
                      <w:lang w:val="en-US" w:eastAsia="zh-CN"/>
                    </w:rPr>
                    <w:t>3</w:t>
                  </w:r>
                </w:p>
              </w:tc>
              <w:tc>
                <w:tcPr>
                  <w:tcW w:w="1094" w:type="dxa"/>
                  <w:tcBorders>
                    <w:bottom w:val="single" w:color="auto" w:sz="4" w:space="0"/>
                    <w:tl2br w:val="nil"/>
                    <w:tr2bl w:val="nil"/>
                  </w:tcBorders>
                  <w:vAlign w:val="center"/>
                </w:tcPr>
                <w:p w14:paraId="2C40A5B6">
                  <w:pPr>
                    <w:pStyle w:val="28"/>
                    <w:ind w:left="0" w:leftChars="0" w:right="0" w:rightChars="0" w:firstLine="0" w:firstLineChars="0"/>
                    <w:rPr>
                      <w:rFonts w:hint="default"/>
                      <w:lang w:val="en-US" w:eastAsia="zh-CN"/>
                    </w:rPr>
                  </w:pPr>
                  <w:r>
                    <w:rPr>
                      <w:rFonts w:hint="eastAsia"/>
                      <w:lang w:val="en-US" w:eastAsia="zh-CN"/>
                    </w:rPr>
                    <w:t>+3</w:t>
                  </w:r>
                </w:p>
              </w:tc>
            </w:tr>
          </w:tbl>
          <w:p w14:paraId="6F8300B8">
            <w:pPr>
              <w:pStyle w:val="3"/>
              <w:numPr>
                <w:ilvl w:val="0"/>
                <w:numId w:val="0"/>
              </w:numPr>
              <w:spacing w:line="360" w:lineRule="auto"/>
              <w:ind w:firstLine="0" w:firstLineChars="0"/>
              <w:rPr>
                <w:rFonts w:hint="default" w:ascii="Times New Roman" w:hAnsi="Times New Roman" w:eastAsia="宋体" w:cs="Times New Roman"/>
                <w:b/>
                <w:bCs/>
                <w:kern w:val="2"/>
                <w:sz w:val="24"/>
                <w:szCs w:val="24"/>
                <w:highlight w:val="none"/>
                <w:lang w:val="en-US" w:eastAsia="zh-CN" w:bidi="ar-SA"/>
              </w:rPr>
            </w:pPr>
            <w:r>
              <w:rPr>
                <w:rFonts w:hint="default" w:ascii="Times New Roman" w:hAnsi="Times New Roman" w:eastAsia="宋体" w:cs="Times New Roman"/>
                <w:b/>
                <w:bCs/>
                <w:kern w:val="2"/>
                <w:sz w:val="24"/>
                <w:szCs w:val="24"/>
                <w:highlight w:val="none"/>
                <w:lang w:val="en-US" w:eastAsia="zh-CN" w:bidi="ar-SA"/>
              </w:rPr>
              <w:t>5 土壤、地下水环境影响分析</w:t>
            </w:r>
          </w:p>
          <w:p w14:paraId="5EB3983B">
            <w:pPr>
              <w:adjustRightInd w:val="0"/>
              <w:snapToGrid w:val="0"/>
              <w:spacing w:line="360" w:lineRule="auto"/>
              <w:ind w:firstLine="480" w:firstLineChars="200"/>
              <w:rPr>
                <w:rFonts w:hint="default" w:ascii="Times New Roman" w:hAnsi="Times New Roman" w:eastAsia="宋体" w:cs="Times New Roman"/>
                <w:bCs/>
                <w:color w:val="000000"/>
                <w:sz w:val="24"/>
                <w:highlight w:val="none"/>
                <w:lang w:val="en-US" w:eastAsia="zh-CN"/>
              </w:rPr>
            </w:pPr>
            <w:r>
              <w:rPr>
                <w:rFonts w:hint="default" w:ascii="Times New Roman" w:hAnsi="Times New Roman" w:eastAsia="宋体" w:cs="Times New Roman"/>
                <w:bCs/>
                <w:color w:val="000000"/>
                <w:sz w:val="24"/>
                <w:highlight w:val="none"/>
                <w:lang w:val="en-US" w:eastAsia="zh-CN"/>
              </w:rPr>
              <w:t>根据《环境影响评价技术导则 地下水环境》（HJ610-2016），本项目属于附录A中J非金属矿采选及制品制造</w:t>
            </w:r>
            <w:r>
              <w:rPr>
                <w:rFonts w:hint="eastAsia" w:ascii="Times New Roman" w:hAnsi="Times New Roman" w:eastAsia="宋体" w:cs="Times New Roman"/>
                <w:bCs/>
                <w:color w:val="000000"/>
                <w:sz w:val="24"/>
                <w:highlight w:val="none"/>
                <w:lang w:val="en-US" w:eastAsia="zh-CN"/>
              </w:rPr>
              <w:t>“</w:t>
            </w:r>
            <w:r>
              <w:rPr>
                <w:rFonts w:hint="default" w:ascii="Times New Roman" w:hAnsi="Times New Roman" w:eastAsia="宋体" w:cs="Times New Roman"/>
                <w:bCs/>
                <w:color w:val="000000"/>
                <w:sz w:val="24"/>
                <w:highlight w:val="none"/>
                <w:lang w:val="en-US" w:eastAsia="zh-CN"/>
              </w:rPr>
              <w:t>70、防水建筑材料制造、沥青搅拌站</w:t>
            </w:r>
            <w:r>
              <w:rPr>
                <w:rFonts w:hint="eastAsia" w:ascii="Times New Roman" w:hAnsi="Times New Roman" w:eastAsia="宋体" w:cs="Times New Roman"/>
                <w:bCs/>
                <w:color w:val="000000"/>
                <w:sz w:val="24"/>
                <w:highlight w:val="none"/>
                <w:lang w:val="en-US" w:eastAsia="zh-CN"/>
              </w:rPr>
              <w:t>”</w:t>
            </w:r>
            <w:r>
              <w:rPr>
                <w:rFonts w:hint="default" w:ascii="Times New Roman" w:hAnsi="Times New Roman" w:eastAsia="宋体" w:cs="Times New Roman"/>
                <w:bCs/>
                <w:color w:val="000000"/>
                <w:sz w:val="24"/>
                <w:highlight w:val="none"/>
                <w:lang w:val="en-US" w:eastAsia="zh-CN"/>
              </w:rPr>
              <w:t>类别。故本项目的地下水环境影响评价项目类别</w:t>
            </w:r>
            <w:r>
              <w:rPr>
                <w:rFonts w:hint="eastAsia" w:cs="Times New Roman"/>
                <w:bCs/>
                <w:color w:val="000000"/>
                <w:sz w:val="24"/>
                <w:highlight w:val="none"/>
                <w:lang w:val="en-US" w:eastAsia="zh-CN"/>
              </w:rPr>
              <w:t>属于</w:t>
            </w:r>
            <w:r>
              <w:rPr>
                <w:rFonts w:hint="eastAsia" w:ascii="Times New Roman" w:hAnsi="Times New Roman" w:eastAsia="宋体" w:cs="Times New Roman"/>
                <w:bCs/>
                <w:color w:val="000000"/>
                <w:sz w:val="24"/>
                <w:highlight w:val="none"/>
                <w:lang w:val="en-US" w:eastAsia="zh-CN"/>
              </w:rPr>
              <w:t>“</w:t>
            </w:r>
            <w:r>
              <w:rPr>
                <w:rFonts w:hint="default" w:ascii="Times New Roman" w:hAnsi="Times New Roman" w:eastAsia="宋体" w:cs="Times New Roman"/>
                <w:bCs/>
                <w:color w:val="000000"/>
                <w:sz w:val="24"/>
                <w:highlight w:val="none"/>
                <w:lang w:val="en-US" w:eastAsia="zh-CN"/>
              </w:rPr>
              <w:t>Ⅳ类</w:t>
            </w:r>
            <w:r>
              <w:rPr>
                <w:rFonts w:hint="eastAsia" w:ascii="Times New Roman" w:hAnsi="Times New Roman" w:eastAsia="宋体" w:cs="Times New Roman"/>
                <w:bCs/>
                <w:color w:val="000000"/>
                <w:sz w:val="24"/>
                <w:highlight w:val="none"/>
                <w:lang w:val="en-US" w:eastAsia="zh-CN"/>
              </w:rPr>
              <w:t>”</w:t>
            </w:r>
            <w:r>
              <w:rPr>
                <w:rFonts w:hint="default" w:ascii="Times New Roman" w:hAnsi="Times New Roman" w:eastAsia="宋体" w:cs="Times New Roman"/>
                <w:bCs/>
                <w:color w:val="000000"/>
                <w:sz w:val="24"/>
                <w:highlight w:val="none"/>
                <w:lang w:val="en-US" w:eastAsia="zh-CN"/>
              </w:rPr>
              <w:t>建设项目，不需要开展地下水</w:t>
            </w:r>
            <w:r>
              <w:rPr>
                <w:rFonts w:hint="eastAsia" w:cs="Times New Roman"/>
                <w:bCs/>
                <w:color w:val="000000"/>
                <w:sz w:val="24"/>
                <w:highlight w:val="none"/>
                <w:lang w:val="en-US" w:eastAsia="zh-CN"/>
              </w:rPr>
              <w:t>和土壤</w:t>
            </w:r>
            <w:r>
              <w:rPr>
                <w:rFonts w:hint="default" w:ascii="Times New Roman" w:hAnsi="Times New Roman" w:eastAsia="宋体" w:cs="Times New Roman"/>
                <w:bCs/>
                <w:color w:val="000000"/>
                <w:sz w:val="24"/>
                <w:highlight w:val="none"/>
                <w:lang w:val="en-US" w:eastAsia="zh-CN"/>
              </w:rPr>
              <w:t>评价。</w:t>
            </w:r>
          </w:p>
          <w:p w14:paraId="79F87B6B">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eastAsia" w:ascii="Times New Roman" w:hAnsi="Times New Roman" w:eastAsia="宋体" w:cs="Times New Roman"/>
                <w:bCs/>
                <w:color w:val="000000"/>
                <w:sz w:val="24"/>
                <w:highlight w:val="none"/>
                <w:lang w:val="en-US" w:eastAsia="zh-CN"/>
              </w:rPr>
            </w:pPr>
            <w:r>
              <w:rPr>
                <w:rFonts w:hint="eastAsia" w:ascii="Times New Roman" w:hAnsi="Times New Roman" w:eastAsia="宋体" w:cs="Times New Roman"/>
                <w:bCs/>
                <w:color w:val="000000"/>
                <w:sz w:val="24"/>
                <w:highlight w:val="none"/>
                <w:lang w:val="en-US" w:eastAsia="zh-CN"/>
              </w:rPr>
              <w:t>5.1 污染源分析</w:t>
            </w:r>
          </w:p>
          <w:p w14:paraId="2B9AFD3D">
            <w:pPr>
              <w:adjustRightInd w:val="0"/>
              <w:snapToGrid w:val="0"/>
              <w:spacing w:line="360" w:lineRule="auto"/>
              <w:ind w:firstLine="480" w:firstLineChars="200"/>
              <w:rPr>
                <w:rFonts w:hint="eastAsia" w:ascii="Times New Roman" w:hAnsi="Times New Roman" w:eastAsia="宋体" w:cs="Times New Roman"/>
                <w:bCs/>
                <w:color w:val="000000"/>
                <w:sz w:val="24"/>
                <w:highlight w:val="none"/>
                <w:lang w:val="en-US" w:eastAsia="zh-CN"/>
              </w:rPr>
            </w:pPr>
            <w:r>
              <w:rPr>
                <w:rFonts w:hint="default" w:ascii="Times New Roman" w:hAnsi="Times New Roman" w:eastAsia="宋体" w:cs="Times New Roman"/>
                <w:bCs/>
                <w:color w:val="000000"/>
                <w:sz w:val="24"/>
                <w:highlight w:val="none"/>
                <w:lang w:val="en-US" w:eastAsia="zh-CN"/>
              </w:rPr>
              <w:t>本项目地下水污染源主要为</w:t>
            </w:r>
            <w:r>
              <w:rPr>
                <w:rFonts w:hint="eastAsia" w:ascii="Times New Roman" w:hAnsi="Times New Roman" w:eastAsia="宋体" w:cs="Times New Roman"/>
                <w:bCs/>
                <w:color w:val="000000"/>
                <w:sz w:val="24"/>
                <w:highlight w:val="none"/>
                <w:lang w:val="en-US" w:eastAsia="zh-CN"/>
              </w:rPr>
              <w:t>生活污水，</w:t>
            </w:r>
            <w:r>
              <w:rPr>
                <w:rFonts w:hint="default" w:ascii="Times New Roman" w:hAnsi="Times New Roman" w:eastAsia="宋体" w:cs="Times New Roman"/>
                <w:bCs/>
                <w:color w:val="000000"/>
                <w:sz w:val="24"/>
                <w:highlight w:val="none"/>
                <w:lang w:val="en-US" w:eastAsia="zh-CN"/>
              </w:rPr>
              <w:t>其主要污染物为SS、</w:t>
            </w:r>
            <w:r>
              <w:rPr>
                <w:rFonts w:hint="eastAsia" w:ascii="Times New Roman" w:hAnsi="Times New Roman" w:eastAsia="宋体" w:cs="Times New Roman"/>
                <w:bCs/>
                <w:color w:val="000000"/>
                <w:sz w:val="24"/>
                <w:highlight w:val="none"/>
                <w:lang w:val="en-US" w:eastAsia="zh-CN"/>
              </w:rPr>
              <w:t>COD</w:t>
            </w:r>
            <w:r>
              <w:rPr>
                <w:rFonts w:hint="default" w:ascii="Times New Roman" w:hAnsi="Times New Roman" w:eastAsia="宋体" w:cs="Times New Roman"/>
                <w:bCs/>
                <w:color w:val="000000"/>
                <w:sz w:val="24"/>
                <w:highlight w:val="none"/>
                <w:lang w:val="en-US" w:eastAsia="zh-CN"/>
              </w:rPr>
              <w:t>、BOD</w:t>
            </w:r>
            <w:r>
              <w:rPr>
                <w:rFonts w:hint="default" w:ascii="Times New Roman" w:hAnsi="Times New Roman" w:eastAsia="宋体" w:cs="Times New Roman"/>
                <w:bCs/>
                <w:color w:val="000000"/>
                <w:sz w:val="24"/>
                <w:highlight w:val="none"/>
                <w:vertAlign w:val="subscript"/>
                <w:lang w:val="en-US" w:eastAsia="zh-CN"/>
              </w:rPr>
              <w:t>5</w:t>
            </w:r>
            <w:r>
              <w:rPr>
                <w:rFonts w:hint="default" w:ascii="Times New Roman" w:hAnsi="Times New Roman" w:eastAsia="宋体" w:cs="Times New Roman"/>
                <w:bCs/>
                <w:color w:val="000000"/>
                <w:sz w:val="24"/>
                <w:highlight w:val="none"/>
                <w:lang w:val="en-US" w:eastAsia="zh-CN"/>
              </w:rPr>
              <w:t>、</w:t>
            </w:r>
            <w:r>
              <w:rPr>
                <w:rFonts w:hint="eastAsia" w:ascii="Times New Roman" w:hAnsi="Times New Roman" w:eastAsia="宋体" w:cs="Times New Roman"/>
                <w:bCs/>
                <w:color w:val="000000"/>
                <w:sz w:val="24"/>
                <w:highlight w:val="none"/>
                <w:lang w:val="en-US" w:eastAsia="zh-CN"/>
              </w:rPr>
              <w:t>NH</w:t>
            </w:r>
            <w:r>
              <w:rPr>
                <w:rFonts w:hint="eastAsia" w:ascii="Times New Roman" w:hAnsi="Times New Roman" w:eastAsia="宋体" w:cs="Times New Roman"/>
                <w:bCs/>
                <w:color w:val="000000"/>
                <w:sz w:val="24"/>
                <w:highlight w:val="none"/>
                <w:vertAlign w:val="subscript"/>
                <w:lang w:val="en-US" w:eastAsia="zh-CN"/>
              </w:rPr>
              <w:t>3</w:t>
            </w:r>
            <w:r>
              <w:rPr>
                <w:rFonts w:hint="eastAsia" w:ascii="Times New Roman" w:hAnsi="Times New Roman" w:eastAsia="宋体" w:cs="Times New Roman"/>
                <w:bCs/>
                <w:color w:val="000000"/>
                <w:sz w:val="24"/>
                <w:highlight w:val="none"/>
                <w:lang w:val="en-US" w:eastAsia="zh-CN"/>
              </w:rPr>
              <w:t>-N</w:t>
            </w:r>
            <w:r>
              <w:rPr>
                <w:rFonts w:hint="default" w:ascii="Times New Roman" w:hAnsi="Times New Roman" w:eastAsia="宋体" w:cs="Times New Roman"/>
                <w:bCs/>
                <w:color w:val="000000"/>
                <w:sz w:val="24"/>
                <w:highlight w:val="none"/>
                <w:lang w:val="en-US" w:eastAsia="zh-CN"/>
              </w:rPr>
              <w:t>等</w:t>
            </w:r>
            <w:r>
              <w:rPr>
                <w:rFonts w:hint="eastAsia" w:ascii="Times New Roman" w:hAnsi="Times New Roman" w:eastAsia="宋体" w:cs="Times New Roman"/>
                <w:bCs/>
                <w:color w:val="000000"/>
                <w:sz w:val="24"/>
                <w:highlight w:val="none"/>
                <w:lang w:val="en-US" w:eastAsia="zh-CN"/>
              </w:rPr>
              <w:t>。</w:t>
            </w:r>
          </w:p>
          <w:p w14:paraId="7301C5DD">
            <w:pPr>
              <w:adjustRightInd w:val="0"/>
              <w:snapToGrid w:val="0"/>
              <w:spacing w:line="360" w:lineRule="auto"/>
              <w:rPr>
                <w:rFonts w:hint="default" w:ascii="Times New Roman" w:hAnsi="Times New Roman" w:cs="Times New Roman"/>
                <w:b/>
                <w:bCs/>
                <w:color w:val="auto"/>
                <w:sz w:val="24"/>
              </w:rPr>
            </w:pPr>
            <w:r>
              <w:rPr>
                <w:rFonts w:hint="default" w:ascii="Times New Roman" w:hAnsi="Times New Roman" w:cs="Times New Roman"/>
                <w:b/>
                <w:bCs/>
                <w:color w:val="auto"/>
                <w:sz w:val="24"/>
              </w:rPr>
              <w:t>5.2</w:t>
            </w:r>
            <w:r>
              <w:rPr>
                <w:rFonts w:hint="eastAsia" w:ascii="Times New Roman" w:hAnsi="Times New Roman" w:cs="Times New Roman"/>
                <w:b/>
                <w:bCs/>
                <w:color w:val="auto"/>
                <w:sz w:val="24"/>
                <w:lang w:val="en-US" w:eastAsia="zh-CN"/>
              </w:rPr>
              <w:t xml:space="preserve"> </w:t>
            </w:r>
            <w:r>
              <w:rPr>
                <w:rFonts w:hint="default" w:ascii="Times New Roman" w:hAnsi="Times New Roman" w:cs="Times New Roman"/>
                <w:b/>
                <w:bCs/>
                <w:color w:val="auto"/>
                <w:sz w:val="24"/>
              </w:rPr>
              <w:t>污染防控措施</w:t>
            </w:r>
          </w:p>
          <w:p w14:paraId="067E4A25">
            <w:pPr>
              <w:adjustRightInd w:val="0"/>
              <w:snapToGrid w:val="0"/>
              <w:spacing w:line="360" w:lineRule="auto"/>
              <w:ind w:firstLine="480" w:firstLineChars="200"/>
              <w:rPr>
                <w:rFonts w:hint="default" w:ascii="Times New Roman" w:hAnsi="Times New Roman" w:cs="Times New Roman"/>
                <w:b/>
                <w:bCs/>
                <w:color w:val="auto"/>
                <w:sz w:val="24"/>
                <w:highlight w:val="yellow"/>
                <w:lang w:val="en-US" w:eastAsia="zh-CN"/>
              </w:rPr>
            </w:pPr>
            <w:r>
              <w:rPr>
                <w:rFonts w:hint="eastAsia" w:cs="Times New Roman"/>
                <w:color w:val="auto"/>
                <w:sz w:val="24"/>
                <w:lang w:val="en-US" w:eastAsia="zh-CN"/>
              </w:rPr>
              <w:t>本项目不产生生产废水，生活污水直排污水管网，最终高新区海天污水处理厂</w:t>
            </w:r>
            <w:r>
              <w:rPr>
                <w:rFonts w:hint="eastAsia" w:cs="Times New Roman"/>
                <w:color w:val="auto"/>
                <w:sz w:val="24"/>
                <w:highlight w:val="none"/>
                <w:lang w:val="en-US" w:eastAsia="zh-CN"/>
              </w:rPr>
              <w:t>深度</w:t>
            </w:r>
            <w:r>
              <w:rPr>
                <w:rFonts w:hint="default" w:ascii="Times New Roman" w:hAnsi="Times New Roman" w:cs="Times New Roman"/>
                <w:color w:val="auto"/>
                <w:sz w:val="24"/>
                <w:highlight w:val="none"/>
                <w:lang w:val="en-US" w:eastAsia="zh-CN"/>
              </w:rPr>
              <w:t>处理</w:t>
            </w:r>
            <w:r>
              <w:rPr>
                <w:rFonts w:hint="default" w:ascii="Times New Roman" w:hAnsi="Times New Roman" w:cs="Times New Roman"/>
                <w:color w:val="auto"/>
                <w:sz w:val="24"/>
                <w:highlight w:val="none"/>
              </w:rPr>
              <w:t>。</w:t>
            </w:r>
          </w:p>
          <w:p w14:paraId="7C13A75E">
            <w:pPr>
              <w:adjustRightInd w:val="0"/>
              <w:snapToGrid w:val="0"/>
              <w:spacing w:line="360" w:lineRule="auto"/>
              <w:rPr>
                <w:rFonts w:hint="default" w:ascii="Times New Roman" w:hAnsi="Times New Roman" w:cs="Times New Roman"/>
                <w:color w:val="auto"/>
                <w:sz w:val="24"/>
              </w:rPr>
            </w:pPr>
            <w:r>
              <w:rPr>
                <w:rFonts w:hint="default" w:ascii="Times New Roman" w:hAnsi="Times New Roman" w:cs="Times New Roman"/>
                <w:b/>
                <w:bCs/>
                <w:color w:val="auto"/>
                <w:sz w:val="24"/>
                <w:lang w:val="en-US" w:eastAsia="zh-CN"/>
              </w:rPr>
              <w:t>5.3</w:t>
            </w:r>
            <w:r>
              <w:rPr>
                <w:rFonts w:hint="eastAsia" w:ascii="Times New Roman" w:hAnsi="Times New Roman" w:cs="Times New Roman"/>
                <w:b/>
                <w:bCs/>
                <w:color w:val="auto"/>
                <w:sz w:val="24"/>
                <w:lang w:val="en-US" w:eastAsia="zh-CN"/>
              </w:rPr>
              <w:t xml:space="preserve"> </w:t>
            </w:r>
            <w:r>
              <w:rPr>
                <w:rFonts w:hint="default" w:ascii="Times New Roman" w:hAnsi="Times New Roman" w:cs="Times New Roman"/>
                <w:b/>
                <w:bCs/>
                <w:color w:val="auto"/>
                <w:sz w:val="24"/>
              </w:rPr>
              <w:t>分区防渗要求</w:t>
            </w:r>
          </w:p>
          <w:p w14:paraId="2FE536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根据可能泄漏至地面的污染物的性质和生产单元的构建方式，结合项目总平面布置情况，本项目</w:t>
            </w:r>
            <w:r>
              <w:rPr>
                <w:rFonts w:hint="eastAsia" w:ascii="Times New Roman" w:hAnsi="Times New Roman" w:cs="Times New Roman"/>
                <w:color w:val="auto"/>
                <w:sz w:val="24"/>
                <w:lang w:val="en-US" w:eastAsia="zh-CN"/>
              </w:rPr>
              <w:t>为防水建材</w:t>
            </w:r>
            <w:r>
              <w:rPr>
                <w:rFonts w:hint="default" w:ascii="Times New Roman" w:hAnsi="Times New Roman" w:cs="Times New Roman"/>
                <w:color w:val="auto"/>
                <w:sz w:val="24"/>
                <w:lang w:val="en-US" w:eastAsia="zh-CN"/>
              </w:rPr>
              <w:t>生产项目，</w:t>
            </w:r>
            <w:r>
              <w:rPr>
                <w:rFonts w:hint="eastAsia" w:cs="Times New Roman"/>
                <w:color w:val="auto"/>
                <w:sz w:val="24"/>
                <w:lang w:val="en-US" w:eastAsia="zh-CN"/>
              </w:rPr>
              <w:t>生产车间</w:t>
            </w:r>
            <w:r>
              <w:rPr>
                <w:rFonts w:hint="default" w:ascii="Times New Roman" w:hAnsi="Times New Roman" w:cs="Times New Roman"/>
                <w:color w:val="auto"/>
                <w:sz w:val="24"/>
                <w:lang w:val="en-US" w:eastAsia="zh-CN"/>
              </w:rPr>
              <w:t>为一般防渗区，危废暂存间</w:t>
            </w:r>
            <w:r>
              <w:rPr>
                <w:rFonts w:hint="eastAsia" w:ascii="Times New Roman" w:hAnsi="Times New Roman" w:cs="Times New Roman"/>
                <w:color w:val="auto"/>
                <w:sz w:val="24"/>
                <w:lang w:val="en-US" w:eastAsia="zh-CN"/>
              </w:rPr>
              <w:t>、沥青储罐</w:t>
            </w:r>
            <w:r>
              <w:rPr>
                <w:rFonts w:hint="eastAsia" w:cs="Times New Roman"/>
                <w:color w:val="auto"/>
                <w:sz w:val="24"/>
                <w:lang w:val="en-US" w:eastAsia="zh-CN"/>
              </w:rPr>
              <w:t>区为</w:t>
            </w:r>
            <w:r>
              <w:rPr>
                <w:rFonts w:hint="default" w:ascii="Times New Roman" w:hAnsi="Times New Roman" w:cs="Times New Roman"/>
                <w:color w:val="auto"/>
                <w:sz w:val="24"/>
                <w:lang w:val="en-US" w:eastAsia="zh-CN"/>
              </w:rPr>
              <w:t>重点防渗区</w:t>
            </w:r>
            <w:r>
              <w:rPr>
                <w:rFonts w:hint="default" w:ascii="Times New Roman" w:hAnsi="Times New Roman" w:cs="Times New Roman"/>
                <w:color w:val="auto"/>
                <w:sz w:val="24"/>
              </w:rPr>
              <w:t>。对厂区可能泄漏污染物的地面进行防渗处理，可有效防</w:t>
            </w:r>
            <w:r>
              <w:rPr>
                <w:rFonts w:hint="eastAsia" w:cs="Times New Roman"/>
                <w:color w:val="auto"/>
                <w:sz w:val="24"/>
                <w:lang w:val="en-US" w:eastAsia="zh-CN"/>
              </w:rPr>
              <w:t>止</w:t>
            </w:r>
            <w:r>
              <w:rPr>
                <w:rFonts w:hint="default" w:ascii="Times New Roman" w:hAnsi="Times New Roman" w:cs="Times New Roman"/>
                <w:color w:val="auto"/>
                <w:sz w:val="24"/>
              </w:rPr>
              <w:t>污染物渗入地下，并及时地将泄漏/渗漏的污染物收集并进行集中处理。</w:t>
            </w:r>
          </w:p>
          <w:p w14:paraId="55412E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一般防渗结构区主要为</w:t>
            </w:r>
            <w:r>
              <w:rPr>
                <w:rFonts w:hint="eastAsia" w:cs="Times New Roman"/>
                <w:color w:val="auto"/>
                <w:sz w:val="24"/>
                <w:lang w:val="en-US" w:eastAsia="zh-CN"/>
              </w:rPr>
              <w:t>生产车间</w:t>
            </w:r>
            <w:r>
              <w:rPr>
                <w:rFonts w:hint="default" w:ascii="Times New Roman" w:hAnsi="Times New Roman" w:cs="Times New Roman"/>
                <w:color w:val="auto"/>
                <w:sz w:val="24"/>
              </w:rPr>
              <w:t>，地面硬化处理，并按照相关要求设置防渗层，可选用天然或人工材料构筑防渗层，防渗层的防渗性能不应低于1.5m厚渗透系数为1.0×10</w:t>
            </w:r>
            <w:r>
              <w:rPr>
                <w:rFonts w:hint="default" w:ascii="Times New Roman" w:hAnsi="Times New Roman" w:cs="Times New Roman"/>
                <w:color w:val="auto"/>
                <w:sz w:val="24"/>
                <w:vertAlign w:val="superscript"/>
              </w:rPr>
              <w:t>-7</w:t>
            </w:r>
            <w:r>
              <w:rPr>
                <w:rFonts w:hint="default" w:ascii="Times New Roman" w:hAnsi="Times New Roman" w:cs="Times New Roman"/>
                <w:color w:val="auto"/>
                <w:sz w:val="24"/>
              </w:rPr>
              <w:t>cm/s的等效黏土层的防渗性能。</w:t>
            </w:r>
          </w:p>
          <w:p w14:paraId="645FD4C8">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危废暂存间</w:t>
            </w:r>
            <w:r>
              <w:rPr>
                <w:rFonts w:hint="eastAsia" w:ascii="Times New Roman" w:hAnsi="Times New Roman" w:cs="Times New Roman"/>
                <w:color w:val="auto"/>
                <w:sz w:val="24"/>
                <w:lang w:val="en-US" w:eastAsia="zh-CN"/>
              </w:rPr>
              <w:t>、沥青储罐区</w:t>
            </w:r>
            <w:r>
              <w:rPr>
                <w:rFonts w:hint="default" w:ascii="Times New Roman" w:hAnsi="Times New Roman" w:cs="Times New Roman"/>
                <w:color w:val="auto"/>
                <w:sz w:val="24"/>
                <w:lang w:val="en-US" w:eastAsia="zh-CN"/>
              </w:rPr>
              <w:t>为重点防渗区，</w:t>
            </w:r>
            <w:r>
              <w:rPr>
                <w:rFonts w:hint="default" w:ascii="Times New Roman" w:hAnsi="Times New Roman" w:cs="Times New Roman"/>
                <w:color w:val="auto"/>
                <w:sz w:val="24"/>
              </w:rPr>
              <w:t>重点防渗区防渗技术要求等效黏土防渗层Mb≥6.0m，K≤1×10</w:t>
            </w:r>
            <w:r>
              <w:rPr>
                <w:rFonts w:hint="default" w:ascii="Times New Roman" w:hAnsi="Times New Roman" w:cs="Times New Roman"/>
                <w:color w:val="auto"/>
                <w:sz w:val="24"/>
                <w:vertAlign w:val="superscript"/>
              </w:rPr>
              <w:t>-7</w:t>
            </w:r>
            <w:r>
              <w:rPr>
                <w:rFonts w:hint="default" w:ascii="Times New Roman" w:hAnsi="Times New Roman" w:cs="Times New Roman"/>
                <w:color w:val="auto"/>
                <w:sz w:val="24"/>
              </w:rPr>
              <w:t>cm/s。</w:t>
            </w:r>
            <w:r>
              <w:rPr>
                <w:rFonts w:hint="eastAsia" w:ascii="Times New Roman" w:hAnsi="Times New Roman" w:cs="Times New Roman"/>
                <w:color w:val="auto"/>
                <w:sz w:val="24"/>
                <w:highlight w:val="none"/>
                <w:lang w:val="en-US" w:eastAsia="zh-CN"/>
              </w:rPr>
              <w:t>本项目租用的沥青储罐四周设置2m高围堰，仓顶设置呼吸阀，底部铺设防渗土层，满足防渗要求。</w:t>
            </w:r>
          </w:p>
          <w:p w14:paraId="312EA3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除上述区域外的场区，按常规建筑结构要求进行地面处理</w:t>
            </w:r>
            <w:r>
              <w:rPr>
                <w:rFonts w:hint="eastAsia" w:cs="Times New Roman"/>
                <w:color w:val="auto"/>
                <w:sz w:val="24"/>
                <w:lang w:eastAsia="zh-CN"/>
              </w:rPr>
              <w:t>，</w:t>
            </w:r>
            <w:r>
              <w:rPr>
                <w:rFonts w:hint="eastAsia" w:cs="Times New Roman"/>
                <w:color w:val="auto"/>
                <w:sz w:val="24"/>
                <w:lang w:val="en-US" w:eastAsia="zh-CN"/>
              </w:rPr>
              <w:t>项目分区防渗图见附图7</w:t>
            </w:r>
            <w:r>
              <w:rPr>
                <w:rFonts w:hint="default" w:ascii="Times New Roman" w:hAnsi="Times New Roman" w:cs="Times New Roman"/>
                <w:color w:val="auto"/>
                <w:sz w:val="24"/>
              </w:rPr>
              <w:t>。</w:t>
            </w:r>
          </w:p>
          <w:p w14:paraId="6CFF6D7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本项目</w:t>
            </w:r>
            <w:r>
              <w:rPr>
                <w:rFonts w:hint="eastAsia" w:cs="Times New Roman"/>
                <w:color w:val="auto"/>
                <w:sz w:val="24"/>
                <w:lang w:val="en-US" w:eastAsia="zh-CN"/>
              </w:rPr>
              <w:t>地下水</w:t>
            </w:r>
            <w:r>
              <w:rPr>
                <w:rFonts w:hint="default" w:ascii="Times New Roman" w:hAnsi="Times New Roman" w:cs="Times New Roman"/>
                <w:color w:val="auto"/>
                <w:sz w:val="24"/>
              </w:rPr>
              <w:t>污染防治分区情况详见表4-</w:t>
            </w:r>
            <w:r>
              <w:rPr>
                <w:rFonts w:hint="default" w:ascii="Times New Roman" w:hAnsi="Times New Roman" w:cs="Times New Roman"/>
                <w:color w:val="auto"/>
                <w:sz w:val="24"/>
                <w:lang w:val="en-US" w:eastAsia="zh-CN"/>
              </w:rPr>
              <w:t>1</w:t>
            </w:r>
            <w:r>
              <w:rPr>
                <w:rFonts w:hint="eastAsia" w:cs="Times New Roman"/>
                <w:color w:val="auto"/>
                <w:sz w:val="24"/>
                <w:lang w:val="en-US" w:eastAsia="zh-CN"/>
              </w:rPr>
              <w:t>3</w:t>
            </w:r>
            <w:r>
              <w:rPr>
                <w:rFonts w:hint="default" w:ascii="Times New Roman" w:hAnsi="Times New Roman" w:cs="Times New Roman"/>
                <w:color w:val="auto"/>
                <w:sz w:val="24"/>
              </w:rPr>
              <w:t>。</w:t>
            </w:r>
          </w:p>
          <w:p w14:paraId="261BD0EC">
            <w:pPr>
              <w:widowControl/>
              <w:spacing w:line="240" w:lineRule="auto"/>
              <w:ind w:firstLine="422" w:firstLineChars="20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1"/>
                <w:szCs w:val="21"/>
              </w:rPr>
              <w:t>表4-</w:t>
            </w:r>
            <w:r>
              <w:rPr>
                <w:rFonts w:hint="default" w:ascii="Times New Roman" w:hAnsi="Times New Roman" w:eastAsia="宋体" w:cs="Times New Roman"/>
                <w:b/>
                <w:bCs/>
                <w:color w:val="auto"/>
                <w:sz w:val="21"/>
                <w:szCs w:val="21"/>
                <w:lang w:val="en-US" w:eastAsia="zh-CN"/>
              </w:rPr>
              <w:t>1</w:t>
            </w:r>
            <w:r>
              <w:rPr>
                <w:rFonts w:hint="eastAsia" w:cs="Times New Roman"/>
                <w:b/>
                <w:bCs/>
                <w:color w:val="auto"/>
                <w:sz w:val="21"/>
                <w:szCs w:val="21"/>
                <w:lang w:val="en-US" w:eastAsia="zh-CN"/>
              </w:rPr>
              <w:t>3</w:t>
            </w:r>
            <w:r>
              <w:rPr>
                <w:rFonts w:hint="default" w:ascii="Times New Roman" w:hAnsi="Times New Roman" w:eastAsia="宋体" w:cs="Times New Roman"/>
                <w:b/>
                <w:bCs/>
                <w:color w:val="auto"/>
                <w:sz w:val="24"/>
              </w:rPr>
              <w:t xml:space="preserve"> </w:t>
            </w:r>
            <w:r>
              <w:rPr>
                <w:rFonts w:hint="eastAsia" w:ascii="Times New Roman" w:hAnsi="Times New Roman" w:eastAsia="宋体" w:cs="Times New Roman"/>
                <w:b/>
                <w:bCs/>
                <w:color w:val="auto"/>
                <w:sz w:val="24"/>
                <w:lang w:val="en-US" w:eastAsia="zh-CN"/>
              </w:rPr>
              <w:t xml:space="preserve">    </w:t>
            </w:r>
            <w:r>
              <w:rPr>
                <w:rFonts w:hint="default" w:ascii="Times New Roman" w:hAnsi="Times New Roman" w:eastAsia="宋体" w:cs="Times New Roman"/>
                <w:b/>
                <w:bCs/>
                <w:color w:val="auto"/>
                <w:sz w:val="21"/>
                <w:szCs w:val="21"/>
              </w:rPr>
              <w:t>本项目地下水污染防治分区情况表</w:t>
            </w:r>
          </w:p>
          <w:tbl>
            <w:tblPr>
              <w:tblStyle w:val="20"/>
              <w:tblW w:w="4995" w:type="pct"/>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17"/>
              <w:gridCol w:w="2546"/>
              <w:gridCol w:w="4378"/>
            </w:tblGrid>
            <w:tr w14:paraId="66256BB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99" w:type="pct"/>
                  <w:tcBorders>
                    <w:bottom w:val="single" w:color="auto" w:sz="8" w:space="0"/>
                  </w:tcBorders>
                  <w:noWrap w:val="0"/>
                  <w:vAlign w:val="top"/>
                </w:tcPr>
                <w:p w14:paraId="7BF09517">
                  <w:pPr>
                    <w:pStyle w:val="10"/>
                    <w:spacing w:line="240" w:lineRule="auto"/>
                    <w:jc w:val="center"/>
                    <w:rPr>
                      <w:rFonts w:hint="default" w:ascii="Times New Roman" w:hAnsi="Times New Roman" w:cs="Times New Roman"/>
                      <w:b/>
                      <w:bCs/>
                      <w:color w:val="auto"/>
                    </w:rPr>
                  </w:pPr>
                  <w:r>
                    <w:rPr>
                      <w:rFonts w:hint="default" w:ascii="Times New Roman" w:hAnsi="Times New Roman" w:cs="Times New Roman"/>
                      <w:b/>
                      <w:bCs/>
                      <w:color w:val="auto"/>
                    </w:rPr>
                    <w:t>名称</w:t>
                  </w:r>
                </w:p>
              </w:tc>
              <w:tc>
                <w:tcPr>
                  <w:tcW w:w="1544" w:type="pct"/>
                  <w:tcBorders>
                    <w:bottom w:val="single" w:color="auto" w:sz="8" w:space="0"/>
                  </w:tcBorders>
                  <w:noWrap w:val="0"/>
                  <w:vAlign w:val="top"/>
                </w:tcPr>
                <w:p w14:paraId="47D628D5">
                  <w:pPr>
                    <w:pStyle w:val="10"/>
                    <w:spacing w:line="240" w:lineRule="auto"/>
                    <w:jc w:val="center"/>
                    <w:rPr>
                      <w:rFonts w:hint="default" w:ascii="Times New Roman" w:hAnsi="Times New Roman" w:cs="Times New Roman"/>
                      <w:b/>
                      <w:bCs/>
                      <w:color w:val="auto"/>
                    </w:rPr>
                  </w:pPr>
                  <w:r>
                    <w:rPr>
                      <w:rFonts w:hint="default" w:ascii="Times New Roman" w:hAnsi="Times New Roman" w:cs="Times New Roman"/>
                      <w:b/>
                      <w:bCs/>
                      <w:color w:val="auto"/>
                    </w:rPr>
                    <w:t>范围</w:t>
                  </w:r>
                </w:p>
              </w:tc>
              <w:tc>
                <w:tcPr>
                  <w:tcW w:w="2656" w:type="pct"/>
                  <w:tcBorders>
                    <w:bottom w:val="single" w:color="auto" w:sz="8" w:space="0"/>
                  </w:tcBorders>
                  <w:noWrap w:val="0"/>
                  <w:vAlign w:val="top"/>
                </w:tcPr>
                <w:p w14:paraId="7684A1A1">
                  <w:pPr>
                    <w:pStyle w:val="10"/>
                    <w:spacing w:line="240" w:lineRule="auto"/>
                    <w:jc w:val="center"/>
                    <w:rPr>
                      <w:rFonts w:hint="default" w:ascii="Times New Roman" w:hAnsi="Times New Roman" w:cs="Times New Roman"/>
                      <w:b/>
                      <w:bCs/>
                      <w:color w:val="auto"/>
                    </w:rPr>
                  </w:pPr>
                  <w:r>
                    <w:rPr>
                      <w:rFonts w:hint="default" w:ascii="Times New Roman" w:hAnsi="Times New Roman" w:cs="Times New Roman"/>
                      <w:b/>
                      <w:bCs/>
                      <w:color w:val="auto"/>
                    </w:rPr>
                    <w:t>防渗设计要求</w:t>
                  </w:r>
                </w:p>
              </w:tc>
            </w:tr>
            <w:tr w14:paraId="7A826EF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99" w:type="pct"/>
                  <w:tcBorders>
                    <w:top w:val="single" w:color="auto" w:sz="8" w:space="0"/>
                    <w:tl2br w:val="nil"/>
                    <w:tr2bl w:val="nil"/>
                  </w:tcBorders>
                  <w:noWrap w:val="0"/>
                  <w:vAlign w:val="center"/>
                </w:tcPr>
                <w:p w14:paraId="55354B35">
                  <w:pPr>
                    <w:pStyle w:val="10"/>
                    <w:spacing w:line="240" w:lineRule="auto"/>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重点防渗区</w:t>
                  </w:r>
                </w:p>
              </w:tc>
              <w:tc>
                <w:tcPr>
                  <w:tcW w:w="1544" w:type="pct"/>
                  <w:tcBorders>
                    <w:top w:val="single" w:color="auto" w:sz="8" w:space="0"/>
                    <w:tl2br w:val="nil"/>
                    <w:tr2bl w:val="nil"/>
                  </w:tcBorders>
                  <w:noWrap w:val="0"/>
                  <w:vAlign w:val="center"/>
                </w:tcPr>
                <w:p w14:paraId="60A10729">
                  <w:pPr>
                    <w:pStyle w:val="10"/>
                    <w:spacing w:line="240" w:lineRule="auto"/>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危废暂存间</w:t>
                  </w:r>
                  <w:r>
                    <w:rPr>
                      <w:rFonts w:hint="eastAsia" w:ascii="Times New Roman" w:hAnsi="Times New Roman" w:cs="Times New Roman"/>
                      <w:color w:val="auto"/>
                      <w:lang w:val="en-US" w:eastAsia="zh-CN"/>
                    </w:rPr>
                    <w:t>、沥青储罐区</w:t>
                  </w:r>
                </w:p>
              </w:tc>
              <w:tc>
                <w:tcPr>
                  <w:tcW w:w="2656" w:type="pct"/>
                  <w:tcBorders>
                    <w:top w:val="single" w:color="auto" w:sz="8" w:space="0"/>
                    <w:tl2br w:val="nil"/>
                    <w:tr2bl w:val="nil"/>
                  </w:tcBorders>
                  <w:noWrap w:val="0"/>
                  <w:vAlign w:val="top"/>
                </w:tcPr>
                <w:p w14:paraId="759565B0">
                  <w:pPr>
                    <w:pStyle w:val="10"/>
                    <w:spacing w:line="240" w:lineRule="auto"/>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重点防渗区防渗技术要求等效黏土防渗层Mb≥6.0m，K≤1×10-7cm/s</w:t>
                  </w:r>
                </w:p>
              </w:tc>
            </w:tr>
            <w:tr w14:paraId="3D6101E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99" w:type="pct"/>
                  <w:tcBorders>
                    <w:tl2br w:val="nil"/>
                    <w:tr2bl w:val="nil"/>
                  </w:tcBorders>
                  <w:noWrap w:val="0"/>
                  <w:vAlign w:val="center"/>
                </w:tcPr>
                <w:p w14:paraId="1F884190">
                  <w:pPr>
                    <w:pStyle w:val="10"/>
                    <w:spacing w:line="240" w:lineRule="auto"/>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一般防渗区</w:t>
                  </w:r>
                </w:p>
              </w:tc>
              <w:tc>
                <w:tcPr>
                  <w:tcW w:w="1544" w:type="pct"/>
                  <w:tcBorders>
                    <w:tl2br w:val="nil"/>
                    <w:tr2bl w:val="nil"/>
                  </w:tcBorders>
                  <w:noWrap w:val="0"/>
                  <w:vAlign w:val="center"/>
                </w:tcPr>
                <w:p w14:paraId="231ECEA9">
                  <w:pPr>
                    <w:pStyle w:val="10"/>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生产车间</w:t>
                  </w:r>
                </w:p>
              </w:tc>
              <w:tc>
                <w:tcPr>
                  <w:tcW w:w="2656" w:type="pct"/>
                  <w:tcBorders>
                    <w:tl2br w:val="nil"/>
                    <w:tr2bl w:val="nil"/>
                  </w:tcBorders>
                  <w:noWrap w:val="0"/>
                  <w:vAlign w:val="top"/>
                </w:tcPr>
                <w:p w14:paraId="74E5ECF8">
                  <w:pPr>
                    <w:pStyle w:val="10"/>
                    <w:spacing w:line="240" w:lineRule="auto"/>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可选用天然或人工材料构筑防渗层，防渗层的防渗性能不应低于1.5m厚渗透系数为1.0×10-7cm/s的等效黏土层的防渗性能</w:t>
                  </w:r>
                </w:p>
              </w:tc>
            </w:tr>
            <w:tr w14:paraId="3E9F2D7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99" w:type="pct"/>
                  <w:tcBorders>
                    <w:tl2br w:val="nil"/>
                    <w:tr2bl w:val="nil"/>
                  </w:tcBorders>
                  <w:noWrap w:val="0"/>
                  <w:vAlign w:val="top"/>
                </w:tcPr>
                <w:p w14:paraId="755A46CA">
                  <w:pPr>
                    <w:pStyle w:val="10"/>
                    <w:spacing w:line="240" w:lineRule="auto"/>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简单防渗区</w:t>
                  </w:r>
                </w:p>
              </w:tc>
              <w:tc>
                <w:tcPr>
                  <w:tcW w:w="1544" w:type="pct"/>
                  <w:tcBorders>
                    <w:tl2br w:val="nil"/>
                    <w:tr2bl w:val="nil"/>
                  </w:tcBorders>
                  <w:noWrap w:val="0"/>
                  <w:vAlign w:val="top"/>
                </w:tcPr>
                <w:p w14:paraId="131CD890">
                  <w:pPr>
                    <w:pStyle w:val="10"/>
                    <w:spacing w:line="240" w:lineRule="auto"/>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其他区域</w:t>
                  </w:r>
                </w:p>
              </w:tc>
              <w:tc>
                <w:tcPr>
                  <w:tcW w:w="2656" w:type="pct"/>
                  <w:tcBorders>
                    <w:tl2br w:val="nil"/>
                    <w:tr2bl w:val="nil"/>
                  </w:tcBorders>
                  <w:noWrap w:val="0"/>
                  <w:vAlign w:val="top"/>
                </w:tcPr>
                <w:p w14:paraId="36F5999D">
                  <w:pPr>
                    <w:pStyle w:val="10"/>
                    <w:spacing w:line="240" w:lineRule="auto"/>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一般地面硬化</w:t>
                  </w:r>
                </w:p>
              </w:tc>
            </w:tr>
          </w:tbl>
          <w:p w14:paraId="506A44DE">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此外要加强管理</w:t>
            </w: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lang w:val="en-US" w:eastAsia="zh-CN"/>
              </w:rPr>
              <w:t>巡查</w:t>
            </w:r>
            <w:r>
              <w:rPr>
                <w:rFonts w:hint="default" w:ascii="Times New Roman" w:hAnsi="Times New Roman" w:cs="Times New Roman"/>
                <w:color w:val="auto"/>
                <w:sz w:val="24"/>
                <w:highlight w:val="none"/>
              </w:rPr>
              <w:t>，提高操作人员技术水平，做好废气、废水污染防治设施的维护及检修</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严格做</w:t>
            </w:r>
            <w:r>
              <w:rPr>
                <w:rFonts w:hint="default" w:ascii="Times New Roman" w:hAnsi="Times New Roman" w:cs="Times New Roman"/>
                <w:b w:val="0"/>
                <w:bCs w:val="0"/>
                <w:color w:val="auto"/>
                <w:sz w:val="24"/>
                <w:highlight w:val="none"/>
              </w:rPr>
              <w:t>好分区防渗措</w:t>
            </w:r>
            <w:r>
              <w:rPr>
                <w:rFonts w:hint="default" w:ascii="Times New Roman" w:hAnsi="Times New Roman" w:cs="Times New Roman"/>
                <w:color w:val="auto"/>
                <w:sz w:val="24"/>
                <w:highlight w:val="none"/>
              </w:rPr>
              <w:t>施</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建立严格的生产管理制度，遵守操作规程。采取以上措施后，能最大限度地减少项目污染物的排放对土壤和地下水的影响。故本项目对地下水和土壤影响不大。</w:t>
            </w:r>
          </w:p>
          <w:p w14:paraId="7F558845">
            <w:pPr>
              <w:spacing w:line="360" w:lineRule="auto"/>
              <w:jc w:val="both"/>
              <w:textAlignment w:val="baseline"/>
              <w:rPr>
                <w:rFonts w:ascii="Times New Roman" w:hAnsi="Times New Roman" w:eastAsia="宋体" w:cs="Times New Roman"/>
                <w:b/>
                <w:bCs/>
                <w:color w:val="auto"/>
                <w:sz w:val="24"/>
                <w:szCs w:val="24"/>
                <w:highlight w:val="none"/>
                <w:lang w:eastAsia="zh-CN" w:bidi="ar"/>
              </w:rPr>
            </w:pPr>
            <w:r>
              <w:rPr>
                <w:rFonts w:ascii="Times New Roman" w:hAnsi="Times New Roman" w:eastAsia="宋体" w:cs="Times New Roman"/>
                <w:b/>
                <w:bCs/>
                <w:color w:val="auto"/>
                <w:sz w:val="24"/>
                <w:szCs w:val="24"/>
                <w:highlight w:val="none"/>
                <w:lang w:eastAsia="zh-CN" w:bidi="ar"/>
              </w:rPr>
              <w:t>6</w:t>
            </w:r>
            <w:r>
              <w:rPr>
                <w:rFonts w:hint="eastAsia" w:ascii="Times New Roman" w:hAnsi="Times New Roman" w:eastAsia="宋体" w:cs="Times New Roman"/>
                <w:b/>
                <w:bCs/>
                <w:color w:val="auto"/>
                <w:sz w:val="24"/>
                <w:szCs w:val="24"/>
                <w:highlight w:val="none"/>
                <w:lang w:val="en-US" w:eastAsia="zh-CN" w:bidi="ar"/>
              </w:rPr>
              <w:t xml:space="preserve"> </w:t>
            </w:r>
            <w:r>
              <w:rPr>
                <w:rFonts w:ascii="Times New Roman" w:hAnsi="Times New Roman" w:eastAsia="宋体" w:cs="Times New Roman"/>
                <w:b/>
                <w:bCs/>
                <w:color w:val="auto"/>
                <w:sz w:val="24"/>
                <w:szCs w:val="24"/>
                <w:highlight w:val="none"/>
                <w:lang w:eastAsia="zh-CN" w:bidi="ar"/>
              </w:rPr>
              <w:t>生态</w:t>
            </w:r>
            <w:r>
              <w:rPr>
                <w:rFonts w:hint="eastAsia" w:ascii="Times New Roman" w:hAnsi="Times New Roman" w:eastAsia="宋体" w:cs="Times New Roman"/>
                <w:b/>
                <w:bCs/>
                <w:color w:val="auto"/>
                <w:sz w:val="24"/>
                <w:szCs w:val="24"/>
                <w:highlight w:val="none"/>
                <w:lang w:eastAsia="zh-CN" w:bidi="ar"/>
              </w:rPr>
              <w:t>环境影响分析</w:t>
            </w:r>
          </w:p>
          <w:p w14:paraId="038922CC">
            <w:pPr>
              <w:spacing w:line="360" w:lineRule="auto"/>
              <w:ind w:firstLine="480" w:firstLineChars="200"/>
              <w:jc w:val="both"/>
              <w:textAlignment w:val="baseline"/>
              <w:rPr>
                <w:rFonts w:hint="default" w:ascii="Times New Roman" w:hAnsi="Times New Roman" w:cs="Times New Roman"/>
                <w:b/>
                <w:bCs/>
                <w:kern w:val="2"/>
                <w:sz w:val="24"/>
                <w:szCs w:val="24"/>
                <w:highlight w:val="none"/>
                <w:lang w:val="en-US" w:eastAsia="zh-CN" w:bidi="ar-SA"/>
              </w:rPr>
            </w:pPr>
            <w:r>
              <w:rPr>
                <w:rFonts w:hint="default" w:ascii="Times New Roman" w:hAnsi="Times New Roman" w:eastAsia="宋体" w:cs="Times New Roman"/>
                <w:bCs/>
                <w:color w:val="000000"/>
                <w:sz w:val="24"/>
                <w:highlight w:val="none"/>
                <w:lang w:val="en-US" w:eastAsia="zh-CN"/>
              </w:rPr>
              <w:t>项目</w:t>
            </w:r>
            <w:r>
              <w:rPr>
                <w:rFonts w:hint="eastAsia" w:ascii="Times New Roman" w:hAnsi="Times New Roman" w:eastAsia="宋体" w:cs="Times New Roman"/>
                <w:bCs/>
                <w:color w:val="000000"/>
                <w:sz w:val="24"/>
                <w:highlight w:val="none"/>
                <w:lang w:val="en-US" w:eastAsia="zh-CN"/>
              </w:rPr>
              <w:t>区及周边</w:t>
            </w:r>
            <w:r>
              <w:rPr>
                <w:rFonts w:hint="default" w:ascii="Times New Roman" w:hAnsi="Times New Roman" w:eastAsia="宋体" w:cs="Times New Roman"/>
                <w:bCs/>
                <w:color w:val="000000"/>
                <w:sz w:val="24"/>
                <w:highlight w:val="none"/>
                <w:lang w:val="en-US" w:eastAsia="zh-CN"/>
              </w:rPr>
              <w:t>无自然保护区、风景名胜区、水源地保护区等生态保护目标</w:t>
            </w:r>
            <w:r>
              <w:rPr>
                <w:rFonts w:hint="eastAsia" w:ascii="Times New Roman" w:hAnsi="Times New Roman" w:eastAsia="宋体" w:cs="Times New Roman"/>
                <w:bCs/>
                <w:color w:val="000000"/>
                <w:sz w:val="24"/>
                <w:highlight w:val="none"/>
                <w:lang w:val="en-US" w:eastAsia="zh-CN"/>
              </w:rPr>
              <w:t>，项目</w:t>
            </w:r>
            <w:r>
              <w:rPr>
                <w:rFonts w:hint="default" w:ascii="Times New Roman" w:hAnsi="Times New Roman" w:eastAsia="宋体" w:cs="Times New Roman"/>
                <w:bCs/>
                <w:color w:val="000000"/>
                <w:sz w:val="24"/>
                <w:highlight w:val="none"/>
                <w:lang w:val="en-US" w:eastAsia="zh-CN"/>
              </w:rPr>
              <w:t>生产用地不会对区域生态环境造成明显不利影响。</w:t>
            </w:r>
          </w:p>
          <w:p w14:paraId="49902B6F">
            <w:pPr>
              <w:pStyle w:val="3"/>
              <w:numPr>
                <w:ilvl w:val="0"/>
                <w:numId w:val="0"/>
              </w:numPr>
              <w:spacing w:line="360" w:lineRule="auto"/>
              <w:ind w:firstLine="0" w:firstLineChars="0"/>
              <w:rPr>
                <w:rFonts w:hint="default" w:ascii="Times New Roman" w:hAnsi="Times New Roman" w:cs="Times New Roman"/>
                <w:sz w:val="24"/>
                <w:szCs w:val="24"/>
                <w:highlight w:val="none"/>
              </w:rPr>
            </w:pPr>
            <w:r>
              <w:rPr>
                <w:rFonts w:hint="eastAsia" w:ascii="Times New Roman" w:hAnsi="Times New Roman" w:cs="Times New Roman"/>
                <w:b/>
                <w:bCs/>
                <w:kern w:val="2"/>
                <w:sz w:val="24"/>
                <w:szCs w:val="24"/>
                <w:highlight w:val="none"/>
                <w:lang w:val="en-US" w:eastAsia="zh-CN" w:bidi="ar-SA"/>
              </w:rPr>
              <w:t>7</w:t>
            </w:r>
            <w:r>
              <w:rPr>
                <w:rFonts w:hint="default" w:ascii="Times New Roman" w:hAnsi="Times New Roman" w:cs="Times New Roman"/>
                <w:b/>
                <w:bCs/>
                <w:kern w:val="2"/>
                <w:sz w:val="24"/>
                <w:szCs w:val="24"/>
                <w:highlight w:val="none"/>
                <w:lang w:val="en-US" w:eastAsia="zh-CN" w:bidi="ar-SA"/>
              </w:rPr>
              <w:t xml:space="preserve"> </w:t>
            </w:r>
            <w:r>
              <w:rPr>
                <w:rFonts w:hint="default" w:ascii="Times New Roman" w:hAnsi="Times New Roman" w:cs="Times New Roman"/>
                <w:sz w:val="24"/>
                <w:szCs w:val="24"/>
                <w:highlight w:val="none"/>
              </w:rPr>
              <w:t>环境风险分析</w:t>
            </w:r>
          </w:p>
          <w:p w14:paraId="049F6C10">
            <w:pPr>
              <w:autoSpaceDE w:val="0"/>
              <w:autoSpaceDN w:val="0"/>
              <w:adjustRightInd w:val="0"/>
              <w:snapToGrid w:val="0"/>
              <w:spacing w:line="360" w:lineRule="auto"/>
              <w:ind w:firstLine="480" w:firstLineChars="200"/>
              <w:rPr>
                <w:rFonts w:ascii="Times New Roman" w:hAnsi="Times New Roman" w:eastAsia="宋体" w:cs="Times New Roman"/>
                <w:color w:val="auto"/>
                <w:kern w:val="0"/>
                <w:sz w:val="24"/>
                <w:highlight w:val="none"/>
              </w:rPr>
            </w:pPr>
            <w:r>
              <w:rPr>
                <w:rFonts w:hint="eastAsia" w:ascii="Times New Roman" w:hAnsi="Times New Roman" w:eastAsia="宋体" w:cs="Times New Roman"/>
                <w:color w:val="auto"/>
                <w:kern w:val="0"/>
                <w:sz w:val="24"/>
                <w:highlight w:val="none"/>
              </w:rPr>
              <w:t>环境风险评价的目的是分析和预测建设项目存在的潜在危险、有害因素，建设项目建设和运行期间可能发生的突发性事件或事故，引起有毒有害和易燃易爆等物质的泄漏，所造成的人身安全与环境影响和损害程度，提出合理可行的防范、应急与减缓措施，以使建设项目事故率、损失和环境影响达到可接受的水平。</w:t>
            </w:r>
          </w:p>
          <w:p w14:paraId="6DA7C22B">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rPr>
              <w:t>7</w:t>
            </w:r>
            <w:r>
              <w:rPr>
                <w:rFonts w:hint="default" w:ascii="Times New Roman" w:hAnsi="Times New Roman" w:eastAsia="宋体" w:cs="Times New Roman"/>
                <w:b/>
                <w:bCs/>
                <w:color w:val="auto"/>
                <w:sz w:val="24"/>
                <w:highlight w:val="none"/>
              </w:rPr>
              <w:t xml:space="preserve">.1环境风险潜势初判 </w:t>
            </w:r>
          </w:p>
          <w:p w14:paraId="08C9B50B">
            <w:pPr>
              <w:autoSpaceDE w:val="0"/>
              <w:autoSpaceDN w:val="0"/>
              <w:adjustRightInd w:val="0"/>
              <w:snapToGrid w:val="0"/>
              <w:spacing w:line="360" w:lineRule="auto"/>
              <w:ind w:firstLine="480" w:firstLineChars="200"/>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根据建设项目涉及的物质和工艺系统危险性及其所在地的环境敏感程度，结合事故情形下环境影响途径，对建设项目潜在环境危害程度进行概化分析，按照表4-</w:t>
            </w:r>
            <w:r>
              <w:rPr>
                <w:rFonts w:hint="eastAsia" w:ascii="Times New Roman" w:hAnsi="Times New Roman" w:eastAsia="宋体" w:cs="Times New Roman"/>
                <w:color w:val="auto"/>
                <w:kern w:val="0"/>
                <w:sz w:val="24"/>
                <w:highlight w:val="none"/>
              </w:rPr>
              <w:t>1</w:t>
            </w:r>
            <w:r>
              <w:rPr>
                <w:rFonts w:hint="eastAsia" w:cs="Times New Roman"/>
                <w:color w:val="auto"/>
                <w:kern w:val="0"/>
                <w:sz w:val="24"/>
                <w:highlight w:val="none"/>
                <w:lang w:val="en-US" w:eastAsia="zh-CN"/>
              </w:rPr>
              <w:t>6</w:t>
            </w:r>
            <w:r>
              <w:rPr>
                <w:rFonts w:ascii="Times New Roman" w:hAnsi="Times New Roman" w:eastAsia="宋体" w:cs="Times New Roman"/>
                <w:color w:val="auto"/>
                <w:kern w:val="0"/>
                <w:sz w:val="24"/>
                <w:highlight w:val="none"/>
              </w:rPr>
              <w:t>确定环境风险潜势。</w:t>
            </w:r>
          </w:p>
          <w:p w14:paraId="6BFBBEA3">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表4-1</w:t>
            </w:r>
            <w:r>
              <w:rPr>
                <w:rFonts w:hint="default" w:ascii="Times New Roman" w:hAnsi="Times New Roman" w:cs="Times New Roman"/>
                <w:color w:val="auto"/>
                <w:highlight w:val="none"/>
                <w:lang w:val="en-US" w:eastAsia="zh-CN"/>
              </w:rPr>
              <w:t>6</w:t>
            </w:r>
            <w:r>
              <w:rPr>
                <w:rFonts w:hint="eastAsia" w:ascii="Times New Roman" w:hAnsi="Times New Roman" w:eastAsia="宋体" w:cs="Times New Roman"/>
                <w:color w:val="auto"/>
                <w:highlight w:val="none"/>
              </w:rPr>
              <w:t xml:space="preserve">  </w:t>
            </w:r>
            <w:r>
              <w:rPr>
                <w:rFonts w:hint="default" w:ascii="Times New Roman" w:hAnsi="Times New Roman" w:eastAsia="宋体" w:cs="Times New Roman"/>
                <w:color w:val="auto"/>
                <w:highlight w:val="none"/>
              </w:rPr>
              <w:t xml:space="preserve">  建设项目环境风险潜势划分一览表</w:t>
            </w:r>
          </w:p>
          <w:tbl>
            <w:tblPr>
              <w:tblStyle w:val="19"/>
              <w:tblW w:w="4998" w:type="pct"/>
              <w:jc w:val="center"/>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258"/>
              <w:gridCol w:w="1430"/>
              <w:gridCol w:w="1514"/>
              <w:gridCol w:w="1518"/>
              <w:gridCol w:w="1526"/>
            </w:tblGrid>
            <w:tr w14:paraId="172470D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68" w:type="pct"/>
                  <w:vMerge w:val="restart"/>
                  <w:vAlign w:val="center"/>
                </w:tcPr>
                <w:p w14:paraId="545E131D">
                  <w:pPr>
                    <w:jc w:val="center"/>
                    <w:rPr>
                      <w:b/>
                      <w:bCs/>
                      <w:color w:val="auto"/>
                      <w:sz w:val="21"/>
                      <w:szCs w:val="21"/>
                      <w:highlight w:val="none"/>
                    </w:rPr>
                  </w:pPr>
                  <w:r>
                    <w:rPr>
                      <w:b/>
                      <w:bCs/>
                      <w:color w:val="auto"/>
                      <w:sz w:val="21"/>
                      <w:szCs w:val="21"/>
                      <w:highlight w:val="none"/>
                    </w:rPr>
                    <w:t>环境敏感度（E）</w:t>
                  </w:r>
                </w:p>
              </w:tc>
              <w:tc>
                <w:tcPr>
                  <w:tcW w:w="3631" w:type="pct"/>
                  <w:gridSpan w:val="4"/>
                  <w:vAlign w:val="center"/>
                </w:tcPr>
                <w:p w14:paraId="6BA63D82">
                  <w:pPr>
                    <w:jc w:val="center"/>
                    <w:rPr>
                      <w:b/>
                      <w:bCs/>
                      <w:color w:val="auto"/>
                      <w:sz w:val="21"/>
                      <w:szCs w:val="21"/>
                      <w:highlight w:val="none"/>
                    </w:rPr>
                  </w:pPr>
                  <w:r>
                    <w:rPr>
                      <w:b/>
                      <w:bCs/>
                      <w:color w:val="auto"/>
                      <w:sz w:val="21"/>
                      <w:szCs w:val="21"/>
                      <w:highlight w:val="none"/>
                    </w:rPr>
                    <w:t>危险物质及工艺系统危险性（P）</w:t>
                  </w:r>
                </w:p>
              </w:tc>
            </w:tr>
            <w:tr w14:paraId="186707B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68" w:type="pct"/>
                  <w:vMerge w:val="continue"/>
                  <w:tcBorders>
                    <w:bottom w:val="single" w:color="000000" w:sz="12" w:space="0"/>
                  </w:tcBorders>
                  <w:vAlign w:val="center"/>
                </w:tcPr>
                <w:p w14:paraId="1E75BAE7">
                  <w:pPr>
                    <w:jc w:val="center"/>
                    <w:rPr>
                      <w:b/>
                      <w:bCs/>
                      <w:color w:val="auto"/>
                      <w:sz w:val="21"/>
                      <w:szCs w:val="21"/>
                      <w:highlight w:val="none"/>
                    </w:rPr>
                  </w:pPr>
                </w:p>
              </w:tc>
              <w:tc>
                <w:tcPr>
                  <w:tcW w:w="867" w:type="pct"/>
                  <w:tcBorders>
                    <w:bottom w:val="single" w:color="000000" w:sz="12" w:space="0"/>
                  </w:tcBorders>
                  <w:vAlign w:val="center"/>
                </w:tcPr>
                <w:p w14:paraId="53BD1A2E">
                  <w:pPr>
                    <w:jc w:val="center"/>
                    <w:rPr>
                      <w:b/>
                      <w:bCs/>
                      <w:color w:val="auto"/>
                      <w:sz w:val="21"/>
                      <w:szCs w:val="21"/>
                      <w:highlight w:val="none"/>
                    </w:rPr>
                  </w:pPr>
                  <w:r>
                    <w:rPr>
                      <w:b/>
                      <w:bCs/>
                      <w:color w:val="auto"/>
                      <w:sz w:val="21"/>
                      <w:szCs w:val="21"/>
                      <w:highlight w:val="none"/>
                    </w:rPr>
                    <w:t>极高危害（P1）</w:t>
                  </w:r>
                </w:p>
              </w:tc>
              <w:tc>
                <w:tcPr>
                  <w:tcW w:w="918" w:type="pct"/>
                  <w:tcBorders>
                    <w:bottom w:val="single" w:color="000000" w:sz="12" w:space="0"/>
                  </w:tcBorders>
                  <w:vAlign w:val="center"/>
                </w:tcPr>
                <w:p w14:paraId="1B8076FB">
                  <w:pPr>
                    <w:jc w:val="center"/>
                    <w:rPr>
                      <w:b/>
                      <w:bCs/>
                      <w:color w:val="auto"/>
                      <w:sz w:val="21"/>
                      <w:szCs w:val="21"/>
                      <w:highlight w:val="none"/>
                    </w:rPr>
                  </w:pPr>
                  <w:r>
                    <w:rPr>
                      <w:b/>
                      <w:bCs/>
                      <w:color w:val="auto"/>
                      <w:sz w:val="21"/>
                      <w:szCs w:val="21"/>
                      <w:highlight w:val="none"/>
                    </w:rPr>
                    <w:t>高度危害（P2）</w:t>
                  </w:r>
                </w:p>
              </w:tc>
              <w:tc>
                <w:tcPr>
                  <w:tcW w:w="920" w:type="pct"/>
                  <w:tcBorders>
                    <w:bottom w:val="single" w:color="000000" w:sz="12" w:space="0"/>
                  </w:tcBorders>
                  <w:vAlign w:val="center"/>
                </w:tcPr>
                <w:p w14:paraId="50D03F3F">
                  <w:pPr>
                    <w:jc w:val="center"/>
                    <w:rPr>
                      <w:b/>
                      <w:bCs/>
                      <w:color w:val="auto"/>
                      <w:sz w:val="21"/>
                      <w:szCs w:val="21"/>
                      <w:highlight w:val="none"/>
                    </w:rPr>
                  </w:pPr>
                  <w:r>
                    <w:rPr>
                      <w:b/>
                      <w:bCs/>
                      <w:color w:val="auto"/>
                      <w:sz w:val="21"/>
                      <w:szCs w:val="21"/>
                      <w:highlight w:val="none"/>
                    </w:rPr>
                    <w:t>中度危害（P3）</w:t>
                  </w:r>
                </w:p>
              </w:tc>
              <w:tc>
                <w:tcPr>
                  <w:tcW w:w="925" w:type="pct"/>
                  <w:tcBorders>
                    <w:bottom w:val="single" w:color="000000" w:sz="12" w:space="0"/>
                  </w:tcBorders>
                  <w:vAlign w:val="center"/>
                </w:tcPr>
                <w:p w14:paraId="7FBF3CEC">
                  <w:pPr>
                    <w:jc w:val="center"/>
                    <w:rPr>
                      <w:b/>
                      <w:bCs/>
                      <w:color w:val="auto"/>
                      <w:sz w:val="21"/>
                      <w:szCs w:val="21"/>
                      <w:highlight w:val="none"/>
                    </w:rPr>
                  </w:pPr>
                  <w:r>
                    <w:rPr>
                      <w:b/>
                      <w:bCs/>
                      <w:color w:val="auto"/>
                      <w:sz w:val="21"/>
                      <w:szCs w:val="21"/>
                      <w:highlight w:val="none"/>
                    </w:rPr>
                    <w:t>轻度危害（P4）</w:t>
                  </w:r>
                </w:p>
              </w:tc>
            </w:tr>
            <w:tr w14:paraId="0D58D0E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68" w:type="pct"/>
                  <w:tcBorders>
                    <w:top w:val="single" w:color="000000" w:sz="12" w:space="0"/>
                  </w:tcBorders>
                  <w:vAlign w:val="center"/>
                </w:tcPr>
                <w:p w14:paraId="27FCBD0A">
                  <w:pPr>
                    <w:jc w:val="center"/>
                    <w:rPr>
                      <w:color w:val="auto"/>
                      <w:sz w:val="21"/>
                      <w:szCs w:val="21"/>
                      <w:highlight w:val="none"/>
                    </w:rPr>
                  </w:pPr>
                  <w:r>
                    <w:rPr>
                      <w:color w:val="auto"/>
                      <w:sz w:val="21"/>
                      <w:szCs w:val="21"/>
                      <w:highlight w:val="none"/>
                    </w:rPr>
                    <w:t>环境高度敏感区（E1）</w:t>
                  </w:r>
                </w:p>
              </w:tc>
              <w:tc>
                <w:tcPr>
                  <w:tcW w:w="867" w:type="pct"/>
                  <w:tcBorders>
                    <w:top w:val="single" w:color="000000" w:sz="12" w:space="0"/>
                  </w:tcBorders>
                  <w:vAlign w:val="center"/>
                </w:tcPr>
                <w:p w14:paraId="71E5A5F0">
                  <w:pPr>
                    <w:jc w:val="center"/>
                    <w:rPr>
                      <w:color w:val="auto"/>
                      <w:sz w:val="21"/>
                      <w:szCs w:val="21"/>
                      <w:highlight w:val="none"/>
                    </w:rPr>
                  </w:pPr>
                  <w:r>
                    <w:rPr>
                      <w:color w:val="auto"/>
                      <w:sz w:val="21"/>
                      <w:szCs w:val="21"/>
                      <w:highlight w:val="none"/>
                    </w:rPr>
                    <w:t>IV</w:t>
                  </w:r>
                  <w:r>
                    <w:rPr>
                      <w:rFonts w:hint="eastAsia"/>
                      <w:color w:val="auto"/>
                      <w:sz w:val="21"/>
                      <w:szCs w:val="21"/>
                      <w:highlight w:val="none"/>
                      <w:lang w:eastAsia="zh-CN"/>
                    </w:rPr>
                    <w:t>+</w:t>
                  </w:r>
                </w:p>
              </w:tc>
              <w:tc>
                <w:tcPr>
                  <w:tcW w:w="918" w:type="pct"/>
                  <w:tcBorders>
                    <w:top w:val="single" w:color="000000" w:sz="12" w:space="0"/>
                  </w:tcBorders>
                  <w:vAlign w:val="center"/>
                </w:tcPr>
                <w:p w14:paraId="370D2B27">
                  <w:pPr>
                    <w:jc w:val="center"/>
                    <w:rPr>
                      <w:color w:val="auto"/>
                      <w:sz w:val="21"/>
                      <w:szCs w:val="21"/>
                      <w:highlight w:val="none"/>
                    </w:rPr>
                  </w:pPr>
                  <w:r>
                    <w:rPr>
                      <w:color w:val="auto"/>
                      <w:sz w:val="21"/>
                      <w:szCs w:val="21"/>
                      <w:highlight w:val="none"/>
                    </w:rPr>
                    <w:t>IV</w:t>
                  </w:r>
                </w:p>
              </w:tc>
              <w:tc>
                <w:tcPr>
                  <w:tcW w:w="920" w:type="pct"/>
                  <w:tcBorders>
                    <w:top w:val="single" w:color="000000" w:sz="12" w:space="0"/>
                  </w:tcBorders>
                  <w:vAlign w:val="center"/>
                </w:tcPr>
                <w:p w14:paraId="1E97A1CC">
                  <w:pPr>
                    <w:jc w:val="center"/>
                    <w:rPr>
                      <w:color w:val="auto"/>
                      <w:sz w:val="21"/>
                      <w:szCs w:val="21"/>
                      <w:highlight w:val="none"/>
                    </w:rPr>
                  </w:pPr>
                  <w:r>
                    <w:rPr>
                      <w:color w:val="auto"/>
                      <w:sz w:val="21"/>
                      <w:szCs w:val="21"/>
                      <w:highlight w:val="none"/>
                    </w:rPr>
                    <w:t>III</w:t>
                  </w:r>
                </w:p>
              </w:tc>
              <w:tc>
                <w:tcPr>
                  <w:tcW w:w="925" w:type="pct"/>
                  <w:tcBorders>
                    <w:top w:val="single" w:color="000000" w:sz="12" w:space="0"/>
                  </w:tcBorders>
                  <w:vAlign w:val="center"/>
                </w:tcPr>
                <w:p w14:paraId="59B47BE1">
                  <w:pPr>
                    <w:jc w:val="center"/>
                    <w:rPr>
                      <w:color w:val="auto"/>
                      <w:sz w:val="21"/>
                      <w:szCs w:val="21"/>
                      <w:highlight w:val="none"/>
                    </w:rPr>
                  </w:pPr>
                  <w:r>
                    <w:rPr>
                      <w:color w:val="auto"/>
                      <w:sz w:val="21"/>
                      <w:szCs w:val="21"/>
                      <w:highlight w:val="none"/>
                    </w:rPr>
                    <w:t>III</w:t>
                  </w:r>
                </w:p>
              </w:tc>
            </w:tr>
            <w:tr w14:paraId="2F8B427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68" w:type="pct"/>
                  <w:vAlign w:val="center"/>
                </w:tcPr>
                <w:p w14:paraId="53F2E148">
                  <w:pPr>
                    <w:jc w:val="center"/>
                    <w:rPr>
                      <w:color w:val="auto"/>
                      <w:sz w:val="21"/>
                      <w:szCs w:val="21"/>
                      <w:highlight w:val="none"/>
                    </w:rPr>
                  </w:pPr>
                  <w:r>
                    <w:rPr>
                      <w:color w:val="auto"/>
                      <w:sz w:val="21"/>
                      <w:szCs w:val="21"/>
                      <w:highlight w:val="none"/>
                    </w:rPr>
                    <w:t>环境中度敏感区（E2）</w:t>
                  </w:r>
                </w:p>
              </w:tc>
              <w:tc>
                <w:tcPr>
                  <w:tcW w:w="867" w:type="pct"/>
                  <w:vAlign w:val="center"/>
                </w:tcPr>
                <w:p w14:paraId="70197B30">
                  <w:pPr>
                    <w:jc w:val="center"/>
                    <w:rPr>
                      <w:color w:val="auto"/>
                      <w:sz w:val="21"/>
                      <w:szCs w:val="21"/>
                      <w:highlight w:val="none"/>
                    </w:rPr>
                  </w:pPr>
                  <w:r>
                    <w:rPr>
                      <w:color w:val="auto"/>
                      <w:sz w:val="21"/>
                      <w:szCs w:val="21"/>
                      <w:highlight w:val="none"/>
                    </w:rPr>
                    <w:t>IV</w:t>
                  </w:r>
                </w:p>
              </w:tc>
              <w:tc>
                <w:tcPr>
                  <w:tcW w:w="918" w:type="pct"/>
                  <w:vAlign w:val="center"/>
                </w:tcPr>
                <w:p w14:paraId="4B2DDBA8">
                  <w:pPr>
                    <w:jc w:val="center"/>
                    <w:rPr>
                      <w:color w:val="auto"/>
                      <w:sz w:val="21"/>
                      <w:szCs w:val="21"/>
                      <w:highlight w:val="none"/>
                    </w:rPr>
                  </w:pPr>
                  <w:r>
                    <w:rPr>
                      <w:color w:val="auto"/>
                      <w:sz w:val="21"/>
                      <w:szCs w:val="21"/>
                      <w:highlight w:val="none"/>
                    </w:rPr>
                    <w:t>III</w:t>
                  </w:r>
                </w:p>
              </w:tc>
              <w:tc>
                <w:tcPr>
                  <w:tcW w:w="920" w:type="pct"/>
                  <w:vAlign w:val="center"/>
                </w:tcPr>
                <w:p w14:paraId="0B380EA3">
                  <w:pPr>
                    <w:jc w:val="center"/>
                    <w:rPr>
                      <w:color w:val="auto"/>
                      <w:sz w:val="21"/>
                      <w:szCs w:val="21"/>
                      <w:highlight w:val="none"/>
                    </w:rPr>
                  </w:pPr>
                  <w:r>
                    <w:rPr>
                      <w:color w:val="auto"/>
                      <w:sz w:val="21"/>
                      <w:szCs w:val="21"/>
                      <w:highlight w:val="none"/>
                    </w:rPr>
                    <w:t>III</w:t>
                  </w:r>
                </w:p>
              </w:tc>
              <w:tc>
                <w:tcPr>
                  <w:tcW w:w="925" w:type="pct"/>
                  <w:vAlign w:val="center"/>
                </w:tcPr>
                <w:p w14:paraId="6508B00E">
                  <w:pPr>
                    <w:jc w:val="center"/>
                    <w:rPr>
                      <w:color w:val="auto"/>
                      <w:sz w:val="21"/>
                      <w:szCs w:val="21"/>
                      <w:highlight w:val="none"/>
                    </w:rPr>
                  </w:pPr>
                  <w:r>
                    <w:rPr>
                      <w:color w:val="auto"/>
                      <w:sz w:val="21"/>
                      <w:szCs w:val="21"/>
                      <w:highlight w:val="none"/>
                    </w:rPr>
                    <w:t>II</w:t>
                  </w:r>
                </w:p>
              </w:tc>
            </w:tr>
            <w:tr w14:paraId="0F7D92F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68" w:type="pct"/>
                  <w:vAlign w:val="center"/>
                </w:tcPr>
                <w:p w14:paraId="11CACF34">
                  <w:pPr>
                    <w:jc w:val="center"/>
                    <w:rPr>
                      <w:color w:val="auto"/>
                      <w:sz w:val="21"/>
                      <w:szCs w:val="21"/>
                      <w:highlight w:val="none"/>
                    </w:rPr>
                  </w:pPr>
                  <w:r>
                    <w:rPr>
                      <w:color w:val="auto"/>
                      <w:sz w:val="21"/>
                      <w:szCs w:val="21"/>
                      <w:highlight w:val="none"/>
                    </w:rPr>
                    <w:t>环境低度敏感区（E3）</w:t>
                  </w:r>
                </w:p>
              </w:tc>
              <w:tc>
                <w:tcPr>
                  <w:tcW w:w="867" w:type="pct"/>
                  <w:vAlign w:val="center"/>
                </w:tcPr>
                <w:p w14:paraId="637E5190">
                  <w:pPr>
                    <w:jc w:val="center"/>
                    <w:rPr>
                      <w:color w:val="auto"/>
                      <w:sz w:val="21"/>
                      <w:szCs w:val="21"/>
                      <w:highlight w:val="none"/>
                    </w:rPr>
                  </w:pPr>
                  <w:r>
                    <w:rPr>
                      <w:color w:val="auto"/>
                      <w:sz w:val="21"/>
                      <w:szCs w:val="21"/>
                      <w:highlight w:val="none"/>
                    </w:rPr>
                    <w:t>III</w:t>
                  </w:r>
                </w:p>
              </w:tc>
              <w:tc>
                <w:tcPr>
                  <w:tcW w:w="918" w:type="pct"/>
                  <w:vAlign w:val="center"/>
                </w:tcPr>
                <w:p w14:paraId="071FD90F">
                  <w:pPr>
                    <w:jc w:val="center"/>
                    <w:rPr>
                      <w:color w:val="auto"/>
                      <w:sz w:val="21"/>
                      <w:szCs w:val="21"/>
                      <w:highlight w:val="none"/>
                    </w:rPr>
                  </w:pPr>
                  <w:r>
                    <w:rPr>
                      <w:color w:val="auto"/>
                      <w:sz w:val="21"/>
                      <w:szCs w:val="21"/>
                      <w:highlight w:val="none"/>
                    </w:rPr>
                    <w:t>III</w:t>
                  </w:r>
                </w:p>
              </w:tc>
              <w:tc>
                <w:tcPr>
                  <w:tcW w:w="920" w:type="pct"/>
                  <w:vAlign w:val="center"/>
                </w:tcPr>
                <w:p w14:paraId="59D01DFA">
                  <w:pPr>
                    <w:jc w:val="center"/>
                    <w:rPr>
                      <w:color w:val="auto"/>
                      <w:sz w:val="21"/>
                      <w:szCs w:val="21"/>
                      <w:highlight w:val="none"/>
                    </w:rPr>
                  </w:pPr>
                  <w:r>
                    <w:rPr>
                      <w:color w:val="auto"/>
                      <w:sz w:val="21"/>
                      <w:szCs w:val="21"/>
                      <w:highlight w:val="none"/>
                    </w:rPr>
                    <w:t>II</w:t>
                  </w:r>
                </w:p>
              </w:tc>
              <w:tc>
                <w:tcPr>
                  <w:tcW w:w="925" w:type="pct"/>
                  <w:vAlign w:val="center"/>
                </w:tcPr>
                <w:p w14:paraId="0C856B0B">
                  <w:pPr>
                    <w:jc w:val="center"/>
                    <w:rPr>
                      <w:color w:val="auto"/>
                      <w:sz w:val="21"/>
                      <w:szCs w:val="21"/>
                      <w:highlight w:val="none"/>
                    </w:rPr>
                  </w:pPr>
                  <w:r>
                    <w:rPr>
                      <w:color w:val="auto"/>
                      <w:sz w:val="21"/>
                      <w:szCs w:val="21"/>
                      <w:highlight w:val="none"/>
                    </w:rPr>
                    <w:t>I</w:t>
                  </w:r>
                </w:p>
              </w:tc>
            </w:tr>
          </w:tbl>
          <w:p w14:paraId="2383921C">
            <w:pPr>
              <w:autoSpaceDE w:val="0"/>
              <w:autoSpaceDN w:val="0"/>
              <w:adjustRightInd w:val="0"/>
              <w:snapToGrid w:val="0"/>
              <w:spacing w:line="360" w:lineRule="auto"/>
              <w:ind w:firstLine="480" w:firstLineChars="200"/>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根据《建设项目环境风险评价技术导则》（HJ 169-2018）附录C及附录D确定危险物质及工艺系统危险性（P）及环境敏感程度（E）。其中危险物质及工艺系统危险性（P）由危险物质数量与临界量比值（Q）、行业及生产工艺（M）确定。</w:t>
            </w:r>
          </w:p>
          <w:p w14:paraId="78A4A9CB">
            <w:pPr>
              <w:autoSpaceDE w:val="0"/>
              <w:autoSpaceDN w:val="0"/>
              <w:adjustRightInd w:val="0"/>
              <w:snapToGrid w:val="0"/>
              <w:spacing w:line="360" w:lineRule="auto"/>
              <w:ind w:firstLine="480" w:firstLineChars="200"/>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本项目涉及环境风险的物质为</w:t>
            </w:r>
            <w:r>
              <w:rPr>
                <w:rFonts w:hint="eastAsia" w:ascii="Times New Roman" w:hAnsi="Times New Roman" w:eastAsia="宋体" w:cs="Times New Roman"/>
                <w:color w:val="auto"/>
                <w:kern w:val="0"/>
                <w:sz w:val="24"/>
                <w:highlight w:val="none"/>
              </w:rPr>
              <w:t>废</w:t>
            </w:r>
            <w:r>
              <w:rPr>
                <w:rFonts w:hint="eastAsia" w:ascii="Times New Roman" w:hAnsi="Times New Roman" w:eastAsia="宋体" w:cs="Times New Roman"/>
                <w:color w:val="auto"/>
                <w:kern w:val="0"/>
                <w:sz w:val="24"/>
                <w:highlight w:val="none"/>
                <w:lang w:val="en-US" w:eastAsia="zh-CN"/>
              </w:rPr>
              <w:t>润滑</w:t>
            </w:r>
            <w:r>
              <w:rPr>
                <w:rFonts w:hint="eastAsia" w:ascii="Times New Roman" w:hAnsi="Times New Roman" w:eastAsia="宋体" w:cs="Times New Roman"/>
                <w:color w:val="auto"/>
                <w:kern w:val="0"/>
                <w:sz w:val="24"/>
                <w:highlight w:val="none"/>
              </w:rPr>
              <w:t>油</w:t>
            </w:r>
            <w:r>
              <w:rPr>
                <w:rFonts w:hint="eastAsia" w:cs="Times New Roman"/>
                <w:color w:val="auto"/>
                <w:kern w:val="0"/>
                <w:sz w:val="24"/>
                <w:highlight w:val="none"/>
                <w:lang w:eastAsia="zh-CN"/>
              </w:rPr>
              <w:t>、</w:t>
            </w:r>
            <w:r>
              <w:rPr>
                <w:rFonts w:hint="eastAsia" w:cs="Times New Roman"/>
                <w:color w:val="auto"/>
                <w:kern w:val="0"/>
                <w:sz w:val="24"/>
                <w:highlight w:val="none"/>
                <w:lang w:val="en-US" w:eastAsia="zh-CN"/>
              </w:rPr>
              <w:t>沥青、导热油、废活性炭、含油污泥、沥青沾染物、沉渣</w:t>
            </w:r>
            <w:r>
              <w:rPr>
                <w:rFonts w:ascii="Times New Roman" w:hAnsi="Times New Roman" w:eastAsia="宋体" w:cs="Times New Roman"/>
                <w:color w:val="auto"/>
                <w:kern w:val="0"/>
                <w:sz w:val="24"/>
                <w:highlight w:val="none"/>
              </w:rPr>
              <w:t>，根据《建设项目环境风险评价技术导则》（HJ</w:t>
            </w:r>
            <w:r>
              <w:rPr>
                <w:rFonts w:hint="eastAsia" w:ascii="Times New Roman" w:hAnsi="Times New Roman" w:eastAsia="宋体" w:cs="Times New Roman"/>
                <w:color w:val="auto"/>
                <w:kern w:val="0"/>
                <w:sz w:val="24"/>
                <w:highlight w:val="none"/>
              </w:rPr>
              <w:t xml:space="preserve"> </w:t>
            </w:r>
            <w:r>
              <w:rPr>
                <w:rFonts w:ascii="Times New Roman" w:hAnsi="Times New Roman" w:eastAsia="宋体" w:cs="Times New Roman"/>
                <w:color w:val="auto"/>
                <w:kern w:val="0"/>
                <w:sz w:val="24"/>
                <w:highlight w:val="none"/>
              </w:rPr>
              <w:t>169-2018）附录C规定与其在附录B对应临界量，当存在多种危险物质时，物质总量与其临界量比值</w:t>
            </w:r>
            <w:r>
              <w:rPr>
                <w:rFonts w:hint="eastAsia" w:ascii="Times New Roman" w:hAnsi="Times New Roman" w:eastAsia="宋体" w:cs="Times New Roman"/>
                <w:color w:val="auto"/>
                <w:kern w:val="0"/>
                <w:sz w:val="24"/>
                <w:highlight w:val="none"/>
                <w:lang w:eastAsia="zh-CN"/>
              </w:rPr>
              <w:t>（</w:t>
            </w:r>
            <w:r>
              <w:rPr>
                <w:rFonts w:ascii="Times New Roman" w:hAnsi="Times New Roman" w:eastAsia="宋体" w:cs="Times New Roman"/>
                <w:color w:val="auto"/>
                <w:kern w:val="0"/>
                <w:sz w:val="24"/>
                <w:highlight w:val="none"/>
              </w:rPr>
              <w:t>Q</w:t>
            </w:r>
            <w:r>
              <w:rPr>
                <w:rFonts w:hint="eastAsia" w:ascii="Times New Roman" w:hAnsi="Times New Roman" w:eastAsia="宋体" w:cs="Times New Roman"/>
                <w:color w:val="auto"/>
                <w:kern w:val="0"/>
                <w:sz w:val="24"/>
                <w:highlight w:val="none"/>
                <w:lang w:eastAsia="zh-CN"/>
              </w:rPr>
              <w:t>）</w:t>
            </w:r>
            <w:r>
              <w:rPr>
                <w:rFonts w:ascii="Times New Roman" w:hAnsi="Times New Roman" w:eastAsia="宋体" w:cs="Times New Roman"/>
                <w:color w:val="auto"/>
                <w:kern w:val="0"/>
                <w:sz w:val="24"/>
                <w:highlight w:val="none"/>
              </w:rPr>
              <w:t>结果见下表。</w:t>
            </w:r>
          </w:p>
          <w:p w14:paraId="6945FA9D">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表4-1</w:t>
            </w:r>
            <w:r>
              <w:rPr>
                <w:rFonts w:hint="eastAsia" w:cs="Times New Roman"/>
                <w:color w:val="auto"/>
                <w:highlight w:val="none"/>
                <w:lang w:val="en-US" w:eastAsia="zh-CN"/>
              </w:rPr>
              <w:t>7</w:t>
            </w:r>
            <w:r>
              <w:rPr>
                <w:rFonts w:hint="default" w:ascii="Times New Roman" w:hAnsi="Times New Roman" w:eastAsia="宋体" w:cs="Times New Roman"/>
                <w:color w:val="auto"/>
                <w:highlight w:val="none"/>
              </w:rPr>
              <w:t xml:space="preserve">    临界量比值 </w:t>
            </w:r>
          </w:p>
          <w:tbl>
            <w:tblPr>
              <w:tblStyle w:val="19"/>
              <w:tblW w:w="4999" w:type="pct"/>
              <w:jc w:val="center"/>
              <w:tblBorders>
                <w:top w:val="single" w:color="auto" w:sz="4"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648"/>
              <w:gridCol w:w="1648"/>
              <w:gridCol w:w="1652"/>
              <w:gridCol w:w="1652"/>
            </w:tblGrid>
            <w:tr w14:paraId="0EB38F75">
              <w:tblPrEx>
                <w:tblBorders>
                  <w:top w:val="single" w:color="auto" w:sz="4"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tcBorders>
                    <w:top w:val="single" w:color="000000" w:sz="12" w:space="0"/>
                    <w:bottom w:val="single" w:color="000000" w:sz="12" w:space="0"/>
                  </w:tcBorders>
                  <w:vAlign w:val="center"/>
                </w:tcPr>
                <w:p w14:paraId="2B12DCA1">
                  <w:pPr>
                    <w:jc w:val="center"/>
                    <w:rPr>
                      <w:b/>
                      <w:bCs/>
                      <w:color w:val="auto"/>
                      <w:sz w:val="21"/>
                      <w:szCs w:val="21"/>
                      <w:highlight w:val="none"/>
                    </w:rPr>
                  </w:pPr>
                  <w:r>
                    <w:rPr>
                      <w:b/>
                      <w:bCs/>
                      <w:color w:val="auto"/>
                      <w:sz w:val="21"/>
                      <w:szCs w:val="21"/>
                      <w:highlight w:val="none"/>
                    </w:rPr>
                    <w:t xml:space="preserve">序号 </w:t>
                  </w:r>
                </w:p>
              </w:tc>
              <w:tc>
                <w:tcPr>
                  <w:tcW w:w="999" w:type="pct"/>
                  <w:tcBorders>
                    <w:top w:val="single" w:color="000000" w:sz="12" w:space="0"/>
                    <w:bottom w:val="single" w:color="000000" w:sz="12" w:space="0"/>
                  </w:tcBorders>
                  <w:vAlign w:val="center"/>
                </w:tcPr>
                <w:p w14:paraId="5BC7B9CC">
                  <w:pPr>
                    <w:jc w:val="center"/>
                    <w:rPr>
                      <w:b/>
                      <w:bCs/>
                      <w:color w:val="auto"/>
                      <w:sz w:val="21"/>
                      <w:szCs w:val="21"/>
                      <w:highlight w:val="none"/>
                    </w:rPr>
                  </w:pPr>
                  <w:r>
                    <w:rPr>
                      <w:b/>
                      <w:bCs/>
                      <w:color w:val="auto"/>
                      <w:sz w:val="21"/>
                      <w:szCs w:val="21"/>
                      <w:highlight w:val="none"/>
                    </w:rPr>
                    <w:t xml:space="preserve">原料 </w:t>
                  </w:r>
                </w:p>
              </w:tc>
              <w:tc>
                <w:tcPr>
                  <w:tcW w:w="999" w:type="pct"/>
                  <w:tcBorders>
                    <w:top w:val="single" w:color="000000" w:sz="12" w:space="0"/>
                    <w:bottom w:val="single" w:color="000000" w:sz="12" w:space="0"/>
                  </w:tcBorders>
                  <w:vAlign w:val="center"/>
                </w:tcPr>
                <w:p w14:paraId="0DF0B78F">
                  <w:pPr>
                    <w:jc w:val="center"/>
                    <w:rPr>
                      <w:b/>
                      <w:bCs/>
                      <w:color w:val="auto"/>
                      <w:sz w:val="21"/>
                      <w:szCs w:val="21"/>
                      <w:highlight w:val="none"/>
                    </w:rPr>
                  </w:pPr>
                  <w:r>
                    <w:rPr>
                      <w:b/>
                      <w:bCs/>
                      <w:color w:val="auto"/>
                      <w:sz w:val="21"/>
                      <w:szCs w:val="21"/>
                      <w:highlight w:val="none"/>
                    </w:rPr>
                    <w:t xml:space="preserve">最大储量（t） </w:t>
                  </w:r>
                </w:p>
              </w:tc>
              <w:tc>
                <w:tcPr>
                  <w:tcW w:w="1001" w:type="pct"/>
                  <w:tcBorders>
                    <w:top w:val="single" w:color="000000" w:sz="12" w:space="0"/>
                    <w:bottom w:val="single" w:color="000000" w:sz="12" w:space="0"/>
                  </w:tcBorders>
                  <w:vAlign w:val="center"/>
                </w:tcPr>
                <w:p w14:paraId="7E19A6C7">
                  <w:pPr>
                    <w:jc w:val="center"/>
                    <w:rPr>
                      <w:b/>
                      <w:bCs/>
                      <w:color w:val="auto"/>
                      <w:sz w:val="21"/>
                      <w:szCs w:val="21"/>
                      <w:highlight w:val="none"/>
                    </w:rPr>
                  </w:pPr>
                  <w:r>
                    <w:rPr>
                      <w:b/>
                      <w:bCs/>
                      <w:color w:val="auto"/>
                      <w:sz w:val="21"/>
                      <w:szCs w:val="21"/>
                      <w:highlight w:val="none"/>
                    </w:rPr>
                    <w:t xml:space="preserve">临界量（t） </w:t>
                  </w:r>
                </w:p>
              </w:tc>
              <w:tc>
                <w:tcPr>
                  <w:tcW w:w="1001" w:type="pct"/>
                  <w:tcBorders>
                    <w:top w:val="single" w:color="000000" w:sz="12" w:space="0"/>
                    <w:bottom w:val="single" w:color="000000" w:sz="12" w:space="0"/>
                  </w:tcBorders>
                  <w:vAlign w:val="center"/>
                </w:tcPr>
                <w:p w14:paraId="1E89ECA8">
                  <w:pPr>
                    <w:jc w:val="center"/>
                    <w:rPr>
                      <w:b/>
                      <w:bCs/>
                      <w:color w:val="auto"/>
                      <w:sz w:val="21"/>
                      <w:szCs w:val="21"/>
                      <w:highlight w:val="none"/>
                    </w:rPr>
                  </w:pPr>
                  <w:r>
                    <w:rPr>
                      <w:b/>
                      <w:bCs/>
                      <w:color w:val="auto"/>
                      <w:sz w:val="21"/>
                      <w:szCs w:val="21"/>
                      <w:highlight w:val="none"/>
                    </w:rPr>
                    <w:t xml:space="preserve">Q值 </w:t>
                  </w:r>
                </w:p>
              </w:tc>
            </w:tr>
            <w:tr w14:paraId="058D2922">
              <w:tblPrEx>
                <w:tblBorders>
                  <w:top w:val="single" w:color="auto" w:sz="4"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9" w:type="pct"/>
                  <w:tcBorders>
                    <w:top w:val="single" w:color="000000" w:sz="12" w:space="0"/>
                    <w:bottom w:val="single" w:color="auto" w:sz="4" w:space="0"/>
                  </w:tcBorders>
                  <w:vAlign w:val="center"/>
                </w:tcPr>
                <w:p w14:paraId="0DA8F98B">
                  <w:pPr>
                    <w:jc w:val="center"/>
                    <w:rPr>
                      <w:color w:val="auto"/>
                      <w:sz w:val="21"/>
                      <w:szCs w:val="21"/>
                      <w:highlight w:val="none"/>
                    </w:rPr>
                  </w:pPr>
                  <w:r>
                    <w:rPr>
                      <w:color w:val="auto"/>
                      <w:sz w:val="21"/>
                      <w:szCs w:val="21"/>
                      <w:highlight w:val="none"/>
                    </w:rPr>
                    <w:t>1</w:t>
                  </w:r>
                </w:p>
              </w:tc>
              <w:tc>
                <w:tcPr>
                  <w:tcW w:w="999" w:type="pct"/>
                  <w:tcBorders>
                    <w:top w:val="single" w:color="000000" w:sz="12" w:space="0"/>
                    <w:bottom w:val="single" w:color="auto" w:sz="4" w:space="0"/>
                  </w:tcBorders>
                  <w:vAlign w:val="center"/>
                </w:tcPr>
                <w:p w14:paraId="4E09F441">
                  <w:pPr>
                    <w:jc w:val="center"/>
                    <w:rPr>
                      <w:color w:val="auto"/>
                      <w:sz w:val="21"/>
                      <w:szCs w:val="21"/>
                      <w:highlight w:val="none"/>
                    </w:rPr>
                  </w:pPr>
                  <w:r>
                    <w:rPr>
                      <w:rFonts w:hint="eastAsia"/>
                      <w:color w:val="auto"/>
                      <w:sz w:val="21"/>
                      <w:szCs w:val="21"/>
                      <w:highlight w:val="none"/>
                      <w:lang w:val="en-US" w:eastAsia="zh-CN"/>
                    </w:rPr>
                    <w:t>导热</w:t>
                  </w:r>
                  <w:r>
                    <w:rPr>
                      <w:rFonts w:hint="eastAsia"/>
                      <w:color w:val="auto"/>
                      <w:sz w:val="21"/>
                      <w:szCs w:val="21"/>
                      <w:highlight w:val="none"/>
                    </w:rPr>
                    <w:t>油</w:t>
                  </w:r>
                </w:p>
              </w:tc>
              <w:tc>
                <w:tcPr>
                  <w:tcW w:w="999" w:type="pct"/>
                  <w:tcBorders>
                    <w:top w:val="single" w:color="000000" w:sz="12" w:space="0"/>
                    <w:bottom w:val="single" w:color="auto" w:sz="4" w:space="0"/>
                  </w:tcBorders>
                  <w:vAlign w:val="center"/>
                </w:tcPr>
                <w:p w14:paraId="66D3BA12">
                  <w:pP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2.4</w:t>
                  </w:r>
                </w:p>
              </w:tc>
              <w:tc>
                <w:tcPr>
                  <w:tcW w:w="1001" w:type="pct"/>
                  <w:tcBorders>
                    <w:top w:val="single" w:color="000000" w:sz="12" w:space="0"/>
                    <w:bottom w:val="single" w:color="auto" w:sz="4" w:space="0"/>
                  </w:tcBorders>
                  <w:vAlign w:val="center"/>
                </w:tcPr>
                <w:p w14:paraId="3C72A87E">
                  <w:pP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2500</w:t>
                  </w:r>
                </w:p>
              </w:tc>
              <w:tc>
                <w:tcPr>
                  <w:tcW w:w="1001" w:type="pct"/>
                  <w:tcBorders>
                    <w:top w:val="single" w:color="000000" w:sz="12" w:space="0"/>
                    <w:bottom w:val="single" w:color="auto" w:sz="4" w:space="0"/>
                  </w:tcBorders>
                  <w:vAlign w:val="center"/>
                </w:tcPr>
                <w:p w14:paraId="218DCEA8">
                  <w:pP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0.00096</w:t>
                  </w:r>
                </w:p>
              </w:tc>
            </w:tr>
            <w:tr w14:paraId="10C38CD4">
              <w:tblPrEx>
                <w:tblBorders>
                  <w:top w:val="single" w:color="auto" w:sz="4"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9" w:type="pct"/>
                  <w:tcBorders>
                    <w:top w:val="single" w:color="auto" w:sz="4" w:space="0"/>
                    <w:bottom w:val="single" w:color="auto" w:sz="4" w:space="0"/>
                  </w:tcBorders>
                  <w:vAlign w:val="center"/>
                </w:tcPr>
                <w:p w14:paraId="4A63DD25">
                  <w:pPr>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2</w:t>
                  </w:r>
                </w:p>
              </w:tc>
              <w:tc>
                <w:tcPr>
                  <w:tcW w:w="999" w:type="pct"/>
                  <w:tcBorders>
                    <w:top w:val="single" w:color="auto" w:sz="4" w:space="0"/>
                    <w:bottom w:val="single" w:color="auto" w:sz="4" w:space="0"/>
                  </w:tcBorders>
                  <w:vAlign w:val="center"/>
                </w:tcPr>
                <w:p w14:paraId="7EFAA283">
                  <w:pPr>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沥青</w:t>
                  </w:r>
                </w:p>
              </w:tc>
              <w:tc>
                <w:tcPr>
                  <w:tcW w:w="999" w:type="pct"/>
                  <w:tcBorders>
                    <w:top w:val="single" w:color="auto" w:sz="4" w:space="0"/>
                    <w:bottom w:val="single" w:color="auto" w:sz="4" w:space="0"/>
                  </w:tcBorders>
                  <w:vAlign w:val="center"/>
                </w:tcPr>
                <w:p w14:paraId="2D80B044">
                  <w:pP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1380</w:t>
                  </w:r>
                </w:p>
              </w:tc>
              <w:tc>
                <w:tcPr>
                  <w:tcW w:w="1001" w:type="pct"/>
                  <w:tcBorders>
                    <w:top w:val="single" w:color="auto" w:sz="4" w:space="0"/>
                    <w:bottom w:val="single" w:color="auto" w:sz="4" w:space="0"/>
                  </w:tcBorders>
                  <w:vAlign w:val="center"/>
                </w:tcPr>
                <w:p w14:paraId="49E1412F">
                  <w:pP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2500</w:t>
                  </w:r>
                </w:p>
              </w:tc>
              <w:tc>
                <w:tcPr>
                  <w:tcW w:w="1001" w:type="pct"/>
                  <w:tcBorders>
                    <w:top w:val="single" w:color="auto" w:sz="4" w:space="0"/>
                    <w:bottom w:val="single" w:color="auto" w:sz="4" w:space="0"/>
                  </w:tcBorders>
                  <w:vAlign w:val="center"/>
                </w:tcPr>
                <w:p w14:paraId="0E2B5DE3">
                  <w:pP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0.552</w:t>
                  </w:r>
                </w:p>
              </w:tc>
            </w:tr>
            <w:tr w14:paraId="27091A40">
              <w:tblPrEx>
                <w:tblBorders>
                  <w:top w:val="single" w:color="auto" w:sz="4"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9" w:type="pct"/>
                  <w:tcBorders>
                    <w:top w:val="single" w:color="auto" w:sz="4" w:space="0"/>
                  </w:tcBorders>
                  <w:vAlign w:val="center"/>
                </w:tcPr>
                <w:p w14:paraId="68FA57F7">
                  <w:pPr>
                    <w:jc w:val="center"/>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999" w:type="pct"/>
                  <w:tcBorders>
                    <w:top w:val="single" w:color="auto" w:sz="4" w:space="0"/>
                  </w:tcBorders>
                  <w:vAlign w:val="center"/>
                </w:tcPr>
                <w:p w14:paraId="078E4632">
                  <w:pPr>
                    <w:jc w:val="center"/>
                    <w:rPr>
                      <w:rFonts w:hint="default"/>
                      <w:color w:val="auto"/>
                      <w:sz w:val="21"/>
                      <w:szCs w:val="21"/>
                      <w:highlight w:val="none"/>
                      <w:lang w:val="en-US" w:eastAsia="zh-CN"/>
                    </w:rPr>
                  </w:pPr>
                  <w:r>
                    <w:rPr>
                      <w:rFonts w:hint="eastAsia"/>
                      <w:color w:val="auto"/>
                      <w:sz w:val="21"/>
                      <w:szCs w:val="21"/>
                      <w:highlight w:val="none"/>
                      <w:lang w:val="en-US" w:eastAsia="zh-CN"/>
                    </w:rPr>
                    <w:t>废润滑油</w:t>
                  </w:r>
                </w:p>
              </w:tc>
              <w:tc>
                <w:tcPr>
                  <w:tcW w:w="999" w:type="pct"/>
                  <w:tcBorders>
                    <w:top w:val="single" w:color="auto" w:sz="4" w:space="0"/>
                  </w:tcBorders>
                  <w:vAlign w:val="center"/>
                </w:tcPr>
                <w:p w14:paraId="619B4EB1">
                  <w:pPr>
                    <w:jc w:val="center"/>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1001" w:type="pct"/>
                  <w:tcBorders>
                    <w:top w:val="single" w:color="auto" w:sz="4" w:space="0"/>
                  </w:tcBorders>
                  <w:vAlign w:val="center"/>
                </w:tcPr>
                <w:p w14:paraId="47BE67AD">
                  <w:pPr>
                    <w:jc w:val="center"/>
                    <w:rPr>
                      <w:rFonts w:hint="default"/>
                      <w:color w:val="auto"/>
                      <w:sz w:val="21"/>
                      <w:szCs w:val="21"/>
                      <w:highlight w:val="none"/>
                      <w:lang w:val="en-US" w:eastAsia="zh-CN"/>
                    </w:rPr>
                  </w:pPr>
                  <w:r>
                    <w:rPr>
                      <w:rFonts w:hint="eastAsia"/>
                      <w:color w:val="auto"/>
                      <w:sz w:val="21"/>
                      <w:szCs w:val="21"/>
                      <w:highlight w:val="none"/>
                      <w:lang w:val="en-US" w:eastAsia="zh-CN"/>
                    </w:rPr>
                    <w:t>2500</w:t>
                  </w:r>
                </w:p>
              </w:tc>
              <w:tc>
                <w:tcPr>
                  <w:tcW w:w="1001" w:type="pct"/>
                  <w:tcBorders>
                    <w:top w:val="single" w:color="auto" w:sz="4" w:space="0"/>
                  </w:tcBorders>
                  <w:vAlign w:val="center"/>
                </w:tcPr>
                <w:p w14:paraId="57924CE1">
                  <w:pPr>
                    <w:jc w:val="center"/>
                    <w:rPr>
                      <w:rFonts w:hint="default"/>
                      <w:color w:val="auto"/>
                      <w:sz w:val="21"/>
                      <w:szCs w:val="21"/>
                      <w:highlight w:val="none"/>
                      <w:lang w:val="en-US" w:eastAsia="zh-CN"/>
                    </w:rPr>
                  </w:pPr>
                  <w:r>
                    <w:rPr>
                      <w:rFonts w:hint="eastAsia"/>
                      <w:color w:val="auto"/>
                      <w:sz w:val="21"/>
                      <w:szCs w:val="21"/>
                      <w:highlight w:val="none"/>
                      <w:lang w:val="en-US" w:eastAsia="zh-CN"/>
                    </w:rPr>
                    <w:t>0.0004</w:t>
                  </w:r>
                </w:p>
              </w:tc>
            </w:tr>
            <w:tr w14:paraId="37A9DA12">
              <w:tblPrEx>
                <w:tblBorders>
                  <w:top w:val="single" w:color="auto" w:sz="4"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9" w:type="pct"/>
                  <w:tcBorders>
                    <w:top w:val="single" w:color="auto" w:sz="4" w:space="0"/>
                  </w:tcBorders>
                  <w:vAlign w:val="center"/>
                </w:tcPr>
                <w:p w14:paraId="7A98E57B">
                  <w:pPr>
                    <w:jc w:val="center"/>
                    <w:rPr>
                      <w:rFonts w:hint="default"/>
                      <w:color w:val="auto"/>
                      <w:sz w:val="21"/>
                      <w:szCs w:val="21"/>
                      <w:highlight w:val="none"/>
                      <w:lang w:val="en-US" w:eastAsia="zh-CN"/>
                    </w:rPr>
                  </w:pPr>
                  <w:r>
                    <w:rPr>
                      <w:rFonts w:hint="eastAsia"/>
                      <w:color w:val="auto"/>
                      <w:sz w:val="21"/>
                      <w:szCs w:val="21"/>
                      <w:highlight w:val="none"/>
                      <w:lang w:val="en-US" w:eastAsia="zh-CN"/>
                    </w:rPr>
                    <w:t>5</w:t>
                  </w:r>
                </w:p>
              </w:tc>
              <w:tc>
                <w:tcPr>
                  <w:tcW w:w="999" w:type="pct"/>
                  <w:tcBorders>
                    <w:top w:val="single" w:color="auto" w:sz="4" w:space="0"/>
                  </w:tcBorders>
                  <w:vAlign w:val="center"/>
                </w:tcPr>
                <w:p w14:paraId="1A88F3B5">
                  <w:pPr>
                    <w:jc w:val="center"/>
                    <w:rPr>
                      <w:rFonts w:hint="default"/>
                      <w:color w:val="auto"/>
                      <w:sz w:val="21"/>
                      <w:szCs w:val="21"/>
                      <w:highlight w:val="none"/>
                      <w:lang w:val="en-US" w:eastAsia="zh-CN"/>
                    </w:rPr>
                  </w:pPr>
                  <w:r>
                    <w:rPr>
                      <w:rFonts w:hint="eastAsia"/>
                      <w:color w:val="auto"/>
                      <w:sz w:val="21"/>
                      <w:szCs w:val="21"/>
                      <w:highlight w:val="none"/>
                      <w:lang w:val="en-US" w:eastAsia="zh-CN"/>
                    </w:rPr>
                    <w:t>含油污泥</w:t>
                  </w:r>
                </w:p>
              </w:tc>
              <w:tc>
                <w:tcPr>
                  <w:tcW w:w="999" w:type="pct"/>
                  <w:tcBorders>
                    <w:top w:val="single" w:color="auto" w:sz="4" w:space="0"/>
                  </w:tcBorders>
                  <w:vAlign w:val="center"/>
                </w:tcPr>
                <w:p w14:paraId="40239F13">
                  <w:pPr>
                    <w:jc w:val="center"/>
                    <w:rPr>
                      <w:rFonts w:hint="eastAsia"/>
                      <w:color w:val="auto"/>
                      <w:sz w:val="21"/>
                      <w:szCs w:val="21"/>
                      <w:highlight w:val="none"/>
                      <w:lang w:val="en-US" w:eastAsia="zh-CN"/>
                    </w:rPr>
                  </w:pPr>
                  <w:r>
                    <w:rPr>
                      <w:rFonts w:hint="eastAsia"/>
                      <w:color w:val="auto"/>
                      <w:sz w:val="21"/>
                      <w:szCs w:val="21"/>
                      <w:highlight w:val="none"/>
                      <w:lang w:val="en-US" w:eastAsia="zh-CN"/>
                    </w:rPr>
                    <w:t>8.73</w:t>
                  </w:r>
                </w:p>
              </w:tc>
              <w:tc>
                <w:tcPr>
                  <w:tcW w:w="1001" w:type="pct"/>
                  <w:tcBorders>
                    <w:top w:val="single" w:color="auto" w:sz="4" w:space="0"/>
                  </w:tcBorders>
                  <w:vAlign w:val="center"/>
                </w:tcPr>
                <w:p w14:paraId="7D192074">
                  <w:pPr>
                    <w:jc w:val="center"/>
                    <w:rPr>
                      <w:rFonts w:hint="default"/>
                      <w:color w:val="auto"/>
                      <w:sz w:val="21"/>
                      <w:szCs w:val="21"/>
                      <w:highlight w:val="none"/>
                      <w:lang w:val="en-US" w:eastAsia="zh-CN"/>
                    </w:rPr>
                  </w:pPr>
                  <w:r>
                    <w:rPr>
                      <w:rFonts w:hint="eastAsia"/>
                      <w:color w:val="auto"/>
                      <w:sz w:val="21"/>
                      <w:szCs w:val="21"/>
                      <w:highlight w:val="none"/>
                      <w:lang w:val="en-US" w:eastAsia="zh-CN"/>
                    </w:rPr>
                    <w:t>2500</w:t>
                  </w:r>
                </w:p>
              </w:tc>
              <w:tc>
                <w:tcPr>
                  <w:tcW w:w="1001" w:type="pct"/>
                  <w:tcBorders>
                    <w:top w:val="single" w:color="auto" w:sz="4" w:space="0"/>
                  </w:tcBorders>
                  <w:vAlign w:val="center"/>
                </w:tcPr>
                <w:p w14:paraId="2DD01341">
                  <w:pPr>
                    <w:jc w:val="center"/>
                    <w:rPr>
                      <w:rFonts w:hint="default"/>
                      <w:color w:val="auto"/>
                      <w:sz w:val="21"/>
                      <w:szCs w:val="21"/>
                      <w:highlight w:val="none"/>
                      <w:lang w:val="en-US" w:eastAsia="zh-CN"/>
                    </w:rPr>
                  </w:pPr>
                  <w:r>
                    <w:rPr>
                      <w:rFonts w:hint="eastAsia"/>
                      <w:color w:val="auto"/>
                      <w:sz w:val="21"/>
                      <w:szCs w:val="21"/>
                      <w:highlight w:val="none"/>
                      <w:lang w:val="en-US" w:eastAsia="zh-CN"/>
                    </w:rPr>
                    <w:t>0.003492</w:t>
                  </w:r>
                </w:p>
              </w:tc>
            </w:tr>
            <w:tr w14:paraId="5A23CD32">
              <w:tblPrEx>
                <w:tblBorders>
                  <w:top w:val="single" w:color="auto" w:sz="4"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98" w:type="pct"/>
                  <w:gridSpan w:val="4"/>
                  <w:vAlign w:val="center"/>
                </w:tcPr>
                <w:p w14:paraId="208647E1">
                  <w:pPr>
                    <w:jc w:val="center"/>
                    <w:rPr>
                      <w:color w:val="auto"/>
                      <w:sz w:val="21"/>
                      <w:szCs w:val="21"/>
                      <w:highlight w:val="none"/>
                    </w:rPr>
                  </w:pPr>
                  <w:r>
                    <w:rPr>
                      <w:rFonts w:hint="eastAsia"/>
                      <w:color w:val="auto"/>
                      <w:sz w:val="21"/>
                      <w:szCs w:val="21"/>
                      <w:highlight w:val="none"/>
                    </w:rPr>
                    <w:t>合计</w:t>
                  </w:r>
                </w:p>
              </w:tc>
              <w:tc>
                <w:tcPr>
                  <w:tcW w:w="1001" w:type="pct"/>
                  <w:vAlign w:val="center"/>
                </w:tcPr>
                <w:p w14:paraId="7EE6226F">
                  <w:pP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0.556852</w:t>
                  </w:r>
                </w:p>
              </w:tc>
            </w:tr>
          </w:tbl>
          <w:p w14:paraId="04638560">
            <w:pPr>
              <w:widowControl/>
              <w:spacing w:line="360" w:lineRule="auto"/>
              <w:ind w:firstLine="480" w:firstLineChars="200"/>
              <w:jc w:val="left"/>
              <w:rPr>
                <w:color w:val="auto"/>
                <w:highlight w:val="none"/>
              </w:rPr>
            </w:pPr>
            <w:r>
              <w:rPr>
                <w:rFonts w:ascii="Times New Roman" w:hAnsi="Times New Roman" w:eastAsia="宋体" w:cs="Times New Roman"/>
                <w:color w:val="auto"/>
                <w:kern w:val="0"/>
                <w:sz w:val="24"/>
                <w:highlight w:val="none"/>
              </w:rPr>
              <w:t>依据《建设项目环境风险评价技术导则》（HJ</w:t>
            </w:r>
            <w:r>
              <w:rPr>
                <w:rFonts w:hint="eastAsia" w:ascii="Times New Roman" w:hAnsi="Times New Roman" w:eastAsia="宋体" w:cs="Times New Roman"/>
                <w:color w:val="auto"/>
                <w:kern w:val="0"/>
                <w:sz w:val="24"/>
                <w:highlight w:val="none"/>
              </w:rPr>
              <w:t xml:space="preserve"> </w:t>
            </w:r>
            <w:r>
              <w:rPr>
                <w:rFonts w:ascii="Times New Roman" w:hAnsi="Times New Roman" w:eastAsia="宋体" w:cs="Times New Roman"/>
                <w:color w:val="auto"/>
                <w:kern w:val="0"/>
                <w:sz w:val="24"/>
                <w:highlight w:val="none"/>
              </w:rPr>
              <w:t xml:space="preserve">169-2018）附录C规范Q值计算过程，当单元内存在的危险物质为多品种时，则按下式进行计算。 </w:t>
            </w:r>
          </w:p>
          <w:p w14:paraId="5F9DBAF5">
            <w:pPr>
              <w:jc w:val="center"/>
              <w:rPr>
                <w:color w:val="auto"/>
                <w:highlight w:val="none"/>
              </w:rPr>
            </w:pPr>
            <w:r>
              <w:rPr>
                <w:color w:val="auto"/>
                <w:position w:val="-30"/>
                <w:highlight w:val="none"/>
              </w:rPr>
              <w:object>
                <v:shape id="_x0000_i1026" o:spt="75" type="#_x0000_t75" style="height:33.8pt;width:110.2pt;" o:ole="t" filled="f" o:preferrelative="t" stroked="f" coordsize="21600,21600">
                  <v:path/>
                  <v:fill on="f" focussize="0,0"/>
                  <v:stroke on="f"/>
                  <v:imagedata r:id="rId20" o:title=""/>
                  <o:lock v:ext="edit" aspectratio="t"/>
                  <w10:wrap type="none"/>
                  <w10:anchorlock/>
                </v:shape>
                <o:OLEObject Type="Embed" ProgID="Equation.3" ShapeID="_x0000_i1026" DrawAspect="Content" ObjectID="_1468075726" r:id="rId19">
                  <o:LockedField>false</o:LockedField>
                </o:OLEObject>
              </w:object>
            </w:r>
          </w:p>
          <w:p w14:paraId="3C7CCAA5">
            <w:pPr>
              <w:widowControl/>
              <w:wordWrap w:val="0"/>
              <w:adjustRightInd w:val="0"/>
              <w:spacing w:line="360" w:lineRule="auto"/>
              <w:ind w:firstLine="480" w:firstLineChars="200"/>
              <w:outlineLvl w:val="2"/>
              <w:rPr>
                <w:color w:val="auto"/>
                <w:sz w:val="24"/>
                <w:highlight w:val="none"/>
              </w:rPr>
            </w:pPr>
            <w:r>
              <w:rPr>
                <w:color w:val="auto"/>
                <w:sz w:val="24"/>
                <w:highlight w:val="none"/>
              </w:rPr>
              <w:t>式中：q</w:t>
            </w:r>
            <w:r>
              <w:rPr>
                <w:color w:val="auto"/>
                <w:sz w:val="24"/>
                <w:highlight w:val="none"/>
                <w:vertAlign w:val="subscript"/>
              </w:rPr>
              <w:t>1</w:t>
            </w:r>
            <w:r>
              <w:rPr>
                <w:color w:val="auto"/>
                <w:sz w:val="24"/>
                <w:highlight w:val="none"/>
              </w:rPr>
              <w:t>，q</w:t>
            </w:r>
            <w:r>
              <w:rPr>
                <w:color w:val="auto"/>
                <w:sz w:val="24"/>
                <w:highlight w:val="none"/>
                <w:vertAlign w:val="subscript"/>
              </w:rPr>
              <w:t>2</w:t>
            </w:r>
            <w:r>
              <w:rPr>
                <w:color w:val="auto"/>
                <w:sz w:val="24"/>
                <w:highlight w:val="none"/>
              </w:rPr>
              <w:t>，…q</w:t>
            </w:r>
            <w:r>
              <w:rPr>
                <w:color w:val="auto"/>
                <w:sz w:val="24"/>
                <w:highlight w:val="none"/>
                <w:vertAlign w:val="subscript"/>
              </w:rPr>
              <w:t>n</w:t>
            </w:r>
            <w:r>
              <w:rPr>
                <w:color w:val="auto"/>
                <w:sz w:val="24"/>
                <w:highlight w:val="none"/>
              </w:rPr>
              <w:t>—每种危险物质的最大存在量，t；</w:t>
            </w:r>
          </w:p>
          <w:p w14:paraId="210A3C05">
            <w:pPr>
              <w:widowControl/>
              <w:wordWrap w:val="0"/>
              <w:adjustRightInd w:val="0"/>
              <w:spacing w:line="360" w:lineRule="auto"/>
              <w:ind w:firstLine="1200" w:firstLineChars="500"/>
              <w:outlineLvl w:val="2"/>
              <w:rPr>
                <w:color w:val="auto"/>
                <w:sz w:val="24"/>
                <w:highlight w:val="none"/>
              </w:rPr>
            </w:pPr>
            <w:r>
              <w:rPr>
                <w:color w:val="auto"/>
                <w:sz w:val="24"/>
                <w:highlight w:val="none"/>
              </w:rPr>
              <w:t>Q</w:t>
            </w:r>
            <w:r>
              <w:rPr>
                <w:color w:val="auto"/>
                <w:sz w:val="24"/>
                <w:highlight w:val="none"/>
                <w:vertAlign w:val="subscript"/>
              </w:rPr>
              <w:t>1</w:t>
            </w:r>
            <w:r>
              <w:rPr>
                <w:color w:val="auto"/>
                <w:sz w:val="24"/>
                <w:highlight w:val="none"/>
              </w:rPr>
              <w:t>，Q</w:t>
            </w:r>
            <w:r>
              <w:rPr>
                <w:color w:val="auto"/>
                <w:sz w:val="24"/>
                <w:highlight w:val="none"/>
                <w:vertAlign w:val="subscript"/>
              </w:rPr>
              <w:t>2</w:t>
            </w:r>
            <w:r>
              <w:rPr>
                <w:color w:val="auto"/>
                <w:sz w:val="24"/>
                <w:highlight w:val="none"/>
              </w:rPr>
              <w:t>，…Q</w:t>
            </w:r>
            <w:r>
              <w:rPr>
                <w:color w:val="auto"/>
                <w:sz w:val="24"/>
                <w:highlight w:val="none"/>
                <w:vertAlign w:val="subscript"/>
              </w:rPr>
              <w:t>n</w:t>
            </w:r>
            <w:r>
              <w:rPr>
                <w:color w:val="auto"/>
                <w:sz w:val="24"/>
                <w:highlight w:val="none"/>
              </w:rPr>
              <w:t>—每种危险物质的临界量，t；</w:t>
            </w:r>
          </w:p>
          <w:p w14:paraId="1E5EA0A9">
            <w:pPr>
              <w:widowControl/>
              <w:wordWrap w:val="0"/>
              <w:adjustRightInd w:val="0"/>
              <w:spacing w:line="360" w:lineRule="auto"/>
              <w:ind w:firstLine="480" w:firstLineChars="200"/>
              <w:outlineLvl w:val="2"/>
              <w:rPr>
                <w:color w:val="auto"/>
                <w:sz w:val="24"/>
                <w:highlight w:val="none"/>
              </w:rPr>
            </w:pPr>
            <w:r>
              <w:rPr>
                <w:color w:val="auto"/>
                <w:sz w:val="24"/>
                <w:highlight w:val="none"/>
              </w:rPr>
              <w:t>当Q</w:t>
            </w:r>
            <w:r>
              <w:rPr>
                <w:rFonts w:hint="eastAsia"/>
                <w:color w:val="auto"/>
                <w:sz w:val="24"/>
                <w:highlight w:val="none"/>
                <w:lang w:val="en-US" w:eastAsia="zh-CN"/>
              </w:rPr>
              <w:t>＜</w:t>
            </w:r>
            <w:r>
              <w:rPr>
                <w:color w:val="auto"/>
                <w:sz w:val="24"/>
                <w:highlight w:val="none"/>
              </w:rPr>
              <w:t>1时，该项目环境风险潜势为Ⅰ；</w:t>
            </w:r>
          </w:p>
          <w:p w14:paraId="496F3624">
            <w:pPr>
              <w:spacing w:line="360" w:lineRule="auto"/>
              <w:ind w:firstLine="480"/>
              <w:rPr>
                <w:color w:val="auto"/>
                <w:sz w:val="24"/>
                <w:highlight w:val="none"/>
              </w:rPr>
            </w:pPr>
            <w:r>
              <w:rPr>
                <w:color w:val="auto"/>
                <w:sz w:val="24"/>
                <w:highlight w:val="none"/>
              </w:rPr>
              <w:t>当Q</w:t>
            </w:r>
            <w:r>
              <w:rPr>
                <w:rFonts w:hint="eastAsia"/>
                <w:color w:val="auto"/>
                <w:sz w:val="24"/>
                <w:highlight w:val="none"/>
                <w:lang w:val="en-US" w:eastAsia="zh-CN"/>
              </w:rPr>
              <w:t>≥</w:t>
            </w:r>
            <w:r>
              <w:rPr>
                <w:color w:val="auto"/>
                <w:sz w:val="24"/>
                <w:highlight w:val="none"/>
              </w:rPr>
              <w:t>1时，将Q值划分为（1）1</w:t>
            </w:r>
            <w:r>
              <w:rPr>
                <w:rFonts w:hint="eastAsia"/>
                <w:color w:val="auto"/>
                <w:sz w:val="24"/>
                <w:highlight w:val="none"/>
                <w:lang w:val="en-US" w:eastAsia="zh-CN"/>
              </w:rPr>
              <w:t>≤</w:t>
            </w:r>
            <w:r>
              <w:rPr>
                <w:color w:val="auto"/>
                <w:sz w:val="24"/>
                <w:highlight w:val="none"/>
              </w:rPr>
              <w:t>Q</w:t>
            </w:r>
            <w:r>
              <w:rPr>
                <w:rFonts w:hint="eastAsia"/>
                <w:color w:val="auto"/>
                <w:sz w:val="24"/>
                <w:highlight w:val="none"/>
                <w:lang w:val="en-US" w:eastAsia="zh-CN"/>
              </w:rPr>
              <w:t>＜</w:t>
            </w:r>
            <w:r>
              <w:rPr>
                <w:color w:val="auto"/>
                <w:sz w:val="24"/>
                <w:highlight w:val="none"/>
              </w:rPr>
              <w:t>10；（2）10</w:t>
            </w:r>
            <w:r>
              <w:rPr>
                <w:rFonts w:hint="eastAsia"/>
                <w:color w:val="auto"/>
                <w:sz w:val="24"/>
                <w:highlight w:val="none"/>
                <w:lang w:val="en-US" w:eastAsia="zh-CN"/>
              </w:rPr>
              <w:t>≤</w:t>
            </w:r>
            <w:r>
              <w:rPr>
                <w:color w:val="auto"/>
                <w:sz w:val="24"/>
                <w:highlight w:val="none"/>
              </w:rPr>
              <w:t>Q</w:t>
            </w:r>
            <w:r>
              <w:rPr>
                <w:rFonts w:hint="eastAsia"/>
                <w:color w:val="auto"/>
                <w:sz w:val="24"/>
                <w:highlight w:val="none"/>
                <w:lang w:val="en-US" w:eastAsia="zh-CN"/>
              </w:rPr>
              <w:t>＜</w:t>
            </w:r>
            <w:r>
              <w:rPr>
                <w:color w:val="auto"/>
                <w:sz w:val="24"/>
                <w:highlight w:val="none"/>
              </w:rPr>
              <w:t>100；（3）Q</w:t>
            </w:r>
            <w:r>
              <w:rPr>
                <w:rFonts w:hint="eastAsia"/>
                <w:color w:val="auto"/>
                <w:sz w:val="24"/>
                <w:highlight w:val="none"/>
                <w:lang w:val="en-US" w:eastAsia="zh-CN"/>
              </w:rPr>
              <w:t>≥</w:t>
            </w:r>
            <w:r>
              <w:rPr>
                <w:color w:val="auto"/>
                <w:sz w:val="24"/>
                <w:highlight w:val="none"/>
              </w:rPr>
              <w:t xml:space="preserve">100。 </w:t>
            </w:r>
          </w:p>
          <w:p w14:paraId="18F2EE01">
            <w:pPr>
              <w:autoSpaceDE w:val="0"/>
              <w:autoSpaceDN w:val="0"/>
              <w:adjustRightInd w:val="0"/>
              <w:snapToGrid w:val="0"/>
              <w:spacing w:line="360" w:lineRule="auto"/>
              <w:ind w:firstLine="480" w:firstLineChars="200"/>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本项目Q=0.</w:t>
            </w:r>
            <w:r>
              <w:rPr>
                <w:rFonts w:hint="eastAsia" w:cs="Times New Roman"/>
                <w:color w:val="auto"/>
                <w:kern w:val="0"/>
                <w:sz w:val="24"/>
                <w:highlight w:val="none"/>
                <w:lang w:val="en-US" w:eastAsia="zh-CN"/>
              </w:rPr>
              <w:t>556852</w:t>
            </w:r>
            <w:r>
              <w:rPr>
                <w:rFonts w:ascii="Times New Roman" w:hAnsi="Times New Roman" w:eastAsia="宋体" w:cs="Times New Roman"/>
                <w:color w:val="auto"/>
                <w:kern w:val="0"/>
                <w:sz w:val="24"/>
                <w:highlight w:val="none"/>
              </w:rPr>
              <w:t>，因此，根据《建设项目环境风险评价技术导则》（HJ 169-2018）附录C要求，Q=0.</w:t>
            </w:r>
            <w:r>
              <w:rPr>
                <w:rFonts w:hint="eastAsia" w:cs="Times New Roman"/>
                <w:color w:val="auto"/>
                <w:kern w:val="0"/>
                <w:sz w:val="24"/>
                <w:highlight w:val="none"/>
                <w:lang w:val="en-US" w:eastAsia="zh-CN"/>
              </w:rPr>
              <w:t>556852</w:t>
            </w:r>
            <w:r>
              <w:rPr>
                <w:rFonts w:ascii="Times New Roman" w:hAnsi="Times New Roman" w:eastAsia="宋体" w:cs="Times New Roman"/>
                <w:color w:val="auto"/>
                <w:kern w:val="0"/>
                <w:sz w:val="24"/>
                <w:highlight w:val="none"/>
              </w:rPr>
              <w:t>＜1，该项目环境风险潜势为Ⅰ，不再对行业及生产工艺（M）及环境敏感程度（E）进行判定。</w:t>
            </w:r>
          </w:p>
          <w:p w14:paraId="034A73C7">
            <w:pPr>
              <w:pStyle w:val="1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rPr>
              <w:t>7.2环境风险评价工作等级</w:t>
            </w:r>
          </w:p>
          <w:p w14:paraId="358A04F9">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根据建设项目</w:t>
            </w:r>
            <w:r>
              <w:rPr>
                <w:rFonts w:hint="eastAsia" w:ascii="Times New Roman" w:hAnsi="Times New Roman" w:eastAsia="宋体" w:cs="Times New Roman"/>
                <w:color w:val="auto"/>
                <w:kern w:val="0"/>
                <w:sz w:val="24"/>
                <w:highlight w:val="none"/>
                <w:lang w:eastAsia="zh-CN"/>
              </w:rPr>
              <w:t>《</w:t>
            </w:r>
            <w:r>
              <w:rPr>
                <w:rFonts w:ascii="Times New Roman" w:hAnsi="Times New Roman" w:eastAsia="宋体" w:cs="Times New Roman"/>
                <w:color w:val="auto"/>
                <w:kern w:val="0"/>
                <w:sz w:val="24"/>
                <w:highlight w:val="none"/>
              </w:rPr>
              <w:t>环境风险评价技术导则</w:t>
            </w:r>
            <w:r>
              <w:rPr>
                <w:rFonts w:hint="eastAsia" w:ascii="Times New Roman" w:hAnsi="Times New Roman" w:eastAsia="宋体" w:cs="Times New Roman"/>
                <w:color w:val="auto"/>
                <w:kern w:val="0"/>
                <w:sz w:val="24"/>
                <w:highlight w:val="none"/>
                <w:lang w:eastAsia="zh-CN"/>
              </w:rPr>
              <w:t>》</w:t>
            </w:r>
            <w:r>
              <w:rPr>
                <w:rFonts w:ascii="Times New Roman" w:hAnsi="Times New Roman" w:eastAsia="宋体" w:cs="Times New Roman"/>
                <w:color w:val="auto"/>
                <w:kern w:val="0"/>
                <w:sz w:val="24"/>
                <w:highlight w:val="none"/>
              </w:rPr>
              <w:t>（HJ 169-2018）中环境风险评价工作级别划分的判据见表4-</w:t>
            </w:r>
            <w:r>
              <w:rPr>
                <w:rFonts w:hint="eastAsia" w:ascii="Times New Roman" w:hAnsi="Times New Roman" w:eastAsia="宋体" w:cs="Times New Roman"/>
                <w:color w:val="auto"/>
                <w:kern w:val="0"/>
                <w:sz w:val="24"/>
                <w:highlight w:val="none"/>
              </w:rPr>
              <w:t>1</w:t>
            </w:r>
            <w:r>
              <w:rPr>
                <w:rFonts w:hint="eastAsia" w:cs="Times New Roman"/>
                <w:color w:val="auto"/>
                <w:kern w:val="0"/>
                <w:sz w:val="24"/>
                <w:highlight w:val="none"/>
                <w:lang w:val="en-US" w:eastAsia="zh-CN"/>
              </w:rPr>
              <w:t>8</w:t>
            </w:r>
            <w:r>
              <w:rPr>
                <w:rFonts w:ascii="Times New Roman" w:hAnsi="Times New Roman" w:eastAsia="宋体" w:cs="Times New Roman"/>
                <w:color w:val="auto"/>
                <w:kern w:val="0"/>
                <w:sz w:val="24"/>
                <w:highlight w:val="none"/>
              </w:rPr>
              <w:t>。</w:t>
            </w:r>
          </w:p>
          <w:p w14:paraId="5B85EE8A">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表4-</w:t>
            </w:r>
            <w:r>
              <w:rPr>
                <w:rFonts w:hint="eastAsia" w:ascii="Times New Roman" w:hAnsi="Times New Roman" w:eastAsia="宋体" w:cs="Times New Roman"/>
                <w:color w:val="auto"/>
                <w:highlight w:val="none"/>
              </w:rPr>
              <w:t>1</w:t>
            </w:r>
            <w:r>
              <w:rPr>
                <w:rFonts w:hint="eastAsia" w:cs="Times New Roman"/>
                <w:color w:val="auto"/>
                <w:highlight w:val="none"/>
                <w:lang w:val="en-US" w:eastAsia="zh-CN"/>
              </w:rPr>
              <w:t>8</w:t>
            </w:r>
            <w:r>
              <w:rPr>
                <w:rFonts w:hint="default"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 xml:space="preserve">  </w:t>
            </w:r>
            <w:r>
              <w:rPr>
                <w:rFonts w:hint="default" w:ascii="Times New Roman" w:hAnsi="Times New Roman" w:eastAsia="宋体" w:cs="Times New Roman"/>
                <w:color w:val="auto"/>
                <w:highlight w:val="none"/>
              </w:rPr>
              <w:t xml:space="preserve"> 评价工作等级划分表</w:t>
            </w:r>
          </w:p>
          <w:tbl>
            <w:tblPr>
              <w:tblStyle w:val="19"/>
              <w:tblW w:w="4998"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1648"/>
              <w:gridCol w:w="1648"/>
              <w:gridCol w:w="1648"/>
              <w:gridCol w:w="1648"/>
              <w:gridCol w:w="1656"/>
            </w:tblGrid>
            <w:tr w14:paraId="74DD360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99" w:type="pct"/>
                  <w:tcBorders>
                    <w:bottom w:val="single" w:color="000000" w:sz="12" w:space="0"/>
                  </w:tcBorders>
                  <w:vAlign w:val="center"/>
                </w:tcPr>
                <w:p w14:paraId="700FA502">
                  <w:pPr>
                    <w:jc w:val="center"/>
                    <w:rPr>
                      <w:b/>
                      <w:bCs/>
                      <w:color w:val="auto"/>
                      <w:sz w:val="21"/>
                      <w:szCs w:val="21"/>
                      <w:highlight w:val="none"/>
                    </w:rPr>
                  </w:pPr>
                  <w:r>
                    <w:rPr>
                      <w:b/>
                      <w:bCs/>
                      <w:color w:val="auto"/>
                      <w:sz w:val="21"/>
                      <w:szCs w:val="21"/>
                      <w:highlight w:val="none"/>
                    </w:rPr>
                    <w:t>环境风险潜势</w:t>
                  </w:r>
                </w:p>
              </w:tc>
              <w:tc>
                <w:tcPr>
                  <w:tcW w:w="999" w:type="pct"/>
                  <w:tcBorders>
                    <w:bottom w:val="single" w:color="000000" w:sz="12" w:space="0"/>
                  </w:tcBorders>
                  <w:vAlign w:val="center"/>
                </w:tcPr>
                <w:p w14:paraId="4BFC2F34">
                  <w:pPr>
                    <w:jc w:val="center"/>
                    <w:rPr>
                      <w:b/>
                      <w:bCs/>
                      <w:color w:val="auto"/>
                      <w:sz w:val="21"/>
                      <w:szCs w:val="21"/>
                      <w:highlight w:val="none"/>
                    </w:rPr>
                  </w:pPr>
                  <w:r>
                    <w:rPr>
                      <w:b/>
                      <w:bCs/>
                      <w:color w:val="auto"/>
                      <w:sz w:val="21"/>
                      <w:szCs w:val="21"/>
                      <w:highlight w:val="none"/>
                    </w:rPr>
                    <w:t>Ⅳ、Ⅳ+</w:t>
                  </w:r>
                </w:p>
              </w:tc>
              <w:tc>
                <w:tcPr>
                  <w:tcW w:w="999" w:type="pct"/>
                  <w:tcBorders>
                    <w:bottom w:val="single" w:color="000000" w:sz="12" w:space="0"/>
                  </w:tcBorders>
                  <w:vAlign w:val="center"/>
                </w:tcPr>
                <w:p w14:paraId="33A652D6">
                  <w:pPr>
                    <w:jc w:val="center"/>
                    <w:rPr>
                      <w:b/>
                      <w:bCs/>
                      <w:color w:val="auto"/>
                      <w:sz w:val="21"/>
                      <w:szCs w:val="21"/>
                      <w:highlight w:val="none"/>
                    </w:rPr>
                  </w:pPr>
                  <w:r>
                    <w:rPr>
                      <w:b/>
                      <w:bCs/>
                      <w:color w:val="auto"/>
                      <w:sz w:val="21"/>
                      <w:szCs w:val="21"/>
                      <w:highlight w:val="none"/>
                    </w:rPr>
                    <w:t>Ⅲ</w:t>
                  </w:r>
                </w:p>
              </w:tc>
              <w:tc>
                <w:tcPr>
                  <w:tcW w:w="999" w:type="pct"/>
                  <w:tcBorders>
                    <w:bottom w:val="single" w:color="000000" w:sz="12" w:space="0"/>
                  </w:tcBorders>
                  <w:vAlign w:val="center"/>
                </w:tcPr>
                <w:p w14:paraId="3E8004E6">
                  <w:pPr>
                    <w:jc w:val="center"/>
                    <w:rPr>
                      <w:b/>
                      <w:bCs/>
                      <w:color w:val="auto"/>
                      <w:sz w:val="21"/>
                      <w:szCs w:val="21"/>
                      <w:highlight w:val="none"/>
                    </w:rPr>
                  </w:pPr>
                  <w:r>
                    <w:rPr>
                      <w:b/>
                      <w:bCs/>
                      <w:color w:val="auto"/>
                      <w:sz w:val="21"/>
                      <w:szCs w:val="21"/>
                      <w:highlight w:val="none"/>
                    </w:rPr>
                    <w:t>Ⅱ</w:t>
                  </w:r>
                </w:p>
              </w:tc>
              <w:tc>
                <w:tcPr>
                  <w:tcW w:w="1001" w:type="pct"/>
                  <w:tcBorders>
                    <w:bottom w:val="single" w:color="000000" w:sz="12" w:space="0"/>
                  </w:tcBorders>
                  <w:vAlign w:val="center"/>
                </w:tcPr>
                <w:p w14:paraId="283774A4">
                  <w:pPr>
                    <w:jc w:val="center"/>
                    <w:rPr>
                      <w:b/>
                      <w:bCs/>
                      <w:color w:val="auto"/>
                      <w:sz w:val="21"/>
                      <w:szCs w:val="21"/>
                      <w:highlight w:val="none"/>
                    </w:rPr>
                  </w:pPr>
                  <w:r>
                    <w:rPr>
                      <w:b/>
                      <w:bCs/>
                      <w:color w:val="auto"/>
                      <w:sz w:val="21"/>
                      <w:szCs w:val="21"/>
                      <w:highlight w:val="none"/>
                    </w:rPr>
                    <w:t>Ⅰ</w:t>
                  </w:r>
                </w:p>
              </w:tc>
            </w:tr>
            <w:tr w14:paraId="5F3E887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99" w:type="pct"/>
                  <w:tcBorders>
                    <w:top w:val="single" w:color="000000" w:sz="12" w:space="0"/>
                    <w:tl2br w:val="nil"/>
                    <w:tr2bl w:val="nil"/>
                  </w:tcBorders>
                  <w:vAlign w:val="center"/>
                </w:tcPr>
                <w:p w14:paraId="4F10CB1B">
                  <w:pPr>
                    <w:jc w:val="center"/>
                    <w:rPr>
                      <w:color w:val="auto"/>
                      <w:sz w:val="21"/>
                      <w:szCs w:val="21"/>
                      <w:highlight w:val="none"/>
                    </w:rPr>
                  </w:pPr>
                  <w:r>
                    <w:rPr>
                      <w:color w:val="auto"/>
                      <w:sz w:val="21"/>
                      <w:szCs w:val="21"/>
                      <w:highlight w:val="none"/>
                    </w:rPr>
                    <w:t>评价工作等级</w:t>
                  </w:r>
                </w:p>
              </w:tc>
              <w:tc>
                <w:tcPr>
                  <w:tcW w:w="999" w:type="pct"/>
                  <w:tcBorders>
                    <w:top w:val="single" w:color="000000" w:sz="12" w:space="0"/>
                    <w:tl2br w:val="nil"/>
                    <w:tr2bl w:val="nil"/>
                  </w:tcBorders>
                  <w:vAlign w:val="center"/>
                </w:tcPr>
                <w:p w14:paraId="17C3B7D3">
                  <w:pPr>
                    <w:jc w:val="center"/>
                    <w:rPr>
                      <w:color w:val="auto"/>
                      <w:sz w:val="21"/>
                      <w:szCs w:val="21"/>
                      <w:highlight w:val="none"/>
                    </w:rPr>
                  </w:pPr>
                  <w:r>
                    <w:rPr>
                      <w:color w:val="auto"/>
                      <w:sz w:val="21"/>
                      <w:szCs w:val="21"/>
                      <w:highlight w:val="none"/>
                    </w:rPr>
                    <w:t>一</w:t>
                  </w:r>
                </w:p>
              </w:tc>
              <w:tc>
                <w:tcPr>
                  <w:tcW w:w="999" w:type="pct"/>
                  <w:tcBorders>
                    <w:top w:val="single" w:color="000000" w:sz="12" w:space="0"/>
                    <w:tl2br w:val="nil"/>
                    <w:tr2bl w:val="nil"/>
                  </w:tcBorders>
                  <w:vAlign w:val="center"/>
                </w:tcPr>
                <w:p w14:paraId="74267721">
                  <w:pPr>
                    <w:jc w:val="center"/>
                    <w:rPr>
                      <w:color w:val="auto"/>
                      <w:sz w:val="21"/>
                      <w:szCs w:val="21"/>
                      <w:highlight w:val="none"/>
                    </w:rPr>
                  </w:pPr>
                  <w:r>
                    <w:rPr>
                      <w:color w:val="auto"/>
                      <w:sz w:val="21"/>
                      <w:szCs w:val="21"/>
                      <w:highlight w:val="none"/>
                    </w:rPr>
                    <w:t>二</w:t>
                  </w:r>
                </w:p>
              </w:tc>
              <w:tc>
                <w:tcPr>
                  <w:tcW w:w="999" w:type="pct"/>
                  <w:tcBorders>
                    <w:top w:val="single" w:color="000000" w:sz="12" w:space="0"/>
                    <w:tl2br w:val="nil"/>
                    <w:tr2bl w:val="nil"/>
                  </w:tcBorders>
                  <w:vAlign w:val="center"/>
                </w:tcPr>
                <w:p w14:paraId="34BA0019">
                  <w:pPr>
                    <w:jc w:val="center"/>
                    <w:rPr>
                      <w:color w:val="auto"/>
                      <w:sz w:val="21"/>
                      <w:szCs w:val="21"/>
                      <w:highlight w:val="none"/>
                    </w:rPr>
                  </w:pPr>
                  <w:r>
                    <w:rPr>
                      <w:color w:val="auto"/>
                      <w:sz w:val="21"/>
                      <w:szCs w:val="21"/>
                      <w:highlight w:val="none"/>
                    </w:rPr>
                    <w:t>三</w:t>
                  </w:r>
                </w:p>
              </w:tc>
              <w:tc>
                <w:tcPr>
                  <w:tcW w:w="1001" w:type="pct"/>
                  <w:tcBorders>
                    <w:top w:val="single" w:color="000000" w:sz="12" w:space="0"/>
                    <w:tl2br w:val="nil"/>
                    <w:tr2bl w:val="nil"/>
                  </w:tcBorders>
                  <w:vAlign w:val="center"/>
                </w:tcPr>
                <w:p w14:paraId="10D7702B">
                  <w:pPr>
                    <w:jc w:val="center"/>
                    <w:rPr>
                      <w:rFonts w:hint="eastAsia" w:eastAsia="宋体"/>
                      <w:color w:val="auto"/>
                      <w:sz w:val="21"/>
                      <w:szCs w:val="21"/>
                      <w:highlight w:val="none"/>
                      <w:lang w:val="en-US" w:eastAsia="zh-CN"/>
                    </w:rPr>
                  </w:pPr>
                  <w:r>
                    <w:rPr>
                      <w:color w:val="auto"/>
                      <w:sz w:val="21"/>
                      <w:szCs w:val="21"/>
                      <w:highlight w:val="none"/>
                    </w:rPr>
                    <w:t>简单分析</w:t>
                  </w:r>
                  <w:r>
                    <w:rPr>
                      <w:rFonts w:hint="eastAsia"/>
                      <w:color w:val="auto"/>
                      <w:sz w:val="21"/>
                      <w:szCs w:val="21"/>
                      <w:highlight w:val="none"/>
                      <w:lang w:val="en-US" w:eastAsia="zh-CN"/>
                    </w:rPr>
                    <w:t>a</w:t>
                  </w:r>
                </w:p>
              </w:tc>
            </w:tr>
            <w:tr w14:paraId="68E9914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5000" w:type="pct"/>
                  <w:gridSpan w:val="5"/>
                  <w:tcBorders>
                    <w:tl2br w:val="nil"/>
                    <w:tr2bl w:val="nil"/>
                  </w:tcBorders>
                  <w:vAlign w:val="center"/>
                </w:tcPr>
                <w:p w14:paraId="29E8213E">
                  <w:pPr>
                    <w:ind w:firstLine="420" w:firstLineChars="200"/>
                    <w:rPr>
                      <w:color w:val="auto"/>
                      <w:sz w:val="21"/>
                      <w:szCs w:val="21"/>
                      <w:highlight w:val="none"/>
                    </w:rPr>
                  </w:pPr>
                  <w:r>
                    <w:rPr>
                      <w:color w:val="auto"/>
                      <w:sz w:val="21"/>
                      <w:szCs w:val="21"/>
                      <w:highlight w:val="none"/>
                    </w:rPr>
                    <w:t>a是相对于详细评价工作内容而言，在描述危险物质、环境影响途径、环境危害后果、风险防范措施等方面给出定性的说明。</w:t>
                  </w:r>
                </w:p>
              </w:tc>
            </w:tr>
          </w:tbl>
          <w:p w14:paraId="5041A46B">
            <w:pPr>
              <w:autoSpaceDE w:val="0"/>
              <w:autoSpaceDN w:val="0"/>
              <w:adjustRightInd w:val="0"/>
              <w:snapToGrid w:val="0"/>
              <w:spacing w:line="360" w:lineRule="auto"/>
              <w:ind w:firstLine="480" w:firstLineChars="200"/>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本项目环境风险潜势为Ⅰ，根据《建设项目环境风险评价技术导则》（HJT169-2018）环境风险评价工作级别划分的判据，确定本工程环境风险评价工作级别为简单分析。</w:t>
            </w:r>
          </w:p>
          <w:p w14:paraId="7824C67D">
            <w:pPr>
              <w:pStyle w:val="1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rPr>
              <w:t>7.3环境风险识别</w:t>
            </w:r>
          </w:p>
          <w:p w14:paraId="43555F47">
            <w:pPr>
              <w:autoSpaceDE w:val="0"/>
              <w:autoSpaceDN w:val="0"/>
              <w:adjustRightInd w:val="0"/>
              <w:snapToGrid w:val="0"/>
              <w:spacing w:line="360" w:lineRule="auto"/>
              <w:ind w:firstLine="480" w:firstLineChars="200"/>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lang w:val="en-US" w:eastAsia="zh-CN"/>
              </w:rPr>
              <w:t>（1）</w:t>
            </w:r>
            <w:r>
              <w:rPr>
                <w:rFonts w:ascii="Times New Roman" w:hAnsi="Times New Roman" w:eastAsia="宋体" w:cs="Times New Roman"/>
                <w:color w:val="auto"/>
                <w:kern w:val="0"/>
                <w:sz w:val="24"/>
                <w:highlight w:val="none"/>
              </w:rPr>
              <w:t>物质危险性识别</w:t>
            </w:r>
          </w:p>
          <w:p w14:paraId="368287AC">
            <w:pPr>
              <w:autoSpaceDE w:val="0"/>
              <w:autoSpaceDN w:val="0"/>
              <w:adjustRightInd w:val="0"/>
              <w:snapToGrid w:val="0"/>
              <w:spacing w:line="360" w:lineRule="auto"/>
              <w:ind w:firstLine="720" w:firstLineChars="300"/>
              <w:rPr>
                <w:rFonts w:hint="default"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①沥青：见下表4-19</w:t>
            </w:r>
          </w:p>
          <w:p w14:paraId="2AD760F3">
            <w:pPr>
              <w:pageBreakBefore w:val="0"/>
              <w:shd w:val="clear"/>
              <w:bidi w:val="0"/>
              <w:spacing w:beforeAutospacing="0" w:afterAutospacing="0"/>
              <w:ind w:left="0" w:leftChars="0" w:right="0" w:rightChars="0" w:firstLine="1054" w:firstLineChars="500"/>
              <w:jc w:val="center"/>
              <w:rPr>
                <w:rFonts w:hint="eastAsia"/>
                <w:b/>
                <w:bCs/>
                <w:color w:val="auto"/>
                <w:spacing w:val="0"/>
                <w:w w:val="100"/>
                <w:position w:val="0"/>
                <w:szCs w:val="21"/>
                <w:highlight w:val="none"/>
              </w:rPr>
            </w:pPr>
            <w:r>
              <w:rPr>
                <w:rFonts w:hint="eastAsia"/>
                <w:b/>
                <w:bCs/>
                <w:color w:val="auto"/>
                <w:spacing w:val="0"/>
                <w:w w:val="100"/>
                <w:position w:val="0"/>
                <w:szCs w:val="21"/>
                <w:highlight w:val="none"/>
              </w:rPr>
              <w:t>表4-</w:t>
            </w:r>
            <w:r>
              <w:rPr>
                <w:rFonts w:hint="eastAsia"/>
                <w:b/>
                <w:bCs/>
                <w:color w:val="auto"/>
                <w:spacing w:val="0"/>
                <w:w w:val="100"/>
                <w:position w:val="0"/>
                <w:szCs w:val="21"/>
                <w:highlight w:val="none"/>
                <w:lang w:val="en-US" w:eastAsia="zh-CN"/>
              </w:rPr>
              <w:t xml:space="preserve">19   </w:t>
            </w:r>
            <w:r>
              <w:rPr>
                <w:rFonts w:hint="eastAsia"/>
                <w:b/>
                <w:bCs/>
                <w:color w:val="auto"/>
                <w:spacing w:val="0"/>
                <w:w w:val="100"/>
                <w:position w:val="0"/>
                <w:szCs w:val="21"/>
                <w:highlight w:val="none"/>
              </w:rPr>
              <w:t>沥青危险特性及安全技术说明</w:t>
            </w:r>
          </w:p>
          <w:tbl>
            <w:tblPr>
              <w:tblStyle w:val="19"/>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852"/>
              <w:gridCol w:w="1589"/>
              <w:gridCol w:w="1610"/>
              <w:gridCol w:w="2098"/>
              <w:gridCol w:w="107"/>
              <w:gridCol w:w="1990"/>
            </w:tblGrid>
            <w:tr w14:paraId="4FB4778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17" w:type="pct"/>
                  <w:tcBorders>
                    <w:bottom w:val="single" w:color="auto" w:sz="12" w:space="0"/>
                  </w:tcBorders>
                  <w:noWrap w:val="0"/>
                  <w:vAlign w:val="center"/>
                </w:tcPr>
                <w:p w14:paraId="5E849C92">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w w:val="100"/>
                      <w:position w:val="0"/>
                      <w:sz w:val="21"/>
                      <w:szCs w:val="21"/>
                      <w:highlight w:val="none"/>
                    </w:rPr>
                  </w:pPr>
                  <w:r>
                    <w:rPr>
                      <w:rFonts w:hint="default" w:ascii="Times New Roman" w:hAnsi="Times New Roman" w:eastAsia="宋体" w:cs="Times New Roman"/>
                      <w:b/>
                      <w:bCs/>
                      <w:color w:val="auto"/>
                      <w:spacing w:val="0"/>
                      <w:w w:val="100"/>
                      <w:position w:val="0"/>
                      <w:sz w:val="21"/>
                      <w:szCs w:val="21"/>
                      <w:highlight w:val="none"/>
                    </w:rPr>
                    <w:t>标识</w:t>
                  </w:r>
                </w:p>
              </w:tc>
              <w:tc>
                <w:tcPr>
                  <w:tcW w:w="963" w:type="pct"/>
                  <w:tcBorders>
                    <w:bottom w:val="single" w:color="auto" w:sz="12" w:space="0"/>
                  </w:tcBorders>
                  <w:noWrap w:val="0"/>
                  <w:vAlign w:val="center"/>
                </w:tcPr>
                <w:p w14:paraId="1DD4E693">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w w:val="100"/>
                      <w:position w:val="0"/>
                      <w:sz w:val="21"/>
                      <w:szCs w:val="21"/>
                      <w:highlight w:val="none"/>
                    </w:rPr>
                  </w:pPr>
                  <w:r>
                    <w:rPr>
                      <w:rFonts w:hint="default" w:ascii="Times New Roman" w:hAnsi="Times New Roman" w:eastAsia="宋体" w:cs="Times New Roman"/>
                      <w:b/>
                      <w:bCs/>
                      <w:color w:val="auto"/>
                      <w:spacing w:val="0"/>
                      <w:w w:val="100"/>
                      <w:position w:val="0"/>
                      <w:sz w:val="21"/>
                      <w:szCs w:val="21"/>
                      <w:highlight w:val="none"/>
                    </w:rPr>
                    <w:t>中文名</w:t>
                  </w:r>
                </w:p>
              </w:tc>
              <w:tc>
                <w:tcPr>
                  <w:tcW w:w="976" w:type="pct"/>
                  <w:tcBorders>
                    <w:bottom w:val="single" w:color="auto" w:sz="12" w:space="0"/>
                  </w:tcBorders>
                  <w:noWrap w:val="0"/>
                  <w:vAlign w:val="center"/>
                </w:tcPr>
                <w:p w14:paraId="60CFF25D">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w w:val="100"/>
                      <w:position w:val="0"/>
                      <w:sz w:val="21"/>
                      <w:szCs w:val="21"/>
                      <w:highlight w:val="none"/>
                    </w:rPr>
                  </w:pPr>
                  <w:r>
                    <w:rPr>
                      <w:rFonts w:hint="default" w:ascii="Times New Roman" w:hAnsi="Times New Roman" w:eastAsia="宋体" w:cs="Times New Roman"/>
                      <w:b/>
                      <w:bCs/>
                      <w:color w:val="auto"/>
                      <w:spacing w:val="0"/>
                      <w:w w:val="100"/>
                      <w:position w:val="0"/>
                      <w:sz w:val="21"/>
                      <w:szCs w:val="21"/>
                      <w:highlight w:val="none"/>
                    </w:rPr>
                    <w:t>沥青</w:t>
                  </w:r>
                </w:p>
              </w:tc>
              <w:tc>
                <w:tcPr>
                  <w:tcW w:w="1272" w:type="pct"/>
                  <w:tcBorders>
                    <w:bottom w:val="single" w:color="auto" w:sz="12" w:space="0"/>
                  </w:tcBorders>
                  <w:noWrap w:val="0"/>
                  <w:vAlign w:val="center"/>
                </w:tcPr>
                <w:p w14:paraId="5FE2E0E0">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w w:val="100"/>
                      <w:position w:val="0"/>
                      <w:sz w:val="21"/>
                      <w:szCs w:val="21"/>
                      <w:highlight w:val="none"/>
                    </w:rPr>
                  </w:pPr>
                  <w:r>
                    <w:rPr>
                      <w:rFonts w:hint="default" w:ascii="Times New Roman" w:hAnsi="Times New Roman" w:eastAsia="宋体" w:cs="Times New Roman"/>
                      <w:b/>
                      <w:bCs/>
                      <w:color w:val="auto"/>
                      <w:spacing w:val="0"/>
                      <w:w w:val="100"/>
                      <w:position w:val="0"/>
                      <w:sz w:val="21"/>
                      <w:szCs w:val="21"/>
                      <w:highlight w:val="none"/>
                    </w:rPr>
                    <w:t>英文名</w:t>
                  </w:r>
                </w:p>
              </w:tc>
              <w:tc>
                <w:tcPr>
                  <w:tcW w:w="1269" w:type="pct"/>
                  <w:gridSpan w:val="2"/>
                  <w:tcBorders>
                    <w:bottom w:val="single" w:color="auto" w:sz="12" w:space="0"/>
                  </w:tcBorders>
                  <w:noWrap w:val="0"/>
                  <w:vAlign w:val="center"/>
                </w:tcPr>
                <w:p w14:paraId="3FFF82C5">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w w:val="100"/>
                      <w:position w:val="0"/>
                      <w:sz w:val="21"/>
                      <w:szCs w:val="21"/>
                      <w:highlight w:val="none"/>
                    </w:rPr>
                  </w:pPr>
                  <w:r>
                    <w:rPr>
                      <w:rFonts w:hint="default" w:ascii="Times New Roman" w:hAnsi="Times New Roman" w:eastAsia="宋体" w:cs="Times New Roman"/>
                      <w:b/>
                      <w:bCs/>
                      <w:color w:val="auto"/>
                      <w:spacing w:val="0"/>
                      <w:w w:val="100"/>
                      <w:position w:val="0"/>
                      <w:sz w:val="21"/>
                      <w:szCs w:val="21"/>
                      <w:highlight w:val="none"/>
                    </w:rPr>
                    <w:t>bitumen</w:t>
                  </w:r>
                </w:p>
              </w:tc>
            </w:tr>
            <w:tr w14:paraId="31A8CB0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1" w:hRule="atLeast"/>
              </w:trPr>
              <w:tc>
                <w:tcPr>
                  <w:tcW w:w="517" w:type="pct"/>
                  <w:vMerge w:val="restart"/>
                  <w:tcBorders>
                    <w:top w:val="single" w:color="auto" w:sz="12" w:space="0"/>
                  </w:tcBorders>
                  <w:noWrap w:val="0"/>
                  <w:vAlign w:val="center"/>
                </w:tcPr>
                <w:p w14:paraId="6C32C5B1">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理化性质</w:t>
                  </w:r>
                </w:p>
              </w:tc>
              <w:tc>
                <w:tcPr>
                  <w:tcW w:w="963" w:type="pct"/>
                  <w:tcBorders>
                    <w:top w:val="single" w:color="auto" w:sz="12" w:space="0"/>
                  </w:tcBorders>
                  <w:noWrap w:val="0"/>
                  <w:vAlign w:val="center"/>
                </w:tcPr>
                <w:p w14:paraId="76350A59">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密度（g/m</w:t>
                  </w:r>
                  <w:r>
                    <w:rPr>
                      <w:rFonts w:hint="default" w:ascii="Times New Roman" w:hAnsi="Times New Roman" w:eastAsia="宋体" w:cs="Times New Roman"/>
                      <w:color w:val="auto"/>
                      <w:spacing w:val="0"/>
                      <w:w w:val="100"/>
                      <w:position w:val="0"/>
                      <w:sz w:val="21"/>
                      <w:szCs w:val="21"/>
                      <w:highlight w:val="none"/>
                      <w:vertAlign w:val="superscript"/>
                    </w:rPr>
                    <w:t>3</w:t>
                  </w:r>
                  <w:r>
                    <w:rPr>
                      <w:rFonts w:hint="default" w:ascii="Times New Roman" w:hAnsi="Times New Roman" w:eastAsia="宋体" w:cs="Times New Roman"/>
                      <w:color w:val="auto"/>
                      <w:spacing w:val="0"/>
                      <w:w w:val="100"/>
                      <w:position w:val="0"/>
                      <w:sz w:val="21"/>
                      <w:szCs w:val="21"/>
                      <w:highlight w:val="none"/>
                    </w:rPr>
                    <w:t>）</w:t>
                  </w:r>
                </w:p>
              </w:tc>
              <w:tc>
                <w:tcPr>
                  <w:tcW w:w="976" w:type="pct"/>
                  <w:tcBorders>
                    <w:top w:val="single" w:color="auto" w:sz="12" w:space="0"/>
                  </w:tcBorders>
                  <w:noWrap w:val="0"/>
                  <w:vAlign w:val="center"/>
                </w:tcPr>
                <w:p w14:paraId="4EBD172F">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1.026和1.028</w:t>
                  </w:r>
                </w:p>
              </w:tc>
              <w:tc>
                <w:tcPr>
                  <w:tcW w:w="1272" w:type="pct"/>
                  <w:tcBorders>
                    <w:top w:val="single" w:color="auto" w:sz="12" w:space="0"/>
                  </w:tcBorders>
                  <w:noWrap w:val="0"/>
                  <w:vAlign w:val="center"/>
                </w:tcPr>
                <w:p w14:paraId="326538CF">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熔点，℃</w:t>
                  </w:r>
                </w:p>
              </w:tc>
              <w:tc>
                <w:tcPr>
                  <w:tcW w:w="1269" w:type="pct"/>
                  <w:gridSpan w:val="2"/>
                  <w:tcBorders>
                    <w:top w:val="single" w:color="auto" w:sz="12" w:space="0"/>
                  </w:tcBorders>
                  <w:noWrap w:val="0"/>
                  <w:vAlign w:val="center"/>
                </w:tcPr>
                <w:p w14:paraId="346EAB04">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无固定熔点</w:t>
                  </w:r>
                </w:p>
              </w:tc>
            </w:tr>
            <w:tr w14:paraId="3D83318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77" w:hRule="atLeast"/>
              </w:trPr>
              <w:tc>
                <w:tcPr>
                  <w:tcW w:w="517" w:type="pct"/>
                  <w:vMerge w:val="continue"/>
                  <w:noWrap w:val="0"/>
                  <w:vAlign w:val="center"/>
                </w:tcPr>
                <w:p w14:paraId="5C3FCF4F">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textAlignment w:val="auto"/>
                    <w:rPr>
                      <w:rFonts w:hint="default" w:ascii="Times New Roman" w:hAnsi="Times New Roman" w:eastAsia="宋体" w:cs="Times New Roman"/>
                      <w:color w:val="auto"/>
                      <w:spacing w:val="0"/>
                      <w:w w:val="100"/>
                      <w:position w:val="0"/>
                      <w:sz w:val="21"/>
                      <w:szCs w:val="21"/>
                      <w:highlight w:val="none"/>
                    </w:rPr>
                  </w:pPr>
                </w:p>
              </w:tc>
              <w:tc>
                <w:tcPr>
                  <w:tcW w:w="963" w:type="pct"/>
                  <w:noWrap w:val="0"/>
                  <w:vAlign w:val="center"/>
                </w:tcPr>
                <w:p w14:paraId="26A778BA">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针入度（25℃，100个，5s）</w:t>
                  </w:r>
                </w:p>
              </w:tc>
              <w:tc>
                <w:tcPr>
                  <w:tcW w:w="976" w:type="pct"/>
                  <w:noWrap w:val="0"/>
                  <w:vAlign w:val="center"/>
                </w:tcPr>
                <w:p w14:paraId="61F6EDCE">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＜470</w:t>
                  </w:r>
                </w:p>
              </w:tc>
              <w:tc>
                <w:tcPr>
                  <w:tcW w:w="1272" w:type="pct"/>
                  <w:noWrap w:val="0"/>
                  <w:vAlign w:val="center"/>
                </w:tcPr>
                <w:p w14:paraId="75A6A467">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软化点，℃</w:t>
                  </w:r>
                </w:p>
              </w:tc>
              <w:tc>
                <w:tcPr>
                  <w:tcW w:w="1269" w:type="pct"/>
                  <w:gridSpan w:val="2"/>
                  <w:noWrap w:val="0"/>
                  <w:vAlign w:val="center"/>
                </w:tcPr>
                <w:p w14:paraId="55F3DCD1">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47.3℃和45.4℃</w:t>
                  </w:r>
                </w:p>
              </w:tc>
            </w:tr>
            <w:tr w14:paraId="547EDD1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17" w:type="pct"/>
                  <w:vMerge w:val="continue"/>
                  <w:noWrap w:val="0"/>
                  <w:vAlign w:val="center"/>
                </w:tcPr>
                <w:p w14:paraId="336AB546">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textAlignment w:val="auto"/>
                    <w:rPr>
                      <w:rFonts w:hint="default" w:ascii="Times New Roman" w:hAnsi="Times New Roman" w:eastAsia="宋体" w:cs="Times New Roman"/>
                      <w:color w:val="auto"/>
                      <w:spacing w:val="0"/>
                      <w:w w:val="100"/>
                      <w:position w:val="0"/>
                      <w:sz w:val="21"/>
                      <w:szCs w:val="21"/>
                      <w:highlight w:val="none"/>
                    </w:rPr>
                  </w:pPr>
                </w:p>
              </w:tc>
              <w:tc>
                <w:tcPr>
                  <w:tcW w:w="963" w:type="pct"/>
                  <w:noWrap w:val="0"/>
                  <w:vAlign w:val="center"/>
                </w:tcPr>
                <w:p w14:paraId="2A8522FA">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稳定性</w:t>
                  </w:r>
                </w:p>
              </w:tc>
              <w:tc>
                <w:tcPr>
                  <w:tcW w:w="976" w:type="pct"/>
                  <w:noWrap w:val="0"/>
                  <w:vAlign w:val="center"/>
                </w:tcPr>
                <w:p w14:paraId="120271DA">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稳定</w:t>
                  </w:r>
                </w:p>
              </w:tc>
              <w:tc>
                <w:tcPr>
                  <w:tcW w:w="1272" w:type="pct"/>
                  <w:noWrap w:val="0"/>
                  <w:vAlign w:val="center"/>
                </w:tcPr>
                <w:p w14:paraId="64090356">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外观性状</w:t>
                  </w:r>
                </w:p>
              </w:tc>
              <w:tc>
                <w:tcPr>
                  <w:tcW w:w="1269" w:type="pct"/>
                  <w:gridSpan w:val="2"/>
                  <w:noWrap w:val="0"/>
                  <w:vAlign w:val="center"/>
                </w:tcPr>
                <w:p w14:paraId="216D5029">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both"/>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黑色液体、半固体或固体</w:t>
                  </w:r>
                </w:p>
              </w:tc>
            </w:tr>
            <w:tr w14:paraId="6A9046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17" w:type="pct"/>
                  <w:vMerge w:val="restart"/>
                  <w:noWrap w:val="0"/>
                  <w:vAlign w:val="center"/>
                </w:tcPr>
                <w:p w14:paraId="08CC8AF8">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燃爆特性</w:t>
                  </w:r>
                </w:p>
              </w:tc>
              <w:tc>
                <w:tcPr>
                  <w:tcW w:w="963" w:type="pct"/>
                  <w:noWrap w:val="0"/>
                  <w:vAlign w:val="center"/>
                </w:tcPr>
                <w:p w14:paraId="1CE77F8F">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闪点，℃</w:t>
                  </w:r>
                </w:p>
              </w:tc>
              <w:tc>
                <w:tcPr>
                  <w:tcW w:w="976" w:type="pct"/>
                  <w:noWrap w:val="0"/>
                  <w:vAlign w:val="center"/>
                </w:tcPr>
                <w:p w14:paraId="233178AF">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326和354</w:t>
                  </w:r>
                </w:p>
              </w:tc>
              <w:tc>
                <w:tcPr>
                  <w:tcW w:w="1272" w:type="pct"/>
                  <w:noWrap w:val="0"/>
                  <w:vAlign w:val="center"/>
                </w:tcPr>
                <w:p w14:paraId="147AB1D5">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爆炸下限</w:t>
                  </w:r>
                </w:p>
              </w:tc>
              <w:tc>
                <w:tcPr>
                  <w:tcW w:w="1269" w:type="pct"/>
                  <w:gridSpan w:val="2"/>
                  <w:noWrap w:val="0"/>
                  <w:vAlign w:val="center"/>
                </w:tcPr>
                <w:p w14:paraId="222373BF">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30（g/m</w:t>
                  </w:r>
                  <w:r>
                    <w:rPr>
                      <w:rFonts w:hint="default" w:ascii="Times New Roman" w:hAnsi="Times New Roman" w:eastAsia="宋体" w:cs="Times New Roman"/>
                      <w:color w:val="auto"/>
                      <w:spacing w:val="0"/>
                      <w:w w:val="100"/>
                      <w:position w:val="0"/>
                      <w:sz w:val="21"/>
                      <w:szCs w:val="21"/>
                      <w:highlight w:val="none"/>
                      <w:vertAlign w:val="superscript"/>
                    </w:rPr>
                    <w:t>3</w:t>
                  </w:r>
                  <w:r>
                    <w:rPr>
                      <w:rFonts w:hint="default" w:ascii="Times New Roman" w:hAnsi="Times New Roman" w:eastAsia="宋体" w:cs="Times New Roman"/>
                      <w:color w:val="auto"/>
                      <w:spacing w:val="0"/>
                      <w:w w:val="100"/>
                      <w:position w:val="0"/>
                      <w:sz w:val="21"/>
                      <w:szCs w:val="21"/>
                      <w:highlight w:val="none"/>
                    </w:rPr>
                    <w:t>）</w:t>
                  </w:r>
                </w:p>
              </w:tc>
            </w:tr>
            <w:tr w14:paraId="07EA2E1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17" w:type="pct"/>
                  <w:vMerge w:val="continue"/>
                  <w:noWrap w:val="0"/>
                  <w:vAlign w:val="center"/>
                </w:tcPr>
                <w:p w14:paraId="1CE1AE42">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textAlignment w:val="auto"/>
                    <w:rPr>
                      <w:rFonts w:hint="default" w:ascii="Times New Roman" w:hAnsi="Times New Roman" w:eastAsia="宋体" w:cs="Times New Roman"/>
                      <w:color w:val="auto"/>
                      <w:spacing w:val="0"/>
                      <w:w w:val="100"/>
                      <w:position w:val="0"/>
                      <w:sz w:val="21"/>
                      <w:szCs w:val="21"/>
                      <w:highlight w:val="none"/>
                    </w:rPr>
                  </w:pPr>
                </w:p>
              </w:tc>
              <w:tc>
                <w:tcPr>
                  <w:tcW w:w="963" w:type="pct"/>
                  <w:noWrap w:val="0"/>
                  <w:vAlign w:val="center"/>
                </w:tcPr>
                <w:p w14:paraId="3537A7FC">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引燃温度，℃</w:t>
                  </w:r>
                </w:p>
              </w:tc>
              <w:tc>
                <w:tcPr>
                  <w:tcW w:w="976" w:type="pct"/>
                  <w:noWrap w:val="0"/>
                  <w:vAlign w:val="center"/>
                </w:tcPr>
                <w:p w14:paraId="10105CBC">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485</w:t>
                  </w:r>
                </w:p>
              </w:tc>
              <w:tc>
                <w:tcPr>
                  <w:tcW w:w="1272" w:type="pct"/>
                  <w:noWrap w:val="0"/>
                  <w:vAlign w:val="center"/>
                </w:tcPr>
                <w:p w14:paraId="0A87C7CC">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最大爆炸压力，MPα</w:t>
                  </w:r>
                </w:p>
              </w:tc>
              <w:tc>
                <w:tcPr>
                  <w:tcW w:w="1269" w:type="pct"/>
                  <w:gridSpan w:val="2"/>
                  <w:noWrap w:val="0"/>
                  <w:vAlign w:val="center"/>
                </w:tcPr>
                <w:p w14:paraId="7D2EEEDE">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lang w:val="en-US" w:eastAsia="zh-CN"/>
                    </w:rPr>
                  </w:pPr>
                  <w:r>
                    <w:rPr>
                      <w:rFonts w:hint="eastAsia" w:ascii="Times New Roman" w:hAnsi="Times New Roman" w:eastAsia="宋体" w:cs="Times New Roman"/>
                      <w:color w:val="auto"/>
                      <w:spacing w:val="0"/>
                      <w:w w:val="100"/>
                      <w:position w:val="0"/>
                      <w:sz w:val="21"/>
                      <w:szCs w:val="21"/>
                      <w:highlight w:val="none"/>
                      <w:lang w:val="en-US" w:eastAsia="zh-CN"/>
                    </w:rPr>
                    <w:t>本品不爆炸</w:t>
                  </w:r>
                </w:p>
              </w:tc>
            </w:tr>
            <w:tr w14:paraId="58C2E3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17" w:type="pct"/>
                  <w:vMerge w:val="restart"/>
                  <w:noWrap w:val="0"/>
                  <w:vAlign w:val="center"/>
                </w:tcPr>
                <w:p w14:paraId="1610FBC9">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危险特性</w:t>
                  </w:r>
                </w:p>
              </w:tc>
              <w:tc>
                <w:tcPr>
                  <w:tcW w:w="963" w:type="pct"/>
                  <w:noWrap w:val="0"/>
                  <w:vAlign w:val="center"/>
                </w:tcPr>
                <w:p w14:paraId="0C6EE5E4">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健康危害</w:t>
                  </w:r>
                </w:p>
              </w:tc>
              <w:tc>
                <w:tcPr>
                  <w:tcW w:w="3519" w:type="pct"/>
                  <w:gridSpan w:val="4"/>
                  <w:noWrap w:val="0"/>
                  <w:vAlign w:val="center"/>
                </w:tcPr>
                <w:p w14:paraId="79775040">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both"/>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沥青及其烟气对皮肤粘膜具有刺激性，有光毒作用和致肿瘤作用。我国三种主要沥青的毒性：煤焦沥青＞页岩沥青＞石油沥青，前二者有致癌性。沥青的主要皮肤损害有：光毒性皮炎，皮损限于面、颈部等暴露部分；黑变病，皮损常对称分布于暴露部位，呈片状，呈褐－深褐－褐黑色；职业性痤疮；疣状赘生物及事故引起的热烧伤。此外，尚有头昏、头胀，头痛、胸闷、乏力、恶心、食欲不振等全身症状和眼、鼻、咽部的</w:t>
                  </w:r>
                  <w:r>
                    <w:rPr>
                      <w:rFonts w:hint="eastAsia" w:ascii="Times New Roman" w:hAnsi="Times New Roman" w:cs="Times New Roman"/>
                      <w:color w:val="auto"/>
                      <w:spacing w:val="0"/>
                      <w:w w:val="100"/>
                      <w:position w:val="0"/>
                      <w:sz w:val="21"/>
                      <w:szCs w:val="21"/>
                      <w:highlight w:val="none"/>
                      <w:lang w:eastAsia="zh-CN"/>
                    </w:rPr>
                    <w:t>刺激征</w:t>
                  </w:r>
                  <w:r>
                    <w:rPr>
                      <w:rFonts w:hint="default" w:ascii="Times New Roman" w:hAnsi="Times New Roman" w:eastAsia="宋体" w:cs="Times New Roman"/>
                      <w:color w:val="auto"/>
                      <w:spacing w:val="0"/>
                      <w:w w:val="100"/>
                      <w:position w:val="0"/>
                      <w:sz w:val="21"/>
                      <w:szCs w:val="21"/>
                      <w:highlight w:val="none"/>
                    </w:rPr>
                    <w:t>状。</w:t>
                  </w:r>
                </w:p>
              </w:tc>
            </w:tr>
            <w:tr w14:paraId="65B417D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17" w:type="pct"/>
                  <w:vMerge w:val="continue"/>
                  <w:noWrap w:val="0"/>
                  <w:vAlign w:val="center"/>
                </w:tcPr>
                <w:p w14:paraId="486362B5">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textAlignment w:val="auto"/>
                    <w:rPr>
                      <w:rFonts w:hint="default" w:ascii="Times New Roman" w:hAnsi="Times New Roman" w:eastAsia="宋体" w:cs="Times New Roman"/>
                      <w:color w:val="auto"/>
                      <w:spacing w:val="0"/>
                      <w:w w:val="100"/>
                      <w:position w:val="0"/>
                      <w:sz w:val="21"/>
                      <w:szCs w:val="21"/>
                      <w:highlight w:val="none"/>
                    </w:rPr>
                  </w:pPr>
                </w:p>
              </w:tc>
              <w:tc>
                <w:tcPr>
                  <w:tcW w:w="963" w:type="pct"/>
                  <w:noWrap w:val="0"/>
                  <w:vAlign w:val="center"/>
                </w:tcPr>
                <w:p w14:paraId="4FED974B">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环境危害</w:t>
                  </w:r>
                </w:p>
              </w:tc>
              <w:tc>
                <w:tcPr>
                  <w:tcW w:w="3519" w:type="pct"/>
                  <w:gridSpan w:val="4"/>
                  <w:noWrap w:val="0"/>
                  <w:vAlign w:val="center"/>
                </w:tcPr>
                <w:p w14:paraId="3CE83C3A">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对环境有危害，对大气可造成污染</w:t>
                  </w:r>
                </w:p>
              </w:tc>
            </w:tr>
            <w:tr w14:paraId="7FB635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17" w:type="pct"/>
                  <w:vMerge w:val="continue"/>
                  <w:noWrap w:val="0"/>
                  <w:vAlign w:val="center"/>
                </w:tcPr>
                <w:p w14:paraId="1221A6D2">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textAlignment w:val="auto"/>
                    <w:rPr>
                      <w:rFonts w:hint="default" w:ascii="Times New Roman" w:hAnsi="Times New Roman" w:eastAsia="宋体" w:cs="Times New Roman"/>
                      <w:color w:val="auto"/>
                      <w:spacing w:val="0"/>
                      <w:w w:val="100"/>
                      <w:position w:val="0"/>
                      <w:sz w:val="21"/>
                      <w:szCs w:val="21"/>
                      <w:highlight w:val="none"/>
                    </w:rPr>
                  </w:pPr>
                </w:p>
              </w:tc>
              <w:tc>
                <w:tcPr>
                  <w:tcW w:w="963" w:type="pct"/>
                  <w:noWrap w:val="0"/>
                  <w:vAlign w:val="center"/>
                </w:tcPr>
                <w:p w14:paraId="06329EFF">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燃爆危害</w:t>
                  </w:r>
                </w:p>
              </w:tc>
              <w:tc>
                <w:tcPr>
                  <w:tcW w:w="3519" w:type="pct"/>
                  <w:gridSpan w:val="4"/>
                  <w:noWrap w:val="0"/>
                  <w:vAlign w:val="center"/>
                </w:tcPr>
                <w:p w14:paraId="64C97D76">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本品可燃，具刺激性</w:t>
                  </w:r>
                </w:p>
              </w:tc>
            </w:tr>
            <w:tr w14:paraId="6329DB5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17" w:type="pct"/>
                  <w:noWrap w:val="0"/>
                  <w:vAlign w:val="center"/>
                </w:tcPr>
                <w:p w14:paraId="2E80F244">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毒性</w:t>
                  </w:r>
                </w:p>
              </w:tc>
              <w:tc>
                <w:tcPr>
                  <w:tcW w:w="963" w:type="pct"/>
                  <w:noWrap w:val="0"/>
                  <w:vAlign w:val="center"/>
                </w:tcPr>
                <w:p w14:paraId="74D229CF">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both"/>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急性毒性LD50(mg/kg大鼠经口)</w:t>
                  </w:r>
                </w:p>
              </w:tc>
              <w:tc>
                <w:tcPr>
                  <w:tcW w:w="976" w:type="pct"/>
                  <w:noWrap w:val="0"/>
                  <w:vAlign w:val="center"/>
                </w:tcPr>
                <w:p w14:paraId="503597D5">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w:t>
                  </w:r>
                </w:p>
              </w:tc>
              <w:tc>
                <w:tcPr>
                  <w:tcW w:w="1367" w:type="pct"/>
                  <w:gridSpan w:val="2"/>
                  <w:noWrap w:val="0"/>
                  <w:vAlign w:val="center"/>
                </w:tcPr>
                <w:p w14:paraId="3E001B5B">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both"/>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LC50（mg/m</w:t>
                  </w:r>
                  <w:r>
                    <w:rPr>
                      <w:rFonts w:hint="default" w:ascii="Times New Roman" w:hAnsi="Times New Roman" w:eastAsia="宋体" w:cs="Times New Roman"/>
                      <w:color w:val="auto"/>
                      <w:spacing w:val="0"/>
                      <w:w w:val="100"/>
                      <w:position w:val="0"/>
                      <w:sz w:val="21"/>
                      <w:szCs w:val="21"/>
                      <w:highlight w:val="none"/>
                      <w:vertAlign w:val="superscript"/>
                    </w:rPr>
                    <w:t>3</w:t>
                  </w:r>
                  <w:r>
                    <w:rPr>
                      <w:rFonts w:hint="default" w:ascii="Times New Roman" w:hAnsi="Times New Roman" w:eastAsia="宋体" w:cs="Times New Roman"/>
                      <w:color w:val="auto"/>
                      <w:spacing w:val="0"/>
                      <w:w w:val="100"/>
                      <w:position w:val="0"/>
                      <w:sz w:val="21"/>
                      <w:szCs w:val="21"/>
                      <w:highlight w:val="none"/>
                    </w:rPr>
                    <w:t>，大鼠吸入）</w:t>
                  </w:r>
                </w:p>
              </w:tc>
              <w:tc>
                <w:tcPr>
                  <w:tcW w:w="1174" w:type="pct"/>
                  <w:noWrap w:val="0"/>
                  <w:vAlign w:val="center"/>
                </w:tcPr>
                <w:p w14:paraId="2C19CBD0">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w:t>
                  </w:r>
                </w:p>
              </w:tc>
            </w:tr>
            <w:tr w14:paraId="08C67D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17" w:type="pct"/>
                  <w:noWrap w:val="0"/>
                  <w:vAlign w:val="center"/>
                </w:tcPr>
                <w:p w14:paraId="5D6642FE">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eastAsia" w:ascii="Times New Roman" w:hAnsi="Times New Roman" w:cs="Times New Roman"/>
                      <w:color w:val="auto"/>
                      <w:spacing w:val="0"/>
                      <w:w w:val="100"/>
                      <w:position w:val="0"/>
                      <w:sz w:val="21"/>
                      <w:szCs w:val="21"/>
                      <w:highlight w:val="none"/>
                      <w:lang w:eastAsia="zh-CN"/>
                    </w:rPr>
                    <w:t>泄漏</w:t>
                  </w:r>
                  <w:r>
                    <w:rPr>
                      <w:rFonts w:hint="default" w:ascii="Times New Roman" w:hAnsi="Times New Roman" w:eastAsia="宋体" w:cs="Times New Roman"/>
                      <w:color w:val="auto"/>
                      <w:spacing w:val="0"/>
                      <w:w w:val="100"/>
                      <w:position w:val="0"/>
                      <w:sz w:val="21"/>
                      <w:szCs w:val="21"/>
                      <w:highlight w:val="none"/>
                    </w:rPr>
                    <w:t>处理</w:t>
                  </w:r>
                </w:p>
              </w:tc>
              <w:tc>
                <w:tcPr>
                  <w:tcW w:w="4482" w:type="pct"/>
                  <w:gridSpan w:val="5"/>
                  <w:noWrap w:val="0"/>
                  <w:vAlign w:val="center"/>
                </w:tcPr>
                <w:p w14:paraId="05FE468C">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both"/>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迅速撤离泄漏污染区人员至安全区，并进行隔离严格限制出入。切断火源。建议应急处理人员戴自给正压式呼吸器，穿防毒服。尽可能切断泄漏源。若是液体，防止流入下水道、排洪沟等限制性空间。小量泄漏：用大量水冲洗，洗水稀释后放入废水系统。大量泄漏：构筑围堤或挖坑收容。用泵转移至槽车或专用收集器内，回收或运至废物处理场所处置。若是固体，用洁净的铲子收集于干燥、洁净、有盖的容器中。若大量泄漏，收集回收或运至废物处理场所处置。</w:t>
                  </w:r>
                </w:p>
              </w:tc>
            </w:tr>
            <w:tr w14:paraId="578F9A7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17" w:type="pct"/>
                  <w:noWrap w:val="0"/>
                  <w:vAlign w:val="center"/>
                </w:tcPr>
                <w:p w14:paraId="3858A665">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储存运输注意事项</w:t>
                  </w:r>
                </w:p>
              </w:tc>
              <w:tc>
                <w:tcPr>
                  <w:tcW w:w="4482" w:type="pct"/>
                  <w:gridSpan w:val="5"/>
                  <w:noWrap w:val="0"/>
                  <w:vAlign w:val="center"/>
                </w:tcPr>
                <w:p w14:paraId="46A3F038">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both"/>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储存于阴凉、通风的库房。远离火种热源。应与氧化剂分开存放，切忌混储。配备相应品种和数量的消防器材。储区应备有泄漏应急处理设备和合适收容材料。运输前应先检查包装容器是否完整、密封，运输过程中要确保容器不泄漏、不倒塌、不坠落、不损坏。严禁与氧化剂、食用化学品等混装混运。运输车船必须彻底清洗、消毒，否则不得装运其它物品。船运时，配装位置应远离卧室、厨房，并与机舱、电源、火源等部位隔离。公路运输时要按规定路线行驶。</w:t>
                  </w:r>
                </w:p>
              </w:tc>
            </w:tr>
          </w:tbl>
          <w:p w14:paraId="7129E235">
            <w:pPr>
              <w:pStyle w:val="44"/>
              <w:pageBreakBefore w:val="0"/>
              <w:shd w:val="clear"/>
              <w:bidi w:val="0"/>
              <w:spacing w:beforeAutospacing="0" w:afterAutospacing="0"/>
              <w:ind w:left="0" w:leftChars="0" w:right="0" w:rightChars="0" w:firstLine="420"/>
              <w:rPr>
                <w:color w:val="auto"/>
                <w:spacing w:val="0"/>
                <w:w w:val="100"/>
                <w:position w:val="0"/>
                <w:sz w:val="24"/>
                <w:szCs w:val="32"/>
                <w:highlight w:val="none"/>
              </w:rPr>
            </w:pPr>
            <w:r>
              <w:rPr>
                <w:rFonts w:hint="eastAsia"/>
                <w:color w:val="auto"/>
                <w:spacing w:val="0"/>
                <w:w w:val="100"/>
                <w:position w:val="0"/>
                <w:sz w:val="24"/>
                <w:szCs w:val="32"/>
                <w:highlight w:val="none"/>
                <w:lang w:val="en-US" w:eastAsia="zh-CN"/>
              </w:rPr>
              <w:t>②导热油：</w:t>
            </w:r>
            <w:r>
              <w:rPr>
                <w:color w:val="auto"/>
                <w:spacing w:val="0"/>
                <w:w w:val="100"/>
                <w:position w:val="0"/>
                <w:sz w:val="24"/>
                <w:szCs w:val="32"/>
                <w:highlight w:val="none"/>
              </w:rPr>
              <w:t>导热油又称传热油，正规名称为热载体油，也称热导油，热媒油等。以精制矿物油为基础油，加导热油添加剂配制而成。导热油添加剂由多种耐高温抗氧剂、阻焦剂、清净分散剂、防锈剂等多功能添加剂调配而成。根据《石油化工行业标准（热传导液）》SH/T0677-1999，导热油硫含量≤0.2%，氯含量≤0.01%；导热油闭口闪点不得低于100℃，开口闪点不低于160℃，无毒。</w:t>
            </w:r>
          </w:p>
          <w:p w14:paraId="2A3DB319">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eastAsia="zh-CN"/>
              </w:rPr>
              <w:t>（</w:t>
            </w:r>
            <w:r>
              <w:rPr>
                <w:rFonts w:hint="eastAsia" w:ascii="Times New Roman" w:hAnsi="Times New Roman" w:eastAsia="宋体" w:cs="Times New Roman"/>
                <w:color w:val="auto"/>
                <w:kern w:val="0"/>
                <w:sz w:val="24"/>
                <w:highlight w:val="none"/>
                <w:lang w:val="en-US" w:eastAsia="zh-CN"/>
              </w:rPr>
              <w:t>2</w:t>
            </w:r>
            <w:r>
              <w:rPr>
                <w:rFonts w:hint="eastAsia" w:ascii="Times New Roman" w:hAnsi="Times New Roman" w:eastAsia="宋体" w:cs="Times New Roman"/>
                <w:color w:val="auto"/>
                <w:kern w:val="0"/>
                <w:sz w:val="24"/>
                <w:highlight w:val="none"/>
                <w:lang w:eastAsia="zh-CN"/>
              </w:rPr>
              <w:t>）</w:t>
            </w:r>
            <w:r>
              <w:rPr>
                <w:rFonts w:hint="eastAsia" w:ascii="Times New Roman" w:hAnsi="Times New Roman" w:eastAsia="宋体" w:cs="Times New Roman"/>
                <w:color w:val="auto"/>
                <w:kern w:val="0"/>
                <w:sz w:val="24"/>
                <w:highlight w:val="none"/>
                <w:lang w:val="en-US" w:eastAsia="zh-CN"/>
              </w:rPr>
              <w:t>生产设施危险性识别</w:t>
            </w:r>
          </w:p>
          <w:p w14:paraId="63106323">
            <w:pPr>
              <w:autoSpaceDE w:val="0"/>
              <w:autoSpaceDN w:val="0"/>
              <w:adjustRightInd w:val="0"/>
              <w:snapToGrid w:val="0"/>
              <w:spacing w:line="360" w:lineRule="auto"/>
              <w:ind w:firstLine="480" w:firstLineChars="200"/>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①沥青罐：沥青储罐事故泄漏主要指自然灾害造成的沥青泄漏对环境的影响所有的沥青全部进入环境，对水、土壤、生物造成毁灭性的污染。</w:t>
            </w:r>
          </w:p>
          <w:p w14:paraId="2BA4329A">
            <w:pPr>
              <w:autoSpaceDE w:val="0"/>
              <w:autoSpaceDN w:val="0"/>
              <w:adjustRightInd w:val="0"/>
              <w:snapToGrid w:val="0"/>
              <w:spacing w:line="360" w:lineRule="auto"/>
              <w:ind w:firstLine="480" w:firstLineChars="200"/>
              <w:rPr>
                <w:rFonts w:hint="eastAsia" w:ascii="Times New Roman" w:hAnsi="Times New Roman" w:eastAsia="宋体" w:cs="Times New Roman"/>
                <w:b w:val="0"/>
                <w:bCs w:val="0"/>
                <w:color w:val="auto"/>
                <w:sz w:val="24"/>
                <w:highlight w:val="none"/>
                <w:lang w:val="en-US" w:eastAsia="zh-CN"/>
              </w:rPr>
            </w:pPr>
            <w:r>
              <w:rPr>
                <w:rFonts w:hint="eastAsia" w:ascii="Times New Roman" w:hAnsi="Times New Roman" w:eastAsia="宋体" w:cs="Times New Roman"/>
                <w:color w:val="auto"/>
                <w:kern w:val="0"/>
                <w:sz w:val="24"/>
                <w:highlight w:val="none"/>
                <w:lang w:val="en-US" w:eastAsia="zh-CN"/>
              </w:rPr>
              <w:t>②危废间：</w:t>
            </w:r>
            <w:r>
              <w:rPr>
                <w:rFonts w:hint="eastAsia" w:ascii="Times New Roman" w:hAnsi="Times New Roman" w:eastAsia="宋体" w:cs="Times New Roman"/>
                <w:b w:val="0"/>
                <w:bCs w:val="0"/>
                <w:color w:val="auto"/>
                <w:sz w:val="24"/>
                <w:highlight w:val="none"/>
                <w:lang w:val="en-US" w:eastAsia="zh-CN"/>
              </w:rPr>
              <w:t>危废间中主要有废机油、沥青底泥、</w:t>
            </w:r>
            <w:r>
              <w:rPr>
                <w:rFonts w:hint="default" w:ascii="Times New Roman" w:hAnsi="Times New Roman" w:eastAsia="宋体" w:cs="Times New Roman"/>
                <w:b w:val="0"/>
                <w:bCs w:val="0"/>
                <w:color w:val="auto"/>
                <w:sz w:val="24"/>
                <w:highlight w:val="none"/>
                <w:lang w:val="en-US" w:eastAsia="zh-CN"/>
              </w:rPr>
              <w:t>废活性炭</w:t>
            </w:r>
            <w:r>
              <w:rPr>
                <w:rFonts w:hint="eastAsia" w:ascii="Times New Roman" w:hAnsi="Times New Roman" w:eastAsia="宋体" w:cs="Times New Roman"/>
                <w:b w:val="0"/>
                <w:bCs w:val="0"/>
                <w:color w:val="auto"/>
                <w:sz w:val="24"/>
                <w:highlight w:val="none"/>
                <w:lang w:val="en-US" w:eastAsia="zh-CN"/>
              </w:rPr>
              <w:t>、</w:t>
            </w:r>
            <w:r>
              <w:rPr>
                <w:rFonts w:hint="default" w:ascii="Times New Roman" w:hAnsi="Times New Roman" w:eastAsia="宋体" w:cs="Times New Roman"/>
                <w:b w:val="0"/>
                <w:bCs w:val="0"/>
                <w:color w:val="auto"/>
                <w:sz w:val="24"/>
                <w:highlight w:val="none"/>
                <w:lang w:val="en-US" w:eastAsia="zh-CN"/>
              </w:rPr>
              <w:t>电捕集的沥青废油</w:t>
            </w:r>
            <w:r>
              <w:rPr>
                <w:rFonts w:hint="eastAsia"/>
                <w:highlight w:val="none"/>
                <w:lang w:eastAsia="zh-CN"/>
              </w:rPr>
              <w:t>。</w:t>
            </w:r>
            <w:r>
              <w:rPr>
                <w:rFonts w:hint="eastAsia" w:ascii="Times New Roman" w:hAnsi="Times New Roman" w:eastAsia="宋体" w:cs="Times New Roman"/>
                <w:b w:val="0"/>
                <w:bCs w:val="0"/>
                <w:color w:val="auto"/>
                <w:sz w:val="24"/>
                <w:highlight w:val="none"/>
                <w:lang w:val="en-US" w:eastAsia="zh-CN"/>
              </w:rPr>
              <w:t>在储存、运输、加注过程中，发生泄漏、洒落等情况，可能会渗入地下污染地下水和土壤。</w:t>
            </w:r>
          </w:p>
          <w:p w14:paraId="5299043E">
            <w:pPr>
              <w:autoSpaceDE w:val="0"/>
              <w:autoSpaceDN w:val="0"/>
              <w:adjustRightInd w:val="0"/>
              <w:snapToGrid w:val="0"/>
              <w:spacing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eastAsia" w:ascii="Times New Roman" w:hAnsi="Times New Roman" w:eastAsia="宋体" w:cs="Times New Roman"/>
                <w:b w:val="0"/>
                <w:bCs w:val="0"/>
                <w:color w:val="auto"/>
                <w:sz w:val="24"/>
                <w:highlight w:val="none"/>
                <w:lang w:val="en-US" w:eastAsia="zh-CN"/>
              </w:rPr>
              <w:t>③沉淀池：沉淀池底部或墙壁损坏、雨水天气导致沉淀池外溢会导致沉淀池中的水污染周边土壤。</w:t>
            </w:r>
          </w:p>
          <w:p w14:paraId="23D8E508">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textAlignment w:val="auto"/>
              <w:rPr>
                <w:rFonts w:hint="default" w:cs="Times New Roman"/>
                <w:b/>
                <w:bCs/>
                <w:color w:val="auto"/>
                <w:kern w:val="2"/>
                <w:sz w:val="24"/>
                <w:szCs w:val="24"/>
                <w:highlight w:val="none"/>
                <w:lang w:val="en-US" w:eastAsia="zh-CN" w:bidi="ar-SA"/>
              </w:rPr>
            </w:pPr>
            <w:r>
              <w:rPr>
                <w:rFonts w:hint="eastAsia" w:cs="Times New Roman"/>
                <w:b/>
                <w:bCs/>
                <w:color w:val="auto"/>
                <w:kern w:val="2"/>
                <w:sz w:val="24"/>
                <w:szCs w:val="24"/>
                <w:highlight w:val="none"/>
                <w:lang w:val="en-US" w:eastAsia="zh-CN" w:bidi="ar-SA"/>
              </w:rPr>
              <w:t>7.4环境风险分析</w:t>
            </w:r>
          </w:p>
          <w:p w14:paraId="5FE36E36">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（1）危废间</w:t>
            </w:r>
            <w:r>
              <w:rPr>
                <w:rFonts w:hint="eastAsia" w:cs="Times New Roman"/>
                <w:b w:val="0"/>
                <w:bCs w:val="0"/>
                <w:color w:val="auto"/>
                <w:kern w:val="2"/>
                <w:sz w:val="24"/>
                <w:szCs w:val="24"/>
                <w:highlight w:val="none"/>
                <w:lang w:val="en-US" w:eastAsia="zh-CN" w:bidi="ar-SA"/>
              </w:rPr>
              <w:t>泄漏</w:t>
            </w:r>
            <w:r>
              <w:rPr>
                <w:rFonts w:hint="eastAsia" w:ascii="Times New Roman" w:hAnsi="Times New Roman" w:eastAsia="宋体" w:cs="Times New Roman"/>
                <w:b w:val="0"/>
                <w:bCs w:val="0"/>
                <w:color w:val="auto"/>
                <w:kern w:val="2"/>
                <w:sz w:val="24"/>
                <w:szCs w:val="24"/>
                <w:highlight w:val="none"/>
                <w:lang w:val="en-US" w:eastAsia="zh-CN" w:bidi="ar-SA"/>
              </w:rPr>
              <w:t>风险分析</w:t>
            </w:r>
          </w:p>
          <w:p w14:paraId="79DD31B9">
            <w:pPr>
              <w:spacing w:line="360" w:lineRule="auto"/>
              <w:ind w:firstLine="480"/>
              <w:rPr>
                <w:rFonts w:hint="eastAsia" w:ascii="Times New Roman" w:hAnsi="Times New Roman" w:eastAsia="宋体" w:cs="Times New Roman"/>
                <w:b w:val="0"/>
                <w:bCs w:val="0"/>
                <w:color w:val="auto"/>
                <w:sz w:val="24"/>
                <w:highlight w:val="none"/>
                <w:lang w:val="en-US" w:eastAsia="zh-CN"/>
              </w:rPr>
            </w:pPr>
            <w:r>
              <w:rPr>
                <w:rFonts w:hint="eastAsia" w:ascii="Times New Roman" w:hAnsi="Times New Roman" w:eastAsia="宋体" w:cs="Times New Roman"/>
                <w:b w:val="0"/>
                <w:bCs w:val="0"/>
                <w:color w:val="auto"/>
                <w:sz w:val="24"/>
                <w:highlight w:val="none"/>
                <w:lang w:val="en-US" w:eastAsia="zh-CN"/>
              </w:rPr>
              <w:t>危废间中主要有废机油、沥青底泥、</w:t>
            </w:r>
            <w:r>
              <w:rPr>
                <w:rFonts w:hint="default" w:ascii="Times New Roman" w:hAnsi="Times New Roman" w:eastAsia="宋体" w:cs="Times New Roman"/>
                <w:b w:val="0"/>
                <w:bCs w:val="0"/>
                <w:color w:val="auto"/>
                <w:sz w:val="24"/>
                <w:highlight w:val="none"/>
                <w:lang w:val="en-US" w:eastAsia="zh-CN"/>
              </w:rPr>
              <w:t>废活性炭</w:t>
            </w:r>
            <w:r>
              <w:rPr>
                <w:rFonts w:hint="eastAsia" w:ascii="Times New Roman" w:hAnsi="Times New Roman" w:eastAsia="宋体" w:cs="Times New Roman"/>
                <w:b w:val="0"/>
                <w:bCs w:val="0"/>
                <w:color w:val="auto"/>
                <w:sz w:val="24"/>
                <w:highlight w:val="none"/>
                <w:lang w:val="en-US" w:eastAsia="zh-CN"/>
              </w:rPr>
              <w:t>、</w:t>
            </w:r>
            <w:r>
              <w:rPr>
                <w:rFonts w:hint="default" w:ascii="Times New Roman" w:hAnsi="Times New Roman" w:eastAsia="宋体" w:cs="Times New Roman"/>
                <w:b w:val="0"/>
                <w:bCs w:val="0"/>
                <w:color w:val="auto"/>
                <w:sz w:val="24"/>
                <w:highlight w:val="none"/>
                <w:lang w:val="en-US" w:eastAsia="zh-CN"/>
              </w:rPr>
              <w:t>电捕集的沥青废油</w:t>
            </w:r>
            <w:r>
              <w:rPr>
                <w:rFonts w:hint="eastAsia" w:cs="Times New Roman"/>
                <w:b w:val="0"/>
                <w:bCs w:val="0"/>
                <w:color w:val="auto"/>
                <w:sz w:val="24"/>
                <w:highlight w:val="none"/>
                <w:lang w:val="en-US" w:eastAsia="zh-CN"/>
              </w:rPr>
              <w:t>、沥青沾染物</w:t>
            </w:r>
            <w:r>
              <w:rPr>
                <w:rFonts w:hint="eastAsia"/>
                <w:color w:val="auto"/>
                <w:highlight w:val="none"/>
                <w:lang w:eastAsia="zh-CN"/>
              </w:rPr>
              <w:t>。</w:t>
            </w:r>
            <w:r>
              <w:rPr>
                <w:rFonts w:hint="eastAsia" w:ascii="Times New Roman" w:hAnsi="Times New Roman" w:eastAsia="宋体" w:cs="Times New Roman"/>
                <w:b w:val="0"/>
                <w:bCs w:val="0"/>
                <w:color w:val="auto"/>
                <w:sz w:val="24"/>
                <w:highlight w:val="none"/>
                <w:lang w:val="en-US" w:eastAsia="zh-CN"/>
              </w:rPr>
              <w:t>在储存、运输、加注过程中，发生泄漏、洒落等情况，可能会渗入地下污染地下水和土壤。另外，废机油中含有易挥发的有机物，如果泄漏（洒落）量比较大，则会造成空气污染。</w:t>
            </w:r>
            <w:r>
              <w:rPr>
                <w:rFonts w:hint="eastAsia" w:cs="Times New Roman"/>
                <w:color w:val="auto"/>
                <w:kern w:val="2"/>
                <w:sz w:val="24"/>
                <w:szCs w:val="24"/>
                <w:highlight w:val="none"/>
              </w:rPr>
              <w:t>若未及时处置或在种种外力作用下发生火灾，会造成次生、伴生的环境污染。</w:t>
            </w:r>
          </w:p>
          <w:p w14:paraId="183FA5A3">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（2）沉淀池</w:t>
            </w:r>
            <w:r>
              <w:rPr>
                <w:rFonts w:hint="eastAsia" w:cs="Times New Roman"/>
                <w:b w:val="0"/>
                <w:bCs w:val="0"/>
                <w:color w:val="auto"/>
                <w:kern w:val="2"/>
                <w:sz w:val="24"/>
                <w:szCs w:val="24"/>
                <w:highlight w:val="none"/>
                <w:lang w:val="en-US" w:eastAsia="zh-CN" w:bidi="ar-SA"/>
              </w:rPr>
              <w:t>泄漏</w:t>
            </w:r>
            <w:r>
              <w:rPr>
                <w:rFonts w:hint="eastAsia" w:ascii="Times New Roman" w:hAnsi="Times New Roman" w:eastAsia="宋体" w:cs="Times New Roman"/>
                <w:b w:val="0"/>
                <w:bCs w:val="0"/>
                <w:color w:val="auto"/>
                <w:kern w:val="2"/>
                <w:sz w:val="24"/>
                <w:szCs w:val="24"/>
                <w:highlight w:val="none"/>
                <w:lang w:val="en-US" w:eastAsia="zh-CN" w:bidi="ar-SA"/>
              </w:rPr>
              <w:t>风险分析</w:t>
            </w:r>
          </w:p>
          <w:p w14:paraId="34912764">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Segoe UI" w:hAnsi="Segoe UI" w:eastAsia="宋体" w:cs="Segoe UI"/>
                <w:i w:val="0"/>
                <w:iCs w:val="0"/>
                <w:caps w:val="0"/>
                <w:color w:val="auto"/>
                <w:spacing w:val="0"/>
                <w:sz w:val="24"/>
                <w:szCs w:val="24"/>
                <w:highlight w:val="none"/>
                <w:shd w:val="clear" w:fill="FFFFFF"/>
                <w:lang w:eastAsia="zh-CN"/>
              </w:rPr>
            </w:pPr>
            <w:r>
              <w:rPr>
                <w:rFonts w:hint="eastAsia" w:ascii="Times New Roman" w:hAnsi="Times New Roman" w:eastAsia="宋体" w:cs="Times New Roman"/>
                <w:b w:val="0"/>
                <w:bCs w:val="0"/>
                <w:color w:val="auto"/>
                <w:kern w:val="2"/>
                <w:sz w:val="24"/>
                <w:szCs w:val="24"/>
                <w:highlight w:val="none"/>
                <w:lang w:val="en-US" w:eastAsia="zh-CN" w:bidi="ar-SA"/>
              </w:rPr>
              <w:t>清洗设备及车辆废水在沉淀池中可能会发生底部泄漏</w:t>
            </w:r>
            <w:r>
              <w:rPr>
                <w:rFonts w:hint="eastAsia" w:cs="Times New Roman"/>
                <w:b w:val="0"/>
                <w:bCs w:val="0"/>
                <w:color w:val="auto"/>
                <w:kern w:val="2"/>
                <w:sz w:val="24"/>
                <w:szCs w:val="24"/>
                <w:highlight w:val="none"/>
                <w:lang w:val="en-US" w:eastAsia="zh-CN" w:bidi="ar-SA"/>
              </w:rPr>
              <w:t>，或者</w:t>
            </w:r>
            <w:r>
              <w:rPr>
                <w:rFonts w:hint="eastAsia" w:ascii="Times New Roman" w:hAnsi="Times New Roman" w:eastAsia="宋体" w:cs="Times New Roman"/>
                <w:b w:val="0"/>
                <w:bCs w:val="0"/>
                <w:color w:val="auto"/>
                <w:kern w:val="2"/>
                <w:sz w:val="24"/>
                <w:szCs w:val="24"/>
                <w:highlight w:val="none"/>
                <w:lang w:val="en-US" w:eastAsia="zh-CN" w:bidi="ar-SA"/>
              </w:rPr>
              <w:t>雨水天气导致沉淀池外溢。如果泄漏或外溢的量比较大，则会对周边土壤产生污染。</w:t>
            </w:r>
          </w:p>
          <w:p w14:paraId="0B13F6B3">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（3）沥青着火、爆炸事故风险分析</w:t>
            </w:r>
          </w:p>
          <w:p w14:paraId="67F96DA7">
            <w:pPr>
              <w:spacing w:line="360" w:lineRule="auto"/>
              <w:ind w:firstLine="480"/>
              <w:rPr>
                <w:rFonts w:cs="Times New Roman"/>
                <w:color w:val="auto"/>
                <w:kern w:val="2"/>
                <w:sz w:val="24"/>
                <w:szCs w:val="24"/>
                <w:highlight w:val="none"/>
              </w:rPr>
            </w:pPr>
            <w:r>
              <w:rPr>
                <w:rFonts w:hint="eastAsia" w:cs="Times New Roman"/>
                <w:color w:val="auto"/>
                <w:kern w:val="2"/>
                <w:sz w:val="24"/>
                <w:szCs w:val="24"/>
                <w:highlight w:val="none"/>
              </w:rPr>
              <w:t>本项目涉及的废机油在储存过程中存在的环境风险为火灾问题。诱发火灾的因素主要有：违章吸烟、动火；</w:t>
            </w:r>
            <w:r>
              <w:rPr>
                <w:rFonts w:hint="eastAsia" w:cs="Times New Roman"/>
                <w:color w:val="auto"/>
                <w:kern w:val="2"/>
                <w:sz w:val="24"/>
                <w:szCs w:val="24"/>
                <w:highlight w:val="none"/>
                <w:lang w:val="en-US" w:eastAsia="zh-CN"/>
              </w:rPr>
              <w:t>沥青储罐泄漏</w:t>
            </w:r>
            <w:r>
              <w:rPr>
                <w:rFonts w:hint="eastAsia" w:cs="Times New Roman"/>
                <w:color w:val="auto"/>
                <w:kern w:val="2"/>
                <w:sz w:val="24"/>
                <w:szCs w:val="24"/>
                <w:highlight w:val="none"/>
              </w:rPr>
              <w:t>，未采取有效防护措施以及原料泄漏、危废间废机油</w:t>
            </w:r>
            <w:r>
              <w:rPr>
                <w:rFonts w:hint="eastAsia" w:cs="Times New Roman"/>
                <w:color w:val="auto"/>
                <w:kern w:val="2"/>
                <w:sz w:val="24"/>
                <w:szCs w:val="24"/>
                <w:highlight w:val="none"/>
                <w:lang w:val="en-US" w:eastAsia="zh-CN"/>
              </w:rPr>
              <w:t>等油类物质</w:t>
            </w:r>
            <w:r>
              <w:rPr>
                <w:rFonts w:hint="eastAsia" w:cs="Times New Roman"/>
                <w:color w:val="auto"/>
                <w:kern w:val="2"/>
                <w:sz w:val="24"/>
                <w:szCs w:val="24"/>
                <w:highlight w:val="none"/>
              </w:rPr>
              <w:t>泄漏、遇明火发生火灾。</w:t>
            </w:r>
          </w:p>
          <w:p w14:paraId="5BAB1210">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（4）沥青罐事故风险分析</w:t>
            </w:r>
          </w:p>
          <w:p w14:paraId="1DEA3A48">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沥青储罐事故泄漏主要指自然灾害造成的沥青泄漏对环境的影响，如地震、洪水、滑坡等非人为因素。这种由于自然因素引起的环境污染造成的后果较难估量，最坏的设想是所有的沥青全部进入环境，对水、土壤、生物造成毁灭性的污染。这种污染一般是范围较广、面积较大、后果较为严重，达到自然环境的完全恢复</w:t>
            </w:r>
            <w:r>
              <w:rPr>
                <w:rFonts w:hint="eastAsia" w:cs="Times New Roman"/>
                <w:b w:val="0"/>
                <w:bCs w:val="0"/>
                <w:color w:val="auto"/>
                <w:kern w:val="2"/>
                <w:sz w:val="24"/>
                <w:szCs w:val="24"/>
                <w:highlight w:val="none"/>
                <w:lang w:val="en-US" w:eastAsia="zh-CN" w:bidi="ar-SA"/>
              </w:rPr>
              <w:t>需要</w:t>
            </w:r>
            <w:r>
              <w:rPr>
                <w:rFonts w:hint="eastAsia" w:ascii="Times New Roman" w:hAnsi="Times New Roman" w:eastAsia="宋体" w:cs="Times New Roman"/>
                <w:b w:val="0"/>
                <w:bCs w:val="0"/>
                <w:color w:val="auto"/>
                <w:kern w:val="2"/>
                <w:sz w:val="24"/>
                <w:szCs w:val="24"/>
                <w:highlight w:val="none"/>
                <w:lang w:val="en-US" w:eastAsia="zh-CN" w:bidi="ar-SA"/>
              </w:rPr>
              <w:t>相当长的时间。</w:t>
            </w:r>
          </w:p>
          <w:p w14:paraId="051EB429">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lang w:val="en-US" w:eastAsia="zh-CN" w:bidi="ar-SA"/>
              </w:rPr>
              <w:t>（5）</w:t>
            </w:r>
            <w:r>
              <w:rPr>
                <w:rFonts w:hint="eastAsia" w:ascii="Times New Roman" w:hAnsi="Times New Roman" w:eastAsia="宋体" w:cs="Times New Roman"/>
                <w:b w:val="0"/>
                <w:bCs w:val="0"/>
                <w:color w:val="auto"/>
                <w:kern w:val="2"/>
                <w:sz w:val="24"/>
                <w:szCs w:val="24"/>
                <w:highlight w:val="none"/>
                <w:lang w:val="en-US" w:eastAsia="zh-CN" w:bidi="ar-SA"/>
              </w:rPr>
              <w:t>废气环保设施故障的风险</w:t>
            </w:r>
          </w:p>
          <w:p w14:paraId="11156A02">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本项目搅拌、浸涂工序产生的废气和覆膜工序产生的废气共用一套处理设施（水喷淋+电捕焦油器+活性炭吸附）处理后达标排放；若定期没有更换活性炭或布袋导致废气未经处理直接排放或超标排放，将对周边的环境空气造成影响，甚至对土壤环境造成影响。</w:t>
            </w:r>
          </w:p>
          <w:p w14:paraId="46D7BFDE">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textAlignment w:val="auto"/>
              <w:rPr>
                <w:rFonts w:hint="default" w:cs="Times New Roman"/>
                <w:b/>
                <w:bCs/>
                <w:color w:val="auto"/>
                <w:kern w:val="2"/>
                <w:sz w:val="24"/>
                <w:szCs w:val="24"/>
                <w:highlight w:val="none"/>
                <w:lang w:val="en-US" w:eastAsia="zh-CN" w:bidi="ar-SA"/>
              </w:rPr>
            </w:pPr>
            <w:r>
              <w:rPr>
                <w:rFonts w:hint="eastAsia" w:cs="Times New Roman"/>
                <w:b/>
                <w:bCs/>
                <w:color w:val="auto"/>
                <w:kern w:val="2"/>
                <w:sz w:val="24"/>
                <w:szCs w:val="24"/>
                <w:highlight w:val="none"/>
                <w:lang w:val="en-US" w:eastAsia="zh-CN" w:bidi="ar-SA"/>
              </w:rPr>
              <w:t>7.5环境风险防范措施及应急要求</w:t>
            </w:r>
          </w:p>
          <w:p w14:paraId="23990A31">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（1）危废间</w:t>
            </w:r>
            <w:r>
              <w:rPr>
                <w:rFonts w:hint="eastAsia" w:cs="Times New Roman"/>
                <w:b w:val="0"/>
                <w:bCs w:val="0"/>
                <w:color w:val="auto"/>
                <w:kern w:val="2"/>
                <w:sz w:val="24"/>
                <w:szCs w:val="24"/>
                <w:highlight w:val="none"/>
                <w:lang w:val="en-US" w:eastAsia="zh-CN" w:bidi="ar-SA"/>
              </w:rPr>
              <w:t>泄漏</w:t>
            </w:r>
            <w:r>
              <w:rPr>
                <w:rFonts w:hint="eastAsia" w:ascii="Times New Roman" w:hAnsi="Times New Roman" w:eastAsia="宋体" w:cs="Times New Roman"/>
                <w:b w:val="0"/>
                <w:bCs w:val="0"/>
                <w:color w:val="auto"/>
                <w:kern w:val="2"/>
                <w:sz w:val="24"/>
                <w:szCs w:val="24"/>
                <w:highlight w:val="none"/>
                <w:lang w:val="en-US" w:eastAsia="zh-CN" w:bidi="ar-SA"/>
              </w:rPr>
              <w:t>防范措施</w:t>
            </w:r>
          </w:p>
          <w:p w14:paraId="520E8C01">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80" w:firstLineChars="200"/>
              <w:textAlignment w:val="auto"/>
              <w:rPr>
                <w:rFonts w:hint="eastAsia" w:ascii="Times New Roman" w:hAnsi="Times New Roman" w:eastAsia="宋体" w:cs="Times New Roman"/>
                <w:b w:val="0"/>
                <w:bCs w:val="0"/>
                <w:color w:val="auto"/>
                <w:sz w:val="24"/>
                <w:highlight w:val="none"/>
                <w:lang w:val="en-US" w:eastAsia="zh-CN"/>
              </w:rPr>
            </w:pPr>
            <w:r>
              <w:rPr>
                <w:rFonts w:hint="eastAsia" w:ascii="Times New Roman" w:hAnsi="Times New Roman" w:eastAsia="宋体" w:cs="Times New Roman"/>
                <w:b w:val="0"/>
                <w:bCs w:val="0"/>
                <w:color w:val="auto"/>
                <w:sz w:val="24"/>
                <w:highlight w:val="none"/>
                <w:lang w:val="en-US" w:eastAsia="zh-CN"/>
              </w:rPr>
              <w:t>当废机油迅速撤离泄漏污染区人员至安全区，并进行隔离，严格限制出入。切断火源。建议应急处理人员戴自给正压式呼吸器，穿防毒服。尽可能切断泄漏源。防止流入下水道、排洪沟等限制性空间。小量泄漏：用砂土或</w:t>
            </w:r>
            <w:r>
              <w:rPr>
                <w:rFonts w:hint="eastAsia" w:cs="Times New Roman"/>
                <w:b w:val="0"/>
                <w:bCs w:val="0"/>
                <w:color w:val="auto"/>
                <w:sz w:val="24"/>
                <w:highlight w:val="none"/>
                <w:lang w:val="en-US" w:eastAsia="zh-CN"/>
              </w:rPr>
              <w:t>其他不</w:t>
            </w:r>
            <w:r>
              <w:rPr>
                <w:rFonts w:hint="eastAsia" w:ascii="Times New Roman" w:hAnsi="Times New Roman" w:eastAsia="宋体" w:cs="Times New Roman"/>
                <w:b w:val="0"/>
                <w:bCs w:val="0"/>
                <w:color w:val="auto"/>
                <w:sz w:val="24"/>
                <w:highlight w:val="none"/>
                <w:lang w:val="en-US" w:eastAsia="zh-CN"/>
              </w:rPr>
              <w:t>燃材料吸附或吸收。大量泄漏：构筑围堤或挖坑收容。用泵转移至槽车或专用收集器内，交由有资质的单位处置。为了防范事故和减少危害，需根据企业实际情况制定消除和</w:t>
            </w:r>
            <w:r>
              <w:rPr>
                <w:rFonts w:hint="eastAsia" w:cs="Times New Roman"/>
                <w:b w:val="0"/>
                <w:bCs w:val="0"/>
                <w:color w:val="auto"/>
                <w:sz w:val="24"/>
                <w:highlight w:val="none"/>
                <w:lang w:val="en-US" w:eastAsia="zh-CN"/>
              </w:rPr>
              <w:t>减少</w:t>
            </w:r>
            <w:r>
              <w:rPr>
                <w:rFonts w:hint="eastAsia" w:ascii="Times New Roman" w:hAnsi="Times New Roman" w:eastAsia="宋体" w:cs="Times New Roman"/>
                <w:b w:val="0"/>
                <w:bCs w:val="0"/>
                <w:color w:val="auto"/>
                <w:sz w:val="24"/>
                <w:highlight w:val="none"/>
                <w:lang w:val="en-US" w:eastAsia="zh-CN"/>
              </w:rPr>
              <w:t>灾害事故影响的应急预案。当出现事故时，采取紧急的工程应急措施，以控制事故规模和减少事故对环境造成的危害。</w:t>
            </w:r>
          </w:p>
          <w:p w14:paraId="61AA3FD0">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（2）沉淀池</w:t>
            </w:r>
            <w:r>
              <w:rPr>
                <w:rFonts w:hint="eastAsia" w:cs="Times New Roman"/>
                <w:b w:val="0"/>
                <w:bCs w:val="0"/>
                <w:color w:val="auto"/>
                <w:kern w:val="2"/>
                <w:sz w:val="24"/>
                <w:szCs w:val="24"/>
                <w:highlight w:val="none"/>
                <w:lang w:val="en-US" w:eastAsia="zh-CN" w:bidi="ar-SA"/>
              </w:rPr>
              <w:t>泄漏</w:t>
            </w:r>
            <w:r>
              <w:rPr>
                <w:rFonts w:hint="eastAsia" w:ascii="Times New Roman" w:hAnsi="Times New Roman" w:eastAsia="宋体" w:cs="Times New Roman"/>
                <w:b w:val="0"/>
                <w:bCs w:val="0"/>
                <w:color w:val="auto"/>
                <w:kern w:val="2"/>
                <w:sz w:val="24"/>
                <w:szCs w:val="24"/>
                <w:highlight w:val="none"/>
                <w:lang w:val="en-US" w:eastAsia="zh-CN" w:bidi="ar-SA"/>
              </w:rPr>
              <w:t>防范措施</w:t>
            </w:r>
          </w:p>
          <w:p w14:paraId="6D7554A3">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Segoe UI" w:hAnsi="Segoe UI" w:eastAsia="宋体" w:cs="Segoe UI"/>
                <w:i w:val="0"/>
                <w:iCs w:val="0"/>
                <w:caps w:val="0"/>
                <w:color w:val="auto"/>
                <w:spacing w:val="0"/>
                <w:sz w:val="24"/>
                <w:szCs w:val="24"/>
                <w:highlight w:val="none"/>
                <w:shd w:val="clear" w:fill="FFFFFF"/>
                <w:lang w:eastAsia="zh-CN"/>
              </w:rPr>
            </w:pPr>
            <w:r>
              <w:rPr>
                <w:rFonts w:hint="eastAsia" w:ascii="Times New Roman" w:hAnsi="Times New Roman" w:eastAsia="宋体" w:cs="Times New Roman"/>
                <w:b w:val="0"/>
                <w:bCs w:val="0"/>
                <w:color w:val="auto"/>
                <w:kern w:val="2"/>
                <w:sz w:val="24"/>
                <w:szCs w:val="24"/>
                <w:highlight w:val="none"/>
                <w:lang w:val="en-US" w:eastAsia="zh-CN" w:bidi="ar-SA"/>
              </w:rPr>
              <w:t>当底部</w:t>
            </w:r>
            <w:r>
              <w:rPr>
                <w:rFonts w:hint="eastAsia" w:cs="Times New Roman"/>
                <w:b w:val="0"/>
                <w:bCs w:val="0"/>
                <w:color w:val="auto"/>
                <w:kern w:val="2"/>
                <w:sz w:val="24"/>
                <w:szCs w:val="24"/>
                <w:highlight w:val="none"/>
                <w:lang w:val="en-US" w:eastAsia="zh-CN" w:bidi="ar-SA"/>
              </w:rPr>
              <w:t>泄漏</w:t>
            </w:r>
            <w:r>
              <w:rPr>
                <w:rFonts w:hint="eastAsia" w:ascii="Times New Roman" w:hAnsi="Times New Roman" w:eastAsia="宋体" w:cs="Times New Roman"/>
                <w:b w:val="0"/>
                <w:bCs w:val="0"/>
                <w:color w:val="auto"/>
                <w:kern w:val="2"/>
                <w:sz w:val="24"/>
                <w:szCs w:val="24"/>
                <w:highlight w:val="none"/>
                <w:lang w:val="en-US" w:eastAsia="zh-CN" w:bidi="ar-SA"/>
              </w:rPr>
              <w:t>时，立即排入备用沉淀池，并</w:t>
            </w:r>
            <w:r>
              <w:rPr>
                <w:rFonts w:ascii="Segoe UI" w:hAnsi="Segoe UI" w:eastAsia="Segoe UI" w:cs="Segoe UI"/>
                <w:i w:val="0"/>
                <w:iCs w:val="0"/>
                <w:caps w:val="0"/>
                <w:color w:val="auto"/>
                <w:spacing w:val="0"/>
                <w:sz w:val="24"/>
                <w:szCs w:val="24"/>
                <w:highlight w:val="none"/>
                <w:shd w:val="clear" w:fill="FFFFFF"/>
              </w:rPr>
              <w:t>使用环氧树脂、防水涂料</w:t>
            </w:r>
            <w:r>
              <w:rPr>
                <w:rFonts w:hint="eastAsia" w:ascii="Times New Roman" w:hAnsi="Times New Roman" w:eastAsia="宋体" w:cs="Times New Roman"/>
                <w:b w:val="0"/>
                <w:bCs w:val="0"/>
                <w:color w:val="auto"/>
                <w:kern w:val="2"/>
                <w:sz w:val="24"/>
                <w:szCs w:val="24"/>
                <w:highlight w:val="none"/>
                <w:lang w:val="en-US" w:eastAsia="zh-CN" w:bidi="ar-SA"/>
              </w:rPr>
              <w:t>维修沉淀池底部，做好防渗措施。若</w:t>
            </w:r>
            <w:r>
              <w:rPr>
                <w:rFonts w:hint="eastAsia" w:cs="Times New Roman"/>
                <w:b w:val="0"/>
                <w:bCs w:val="0"/>
                <w:color w:val="auto"/>
                <w:kern w:val="2"/>
                <w:sz w:val="24"/>
                <w:szCs w:val="24"/>
                <w:highlight w:val="none"/>
                <w:lang w:val="en-US" w:eastAsia="zh-CN" w:bidi="ar-SA"/>
              </w:rPr>
              <w:t>因</w:t>
            </w:r>
            <w:r>
              <w:rPr>
                <w:rFonts w:hint="eastAsia" w:ascii="Times New Roman" w:hAnsi="Times New Roman" w:eastAsia="宋体" w:cs="Times New Roman"/>
                <w:b w:val="0"/>
                <w:bCs w:val="0"/>
                <w:color w:val="auto"/>
                <w:kern w:val="2"/>
                <w:sz w:val="24"/>
                <w:szCs w:val="24"/>
                <w:highlight w:val="none"/>
                <w:lang w:val="en-US" w:eastAsia="zh-CN" w:bidi="ar-SA"/>
              </w:rPr>
              <w:t>雨水天气导致沉淀池外溢，</w:t>
            </w:r>
            <w:r>
              <w:rPr>
                <w:rFonts w:ascii="Segoe UI" w:hAnsi="Segoe UI" w:eastAsia="Segoe UI" w:cs="Segoe UI"/>
                <w:i w:val="0"/>
                <w:iCs w:val="0"/>
                <w:caps w:val="0"/>
                <w:color w:val="auto"/>
                <w:spacing w:val="0"/>
                <w:sz w:val="24"/>
                <w:szCs w:val="24"/>
                <w:highlight w:val="none"/>
                <w:shd w:val="clear" w:fill="FFFFFF"/>
              </w:rPr>
              <w:t>用沙袋、围堰或吸附材料（如活性炭）拦截泄漏液体，防止污染物进入环境</w:t>
            </w:r>
            <w:r>
              <w:rPr>
                <w:rFonts w:hint="eastAsia" w:ascii="Segoe UI" w:hAnsi="Segoe UI" w:eastAsia="宋体" w:cs="Segoe UI"/>
                <w:i w:val="0"/>
                <w:iCs w:val="0"/>
                <w:caps w:val="0"/>
                <w:color w:val="auto"/>
                <w:spacing w:val="0"/>
                <w:sz w:val="24"/>
                <w:szCs w:val="24"/>
                <w:highlight w:val="none"/>
                <w:shd w:val="clear" w:fill="FFFFFF"/>
                <w:lang w:eastAsia="zh-CN"/>
              </w:rPr>
              <w:t>，</w:t>
            </w:r>
            <w:r>
              <w:rPr>
                <w:rFonts w:hint="eastAsia" w:ascii="Segoe UI" w:hAnsi="Segoe UI" w:eastAsia="宋体" w:cs="Segoe UI"/>
                <w:i w:val="0"/>
                <w:iCs w:val="0"/>
                <w:caps w:val="0"/>
                <w:color w:val="auto"/>
                <w:spacing w:val="0"/>
                <w:sz w:val="24"/>
                <w:szCs w:val="24"/>
                <w:highlight w:val="none"/>
                <w:shd w:val="clear" w:fill="FFFFFF"/>
                <w:lang w:val="en-US" w:eastAsia="zh-CN"/>
              </w:rPr>
              <w:t>并把沉淀池中的废水抽离一部分排入备用沉淀池。为了防范事故和减少危害，编制应急操作手册，定期演练</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泄漏处置流程。定期</w:t>
            </w:r>
            <w:r>
              <w:rPr>
                <w:rFonts w:hint="default" w:ascii="Times New Roman" w:hAnsi="Times New Roman" w:eastAsia="Segoe UI" w:cs="Times New Roman"/>
                <w:i w:val="0"/>
                <w:iCs w:val="0"/>
                <w:caps w:val="0"/>
                <w:color w:val="auto"/>
                <w:spacing w:val="0"/>
                <w:sz w:val="24"/>
                <w:szCs w:val="24"/>
                <w:highlight w:val="none"/>
                <w:shd w:val="clear" w:fill="FFFFFF"/>
              </w:rPr>
              <w:t>检查池壁、管道是否有裂缝或腐蚀</w:t>
            </w:r>
            <w:r>
              <w:rPr>
                <w:rFonts w:hint="default" w:ascii="Times New Roman" w:hAnsi="Times New Roman" w:eastAsia="宋体" w:cs="Times New Roman"/>
                <w:i w:val="0"/>
                <w:iCs w:val="0"/>
                <w:caps w:val="0"/>
                <w:color w:val="auto"/>
                <w:spacing w:val="0"/>
                <w:sz w:val="24"/>
                <w:szCs w:val="24"/>
                <w:highlight w:val="none"/>
                <w:shd w:val="clear" w:fill="FFFFFF"/>
                <w:lang w:eastAsia="zh-CN"/>
              </w:rPr>
              <w:t>，</w:t>
            </w:r>
            <w:r>
              <w:rPr>
                <w:rFonts w:hint="default" w:ascii="Times New Roman" w:hAnsi="Times New Roman" w:eastAsia="Segoe UI" w:cs="Times New Roman"/>
                <w:i w:val="0"/>
                <w:iCs w:val="0"/>
                <w:caps w:val="0"/>
                <w:color w:val="auto"/>
                <w:spacing w:val="0"/>
                <w:sz w:val="24"/>
                <w:szCs w:val="24"/>
                <w:highlight w:val="none"/>
                <w:shd w:val="clear" w:fill="FFFFFF"/>
              </w:rPr>
              <w:t>每年全面清淤1-2次</w:t>
            </w:r>
            <w:r>
              <w:rPr>
                <w:rFonts w:ascii="Segoe UI" w:hAnsi="Segoe UI" w:eastAsia="Segoe UI" w:cs="Segoe UI"/>
                <w:i w:val="0"/>
                <w:iCs w:val="0"/>
                <w:caps w:val="0"/>
                <w:color w:val="auto"/>
                <w:spacing w:val="0"/>
                <w:sz w:val="24"/>
                <w:szCs w:val="24"/>
                <w:highlight w:val="none"/>
                <w:shd w:val="clear" w:fill="FFFFFF"/>
              </w:rPr>
              <w:t>，保持有效水深</w:t>
            </w:r>
            <w:r>
              <w:rPr>
                <w:rFonts w:hint="eastAsia" w:ascii="Segoe UI" w:hAnsi="Segoe UI" w:eastAsia="宋体" w:cs="Segoe UI"/>
                <w:i w:val="0"/>
                <w:iCs w:val="0"/>
                <w:caps w:val="0"/>
                <w:color w:val="auto"/>
                <w:spacing w:val="0"/>
                <w:sz w:val="24"/>
                <w:szCs w:val="24"/>
                <w:highlight w:val="none"/>
                <w:shd w:val="clear" w:fill="FFFFFF"/>
                <w:lang w:eastAsia="zh-CN"/>
              </w:rPr>
              <w:t>。</w:t>
            </w:r>
            <w:r>
              <w:rPr>
                <w:rFonts w:hint="eastAsia" w:ascii="Segoe UI" w:hAnsi="Segoe UI" w:eastAsia="宋体" w:cs="Segoe UI"/>
                <w:i w:val="0"/>
                <w:iCs w:val="0"/>
                <w:caps w:val="0"/>
                <w:color w:val="auto"/>
                <w:spacing w:val="0"/>
                <w:sz w:val="24"/>
                <w:szCs w:val="24"/>
                <w:highlight w:val="none"/>
                <w:shd w:val="clear" w:fill="FFFFFF"/>
                <w:lang w:val="en-US" w:eastAsia="zh-CN"/>
              </w:rPr>
              <w:t>暴雨天气增设临时沉淀单元（</w:t>
            </w:r>
            <w:r>
              <w:rPr>
                <w:rFonts w:ascii="Segoe UI" w:hAnsi="Segoe UI" w:eastAsia="Segoe UI" w:cs="Segoe UI"/>
                <w:i w:val="0"/>
                <w:iCs w:val="0"/>
                <w:caps w:val="0"/>
                <w:color w:val="auto"/>
                <w:spacing w:val="0"/>
                <w:sz w:val="24"/>
                <w:szCs w:val="24"/>
                <w:highlight w:val="none"/>
                <w:shd w:val="clear" w:fill="FFFFFF"/>
              </w:rPr>
              <w:t>如快速组装式沉淀箱</w:t>
            </w:r>
            <w:r>
              <w:rPr>
                <w:rFonts w:hint="eastAsia" w:ascii="Segoe UI" w:hAnsi="Segoe UI" w:eastAsia="宋体" w:cs="Segoe UI"/>
                <w:i w:val="0"/>
                <w:iCs w:val="0"/>
                <w:caps w:val="0"/>
                <w:color w:val="auto"/>
                <w:spacing w:val="0"/>
                <w:sz w:val="24"/>
                <w:szCs w:val="24"/>
                <w:highlight w:val="none"/>
                <w:shd w:val="clear" w:fill="FFFFFF"/>
                <w:lang w:eastAsia="zh-CN"/>
              </w:rPr>
              <w:t>）</w:t>
            </w:r>
          </w:p>
          <w:p w14:paraId="72D98EC0">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（3）沥青着火、爆炸事故防范措施</w:t>
            </w:r>
          </w:p>
          <w:p w14:paraId="5942906B">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为预防和减少突发环境事件的发生，控制、减轻和消除突发环境事件引起的危害，规范突发环境事件应急管理工作，保障公众生命、环境和财产的安全。本次评价要求项目在生产运营过程中要注意做好贮存、操作、管理等各项安全措施，以确保人身的安全及环境的维护。①应加强车间内的通风次数；②采购有证企业生产的合格产品，不得靠近热源和明火，保证周围环境通风、干燥；③当发生泄漏时，应迅速撤离泄漏污染区人员至上风处，并进行隔离，严格限制出入，并切断火源；④指导群众向上风方向疏散，减少吸入火灾烟气，从末端控制污染物，</w:t>
            </w:r>
          </w:p>
          <w:p w14:paraId="54CD8FA6">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（4）沥青罐事故防范措施</w:t>
            </w:r>
          </w:p>
          <w:p w14:paraId="261EFEA0">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Segoe UI" w:hAnsi="Segoe UI" w:eastAsia="Segoe UI" w:cs="Segoe UI"/>
                <w:i w:val="0"/>
                <w:iCs w:val="0"/>
                <w:caps w:val="0"/>
                <w:color w:val="auto"/>
                <w:spacing w:val="0"/>
                <w:sz w:val="24"/>
                <w:szCs w:val="24"/>
                <w:highlight w:val="none"/>
                <w:shd w:val="clear" w:fill="FFFFFF"/>
                <w:lang w:val="en-US" w:eastAsia="zh-CN"/>
              </w:rPr>
            </w:pPr>
            <w:r>
              <w:rPr>
                <w:rFonts w:hint="eastAsia" w:ascii="Segoe UI" w:hAnsi="Segoe UI" w:eastAsia="Segoe UI" w:cs="Segoe UI"/>
                <w:i w:val="0"/>
                <w:iCs w:val="0"/>
                <w:caps w:val="0"/>
                <w:color w:val="auto"/>
                <w:spacing w:val="0"/>
                <w:sz w:val="24"/>
                <w:szCs w:val="24"/>
                <w:highlight w:val="none"/>
                <w:shd w:val="clear" w:fill="FFFFFF"/>
                <w:lang w:val="en-US" w:eastAsia="zh-CN"/>
              </w:rPr>
              <w:t>当发生较大泄漏时关闭加热系统与进出料阀门，启动应急泵将剩余沥青转移至备用罐，泄漏区域铺设防渗膜，防止渗入土壤或排水系统；污染土壤需按危废规范处置。设置警戒区，疏散非必要人员，避免烫伤（沥青温度通</w:t>
            </w:r>
            <w:r>
              <w:rPr>
                <w:rFonts w:hint="eastAsia" w:ascii="Times New Roman" w:hAnsi="Times New Roman" w:eastAsia="Segoe UI" w:cs="Times New Roman"/>
                <w:i w:val="0"/>
                <w:iCs w:val="0"/>
                <w:caps w:val="0"/>
                <w:color w:val="auto"/>
                <w:spacing w:val="0"/>
                <w:sz w:val="24"/>
                <w:szCs w:val="24"/>
                <w:highlight w:val="none"/>
                <w:shd w:val="clear" w:fill="FFFFFF"/>
                <w:lang w:val="en-US" w:eastAsia="zh-CN"/>
              </w:rPr>
              <w:t>常</w:t>
            </w:r>
            <w:r>
              <w:rPr>
                <w:rFonts w:hint="eastAsia" w:eastAsia="Segoe UI" w:cs="Times New Roman"/>
                <w:i w:val="0"/>
                <w:iCs w:val="0"/>
                <w:caps w:val="0"/>
                <w:color w:val="auto"/>
                <w:spacing w:val="0"/>
                <w:sz w:val="24"/>
                <w:szCs w:val="24"/>
                <w:highlight w:val="none"/>
                <w:shd w:val="clear" w:fill="FFFFFF"/>
                <w:lang w:val="en-US" w:eastAsia="zh-CN"/>
              </w:rPr>
              <w:t>为9</w:t>
            </w:r>
            <w:r>
              <w:rPr>
                <w:rFonts w:hint="default" w:ascii="Times New Roman" w:hAnsi="Times New Roman" w:eastAsia="Segoe UI" w:cs="Times New Roman"/>
                <w:i w:val="0"/>
                <w:iCs w:val="0"/>
                <w:caps w:val="0"/>
                <w:color w:val="auto"/>
                <w:spacing w:val="0"/>
                <w:sz w:val="24"/>
                <w:szCs w:val="24"/>
                <w:highlight w:val="none"/>
                <w:shd w:val="clear" w:fill="FFFFFF"/>
                <w:lang w:val="en-US" w:eastAsia="zh-CN"/>
              </w:rPr>
              <w:t>0℃）</w:t>
            </w:r>
            <w:r>
              <w:rPr>
                <w:rFonts w:hint="eastAsia" w:ascii="Times New Roman" w:hAnsi="Times New Roman" w:eastAsia="Segoe UI" w:cs="Times New Roman"/>
                <w:i w:val="0"/>
                <w:iCs w:val="0"/>
                <w:caps w:val="0"/>
                <w:color w:val="auto"/>
                <w:spacing w:val="0"/>
                <w:sz w:val="24"/>
                <w:szCs w:val="24"/>
                <w:highlight w:val="none"/>
                <w:shd w:val="clear" w:fill="FFFFFF"/>
                <w:lang w:val="en-US" w:eastAsia="zh-CN"/>
              </w:rPr>
              <w:t>。当</w:t>
            </w:r>
            <w:r>
              <w:rPr>
                <w:rFonts w:hint="eastAsia" w:ascii="Segoe UI" w:hAnsi="Segoe UI" w:eastAsia="Segoe UI" w:cs="Segoe UI"/>
                <w:i w:val="0"/>
                <w:iCs w:val="0"/>
                <w:caps w:val="0"/>
                <w:color w:val="auto"/>
                <w:spacing w:val="0"/>
                <w:sz w:val="24"/>
                <w:szCs w:val="24"/>
                <w:highlight w:val="none"/>
                <w:shd w:val="clear" w:fill="FFFFFF"/>
                <w:lang w:val="en-US" w:eastAsia="zh-CN"/>
              </w:rPr>
              <w:t>发生小泄漏时用耐高温吸附材料（如硅藻土、蛭石）覆盖，冷却后铲除，并检查是否有罐体大面积损坏，预防更大面积泄漏。为预防此事故，每季度开展泄漏应急演练，重点培训堵漏工具（如堵漏枪）的使用，加强罐体保温层，避免沥青凝固导致管道破裂，定期对罐体进行保养和检查。</w:t>
            </w:r>
          </w:p>
          <w:p w14:paraId="32480858">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lang w:val="en-US" w:eastAsia="zh-CN" w:bidi="ar-SA"/>
              </w:rPr>
              <w:t>（5）</w:t>
            </w:r>
            <w:r>
              <w:rPr>
                <w:rFonts w:hint="eastAsia" w:ascii="Times New Roman" w:hAnsi="Times New Roman" w:eastAsia="宋体" w:cs="Times New Roman"/>
                <w:b w:val="0"/>
                <w:bCs w:val="0"/>
                <w:color w:val="auto"/>
                <w:kern w:val="2"/>
                <w:sz w:val="24"/>
                <w:szCs w:val="24"/>
                <w:highlight w:val="none"/>
                <w:lang w:val="en-US" w:eastAsia="zh-CN" w:bidi="ar-SA"/>
              </w:rPr>
              <w:t>废气环保设施故障的防范措施</w:t>
            </w:r>
          </w:p>
          <w:p w14:paraId="350599AE">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Segoe UI" w:hAnsi="Segoe UI" w:eastAsia="Segoe UI" w:cs="Segoe UI"/>
                <w:i w:val="0"/>
                <w:iCs w:val="0"/>
                <w:caps w:val="0"/>
                <w:color w:val="auto"/>
                <w:spacing w:val="0"/>
                <w:sz w:val="24"/>
                <w:szCs w:val="24"/>
                <w:highlight w:val="none"/>
                <w:shd w:val="clear" w:fill="FFFFFF"/>
                <w:lang w:val="en-US" w:eastAsia="zh-CN"/>
              </w:rPr>
            </w:pPr>
            <w:r>
              <w:rPr>
                <w:rFonts w:hint="eastAsia" w:ascii="Segoe UI" w:hAnsi="Segoe UI" w:eastAsia="Segoe UI" w:cs="Segoe UI"/>
                <w:i w:val="0"/>
                <w:iCs w:val="0"/>
                <w:caps w:val="0"/>
                <w:color w:val="auto"/>
                <w:spacing w:val="0"/>
                <w:sz w:val="24"/>
                <w:szCs w:val="24"/>
                <w:highlight w:val="none"/>
                <w:shd w:val="clear" w:fill="FFFFFF"/>
                <w:lang w:val="en-US" w:eastAsia="zh-CN"/>
              </w:rPr>
              <w:t>本项目可能对大气环境造成影响为废气处理设施故障导致生产过程中产生的废气未经处理直接排放，污染外环境。企业采取了以下措施：</w:t>
            </w:r>
          </w:p>
          <w:p w14:paraId="5842267F">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Segoe UI" w:hAnsi="Segoe UI" w:eastAsia="Segoe UI" w:cs="Segoe UI"/>
                <w:i w:val="0"/>
                <w:iCs w:val="0"/>
                <w:caps w:val="0"/>
                <w:color w:val="auto"/>
                <w:spacing w:val="0"/>
                <w:sz w:val="24"/>
                <w:szCs w:val="24"/>
                <w:highlight w:val="none"/>
                <w:shd w:val="clear" w:fill="FFFFFF"/>
                <w:lang w:val="en-US" w:eastAsia="zh-CN"/>
              </w:rPr>
            </w:pPr>
            <w:r>
              <w:rPr>
                <w:rFonts w:hint="eastAsia" w:ascii="Segoe UI" w:hAnsi="Segoe UI" w:eastAsia="Segoe UI" w:cs="Segoe UI"/>
                <w:i w:val="0"/>
                <w:iCs w:val="0"/>
                <w:caps w:val="0"/>
                <w:color w:val="auto"/>
                <w:spacing w:val="0"/>
                <w:sz w:val="24"/>
                <w:szCs w:val="24"/>
                <w:highlight w:val="none"/>
                <w:shd w:val="clear" w:fill="FFFFFF"/>
                <w:lang w:val="en-US" w:eastAsia="zh-CN"/>
              </w:rPr>
              <w:t>①制定设备检修计划，定期更换活性炭和布袋。</w:t>
            </w:r>
          </w:p>
          <w:p w14:paraId="084D234A">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Segoe UI" w:hAnsi="Segoe UI" w:eastAsia="Segoe UI" w:cs="Segoe UI"/>
                <w:i w:val="0"/>
                <w:iCs w:val="0"/>
                <w:caps w:val="0"/>
                <w:color w:val="auto"/>
                <w:spacing w:val="0"/>
                <w:sz w:val="24"/>
                <w:szCs w:val="24"/>
                <w:highlight w:val="none"/>
                <w:shd w:val="clear" w:fill="FFFFFF"/>
                <w:lang w:val="en-US" w:eastAsia="zh-CN"/>
              </w:rPr>
            </w:pPr>
            <w:r>
              <w:rPr>
                <w:rFonts w:hint="eastAsia" w:ascii="Segoe UI" w:hAnsi="Segoe UI" w:eastAsia="Segoe UI" w:cs="Segoe UI"/>
                <w:i w:val="0"/>
                <w:iCs w:val="0"/>
                <w:caps w:val="0"/>
                <w:color w:val="auto"/>
                <w:spacing w:val="0"/>
                <w:sz w:val="24"/>
                <w:szCs w:val="24"/>
                <w:highlight w:val="none"/>
                <w:shd w:val="clear" w:fill="FFFFFF"/>
                <w:lang w:val="en-US" w:eastAsia="zh-CN"/>
              </w:rPr>
              <w:t>②建立定时巡检制度，发现问题及时处理。</w:t>
            </w:r>
          </w:p>
          <w:p w14:paraId="1EDC0619">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Segoe UI" w:hAnsi="Segoe UI" w:eastAsia="Segoe UI" w:cs="Segoe UI"/>
                <w:i w:val="0"/>
                <w:iCs w:val="0"/>
                <w:caps w:val="0"/>
                <w:color w:val="auto"/>
                <w:spacing w:val="0"/>
                <w:sz w:val="24"/>
                <w:szCs w:val="24"/>
                <w:highlight w:val="none"/>
                <w:shd w:val="clear" w:fill="FFFFFF"/>
                <w:lang w:val="en-US" w:eastAsia="zh-CN"/>
              </w:rPr>
            </w:pPr>
            <w:r>
              <w:rPr>
                <w:rFonts w:hint="eastAsia" w:ascii="Segoe UI" w:hAnsi="Segoe UI" w:eastAsia="Segoe UI" w:cs="Segoe UI"/>
                <w:i w:val="0"/>
                <w:iCs w:val="0"/>
                <w:caps w:val="0"/>
                <w:color w:val="auto"/>
                <w:spacing w:val="0"/>
                <w:sz w:val="24"/>
                <w:szCs w:val="24"/>
                <w:highlight w:val="none"/>
                <w:shd w:val="clear" w:fill="FFFFFF"/>
                <w:lang w:val="en-US" w:eastAsia="zh-CN"/>
              </w:rPr>
              <w:t>③发生事故后应及时与有关部门联系。</w:t>
            </w:r>
          </w:p>
          <w:p w14:paraId="3D4180AF">
            <w:pPr>
              <w:spacing w:line="360" w:lineRule="auto"/>
              <w:rPr>
                <w:rFonts w:cs="Times New Roman"/>
                <w:b/>
                <w:bCs/>
                <w:color w:val="auto"/>
                <w:kern w:val="2"/>
                <w:sz w:val="24"/>
                <w:szCs w:val="24"/>
                <w:highlight w:val="none"/>
              </w:rPr>
            </w:pPr>
            <w:r>
              <w:rPr>
                <w:rFonts w:hint="eastAsia" w:cs="Times New Roman"/>
                <w:b/>
                <w:bCs/>
                <w:color w:val="auto"/>
                <w:kern w:val="2"/>
                <w:sz w:val="24"/>
                <w:szCs w:val="24"/>
                <w:highlight w:val="none"/>
                <w:lang w:val="en-US" w:eastAsia="zh-CN"/>
              </w:rPr>
              <w:t>7</w:t>
            </w:r>
            <w:r>
              <w:rPr>
                <w:rFonts w:hint="eastAsia" w:cs="Times New Roman"/>
                <w:b/>
                <w:bCs/>
                <w:color w:val="auto"/>
                <w:kern w:val="2"/>
                <w:sz w:val="24"/>
                <w:szCs w:val="24"/>
                <w:highlight w:val="none"/>
              </w:rPr>
              <w:t>.</w:t>
            </w:r>
            <w:r>
              <w:rPr>
                <w:rFonts w:hint="eastAsia" w:cs="Times New Roman"/>
                <w:b/>
                <w:bCs/>
                <w:color w:val="auto"/>
                <w:kern w:val="2"/>
                <w:sz w:val="24"/>
                <w:szCs w:val="24"/>
                <w:highlight w:val="none"/>
                <w:lang w:val="en-US" w:eastAsia="zh-CN"/>
              </w:rPr>
              <w:t>6</w:t>
            </w:r>
            <w:r>
              <w:rPr>
                <w:rFonts w:cs="Times New Roman"/>
                <w:b/>
                <w:bCs/>
                <w:color w:val="auto"/>
                <w:kern w:val="2"/>
                <w:sz w:val="24"/>
                <w:szCs w:val="24"/>
                <w:highlight w:val="none"/>
              </w:rPr>
              <w:t xml:space="preserve"> 应急预案</w:t>
            </w:r>
          </w:p>
          <w:p w14:paraId="40E01F02">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Segoe UI" w:cs="Times New Roman"/>
                <w:i w:val="0"/>
                <w:iCs w:val="0"/>
                <w:caps w:val="0"/>
                <w:color w:val="auto"/>
                <w:spacing w:val="0"/>
                <w:sz w:val="24"/>
                <w:szCs w:val="24"/>
                <w:highlight w:val="none"/>
                <w:shd w:val="clear" w:fill="FFFFFF"/>
                <w:lang w:val="en-US" w:eastAsia="zh-CN"/>
              </w:rPr>
            </w:pPr>
            <w:r>
              <w:rPr>
                <w:rFonts w:hint="eastAsia" w:ascii="Segoe UI" w:hAnsi="Segoe UI" w:eastAsia="Segoe UI" w:cs="Segoe UI"/>
                <w:i w:val="0"/>
                <w:iCs w:val="0"/>
                <w:caps w:val="0"/>
                <w:color w:val="auto"/>
                <w:spacing w:val="0"/>
                <w:sz w:val="24"/>
                <w:szCs w:val="24"/>
                <w:highlight w:val="none"/>
                <w:shd w:val="clear" w:fill="FFFFFF"/>
                <w:lang w:val="en-US" w:eastAsia="zh-CN"/>
              </w:rPr>
              <w:t>制定环境风险事故应急预案的目的是在发生风险事故时，能以最快的速度发挥最大的效能，有序地实施救援，尽快控制事态的发展，降低事故造成的危害，减少事故造成的损失。根据《国家突发环境事件应急预案》（国办函</w:t>
            </w:r>
            <w:r>
              <w:rPr>
                <w:rFonts w:hint="default" w:ascii="Times New Roman" w:hAnsi="Times New Roman" w:eastAsia="Segoe UI" w:cs="Times New Roman"/>
                <w:i w:val="0"/>
                <w:iCs w:val="0"/>
                <w:caps w:val="0"/>
                <w:color w:val="auto"/>
                <w:spacing w:val="0"/>
                <w:sz w:val="24"/>
                <w:szCs w:val="24"/>
                <w:highlight w:val="none"/>
                <w:shd w:val="clear" w:fill="FFFFFF"/>
                <w:lang w:val="en-US" w:eastAsia="zh-CN"/>
              </w:rPr>
              <w:t>〔2014〕119）号、《突发环境事件应急管理办法》（部令第34号），结合厂区的规章制度编制了可能造成环境风险的突发性事故应急预案内容见表4-</w:t>
            </w:r>
            <w:r>
              <w:rPr>
                <w:rFonts w:hint="eastAsia" w:ascii="Times New Roman" w:hAnsi="Times New Roman" w:eastAsia="Segoe UI" w:cs="Times New Roman"/>
                <w:i w:val="0"/>
                <w:iCs w:val="0"/>
                <w:caps w:val="0"/>
                <w:color w:val="auto"/>
                <w:spacing w:val="0"/>
                <w:sz w:val="24"/>
                <w:szCs w:val="24"/>
                <w:highlight w:val="none"/>
                <w:shd w:val="clear" w:fill="FFFFFF"/>
                <w:lang w:val="en-US" w:eastAsia="zh-CN"/>
              </w:rPr>
              <w:t>20</w:t>
            </w:r>
            <w:r>
              <w:rPr>
                <w:rFonts w:hint="default" w:ascii="Times New Roman" w:hAnsi="Times New Roman" w:eastAsia="Segoe UI" w:cs="Times New Roman"/>
                <w:i w:val="0"/>
                <w:iCs w:val="0"/>
                <w:caps w:val="0"/>
                <w:color w:val="auto"/>
                <w:spacing w:val="0"/>
                <w:sz w:val="24"/>
                <w:szCs w:val="24"/>
                <w:highlight w:val="none"/>
                <w:shd w:val="clear" w:fill="FFFFFF"/>
                <w:lang w:val="en-US" w:eastAsia="zh-CN"/>
              </w:rPr>
              <w:t>。</w:t>
            </w:r>
          </w:p>
          <w:p w14:paraId="248E020F">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表4</w:t>
            </w:r>
            <w:r>
              <w:rPr>
                <w:rFonts w:hint="default" w:ascii="Times New Roman" w:hAnsi="Times New Roman" w:eastAsia="宋体" w:cs="Times New Roman"/>
                <w:color w:val="auto"/>
                <w:highlight w:val="none"/>
              </w:rPr>
              <w:t>-</w:t>
            </w:r>
            <w:r>
              <w:rPr>
                <w:rFonts w:hint="eastAsia" w:ascii="Times New Roman" w:hAnsi="Times New Roman" w:cs="Times New Roman"/>
                <w:color w:val="auto"/>
                <w:highlight w:val="none"/>
                <w:lang w:val="en-US" w:eastAsia="zh-CN"/>
              </w:rPr>
              <w:t>20</w:t>
            </w:r>
            <w:r>
              <w:rPr>
                <w:rFonts w:hint="default"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本项目环境风险应急预案内容一览表</w:t>
            </w:r>
          </w:p>
          <w:tbl>
            <w:tblPr>
              <w:tblStyle w:val="19"/>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68"/>
              <w:gridCol w:w="1473"/>
              <w:gridCol w:w="6005"/>
            </w:tblGrid>
            <w:tr w14:paraId="151189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bottom w:val="single" w:color="auto" w:sz="12" w:space="0"/>
                  </w:tcBorders>
                  <w:vAlign w:val="center"/>
                </w:tcPr>
                <w:p w14:paraId="100FB55D">
                  <w:pPr>
                    <w:pStyle w:val="35"/>
                    <w:ind w:left="0" w:leftChars="0" w:firstLine="0" w:firstLineChars="0"/>
                    <w:jc w:val="both"/>
                    <w:rPr>
                      <w:b/>
                      <w:bCs w:val="0"/>
                      <w:color w:val="auto"/>
                      <w:sz w:val="21"/>
                      <w:szCs w:val="21"/>
                      <w:highlight w:val="none"/>
                    </w:rPr>
                  </w:pPr>
                  <w:r>
                    <w:rPr>
                      <w:rFonts w:hint="eastAsia"/>
                      <w:b/>
                      <w:bCs w:val="0"/>
                      <w:color w:val="auto"/>
                      <w:sz w:val="21"/>
                      <w:szCs w:val="21"/>
                      <w:highlight w:val="none"/>
                    </w:rPr>
                    <w:t>序号</w:t>
                  </w:r>
                </w:p>
              </w:tc>
              <w:tc>
                <w:tcPr>
                  <w:tcW w:w="893" w:type="pct"/>
                  <w:tcBorders>
                    <w:bottom w:val="single" w:color="auto" w:sz="12" w:space="0"/>
                  </w:tcBorders>
                  <w:vAlign w:val="center"/>
                </w:tcPr>
                <w:p w14:paraId="13DA6C2D">
                  <w:pPr>
                    <w:pStyle w:val="35"/>
                    <w:rPr>
                      <w:b/>
                      <w:bCs w:val="0"/>
                      <w:color w:val="auto"/>
                      <w:sz w:val="21"/>
                      <w:szCs w:val="21"/>
                      <w:highlight w:val="none"/>
                    </w:rPr>
                  </w:pPr>
                  <w:r>
                    <w:rPr>
                      <w:rFonts w:hint="eastAsia"/>
                      <w:b/>
                      <w:bCs w:val="0"/>
                      <w:color w:val="auto"/>
                      <w:sz w:val="21"/>
                      <w:szCs w:val="21"/>
                      <w:highlight w:val="none"/>
                    </w:rPr>
                    <w:t>项目</w:t>
                  </w:r>
                </w:p>
              </w:tc>
              <w:tc>
                <w:tcPr>
                  <w:tcW w:w="3640" w:type="pct"/>
                  <w:tcBorders>
                    <w:bottom w:val="single" w:color="auto" w:sz="12" w:space="0"/>
                  </w:tcBorders>
                  <w:vAlign w:val="center"/>
                </w:tcPr>
                <w:p w14:paraId="5EA9CC8C">
                  <w:pPr>
                    <w:pStyle w:val="35"/>
                    <w:rPr>
                      <w:b/>
                      <w:bCs w:val="0"/>
                      <w:color w:val="auto"/>
                      <w:sz w:val="21"/>
                      <w:szCs w:val="21"/>
                      <w:highlight w:val="none"/>
                    </w:rPr>
                  </w:pPr>
                  <w:r>
                    <w:rPr>
                      <w:rFonts w:hint="eastAsia"/>
                      <w:b/>
                      <w:bCs w:val="0"/>
                      <w:color w:val="auto"/>
                      <w:sz w:val="21"/>
                      <w:szCs w:val="21"/>
                      <w:highlight w:val="none"/>
                    </w:rPr>
                    <w:t>主要内容</w:t>
                  </w:r>
                </w:p>
              </w:tc>
            </w:tr>
            <w:tr w14:paraId="4DEBA7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op w:val="single" w:color="auto" w:sz="12" w:space="0"/>
                    <w:tl2br w:val="nil"/>
                    <w:tr2bl w:val="nil"/>
                  </w:tcBorders>
                  <w:vAlign w:val="center"/>
                </w:tcPr>
                <w:p w14:paraId="5BD561F6">
                  <w:pPr>
                    <w:pStyle w:val="35"/>
                    <w:ind w:left="0" w:leftChars="0" w:firstLine="0" w:firstLineChars="0"/>
                    <w:jc w:val="both"/>
                    <w:rPr>
                      <w:color w:val="auto"/>
                      <w:sz w:val="21"/>
                      <w:szCs w:val="21"/>
                      <w:highlight w:val="none"/>
                    </w:rPr>
                  </w:pPr>
                  <w:r>
                    <w:rPr>
                      <w:rFonts w:hint="eastAsia"/>
                      <w:color w:val="auto"/>
                      <w:sz w:val="21"/>
                      <w:szCs w:val="21"/>
                      <w:highlight w:val="none"/>
                    </w:rPr>
                    <w:t>1</w:t>
                  </w:r>
                </w:p>
              </w:tc>
              <w:tc>
                <w:tcPr>
                  <w:tcW w:w="893" w:type="pct"/>
                  <w:tcBorders>
                    <w:top w:val="single" w:color="auto" w:sz="12" w:space="0"/>
                    <w:tl2br w:val="nil"/>
                    <w:tr2bl w:val="nil"/>
                  </w:tcBorders>
                  <w:vAlign w:val="center"/>
                </w:tcPr>
                <w:p w14:paraId="64F766DF">
                  <w:pPr>
                    <w:pStyle w:val="35"/>
                    <w:ind w:left="0" w:leftChars="0" w:firstLine="0" w:firstLineChars="0"/>
                    <w:jc w:val="both"/>
                    <w:rPr>
                      <w:color w:val="auto"/>
                      <w:sz w:val="21"/>
                      <w:szCs w:val="21"/>
                      <w:highlight w:val="none"/>
                    </w:rPr>
                  </w:pPr>
                  <w:r>
                    <w:rPr>
                      <w:rFonts w:hint="eastAsia"/>
                      <w:color w:val="auto"/>
                      <w:sz w:val="21"/>
                      <w:szCs w:val="21"/>
                      <w:highlight w:val="none"/>
                    </w:rPr>
                    <w:t>应急计划区</w:t>
                  </w:r>
                </w:p>
              </w:tc>
              <w:tc>
                <w:tcPr>
                  <w:tcW w:w="3640" w:type="pct"/>
                  <w:tcBorders>
                    <w:top w:val="single" w:color="auto" w:sz="12" w:space="0"/>
                    <w:tl2br w:val="nil"/>
                    <w:tr2bl w:val="nil"/>
                  </w:tcBorders>
                  <w:vAlign w:val="center"/>
                </w:tcPr>
                <w:p w14:paraId="4C276696">
                  <w:pPr>
                    <w:pStyle w:val="35"/>
                    <w:ind w:left="0" w:leftChars="0" w:firstLine="0" w:firstLineChars="0"/>
                    <w:jc w:val="both"/>
                    <w:rPr>
                      <w:color w:val="auto"/>
                      <w:sz w:val="21"/>
                      <w:szCs w:val="21"/>
                      <w:highlight w:val="none"/>
                    </w:rPr>
                  </w:pPr>
                  <w:r>
                    <w:rPr>
                      <w:rFonts w:hint="eastAsia"/>
                      <w:color w:val="auto"/>
                      <w:sz w:val="21"/>
                      <w:szCs w:val="21"/>
                      <w:highlight w:val="none"/>
                    </w:rPr>
                    <w:t>主要危险源：生产车间、</w:t>
                  </w:r>
                  <w:r>
                    <w:rPr>
                      <w:rFonts w:hint="eastAsia"/>
                      <w:color w:val="auto"/>
                      <w:sz w:val="21"/>
                      <w:szCs w:val="21"/>
                      <w:highlight w:val="none"/>
                      <w:lang w:val="en-US" w:eastAsia="zh-CN"/>
                    </w:rPr>
                    <w:t>危废间</w:t>
                  </w:r>
                  <w:r>
                    <w:rPr>
                      <w:rFonts w:hint="eastAsia"/>
                      <w:color w:val="auto"/>
                      <w:sz w:val="21"/>
                      <w:szCs w:val="21"/>
                      <w:highlight w:val="none"/>
                    </w:rPr>
                    <w:t>、</w:t>
                  </w:r>
                  <w:r>
                    <w:rPr>
                      <w:rFonts w:hint="eastAsia"/>
                      <w:color w:val="auto"/>
                      <w:sz w:val="21"/>
                      <w:szCs w:val="21"/>
                      <w:highlight w:val="none"/>
                      <w:lang w:val="en-US" w:eastAsia="zh-CN"/>
                    </w:rPr>
                    <w:t>沥青储罐</w:t>
                  </w:r>
                  <w:r>
                    <w:rPr>
                      <w:rFonts w:hint="eastAsia"/>
                      <w:color w:val="auto"/>
                      <w:sz w:val="21"/>
                      <w:szCs w:val="21"/>
                      <w:highlight w:val="none"/>
                    </w:rPr>
                    <w:t>等环境保护目标</w:t>
                  </w:r>
                </w:p>
              </w:tc>
            </w:tr>
            <w:tr w14:paraId="1CC7838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4AD7E051">
                  <w:pPr>
                    <w:pStyle w:val="35"/>
                    <w:ind w:left="0" w:leftChars="0" w:firstLine="0" w:firstLineChars="0"/>
                    <w:jc w:val="both"/>
                    <w:rPr>
                      <w:color w:val="auto"/>
                      <w:sz w:val="21"/>
                      <w:szCs w:val="21"/>
                      <w:highlight w:val="none"/>
                    </w:rPr>
                  </w:pPr>
                  <w:r>
                    <w:rPr>
                      <w:rFonts w:hint="eastAsia"/>
                      <w:color w:val="auto"/>
                      <w:sz w:val="21"/>
                      <w:szCs w:val="21"/>
                      <w:highlight w:val="none"/>
                    </w:rPr>
                    <w:t>2</w:t>
                  </w:r>
                </w:p>
              </w:tc>
              <w:tc>
                <w:tcPr>
                  <w:tcW w:w="893" w:type="pct"/>
                  <w:tcBorders>
                    <w:tl2br w:val="nil"/>
                    <w:tr2bl w:val="nil"/>
                  </w:tcBorders>
                  <w:vAlign w:val="center"/>
                </w:tcPr>
                <w:p w14:paraId="4C264A3E">
                  <w:pPr>
                    <w:pStyle w:val="35"/>
                    <w:ind w:left="0" w:leftChars="0" w:firstLine="0" w:firstLineChars="0"/>
                    <w:jc w:val="both"/>
                    <w:rPr>
                      <w:color w:val="auto"/>
                      <w:sz w:val="21"/>
                      <w:szCs w:val="21"/>
                      <w:highlight w:val="none"/>
                    </w:rPr>
                  </w:pPr>
                  <w:r>
                    <w:rPr>
                      <w:rFonts w:hint="eastAsia"/>
                      <w:color w:val="auto"/>
                      <w:sz w:val="21"/>
                      <w:szCs w:val="21"/>
                      <w:highlight w:val="none"/>
                    </w:rPr>
                    <w:t>应急组织结构</w:t>
                  </w:r>
                </w:p>
              </w:tc>
              <w:tc>
                <w:tcPr>
                  <w:tcW w:w="3640" w:type="pct"/>
                  <w:tcBorders>
                    <w:tl2br w:val="nil"/>
                    <w:tr2bl w:val="nil"/>
                  </w:tcBorders>
                  <w:vAlign w:val="center"/>
                </w:tcPr>
                <w:p w14:paraId="0603A056">
                  <w:pPr>
                    <w:pStyle w:val="35"/>
                    <w:ind w:left="0" w:leftChars="0" w:firstLine="0" w:firstLineChars="0"/>
                    <w:jc w:val="both"/>
                    <w:rPr>
                      <w:rFonts w:ascii="宋体" w:hAnsi="宋体" w:cs="宋体"/>
                      <w:color w:val="auto"/>
                      <w:kern w:val="0"/>
                      <w:sz w:val="21"/>
                      <w:szCs w:val="21"/>
                      <w:highlight w:val="none"/>
                    </w:rPr>
                  </w:pPr>
                  <w:r>
                    <w:rPr>
                      <w:rFonts w:hint="eastAsia" w:ascii="宋体" w:hAnsi="宋体" w:cs="宋体"/>
                      <w:color w:val="auto"/>
                      <w:kern w:val="0"/>
                      <w:sz w:val="21"/>
                      <w:szCs w:val="21"/>
                      <w:highlight w:val="none"/>
                    </w:rPr>
                    <w:t>公司设置应急组织机构，经理为应急计划、协调第一人，应急人员必须为培训上岗熟练工；区域应急组织结构由当地政府、相关行业专家、卫生安全相关单位组成，并由当地政府进行统一调度。</w:t>
                  </w:r>
                </w:p>
              </w:tc>
            </w:tr>
            <w:tr w14:paraId="3CCC34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5B890AA3">
                  <w:pPr>
                    <w:pStyle w:val="35"/>
                    <w:ind w:left="0" w:leftChars="0" w:firstLine="0" w:firstLineChars="0"/>
                    <w:jc w:val="both"/>
                    <w:rPr>
                      <w:color w:val="auto"/>
                      <w:sz w:val="21"/>
                      <w:szCs w:val="21"/>
                      <w:highlight w:val="none"/>
                    </w:rPr>
                  </w:pPr>
                  <w:r>
                    <w:rPr>
                      <w:rFonts w:hint="eastAsia"/>
                      <w:color w:val="auto"/>
                      <w:sz w:val="21"/>
                      <w:szCs w:val="21"/>
                      <w:highlight w:val="none"/>
                    </w:rPr>
                    <w:t>3</w:t>
                  </w:r>
                </w:p>
              </w:tc>
              <w:tc>
                <w:tcPr>
                  <w:tcW w:w="893" w:type="pct"/>
                  <w:tcBorders>
                    <w:tl2br w:val="nil"/>
                    <w:tr2bl w:val="nil"/>
                  </w:tcBorders>
                  <w:vAlign w:val="center"/>
                </w:tcPr>
                <w:p w14:paraId="21E11B74">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预案分级响应条件</w:t>
                  </w:r>
                </w:p>
              </w:tc>
              <w:tc>
                <w:tcPr>
                  <w:tcW w:w="3640" w:type="pct"/>
                  <w:tcBorders>
                    <w:tl2br w:val="nil"/>
                    <w:tr2bl w:val="nil"/>
                  </w:tcBorders>
                  <w:vAlign w:val="center"/>
                </w:tcPr>
                <w:p w14:paraId="19793FFC">
                  <w:pPr>
                    <w:pStyle w:val="35"/>
                    <w:ind w:left="0" w:leftChars="0" w:firstLine="0" w:firstLineChars="0"/>
                    <w:jc w:val="both"/>
                    <w:rPr>
                      <w:rFonts w:ascii="宋体" w:hAnsi="宋体" w:cs="宋体"/>
                      <w:color w:val="auto"/>
                      <w:kern w:val="0"/>
                      <w:sz w:val="21"/>
                      <w:szCs w:val="21"/>
                      <w:highlight w:val="none"/>
                    </w:rPr>
                  </w:pPr>
                  <w:r>
                    <w:rPr>
                      <w:rFonts w:hint="eastAsia" w:ascii="宋体" w:hAnsi="宋体" w:cs="宋体"/>
                      <w:color w:val="auto"/>
                      <w:kern w:val="0"/>
                      <w:sz w:val="21"/>
                      <w:szCs w:val="21"/>
                      <w:highlight w:val="none"/>
                    </w:rPr>
                    <w:t>根据事故的严重程度制定相应级别的应急预案，以及适合相应情况的处理措施。</w:t>
                  </w:r>
                </w:p>
              </w:tc>
            </w:tr>
            <w:tr w14:paraId="20ED66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55B4071C">
                  <w:pPr>
                    <w:pStyle w:val="35"/>
                    <w:ind w:left="0" w:leftChars="0" w:firstLine="0" w:firstLineChars="0"/>
                    <w:jc w:val="both"/>
                    <w:rPr>
                      <w:color w:val="auto"/>
                      <w:sz w:val="21"/>
                      <w:szCs w:val="21"/>
                      <w:highlight w:val="none"/>
                    </w:rPr>
                  </w:pPr>
                  <w:r>
                    <w:rPr>
                      <w:rFonts w:hint="eastAsia"/>
                      <w:color w:val="auto"/>
                      <w:sz w:val="21"/>
                      <w:szCs w:val="21"/>
                      <w:highlight w:val="none"/>
                    </w:rPr>
                    <w:t>4</w:t>
                  </w:r>
                </w:p>
              </w:tc>
              <w:tc>
                <w:tcPr>
                  <w:tcW w:w="893" w:type="pct"/>
                  <w:tcBorders>
                    <w:tl2br w:val="nil"/>
                    <w:tr2bl w:val="nil"/>
                  </w:tcBorders>
                  <w:vAlign w:val="center"/>
                </w:tcPr>
                <w:p w14:paraId="0440113A">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报警、通讯联络方式</w:t>
                  </w:r>
                </w:p>
              </w:tc>
              <w:tc>
                <w:tcPr>
                  <w:tcW w:w="3640" w:type="pct"/>
                  <w:tcBorders>
                    <w:tl2br w:val="nil"/>
                    <w:tr2bl w:val="nil"/>
                  </w:tcBorders>
                  <w:vAlign w:val="center"/>
                </w:tcPr>
                <w:p w14:paraId="31A6231F">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逐一细化应急状态下各主要负责部门的</w:t>
                  </w:r>
                  <w:r>
                    <w:rPr>
                      <w:rFonts w:hint="eastAsia" w:ascii="宋体" w:hAnsi="宋体" w:cs="宋体"/>
                      <w:color w:val="auto"/>
                      <w:kern w:val="0"/>
                      <w:sz w:val="21"/>
                      <w:szCs w:val="21"/>
                      <w:highlight w:val="none"/>
                      <w:lang w:eastAsia="zh-CN"/>
                    </w:rPr>
                    <w:t>报警通信</w:t>
                  </w:r>
                  <w:r>
                    <w:rPr>
                      <w:rFonts w:hint="eastAsia" w:ascii="宋体" w:hAnsi="宋体" w:cs="宋体"/>
                      <w:color w:val="auto"/>
                      <w:kern w:val="0"/>
                      <w:sz w:val="21"/>
                      <w:szCs w:val="21"/>
                      <w:highlight w:val="none"/>
                    </w:rPr>
                    <w:t>方式、地点、电话号码以及相关配套的交通保障、管制、消防联络方法，涉及跨区域的还应与相关区域环境保护部门和上级环保部门保持联系，及时通报事故处理情况，以获得区域性支援。</w:t>
                  </w:r>
                </w:p>
              </w:tc>
            </w:tr>
            <w:tr w14:paraId="3585B2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58E9FD11">
                  <w:pPr>
                    <w:pStyle w:val="35"/>
                    <w:ind w:left="0" w:leftChars="0" w:firstLine="0" w:firstLineChars="0"/>
                    <w:jc w:val="both"/>
                    <w:rPr>
                      <w:color w:val="auto"/>
                      <w:sz w:val="21"/>
                      <w:szCs w:val="21"/>
                      <w:highlight w:val="none"/>
                    </w:rPr>
                  </w:pPr>
                  <w:r>
                    <w:rPr>
                      <w:rFonts w:hint="eastAsia"/>
                      <w:color w:val="auto"/>
                      <w:sz w:val="21"/>
                      <w:szCs w:val="21"/>
                      <w:highlight w:val="none"/>
                    </w:rPr>
                    <w:t>5</w:t>
                  </w:r>
                </w:p>
              </w:tc>
              <w:tc>
                <w:tcPr>
                  <w:tcW w:w="893" w:type="pct"/>
                  <w:tcBorders>
                    <w:tl2br w:val="nil"/>
                    <w:tr2bl w:val="nil"/>
                  </w:tcBorders>
                  <w:vAlign w:val="center"/>
                </w:tcPr>
                <w:p w14:paraId="5F84691A">
                  <w:pPr>
                    <w:pStyle w:val="35"/>
                    <w:ind w:left="0" w:leftChars="0" w:firstLine="0" w:firstLineChars="0"/>
                    <w:jc w:val="both"/>
                    <w:rPr>
                      <w:color w:val="auto"/>
                      <w:sz w:val="21"/>
                      <w:szCs w:val="21"/>
                      <w:highlight w:val="none"/>
                    </w:rPr>
                  </w:pPr>
                  <w:r>
                    <w:rPr>
                      <w:rFonts w:hint="eastAsia"/>
                      <w:color w:val="auto"/>
                      <w:sz w:val="21"/>
                      <w:szCs w:val="21"/>
                      <w:highlight w:val="none"/>
                    </w:rPr>
                    <w:t>应急环境监测</w:t>
                  </w:r>
                </w:p>
              </w:tc>
              <w:tc>
                <w:tcPr>
                  <w:tcW w:w="3640" w:type="pct"/>
                  <w:tcBorders>
                    <w:tl2br w:val="nil"/>
                    <w:tr2bl w:val="nil"/>
                  </w:tcBorders>
                  <w:vAlign w:val="center"/>
                </w:tcPr>
                <w:p w14:paraId="523BFEAA">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组织专业队伍负责对事故现场进行侦察监测，对事故性质、参数与后果进行评估，专为指挥部门提供决策依据。</w:t>
                  </w:r>
                </w:p>
              </w:tc>
            </w:tr>
            <w:tr w14:paraId="6AB6C8A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2ADFE3F9">
                  <w:pPr>
                    <w:pStyle w:val="35"/>
                    <w:ind w:left="0" w:leftChars="0" w:firstLine="0" w:firstLineChars="0"/>
                    <w:jc w:val="both"/>
                    <w:rPr>
                      <w:rFonts w:hint="eastAsia" w:eastAsia="宋体"/>
                      <w:color w:val="auto"/>
                      <w:sz w:val="21"/>
                      <w:szCs w:val="21"/>
                      <w:highlight w:val="none"/>
                      <w:lang w:val="en-US" w:eastAsia="zh-CN"/>
                    </w:rPr>
                  </w:pPr>
                  <w:r>
                    <w:rPr>
                      <w:rFonts w:hint="eastAsia"/>
                      <w:color w:val="auto"/>
                      <w:sz w:val="21"/>
                      <w:szCs w:val="21"/>
                      <w:highlight w:val="none"/>
                      <w:lang w:val="en-US" w:eastAsia="zh-CN"/>
                    </w:rPr>
                    <w:t>6</w:t>
                  </w:r>
                </w:p>
              </w:tc>
              <w:tc>
                <w:tcPr>
                  <w:tcW w:w="893" w:type="pct"/>
                  <w:tcBorders>
                    <w:tl2br w:val="nil"/>
                    <w:tr2bl w:val="nil"/>
                  </w:tcBorders>
                  <w:vAlign w:val="center"/>
                </w:tcPr>
                <w:p w14:paraId="561221ED">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抢险、救援控制措施</w:t>
                  </w:r>
                </w:p>
              </w:tc>
              <w:tc>
                <w:tcPr>
                  <w:tcW w:w="3640" w:type="pct"/>
                  <w:tcBorders>
                    <w:tl2br w:val="nil"/>
                    <w:tr2bl w:val="nil"/>
                  </w:tcBorders>
                  <w:vAlign w:val="center"/>
                </w:tcPr>
                <w:p w14:paraId="6177E22D">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严格规定事故多发区、事故现场、邻近区域、控制防火区域设置控制和清除污染措施及相应设备的数量、使用方法、使用人员。</w:t>
                  </w:r>
                </w:p>
              </w:tc>
            </w:tr>
            <w:tr w14:paraId="79D4AFC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2C30101E">
                  <w:pPr>
                    <w:pStyle w:val="35"/>
                    <w:ind w:left="0" w:leftChars="0" w:firstLine="0" w:firstLineChars="0"/>
                    <w:jc w:val="both"/>
                    <w:rPr>
                      <w:rFonts w:hint="eastAsia" w:eastAsia="宋体"/>
                      <w:color w:val="auto"/>
                      <w:sz w:val="21"/>
                      <w:szCs w:val="21"/>
                      <w:highlight w:val="none"/>
                      <w:lang w:val="en-US" w:eastAsia="zh-CN"/>
                    </w:rPr>
                  </w:pPr>
                  <w:r>
                    <w:rPr>
                      <w:rFonts w:hint="eastAsia"/>
                      <w:color w:val="auto"/>
                      <w:sz w:val="21"/>
                      <w:szCs w:val="21"/>
                      <w:highlight w:val="none"/>
                      <w:lang w:val="en-US" w:eastAsia="zh-CN"/>
                    </w:rPr>
                    <w:t>7</w:t>
                  </w:r>
                </w:p>
              </w:tc>
              <w:tc>
                <w:tcPr>
                  <w:tcW w:w="893" w:type="pct"/>
                  <w:tcBorders>
                    <w:tl2br w:val="nil"/>
                    <w:tr2bl w:val="nil"/>
                  </w:tcBorders>
                  <w:vAlign w:val="center"/>
                </w:tcPr>
                <w:p w14:paraId="185304CF">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人员紧急撤离、疏散计划</w:t>
                  </w:r>
                </w:p>
              </w:tc>
              <w:tc>
                <w:tcPr>
                  <w:tcW w:w="3640" w:type="pct"/>
                  <w:tcBorders>
                    <w:tl2br w:val="nil"/>
                    <w:tr2bl w:val="nil"/>
                  </w:tcBorders>
                  <w:vAlign w:val="center"/>
                </w:tcPr>
                <w:p w14:paraId="30A09062">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事故现场、工厂邻近</w:t>
                  </w:r>
                  <w:r>
                    <w:rPr>
                      <w:rFonts w:hint="eastAsia" w:ascii="宋体" w:hAnsi="宋体" w:cs="宋体"/>
                      <w:color w:val="auto"/>
                      <w:kern w:val="0"/>
                      <w:sz w:val="21"/>
                      <w:szCs w:val="21"/>
                      <w:highlight w:val="none"/>
                      <w:lang w:eastAsia="zh-CN"/>
                    </w:rPr>
                    <w:t>区域</w:t>
                  </w:r>
                  <w:r>
                    <w:rPr>
                      <w:rFonts w:hint="eastAsia" w:ascii="宋体" w:hAnsi="宋体" w:cs="宋体"/>
                      <w:color w:val="auto"/>
                      <w:kern w:val="0"/>
                      <w:sz w:val="21"/>
                      <w:szCs w:val="21"/>
                      <w:highlight w:val="none"/>
                    </w:rPr>
                    <w:t>、受事故影响的区域人员及公众对有毒有害物质应急剂量控制规定，制定紧急撤离组织计划和救护，医疗救护与公众健康。</w:t>
                  </w:r>
                </w:p>
              </w:tc>
            </w:tr>
            <w:tr w14:paraId="71763C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6E35D240">
                  <w:pPr>
                    <w:pStyle w:val="35"/>
                    <w:ind w:left="0" w:leftChars="0" w:firstLine="0" w:firstLineChars="0"/>
                    <w:jc w:val="both"/>
                    <w:rPr>
                      <w:rFonts w:hint="eastAsia" w:eastAsia="宋体"/>
                      <w:color w:val="auto"/>
                      <w:sz w:val="21"/>
                      <w:szCs w:val="21"/>
                      <w:highlight w:val="none"/>
                      <w:lang w:val="en-US" w:eastAsia="zh-CN"/>
                    </w:rPr>
                  </w:pPr>
                  <w:r>
                    <w:rPr>
                      <w:rFonts w:hint="eastAsia"/>
                      <w:color w:val="auto"/>
                      <w:sz w:val="21"/>
                      <w:szCs w:val="21"/>
                      <w:highlight w:val="none"/>
                      <w:lang w:val="en-US" w:eastAsia="zh-CN"/>
                    </w:rPr>
                    <w:t>8</w:t>
                  </w:r>
                </w:p>
              </w:tc>
              <w:tc>
                <w:tcPr>
                  <w:tcW w:w="893" w:type="pct"/>
                  <w:tcBorders>
                    <w:tl2br w:val="nil"/>
                    <w:tr2bl w:val="nil"/>
                  </w:tcBorders>
                  <w:vAlign w:val="center"/>
                </w:tcPr>
                <w:p w14:paraId="3D61FDC1">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事故应急救援关闭程序</w:t>
                  </w:r>
                </w:p>
              </w:tc>
              <w:tc>
                <w:tcPr>
                  <w:tcW w:w="3640" w:type="pct"/>
                  <w:tcBorders>
                    <w:tl2br w:val="nil"/>
                    <w:tr2bl w:val="nil"/>
                  </w:tcBorders>
                  <w:vAlign w:val="center"/>
                </w:tcPr>
                <w:p w14:paraId="709839CE">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制定相关应急状态终止程序，事故现场、受影响范围内的善后处理、恢复措施，邻近区域解除事故警戒及善后恢复措施。</w:t>
                  </w:r>
                </w:p>
              </w:tc>
            </w:tr>
            <w:tr w14:paraId="0D3D3E2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3268DB3F">
                  <w:pPr>
                    <w:pStyle w:val="35"/>
                    <w:ind w:left="0" w:leftChars="0" w:firstLine="0" w:firstLineChars="0"/>
                    <w:jc w:val="both"/>
                    <w:rPr>
                      <w:rFonts w:hint="eastAsia" w:eastAsia="宋体"/>
                      <w:color w:val="auto"/>
                      <w:sz w:val="21"/>
                      <w:szCs w:val="21"/>
                      <w:highlight w:val="none"/>
                      <w:lang w:val="en-US" w:eastAsia="zh-CN"/>
                    </w:rPr>
                  </w:pPr>
                  <w:r>
                    <w:rPr>
                      <w:rFonts w:hint="eastAsia"/>
                      <w:color w:val="auto"/>
                      <w:sz w:val="21"/>
                      <w:szCs w:val="21"/>
                      <w:highlight w:val="none"/>
                      <w:lang w:val="en-US" w:eastAsia="zh-CN"/>
                    </w:rPr>
                    <w:t>9</w:t>
                  </w:r>
                </w:p>
              </w:tc>
              <w:tc>
                <w:tcPr>
                  <w:tcW w:w="893" w:type="pct"/>
                  <w:tcBorders>
                    <w:tl2br w:val="nil"/>
                    <w:tr2bl w:val="nil"/>
                  </w:tcBorders>
                  <w:vAlign w:val="center"/>
                </w:tcPr>
                <w:p w14:paraId="5961A2CF">
                  <w:pPr>
                    <w:pStyle w:val="35"/>
                    <w:ind w:left="0" w:leftChars="0" w:firstLine="0" w:firstLineChars="0"/>
                    <w:jc w:val="both"/>
                    <w:rPr>
                      <w:color w:val="auto"/>
                      <w:sz w:val="21"/>
                      <w:szCs w:val="21"/>
                      <w:highlight w:val="none"/>
                    </w:rPr>
                  </w:pPr>
                  <w:r>
                    <w:rPr>
                      <w:rFonts w:hint="eastAsia"/>
                      <w:color w:val="auto"/>
                      <w:sz w:val="21"/>
                      <w:szCs w:val="21"/>
                      <w:highlight w:val="none"/>
                    </w:rPr>
                    <w:t>事故恢复措施</w:t>
                  </w:r>
                </w:p>
              </w:tc>
              <w:tc>
                <w:tcPr>
                  <w:tcW w:w="3640" w:type="pct"/>
                  <w:tcBorders>
                    <w:tl2br w:val="nil"/>
                    <w:tr2bl w:val="nil"/>
                  </w:tcBorders>
                  <w:vAlign w:val="center"/>
                </w:tcPr>
                <w:p w14:paraId="588CC70E">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制定有关的环境恢复措施，组织专业人员对事故后的环境变化进行监测，对事故应急措施的环境可行性进行后影响评价。</w:t>
                  </w:r>
                </w:p>
              </w:tc>
            </w:tr>
            <w:tr w14:paraId="4D64E95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7E5D4FF1">
                  <w:pPr>
                    <w:pStyle w:val="35"/>
                    <w:ind w:left="0" w:leftChars="0" w:firstLine="0" w:firstLineChars="0"/>
                    <w:jc w:val="both"/>
                    <w:rPr>
                      <w:rFonts w:hint="default" w:eastAsia="宋体"/>
                      <w:color w:val="auto"/>
                      <w:sz w:val="21"/>
                      <w:szCs w:val="21"/>
                      <w:highlight w:val="none"/>
                      <w:lang w:val="en-US" w:eastAsia="zh-CN"/>
                    </w:rPr>
                  </w:pPr>
                  <w:r>
                    <w:rPr>
                      <w:rFonts w:hint="eastAsia"/>
                      <w:color w:val="auto"/>
                      <w:sz w:val="21"/>
                      <w:szCs w:val="21"/>
                      <w:highlight w:val="none"/>
                      <w:lang w:val="en-US" w:eastAsia="zh-CN"/>
                    </w:rPr>
                    <w:t>10</w:t>
                  </w:r>
                </w:p>
              </w:tc>
              <w:tc>
                <w:tcPr>
                  <w:tcW w:w="893" w:type="pct"/>
                  <w:tcBorders>
                    <w:tl2br w:val="nil"/>
                    <w:tr2bl w:val="nil"/>
                  </w:tcBorders>
                  <w:vAlign w:val="center"/>
                </w:tcPr>
                <w:p w14:paraId="695677FC">
                  <w:pPr>
                    <w:pStyle w:val="35"/>
                    <w:ind w:left="0" w:leftChars="0" w:firstLine="0" w:firstLineChars="0"/>
                    <w:jc w:val="both"/>
                    <w:rPr>
                      <w:color w:val="auto"/>
                      <w:sz w:val="21"/>
                      <w:szCs w:val="21"/>
                      <w:highlight w:val="none"/>
                    </w:rPr>
                  </w:pPr>
                  <w:r>
                    <w:rPr>
                      <w:rFonts w:hint="eastAsia"/>
                      <w:color w:val="auto"/>
                      <w:sz w:val="21"/>
                      <w:szCs w:val="21"/>
                      <w:highlight w:val="none"/>
                    </w:rPr>
                    <w:t>应急培训计划</w:t>
                  </w:r>
                </w:p>
              </w:tc>
              <w:tc>
                <w:tcPr>
                  <w:tcW w:w="3640" w:type="pct"/>
                  <w:tcBorders>
                    <w:tl2br w:val="nil"/>
                    <w:tr2bl w:val="nil"/>
                  </w:tcBorders>
                  <w:vAlign w:val="center"/>
                </w:tcPr>
                <w:p w14:paraId="652AC5EA">
                  <w:pPr>
                    <w:pStyle w:val="35"/>
                    <w:jc w:val="both"/>
                    <w:rPr>
                      <w:color w:val="auto"/>
                      <w:sz w:val="21"/>
                      <w:szCs w:val="21"/>
                      <w:highlight w:val="none"/>
                    </w:rPr>
                  </w:pPr>
                  <w:r>
                    <w:rPr>
                      <w:rFonts w:hint="eastAsia"/>
                      <w:color w:val="auto"/>
                      <w:sz w:val="21"/>
                      <w:szCs w:val="21"/>
                      <w:highlight w:val="none"/>
                    </w:rPr>
                    <w:t>定期安排有关人员进行培训与演练。</w:t>
                  </w:r>
                </w:p>
              </w:tc>
            </w:tr>
            <w:tr w14:paraId="4295CB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3E207B31">
                  <w:pPr>
                    <w:pStyle w:val="35"/>
                    <w:ind w:left="0" w:leftChars="0" w:firstLine="0" w:firstLineChars="0"/>
                    <w:jc w:val="both"/>
                    <w:rPr>
                      <w:rFonts w:hint="eastAsia" w:eastAsia="宋体"/>
                      <w:color w:val="auto"/>
                      <w:sz w:val="21"/>
                      <w:szCs w:val="21"/>
                      <w:highlight w:val="none"/>
                      <w:lang w:val="en-US" w:eastAsia="zh-CN"/>
                    </w:rPr>
                  </w:pPr>
                  <w:r>
                    <w:rPr>
                      <w:rFonts w:hint="eastAsia"/>
                      <w:color w:val="auto"/>
                      <w:sz w:val="21"/>
                      <w:szCs w:val="21"/>
                      <w:highlight w:val="none"/>
                    </w:rPr>
                    <w:t>1</w:t>
                  </w:r>
                  <w:r>
                    <w:rPr>
                      <w:rFonts w:hint="eastAsia"/>
                      <w:color w:val="auto"/>
                      <w:sz w:val="21"/>
                      <w:szCs w:val="21"/>
                      <w:highlight w:val="none"/>
                      <w:lang w:val="en-US" w:eastAsia="zh-CN"/>
                    </w:rPr>
                    <w:t>1</w:t>
                  </w:r>
                </w:p>
              </w:tc>
              <w:tc>
                <w:tcPr>
                  <w:tcW w:w="893" w:type="pct"/>
                  <w:tcBorders>
                    <w:tl2br w:val="nil"/>
                    <w:tr2bl w:val="nil"/>
                  </w:tcBorders>
                  <w:vAlign w:val="center"/>
                </w:tcPr>
                <w:p w14:paraId="30A3E1F8">
                  <w:pPr>
                    <w:pStyle w:val="35"/>
                    <w:ind w:left="0" w:leftChars="0" w:firstLine="0" w:firstLineChars="0"/>
                    <w:jc w:val="both"/>
                    <w:rPr>
                      <w:color w:val="auto"/>
                      <w:sz w:val="21"/>
                      <w:szCs w:val="21"/>
                      <w:highlight w:val="none"/>
                    </w:rPr>
                  </w:pPr>
                  <w:r>
                    <w:rPr>
                      <w:rFonts w:hint="eastAsia"/>
                      <w:color w:val="auto"/>
                      <w:sz w:val="21"/>
                      <w:szCs w:val="21"/>
                      <w:highlight w:val="none"/>
                    </w:rPr>
                    <w:t>公众教育和信息</w:t>
                  </w:r>
                </w:p>
              </w:tc>
              <w:tc>
                <w:tcPr>
                  <w:tcW w:w="3640" w:type="pct"/>
                  <w:tcBorders>
                    <w:tl2br w:val="nil"/>
                    <w:tr2bl w:val="nil"/>
                  </w:tcBorders>
                  <w:vAlign w:val="center"/>
                </w:tcPr>
                <w:p w14:paraId="68C5DB93">
                  <w:pPr>
                    <w:pStyle w:val="35"/>
                    <w:jc w:val="both"/>
                    <w:rPr>
                      <w:color w:val="auto"/>
                      <w:sz w:val="21"/>
                      <w:szCs w:val="21"/>
                      <w:highlight w:val="none"/>
                    </w:rPr>
                  </w:pPr>
                  <w:r>
                    <w:rPr>
                      <w:rFonts w:hint="eastAsia"/>
                      <w:color w:val="auto"/>
                      <w:sz w:val="21"/>
                      <w:szCs w:val="21"/>
                      <w:highlight w:val="none"/>
                    </w:rPr>
                    <w:t>对工厂邻近地区开展公众教育、培训和发布有关信息。</w:t>
                  </w:r>
                </w:p>
              </w:tc>
            </w:tr>
          </w:tbl>
          <w:p w14:paraId="79951982">
            <w:pPr>
              <w:pStyle w:val="1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rPr>
              <w:t>7.</w:t>
            </w:r>
            <w:r>
              <w:rPr>
                <w:rFonts w:hint="eastAsia" w:cs="Times New Roman"/>
                <w:b/>
                <w:bCs/>
                <w:color w:val="auto"/>
                <w:sz w:val="24"/>
                <w:highlight w:val="none"/>
                <w:lang w:val="en-US" w:eastAsia="zh-CN"/>
              </w:rPr>
              <w:t>7</w:t>
            </w:r>
            <w:r>
              <w:rPr>
                <w:rFonts w:hint="eastAsia" w:ascii="Times New Roman" w:hAnsi="Times New Roman" w:eastAsia="宋体" w:cs="Times New Roman"/>
                <w:b/>
                <w:bCs/>
                <w:color w:val="auto"/>
                <w:sz w:val="24"/>
                <w:highlight w:val="none"/>
              </w:rPr>
              <w:t>环境风险影响分析结论</w:t>
            </w:r>
          </w:p>
          <w:p w14:paraId="2519AEA2">
            <w:pPr>
              <w:autoSpaceDE w:val="0"/>
              <w:autoSpaceDN w:val="0"/>
              <w:adjustRightInd w:val="0"/>
              <w:snapToGrid w:val="0"/>
              <w:spacing w:line="360" w:lineRule="auto"/>
              <w:ind w:firstLine="480" w:firstLineChars="200"/>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本项目</w:t>
            </w:r>
            <w:r>
              <w:rPr>
                <w:rFonts w:hint="eastAsia" w:ascii="Times New Roman" w:hAnsi="Times New Roman" w:eastAsia="宋体" w:cs="Times New Roman"/>
                <w:color w:val="auto"/>
                <w:kern w:val="0"/>
                <w:sz w:val="24"/>
                <w:highlight w:val="none"/>
              </w:rPr>
              <w:t>未构成</w:t>
            </w:r>
            <w:r>
              <w:rPr>
                <w:rFonts w:ascii="Times New Roman" w:hAnsi="Times New Roman" w:eastAsia="宋体" w:cs="Times New Roman"/>
                <w:color w:val="auto"/>
                <w:kern w:val="0"/>
                <w:sz w:val="24"/>
                <w:highlight w:val="none"/>
              </w:rPr>
              <w:t>重大危险源，在经过安全防范措施后能够基本杜绝风险事故发生，经认真贯彻预案中的应急措施，可将风险降至</w:t>
            </w:r>
            <w:r>
              <w:rPr>
                <w:rFonts w:hint="eastAsia" w:cs="Times New Roman"/>
                <w:color w:val="auto"/>
                <w:kern w:val="0"/>
                <w:sz w:val="24"/>
                <w:highlight w:val="none"/>
                <w:lang w:val="en-US" w:eastAsia="zh-CN"/>
              </w:rPr>
              <w:t>可</w:t>
            </w:r>
            <w:r>
              <w:rPr>
                <w:rFonts w:ascii="Times New Roman" w:hAnsi="Times New Roman" w:eastAsia="宋体" w:cs="Times New Roman"/>
                <w:color w:val="auto"/>
                <w:kern w:val="0"/>
                <w:sz w:val="24"/>
                <w:highlight w:val="none"/>
              </w:rPr>
              <w:t>接受水平内，故本项目的环境风险是可接受的。</w:t>
            </w:r>
          </w:p>
          <w:p w14:paraId="34748864">
            <w:pPr>
              <w:shd w:val="clear"/>
              <w:spacing w:line="360" w:lineRule="auto"/>
              <w:ind w:firstLine="480" w:firstLineChars="200"/>
              <w:rPr>
                <w:color w:val="auto"/>
                <w:sz w:val="24"/>
                <w:highlight w:val="none"/>
              </w:rPr>
            </w:pPr>
            <w:r>
              <w:rPr>
                <w:color w:val="auto"/>
                <w:sz w:val="24"/>
                <w:highlight w:val="none"/>
              </w:rPr>
              <w:t>本项目风险潜势为I，进行简单分析，具体如下表。</w:t>
            </w:r>
          </w:p>
          <w:p w14:paraId="2C2989E6">
            <w:pPr>
              <w:shd w:val="clear"/>
              <w:jc w:val="center"/>
              <w:rPr>
                <w:b/>
                <w:bCs/>
                <w:color w:val="auto"/>
                <w:highlight w:val="none"/>
              </w:rPr>
            </w:pPr>
            <w:r>
              <w:rPr>
                <w:b/>
                <w:bCs/>
                <w:color w:val="auto"/>
                <w:highlight w:val="none"/>
              </w:rPr>
              <w:t>表4-</w:t>
            </w:r>
            <w:r>
              <w:rPr>
                <w:rFonts w:hint="eastAsia"/>
                <w:b/>
                <w:bCs/>
                <w:color w:val="auto"/>
                <w:highlight w:val="none"/>
              </w:rPr>
              <w:t>2</w:t>
            </w:r>
            <w:r>
              <w:rPr>
                <w:rFonts w:hint="eastAsia"/>
                <w:b/>
                <w:bCs/>
                <w:color w:val="auto"/>
                <w:highlight w:val="none"/>
                <w:lang w:val="en-US" w:eastAsia="zh-CN"/>
              </w:rPr>
              <w:t>1</w:t>
            </w:r>
            <w:r>
              <w:rPr>
                <w:b/>
                <w:bCs/>
                <w:color w:val="auto"/>
                <w:highlight w:val="none"/>
              </w:rPr>
              <w:t>建设项目环境风险简单分析内容表</w:t>
            </w:r>
          </w:p>
          <w:tbl>
            <w:tblPr>
              <w:tblStyle w:val="19"/>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05"/>
              <w:gridCol w:w="1316"/>
              <w:gridCol w:w="1230"/>
              <w:gridCol w:w="478"/>
              <w:gridCol w:w="1033"/>
              <w:gridCol w:w="2185"/>
            </w:tblGrid>
            <w:tr w14:paraId="00B228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215" w:type="pct"/>
                  <w:tcBorders>
                    <w:top w:val="single" w:color="auto" w:sz="12" w:space="0"/>
                    <w:bottom w:val="single" w:color="auto" w:sz="12" w:space="0"/>
                    <w:right w:val="single" w:color="auto" w:sz="4" w:space="0"/>
                  </w:tcBorders>
                  <w:vAlign w:val="center"/>
                </w:tcPr>
                <w:p w14:paraId="3E460791">
                  <w:pPr>
                    <w:shd w:val="clear"/>
                    <w:jc w:val="center"/>
                    <w:rPr>
                      <w:b/>
                      <w:bCs/>
                      <w:color w:val="auto"/>
                      <w:szCs w:val="21"/>
                      <w:highlight w:val="none"/>
                    </w:rPr>
                  </w:pPr>
                  <w:r>
                    <w:rPr>
                      <w:color w:val="auto"/>
                      <w:szCs w:val="21"/>
                      <w:highlight w:val="none"/>
                    </w:rPr>
                    <w:t>建设项目名称</w:t>
                  </w:r>
                </w:p>
              </w:tc>
              <w:tc>
                <w:tcPr>
                  <w:tcW w:w="3784" w:type="pct"/>
                  <w:gridSpan w:val="5"/>
                  <w:tcBorders>
                    <w:top w:val="single" w:color="auto" w:sz="12" w:space="0"/>
                    <w:left w:val="single" w:color="auto" w:sz="4" w:space="0"/>
                    <w:bottom w:val="single" w:color="auto" w:sz="12" w:space="0"/>
                  </w:tcBorders>
                  <w:vAlign w:val="center"/>
                </w:tcPr>
                <w:p w14:paraId="2F58C713">
                  <w:pPr>
                    <w:shd w:val="clear"/>
                    <w:jc w:val="center"/>
                    <w:rPr>
                      <w:color w:val="auto"/>
                      <w:szCs w:val="21"/>
                      <w:highlight w:val="none"/>
                    </w:rPr>
                  </w:pPr>
                  <w:r>
                    <w:rPr>
                      <w:rFonts w:hint="eastAsia" w:cs="Times New Roman"/>
                      <w:color w:val="auto"/>
                      <w:szCs w:val="21"/>
                      <w:highlight w:val="none"/>
                      <w:lang w:val="en-US" w:eastAsia="zh-CN"/>
                    </w:rPr>
                    <w:t>SBS弹性体改性沥青防水卷材、防水涂料项目</w:t>
                  </w:r>
                </w:p>
              </w:tc>
            </w:tr>
            <w:tr w14:paraId="69F1B2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215" w:type="pct"/>
                  <w:tcBorders>
                    <w:top w:val="single" w:color="auto" w:sz="12" w:space="0"/>
                    <w:bottom w:val="single" w:color="auto" w:sz="4" w:space="0"/>
                    <w:right w:val="single" w:color="auto" w:sz="4" w:space="0"/>
                  </w:tcBorders>
                  <w:vAlign w:val="center"/>
                </w:tcPr>
                <w:p w14:paraId="38D507D9">
                  <w:pPr>
                    <w:shd w:val="clear"/>
                    <w:jc w:val="center"/>
                    <w:rPr>
                      <w:color w:val="auto"/>
                      <w:szCs w:val="21"/>
                      <w:highlight w:val="none"/>
                    </w:rPr>
                  </w:pPr>
                  <w:r>
                    <w:rPr>
                      <w:color w:val="auto"/>
                      <w:szCs w:val="21"/>
                      <w:highlight w:val="none"/>
                    </w:rPr>
                    <w:t>建设地点</w:t>
                  </w:r>
                </w:p>
              </w:tc>
              <w:tc>
                <w:tcPr>
                  <w:tcW w:w="797" w:type="pct"/>
                  <w:tcBorders>
                    <w:top w:val="single" w:color="auto" w:sz="12" w:space="0"/>
                    <w:left w:val="single" w:color="auto" w:sz="4" w:space="0"/>
                    <w:bottom w:val="single" w:color="auto" w:sz="4" w:space="0"/>
                  </w:tcBorders>
                  <w:vAlign w:val="center"/>
                </w:tcPr>
                <w:p w14:paraId="30C27E3E">
                  <w:pPr>
                    <w:shd w:val="clear"/>
                    <w:jc w:val="both"/>
                    <w:rPr>
                      <w:rFonts w:hint="default"/>
                      <w:color w:val="auto"/>
                      <w:szCs w:val="21"/>
                      <w:highlight w:val="none"/>
                      <w:lang w:val="en-US"/>
                    </w:rPr>
                  </w:pPr>
                  <w:r>
                    <w:rPr>
                      <w:rFonts w:hint="eastAsia"/>
                      <w:color w:val="auto"/>
                      <w:szCs w:val="21"/>
                      <w:highlight w:val="none"/>
                      <w:lang w:val="en-US" w:eastAsia="zh-CN"/>
                    </w:rPr>
                    <w:t>新疆维吾尔自治区</w:t>
                  </w:r>
                </w:p>
              </w:tc>
              <w:tc>
                <w:tcPr>
                  <w:tcW w:w="745" w:type="pct"/>
                  <w:tcBorders>
                    <w:top w:val="single" w:color="auto" w:sz="12" w:space="0"/>
                    <w:left w:val="single" w:color="auto" w:sz="4" w:space="0"/>
                    <w:bottom w:val="single" w:color="auto" w:sz="4" w:space="0"/>
                  </w:tcBorders>
                  <w:vAlign w:val="center"/>
                </w:tcPr>
                <w:p w14:paraId="780D6879">
                  <w:pPr>
                    <w:shd w:val="clear"/>
                    <w:jc w:val="both"/>
                    <w:rPr>
                      <w:rFonts w:hint="default" w:eastAsia="宋体"/>
                      <w:color w:val="auto"/>
                      <w:szCs w:val="21"/>
                      <w:highlight w:val="none"/>
                      <w:lang w:val="en-US" w:eastAsia="zh-CN"/>
                    </w:rPr>
                  </w:pPr>
                  <w:r>
                    <w:rPr>
                      <w:rFonts w:hint="eastAsia"/>
                      <w:color w:val="auto"/>
                      <w:szCs w:val="21"/>
                      <w:highlight w:val="none"/>
                      <w:lang w:val="en-US" w:eastAsia="zh-CN"/>
                    </w:rPr>
                    <w:t>昌吉回族自治州</w:t>
                  </w:r>
                </w:p>
              </w:tc>
              <w:tc>
                <w:tcPr>
                  <w:tcW w:w="916" w:type="pct"/>
                  <w:gridSpan w:val="2"/>
                  <w:tcBorders>
                    <w:top w:val="single" w:color="auto" w:sz="12" w:space="0"/>
                    <w:left w:val="single" w:color="auto" w:sz="4" w:space="0"/>
                    <w:bottom w:val="single" w:color="auto" w:sz="4" w:space="0"/>
                  </w:tcBorders>
                  <w:vAlign w:val="center"/>
                </w:tcPr>
                <w:p w14:paraId="4CB2D71F">
                  <w:pPr>
                    <w:shd w:val="clear"/>
                    <w:jc w:val="both"/>
                    <w:rPr>
                      <w:rFonts w:hint="default" w:eastAsia="宋体"/>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高新技术产业开发</w:t>
                  </w:r>
                  <w:r>
                    <w:rPr>
                      <w:rFonts w:hint="eastAsia" w:cs="Times New Roman"/>
                      <w:color w:val="auto"/>
                      <w:szCs w:val="21"/>
                      <w:highlight w:val="none"/>
                      <w:lang w:val="en-US" w:eastAsia="zh-CN"/>
                    </w:rPr>
                    <w:t>区</w:t>
                  </w:r>
                </w:p>
              </w:tc>
              <w:tc>
                <w:tcPr>
                  <w:tcW w:w="1324" w:type="pct"/>
                  <w:tcBorders>
                    <w:top w:val="single" w:color="auto" w:sz="12" w:space="0"/>
                    <w:left w:val="single" w:color="auto" w:sz="4" w:space="0"/>
                    <w:bottom w:val="single" w:color="auto" w:sz="4" w:space="0"/>
                  </w:tcBorders>
                  <w:vAlign w:val="center"/>
                </w:tcPr>
                <w:p w14:paraId="067198AF">
                  <w:pPr>
                    <w:shd w:val="clear"/>
                    <w:jc w:val="center"/>
                    <w:rPr>
                      <w:rFonts w:hint="default" w:eastAsia="宋体"/>
                      <w:color w:val="auto"/>
                      <w:szCs w:val="21"/>
                      <w:highlight w:val="none"/>
                      <w:lang w:val="en-US" w:eastAsia="zh-CN"/>
                    </w:rPr>
                  </w:pPr>
                  <w:r>
                    <w:rPr>
                      <w:rFonts w:hint="eastAsia"/>
                      <w:color w:val="auto"/>
                      <w:szCs w:val="21"/>
                      <w:highlight w:val="none"/>
                      <w:lang w:val="en-US" w:eastAsia="zh-CN"/>
                    </w:rPr>
                    <w:t>东四路与科荟路交叉口东南方向98米</w:t>
                  </w:r>
                </w:p>
              </w:tc>
            </w:tr>
            <w:tr w14:paraId="3B3EB8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1215" w:type="pct"/>
                  <w:tcBorders>
                    <w:top w:val="single" w:color="auto" w:sz="4" w:space="0"/>
                    <w:bottom w:val="single" w:color="auto" w:sz="4" w:space="0"/>
                    <w:right w:val="single" w:color="auto" w:sz="4" w:space="0"/>
                  </w:tcBorders>
                  <w:vAlign w:val="center"/>
                </w:tcPr>
                <w:p w14:paraId="5A55BC20">
                  <w:pPr>
                    <w:shd w:val="clear"/>
                    <w:jc w:val="center"/>
                    <w:rPr>
                      <w:color w:val="auto"/>
                      <w:szCs w:val="21"/>
                      <w:highlight w:val="none"/>
                    </w:rPr>
                  </w:pPr>
                  <w:r>
                    <w:rPr>
                      <w:color w:val="auto"/>
                      <w:szCs w:val="21"/>
                      <w:highlight w:val="none"/>
                    </w:rPr>
                    <w:t>地理坐标</w:t>
                  </w:r>
                </w:p>
              </w:tc>
              <w:tc>
                <w:tcPr>
                  <w:tcW w:w="797" w:type="pct"/>
                  <w:tcBorders>
                    <w:top w:val="single" w:color="auto" w:sz="4" w:space="0"/>
                    <w:left w:val="single" w:color="auto" w:sz="4" w:space="0"/>
                    <w:bottom w:val="single" w:color="auto" w:sz="4" w:space="0"/>
                  </w:tcBorders>
                  <w:vAlign w:val="center"/>
                </w:tcPr>
                <w:p w14:paraId="5B12CD81">
                  <w:pPr>
                    <w:shd w:val="clear"/>
                    <w:jc w:val="center"/>
                    <w:rPr>
                      <w:color w:val="auto"/>
                      <w:szCs w:val="21"/>
                      <w:highlight w:val="none"/>
                    </w:rPr>
                  </w:pPr>
                  <w:r>
                    <w:rPr>
                      <w:rFonts w:hint="eastAsia"/>
                      <w:color w:val="auto"/>
                      <w:szCs w:val="21"/>
                      <w:highlight w:val="none"/>
                      <w:lang w:val="en-US" w:eastAsia="zh-CN"/>
                    </w:rPr>
                    <w:t>经度</w:t>
                  </w:r>
                </w:p>
              </w:tc>
              <w:tc>
                <w:tcPr>
                  <w:tcW w:w="1035" w:type="pct"/>
                  <w:gridSpan w:val="2"/>
                  <w:tcBorders>
                    <w:top w:val="single" w:color="auto" w:sz="4" w:space="0"/>
                    <w:left w:val="single" w:color="auto" w:sz="4" w:space="0"/>
                    <w:bottom w:val="single" w:color="auto" w:sz="4" w:space="0"/>
                  </w:tcBorders>
                  <w:vAlign w:val="center"/>
                </w:tcPr>
                <w:p w14:paraId="6F37805D">
                  <w:pPr>
                    <w:shd w:val="clear"/>
                    <w:jc w:val="center"/>
                    <w:rPr>
                      <w:rFonts w:hint="eastAsia"/>
                      <w:color w:val="auto"/>
                      <w:sz w:val="21"/>
                      <w:szCs w:val="21"/>
                      <w:highlight w:val="none"/>
                      <w:lang w:val="en-US" w:eastAsia="zh-CN"/>
                    </w:rPr>
                  </w:pPr>
                  <w:r>
                    <w:rPr>
                      <w:rFonts w:hint="eastAsia" w:cs="Times New Roman"/>
                      <w:color w:val="auto"/>
                      <w:sz w:val="21"/>
                      <w:szCs w:val="21"/>
                      <w:highlight w:val="none"/>
                      <w:lang w:val="en-US" w:eastAsia="zh-CN"/>
                    </w:rPr>
                    <w:t>87</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07</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50</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849</w:t>
                  </w:r>
                  <w:r>
                    <w:rPr>
                      <w:rFonts w:hint="default" w:ascii="Times New Roman" w:hAnsi="Times New Roman" w:eastAsia="宋体" w:cs="Times New Roman"/>
                      <w:color w:val="auto"/>
                      <w:sz w:val="21"/>
                      <w:szCs w:val="21"/>
                      <w:highlight w:val="none"/>
                      <w:lang w:val="en-US" w:eastAsia="zh-CN"/>
                    </w:rPr>
                    <w:t>″</w:t>
                  </w:r>
                </w:p>
              </w:tc>
              <w:tc>
                <w:tcPr>
                  <w:tcW w:w="626" w:type="pct"/>
                  <w:tcBorders>
                    <w:top w:val="single" w:color="auto" w:sz="4" w:space="0"/>
                    <w:left w:val="single" w:color="auto" w:sz="4" w:space="0"/>
                    <w:bottom w:val="single" w:color="auto" w:sz="4" w:space="0"/>
                  </w:tcBorders>
                  <w:vAlign w:val="center"/>
                </w:tcPr>
                <w:p w14:paraId="7E3DFAD7">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纬度</w:t>
                  </w:r>
                </w:p>
              </w:tc>
              <w:tc>
                <w:tcPr>
                  <w:tcW w:w="1324" w:type="pct"/>
                  <w:tcBorders>
                    <w:top w:val="single" w:color="auto" w:sz="4" w:space="0"/>
                    <w:left w:val="single" w:color="auto" w:sz="4" w:space="0"/>
                    <w:bottom w:val="single" w:color="auto" w:sz="4" w:space="0"/>
                  </w:tcBorders>
                  <w:vAlign w:val="center"/>
                </w:tcPr>
                <w:p w14:paraId="04A01696">
                  <w:pPr>
                    <w:shd w:val="clear"/>
                    <w:jc w:val="center"/>
                    <w:rPr>
                      <w:rFonts w:hint="eastAsia" w:eastAsia="宋体"/>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05</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12</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474</w:t>
                  </w:r>
                  <w:r>
                    <w:rPr>
                      <w:rFonts w:hint="default" w:ascii="Times New Roman" w:hAnsi="Times New Roman" w:eastAsia="宋体" w:cs="Times New Roman"/>
                      <w:color w:val="auto"/>
                      <w:sz w:val="21"/>
                      <w:szCs w:val="21"/>
                      <w:highlight w:val="none"/>
                      <w:lang w:val="en-US" w:eastAsia="zh-CN"/>
                    </w:rPr>
                    <w:t>″</w:t>
                  </w:r>
                </w:p>
              </w:tc>
            </w:tr>
            <w:tr w14:paraId="7C1AD2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1215" w:type="pct"/>
                  <w:tcBorders>
                    <w:top w:val="single" w:color="auto" w:sz="4" w:space="0"/>
                    <w:bottom w:val="single" w:color="auto" w:sz="4" w:space="0"/>
                    <w:right w:val="single" w:color="auto" w:sz="4" w:space="0"/>
                  </w:tcBorders>
                  <w:vAlign w:val="center"/>
                </w:tcPr>
                <w:p w14:paraId="0D67B2CF">
                  <w:pPr>
                    <w:shd w:val="clear"/>
                    <w:jc w:val="both"/>
                    <w:rPr>
                      <w:color w:val="auto"/>
                      <w:szCs w:val="21"/>
                      <w:highlight w:val="none"/>
                    </w:rPr>
                  </w:pPr>
                  <w:r>
                    <w:rPr>
                      <w:color w:val="auto"/>
                      <w:szCs w:val="21"/>
                      <w:highlight w:val="none"/>
                    </w:rPr>
                    <w:t>主要危险物质及分布</w:t>
                  </w:r>
                </w:p>
              </w:tc>
              <w:tc>
                <w:tcPr>
                  <w:tcW w:w="3784" w:type="pct"/>
                  <w:gridSpan w:val="5"/>
                  <w:tcBorders>
                    <w:top w:val="single" w:color="auto" w:sz="4" w:space="0"/>
                    <w:left w:val="single" w:color="auto" w:sz="4" w:space="0"/>
                    <w:bottom w:val="single" w:color="auto" w:sz="4" w:space="0"/>
                  </w:tcBorders>
                  <w:vAlign w:val="center"/>
                </w:tcPr>
                <w:p w14:paraId="1B0C82E5">
                  <w:pPr>
                    <w:shd w:val="clear"/>
                    <w:jc w:val="center"/>
                    <w:rPr>
                      <w:rFonts w:hint="default" w:eastAsia="宋体"/>
                      <w:color w:val="auto"/>
                      <w:szCs w:val="21"/>
                      <w:highlight w:val="none"/>
                      <w:lang w:val="en-US" w:eastAsia="zh-CN"/>
                    </w:rPr>
                  </w:pPr>
                  <w:r>
                    <w:rPr>
                      <w:rFonts w:hint="eastAsia"/>
                      <w:color w:val="auto"/>
                      <w:szCs w:val="21"/>
                      <w:highlight w:val="none"/>
                      <w:lang w:val="en-US" w:eastAsia="zh-CN"/>
                    </w:rPr>
                    <w:t>危废间、沉淀池、沥青储罐</w:t>
                  </w:r>
                </w:p>
              </w:tc>
            </w:tr>
            <w:tr w14:paraId="3086A8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15" w:type="pct"/>
                  <w:tcBorders>
                    <w:top w:val="single" w:color="auto" w:sz="4" w:space="0"/>
                    <w:bottom w:val="single" w:color="auto" w:sz="4" w:space="0"/>
                    <w:right w:val="single" w:color="auto" w:sz="4" w:space="0"/>
                  </w:tcBorders>
                  <w:vAlign w:val="center"/>
                </w:tcPr>
                <w:p w14:paraId="447A216C">
                  <w:pPr>
                    <w:shd w:val="clear"/>
                    <w:jc w:val="center"/>
                    <w:rPr>
                      <w:color w:val="auto"/>
                      <w:szCs w:val="21"/>
                      <w:highlight w:val="none"/>
                    </w:rPr>
                  </w:pPr>
                  <w:r>
                    <w:rPr>
                      <w:color w:val="auto"/>
                      <w:szCs w:val="21"/>
                      <w:highlight w:val="none"/>
                    </w:rPr>
                    <w:t>环境影响途径及危害后果（大气、地表水、地下水）</w:t>
                  </w:r>
                </w:p>
              </w:tc>
              <w:tc>
                <w:tcPr>
                  <w:tcW w:w="3784" w:type="pct"/>
                  <w:gridSpan w:val="5"/>
                  <w:tcBorders>
                    <w:top w:val="single" w:color="auto" w:sz="4" w:space="0"/>
                    <w:left w:val="single" w:color="auto" w:sz="4" w:space="0"/>
                    <w:bottom w:val="single" w:color="auto" w:sz="4" w:space="0"/>
                  </w:tcBorders>
                  <w:vAlign w:val="center"/>
                </w:tcPr>
                <w:p w14:paraId="1DB364E2">
                  <w:pPr>
                    <w:numPr>
                      <w:ilvl w:val="0"/>
                      <w:numId w:val="0"/>
                    </w:numPr>
                    <w:shd w:val="clear"/>
                    <w:jc w:val="left"/>
                    <w:rPr>
                      <w:rFonts w:hint="eastAsia"/>
                      <w:color w:val="auto"/>
                      <w:highlight w:val="none"/>
                    </w:rPr>
                  </w:pPr>
                  <w:r>
                    <w:rPr>
                      <w:rFonts w:hint="eastAsia" w:ascii="Times New Roman" w:hAnsi="Times New Roman" w:eastAsia="宋体" w:cs="Times New Roman"/>
                      <w:color w:val="auto"/>
                      <w:kern w:val="2"/>
                      <w:sz w:val="21"/>
                      <w:szCs w:val="24"/>
                      <w:highlight w:val="none"/>
                      <w:lang w:val="en-US" w:eastAsia="zh-CN" w:bidi="ar-SA"/>
                    </w:rPr>
                    <w:t>（1）</w:t>
                  </w:r>
                  <w:r>
                    <w:rPr>
                      <w:rFonts w:hint="eastAsia"/>
                      <w:color w:val="auto"/>
                      <w:highlight w:val="none"/>
                    </w:rPr>
                    <w:t>在储存、运输、加注过程中，发生泄漏、洒落等情况，可能会渗入地下污染地下水和土壤。另外，废机油中含有易挥发的有机物，如果泄漏（洒落）量比较大，则会造成空气污染。若未及时处置或在种种外力作用下发生火灾，会造成次生、伴生的环境污染</w:t>
                  </w:r>
                </w:p>
                <w:p w14:paraId="7A1593D1">
                  <w:pPr>
                    <w:numPr>
                      <w:ilvl w:val="0"/>
                      <w:numId w:val="0"/>
                    </w:numPr>
                    <w:shd w:val="clear"/>
                    <w:jc w:val="left"/>
                    <w:rPr>
                      <w:rFonts w:hint="eastAsia"/>
                      <w:color w:val="auto"/>
                      <w:highlight w:val="none"/>
                    </w:rPr>
                  </w:pPr>
                  <w:r>
                    <w:rPr>
                      <w:rFonts w:hint="eastAsia" w:ascii="Times New Roman" w:hAnsi="Times New Roman" w:eastAsia="宋体" w:cs="Times New Roman"/>
                      <w:color w:val="auto"/>
                      <w:kern w:val="2"/>
                      <w:sz w:val="21"/>
                      <w:szCs w:val="24"/>
                      <w:highlight w:val="none"/>
                      <w:lang w:val="en-US" w:eastAsia="zh-CN" w:bidi="ar-SA"/>
                    </w:rPr>
                    <w:t>（2）</w:t>
                  </w:r>
                  <w:r>
                    <w:rPr>
                      <w:rFonts w:hint="eastAsia"/>
                      <w:color w:val="auto"/>
                      <w:highlight w:val="none"/>
                      <w:lang w:val="en-US" w:eastAsia="zh-CN"/>
                    </w:rPr>
                    <w:t>沥青泄漏</w:t>
                  </w:r>
                  <w:r>
                    <w:rPr>
                      <w:rFonts w:hint="eastAsia"/>
                      <w:color w:val="auto"/>
                      <w:highlight w:val="none"/>
                    </w:rPr>
                    <w:t>，未采取有效防护措施以及原料泄漏、危废间废机油</w:t>
                  </w:r>
                  <w:r>
                    <w:rPr>
                      <w:rFonts w:hint="eastAsia"/>
                      <w:color w:val="auto"/>
                      <w:highlight w:val="none"/>
                      <w:lang w:val="en-US" w:eastAsia="zh-CN"/>
                    </w:rPr>
                    <w:t>等油类物质</w:t>
                  </w:r>
                  <w:r>
                    <w:rPr>
                      <w:rFonts w:hint="eastAsia"/>
                      <w:color w:val="auto"/>
                      <w:highlight w:val="none"/>
                    </w:rPr>
                    <w:t>泄漏、遇明火发生火灾。</w:t>
                  </w:r>
                </w:p>
                <w:p w14:paraId="781B5B2B">
                  <w:pPr>
                    <w:numPr>
                      <w:ilvl w:val="0"/>
                      <w:numId w:val="0"/>
                    </w:numPr>
                    <w:shd w:val="clear"/>
                    <w:jc w:val="left"/>
                    <w:rPr>
                      <w:rFonts w:hint="eastAsia"/>
                      <w:color w:val="auto"/>
                      <w:highlight w:val="none"/>
                    </w:rPr>
                  </w:pPr>
                  <w:r>
                    <w:rPr>
                      <w:rFonts w:hint="eastAsia" w:ascii="Times New Roman" w:hAnsi="Times New Roman" w:eastAsia="宋体" w:cs="Times New Roman"/>
                      <w:color w:val="auto"/>
                      <w:kern w:val="2"/>
                      <w:sz w:val="21"/>
                      <w:szCs w:val="24"/>
                      <w:highlight w:val="none"/>
                      <w:lang w:val="en-US" w:eastAsia="zh-CN" w:bidi="ar-SA"/>
                    </w:rPr>
                    <w:t>（3）</w:t>
                  </w:r>
                  <w:r>
                    <w:rPr>
                      <w:rFonts w:hint="eastAsia"/>
                      <w:color w:val="auto"/>
                      <w:highlight w:val="none"/>
                    </w:rPr>
                    <w:t>沥青储罐事故泄漏主要指自然灾害造成的沥青泄漏。这种污染一般是范围较广、面积较大、后果较为严重，达到自然环境的完全恢复</w:t>
                  </w:r>
                  <w:r>
                    <w:rPr>
                      <w:rFonts w:hint="eastAsia"/>
                      <w:color w:val="auto"/>
                      <w:highlight w:val="none"/>
                      <w:lang w:eastAsia="zh-CN"/>
                    </w:rPr>
                    <w:t>需要</w:t>
                  </w:r>
                  <w:r>
                    <w:rPr>
                      <w:rFonts w:hint="eastAsia"/>
                      <w:color w:val="auto"/>
                      <w:highlight w:val="none"/>
                    </w:rPr>
                    <w:t>相当长的时间。</w:t>
                  </w:r>
                </w:p>
                <w:p w14:paraId="7C1DF948">
                  <w:pPr>
                    <w:numPr>
                      <w:ilvl w:val="0"/>
                      <w:numId w:val="0"/>
                    </w:numPr>
                    <w:shd w:val="clear"/>
                    <w:jc w:val="left"/>
                    <w:rPr>
                      <w:rFonts w:hint="eastAsia"/>
                      <w:color w:val="auto"/>
                      <w:highlight w:val="none"/>
                      <w:lang w:val="en-US" w:eastAsia="zh-CN"/>
                    </w:rPr>
                  </w:pPr>
                  <w:r>
                    <w:rPr>
                      <w:rFonts w:hint="eastAsia" w:ascii="Times New Roman" w:hAnsi="Times New Roman" w:eastAsia="宋体" w:cs="Times New Roman"/>
                      <w:color w:val="auto"/>
                      <w:kern w:val="2"/>
                      <w:sz w:val="21"/>
                      <w:szCs w:val="24"/>
                      <w:highlight w:val="none"/>
                      <w:lang w:val="en-US" w:eastAsia="zh-CN" w:bidi="ar-SA"/>
                    </w:rPr>
                    <w:t>（4）</w:t>
                  </w:r>
                  <w:r>
                    <w:rPr>
                      <w:rFonts w:hint="eastAsia"/>
                      <w:color w:val="auto"/>
                      <w:highlight w:val="none"/>
                      <w:lang w:val="en-US" w:eastAsia="zh-CN"/>
                    </w:rPr>
                    <w:t>沉淀池底部泄漏，或者雨水天气导致沉淀池外溢。如果泄漏或外溢的量比较大，则会对周边土壤产生污染。</w:t>
                  </w:r>
                </w:p>
              </w:tc>
            </w:tr>
            <w:tr w14:paraId="39AEEA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15" w:type="pct"/>
                  <w:tcBorders>
                    <w:top w:val="single" w:color="auto" w:sz="4" w:space="0"/>
                    <w:bottom w:val="single" w:color="auto" w:sz="4" w:space="0"/>
                    <w:right w:val="single" w:color="auto" w:sz="4" w:space="0"/>
                  </w:tcBorders>
                  <w:vAlign w:val="center"/>
                </w:tcPr>
                <w:p w14:paraId="39406CB1">
                  <w:pPr>
                    <w:shd w:val="clear"/>
                    <w:jc w:val="center"/>
                    <w:rPr>
                      <w:color w:val="auto"/>
                      <w:szCs w:val="21"/>
                      <w:highlight w:val="none"/>
                    </w:rPr>
                  </w:pPr>
                  <w:r>
                    <w:rPr>
                      <w:color w:val="auto"/>
                      <w:szCs w:val="21"/>
                      <w:highlight w:val="none"/>
                    </w:rPr>
                    <w:t>风险防范措施要求</w:t>
                  </w:r>
                </w:p>
              </w:tc>
              <w:tc>
                <w:tcPr>
                  <w:tcW w:w="3784" w:type="pct"/>
                  <w:gridSpan w:val="5"/>
                  <w:tcBorders>
                    <w:top w:val="single" w:color="auto" w:sz="4" w:space="0"/>
                    <w:left w:val="single" w:color="auto" w:sz="4" w:space="0"/>
                    <w:bottom w:val="single" w:color="auto" w:sz="4" w:space="0"/>
                  </w:tcBorders>
                  <w:vAlign w:val="center"/>
                </w:tcPr>
                <w:p w14:paraId="245C8210">
                  <w:pPr>
                    <w:shd w:val="clear"/>
                    <w:rPr>
                      <w:color w:val="auto"/>
                      <w:highlight w:val="none"/>
                    </w:rPr>
                  </w:pPr>
                  <w:r>
                    <w:rPr>
                      <w:rFonts w:hint="eastAsia"/>
                      <w:color w:val="auto"/>
                      <w:highlight w:val="none"/>
                    </w:rPr>
                    <w:t>(1)为了防范</w:t>
                  </w:r>
                  <w:r>
                    <w:rPr>
                      <w:rFonts w:hint="eastAsia"/>
                      <w:color w:val="auto"/>
                      <w:highlight w:val="none"/>
                      <w:lang w:val="en-US" w:eastAsia="zh-CN"/>
                    </w:rPr>
                    <w:t>危废间</w:t>
                  </w:r>
                  <w:r>
                    <w:rPr>
                      <w:rFonts w:hint="eastAsia"/>
                      <w:color w:val="auto"/>
                      <w:highlight w:val="none"/>
                    </w:rPr>
                    <w:t>事故和减少危害，需根据企业实际情况制定消除和</w:t>
                  </w:r>
                  <w:r>
                    <w:rPr>
                      <w:rFonts w:hint="eastAsia"/>
                      <w:color w:val="auto"/>
                      <w:highlight w:val="none"/>
                      <w:lang w:eastAsia="zh-CN"/>
                    </w:rPr>
                    <w:t>减少</w:t>
                  </w:r>
                  <w:r>
                    <w:rPr>
                      <w:rFonts w:hint="eastAsia"/>
                      <w:color w:val="auto"/>
                      <w:highlight w:val="none"/>
                    </w:rPr>
                    <w:t>灾害事故影响的应急预案。当出现事故时，采取紧急的工程应急措施，以控制事故规模和减少事故对环境造成的危害。</w:t>
                  </w:r>
                </w:p>
                <w:p w14:paraId="7D1E6F28">
                  <w:pPr>
                    <w:shd w:val="clear"/>
                    <w:rPr>
                      <w:color w:val="auto"/>
                      <w:highlight w:val="none"/>
                    </w:rPr>
                  </w:pPr>
                  <w:r>
                    <w:rPr>
                      <w:rFonts w:hint="eastAsia"/>
                      <w:color w:val="auto"/>
                      <w:highlight w:val="none"/>
                    </w:rPr>
                    <w:t>(2)防止</w:t>
                  </w:r>
                  <w:r>
                    <w:rPr>
                      <w:rFonts w:hint="eastAsia"/>
                      <w:color w:val="auto"/>
                      <w:highlight w:val="none"/>
                      <w:lang w:val="en-US" w:eastAsia="zh-CN"/>
                    </w:rPr>
                    <w:t>沥青起火，</w:t>
                  </w:r>
                  <w:r>
                    <w:rPr>
                      <w:rFonts w:hint="eastAsia"/>
                      <w:color w:val="auto"/>
                      <w:highlight w:val="none"/>
                    </w:rPr>
                    <w:t>采购有证企业生产的合格产品，不得靠近热源和明火，保证周围环境通风、干燥。</w:t>
                  </w:r>
                </w:p>
                <w:p w14:paraId="3E1D9BEC">
                  <w:pPr>
                    <w:shd w:val="clear"/>
                    <w:rPr>
                      <w:color w:val="auto"/>
                      <w:highlight w:val="none"/>
                    </w:rPr>
                  </w:pPr>
                  <w:r>
                    <w:rPr>
                      <w:rFonts w:hint="eastAsia"/>
                      <w:color w:val="auto"/>
                      <w:highlight w:val="none"/>
                    </w:rPr>
                    <w:t>(3)为预防</w:t>
                  </w:r>
                  <w:r>
                    <w:rPr>
                      <w:rFonts w:hint="eastAsia"/>
                      <w:color w:val="auto"/>
                      <w:highlight w:val="none"/>
                      <w:lang w:val="en-US" w:eastAsia="zh-CN"/>
                    </w:rPr>
                    <w:t>沥青储罐泄漏</w:t>
                  </w:r>
                  <w:r>
                    <w:rPr>
                      <w:rFonts w:hint="eastAsia"/>
                      <w:color w:val="auto"/>
                      <w:highlight w:val="none"/>
                    </w:rPr>
                    <w:t>，每季度开展泄漏应急演练，重点培训堵漏工具（如堵漏枪）的使用，加强罐体保温层，避免沥青凝固导致管道破裂，定期对罐体进行保养和检查。</w:t>
                  </w:r>
                </w:p>
                <w:p w14:paraId="64048E2F">
                  <w:pPr>
                    <w:shd w:val="clear"/>
                    <w:rPr>
                      <w:color w:val="auto"/>
                      <w:szCs w:val="21"/>
                      <w:highlight w:val="none"/>
                    </w:rPr>
                  </w:pPr>
                  <w:r>
                    <w:rPr>
                      <w:rFonts w:hint="eastAsia"/>
                      <w:color w:val="auto"/>
                      <w:highlight w:val="none"/>
                    </w:rPr>
                    <w:t>(4)为了防范</w:t>
                  </w:r>
                  <w:r>
                    <w:rPr>
                      <w:rFonts w:hint="eastAsia"/>
                      <w:color w:val="auto"/>
                      <w:highlight w:val="none"/>
                      <w:lang w:val="en-US" w:eastAsia="zh-CN"/>
                    </w:rPr>
                    <w:t>沉淀池泄漏</w:t>
                  </w:r>
                  <w:r>
                    <w:rPr>
                      <w:rFonts w:hint="eastAsia"/>
                      <w:color w:val="auto"/>
                      <w:highlight w:val="none"/>
                    </w:rPr>
                    <w:t>，编制应急操作手册，定期演练泄漏处置流程。定期检查池壁、管道是否有裂缝或腐蚀，每年全面清淤1-2次，保持有效水深。暴雨天气增设临时沉淀单元（如快速组装式沉淀箱）</w:t>
                  </w:r>
                </w:p>
              </w:tc>
            </w:tr>
            <w:tr w14:paraId="6040A5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5000" w:type="pct"/>
                  <w:gridSpan w:val="6"/>
                  <w:tcBorders>
                    <w:top w:val="single" w:color="auto" w:sz="4" w:space="0"/>
                    <w:bottom w:val="single" w:color="auto" w:sz="12" w:space="0"/>
                  </w:tcBorders>
                  <w:vAlign w:val="center"/>
                </w:tcPr>
                <w:p w14:paraId="181A64AF">
                  <w:pPr>
                    <w:shd w:val="clear"/>
                    <w:rPr>
                      <w:color w:val="auto"/>
                      <w:szCs w:val="21"/>
                      <w:highlight w:val="none"/>
                    </w:rPr>
                  </w:pPr>
                  <w:r>
                    <w:rPr>
                      <w:color w:val="auto"/>
                      <w:szCs w:val="21"/>
                      <w:highlight w:val="none"/>
                    </w:rPr>
                    <w:t>填表说明：根据本项目污染物特性，本项目应建立独立的环境风险应急预案，并报备地州环境主管部门备案。</w:t>
                  </w:r>
                </w:p>
              </w:tc>
            </w:tr>
          </w:tbl>
          <w:p w14:paraId="30FDDB9C">
            <w:pPr>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cs="Times New Roman"/>
                <w:color w:val="auto"/>
                <w:kern w:val="2"/>
                <w:sz w:val="24"/>
                <w:szCs w:val="24"/>
                <w:highlight w:val="none"/>
              </w:rPr>
              <w:t>因此，本项目严格采取上述措施以后，运营期间发生环境风险概率较小，所以本项目的事故风险水平是可以接受的。</w:t>
            </w:r>
          </w:p>
          <w:p w14:paraId="1A613338">
            <w:pPr>
              <w:spacing w:line="360" w:lineRule="auto"/>
              <w:rPr>
                <w:rFonts w:hint="default" w:ascii="Times New Roman" w:hAnsi="Times New Roman" w:cs="Times New Roman"/>
                <w:b/>
                <w:bCs/>
                <w:color w:val="auto"/>
                <w:sz w:val="24"/>
                <w:highlight w:val="none"/>
                <w:lang w:val="en-US"/>
              </w:rPr>
            </w:pPr>
            <w:r>
              <w:rPr>
                <w:rFonts w:hint="eastAsia" w:ascii="Times New Roman" w:hAnsi="Times New Roman" w:cs="Times New Roman"/>
                <w:b/>
                <w:bCs/>
                <w:color w:val="auto"/>
                <w:sz w:val="24"/>
                <w:highlight w:val="none"/>
                <w:lang w:val="en-US" w:eastAsia="zh-CN"/>
              </w:rPr>
              <w:t>8 环保投资</w:t>
            </w:r>
          </w:p>
          <w:p w14:paraId="4EBDA0D2">
            <w:pPr>
              <w:spacing w:line="360" w:lineRule="auto"/>
              <w:ind w:firstLine="480" w:firstLineChars="200"/>
              <w:rPr>
                <w:rFonts w:hint="default"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val="en-US" w:eastAsia="zh-CN"/>
              </w:rPr>
              <w:t>本</w:t>
            </w:r>
            <w:r>
              <w:rPr>
                <w:rFonts w:hint="default" w:ascii="Times New Roman" w:hAnsi="Times New Roman" w:eastAsia="宋体" w:cs="Times New Roman"/>
                <w:color w:val="auto"/>
                <w:sz w:val="24"/>
                <w:highlight w:val="none"/>
              </w:rPr>
              <w:t>项目总投资</w:t>
            </w:r>
            <w:r>
              <w:rPr>
                <w:rFonts w:hint="eastAsia" w:ascii="Times New Roman" w:hAnsi="Times New Roman" w:eastAsia="宋体" w:cs="Times New Roman"/>
                <w:color w:val="auto"/>
                <w:sz w:val="24"/>
                <w:highlight w:val="none"/>
                <w:lang w:val="en-US" w:eastAsia="zh-CN"/>
              </w:rPr>
              <w:t>200</w:t>
            </w:r>
            <w:r>
              <w:rPr>
                <w:rFonts w:hint="default" w:ascii="Times New Roman" w:hAnsi="Times New Roman" w:eastAsia="宋体" w:cs="Times New Roman"/>
                <w:color w:val="auto"/>
                <w:sz w:val="24"/>
                <w:highlight w:val="none"/>
              </w:rPr>
              <w:t>万元，环保投资</w:t>
            </w:r>
            <w:r>
              <w:rPr>
                <w:rFonts w:hint="eastAsia" w:cs="Times New Roman"/>
                <w:color w:val="auto"/>
                <w:sz w:val="24"/>
                <w:highlight w:val="none"/>
                <w:lang w:val="en-US" w:eastAsia="zh-CN"/>
              </w:rPr>
              <w:t>34</w:t>
            </w:r>
            <w:r>
              <w:rPr>
                <w:rFonts w:hint="default" w:ascii="Times New Roman" w:hAnsi="Times New Roman" w:eastAsia="宋体" w:cs="Times New Roman"/>
                <w:color w:val="auto"/>
                <w:sz w:val="24"/>
                <w:highlight w:val="none"/>
              </w:rPr>
              <w:t>万元，占项目总投资的</w:t>
            </w:r>
            <w:r>
              <w:rPr>
                <w:rFonts w:hint="eastAsia" w:cs="Times New Roman"/>
                <w:color w:val="auto"/>
                <w:sz w:val="24"/>
                <w:highlight w:val="none"/>
                <w:lang w:val="en-US" w:eastAsia="zh-CN"/>
              </w:rPr>
              <w:t>17</w:t>
            </w:r>
            <w:r>
              <w:rPr>
                <w:rFonts w:hint="default" w:ascii="Times New Roman" w:hAnsi="Times New Roman" w:eastAsia="宋体" w:cs="Times New Roman"/>
                <w:color w:val="auto"/>
                <w:sz w:val="24"/>
                <w:highlight w:val="none"/>
              </w:rPr>
              <w:t>%。环保措施投资详见表</w:t>
            </w:r>
            <w:r>
              <w:rPr>
                <w:rFonts w:hint="eastAsia" w:ascii="Times New Roman" w:hAnsi="Times New Roman" w:eastAsia="宋体" w:cs="Times New Roman"/>
                <w:color w:val="auto"/>
                <w:sz w:val="24"/>
                <w:highlight w:val="none"/>
              </w:rPr>
              <w:t>4-</w:t>
            </w:r>
            <w:r>
              <w:rPr>
                <w:rFonts w:hint="eastAsia" w:cs="Times New Roman"/>
                <w:color w:val="auto"/>
                <w:sz w:val="24"/>
                <w:highlight w:val="none"/>
                <w:lang w:val="en-US" w:eastAsia="zh-CN"/>
              </w:rPr>
              <w:t>14</w:t>
            </w:r>
            <w:r>
              <w:rPr>
                <w:rFonts w:hint="default" w:ascii="Times New Roman" w:hAnsi="Times New Roman" w:eastAsia="宋体" w:cs="Times New Roman"/>
                <w:color w:val="auto"/>
                <w:sz w:val="24"/>
                <w:highlight w:val="none"/>
              </w:rPr>
              <w:t>。</w:t>
            </w:r>
          </w:p>
          <w:p w14:paraId="13948A95">
            <w:pPr>
              <w:pStyle w:val="25"/>
              <w:tabs>
                <w:tab w:val="left" w:pos="360"/>
                <w:tab w:val="left" w:pos="1620"/>
              </w:tabs>
              <w:jc w:val="center"/>
              <w:rPr>
                <w:color w:val="auto"/>
                <w:highlight w:val="none"/>
              </w:rPr>
            </w:pPr>
            <w:r>
              <w:rPr>
                <w:color w:val="auto"/>
                <w:highlight w:val="none"/>
              </w:rPr>
              <w:t>表</w:t>
            </w:r>
            <w:r>
              <w:rPr>
                <w:rFonts w:hint="eastAsia"/>
                <w:color w:val="auto"/>
                <w:highlight w:val="none"/>
              </w:rPr>
              <w:t>4-</w:t>
            </w:r>
            <w:r>
              <w:rPr>
                <w:rFonts w:hint="eastAsia"/>
                <w:color w:val="auto"/>
                <w:highlight w:val="none"/>
                <w:lang w:val="en-US" w:eastAsia="zh-CN"/>
              </w:rPr>
              <w:t xml:space="preserve">14     </w:t>
            </w:r>
            <w:r>
              <w:rPr>
                <w:color w:val="auto"/>
                <w:highlight w:val="none"/>
              </w:rPr>
              <w:t>环保投资一览表</w:t>
            </w:r>
          </w:p>
          <w:tbl>
            <w:tblPr>
              <w:tblStyle w:val="19"/>
              <w:tblW w:w="4998"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629"/>
              <w:gridCol w:w="307"/>
              <w:gridCol w:w="944"/>
              <w:gridCol w:w="1356"/>
              <w:gridCol w:w="3994"/>
              <w:gridCol w:w="1016"/>
            </w:tblGrid>
            <w:tr w14:paraId="37D8629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381" w:type="pct"/>
                  <w:tcBorders>
                    <w:bottom w:val="single" w:color="auto" w:sz="8" w:space="0"/>
                  </w:tcBorders>
                  <w:noWrap w:val="0"/>
                  <w:vAlign w:val="center"/>
                </w:tcPr>
                <w:p w14:paraId="493BD3D5">
                  <w:pPr>
                    <w:pStyle w:val="28"/>
                    <w:rPr>
                      <w:b/>
                      <w:bCs/>
                      <w:color w:val="auto"/>
                      <w:highlight w:val="none"/>
                    </w:rPr>
                  </w:pPr>
                  <w:r>
                    <w:rPr>
                      <w:b/>
                      <w:bCs/>
                      <w:color w:val="auto"/>
                      <w:highlight w:val="none"/>
                    </w:rPr>
                    <w:t>序号</w:t>
                  </w:r>
                </w:p>
              </w:tc>
              <w:tc>
                <w:tcPr>
                  <w:tcW w:w="758" w:type="pct"/>
                  <w:gridSpan w:val="2"/>
                  <w:tcBorders>
                    <w:bottom w:val="single" w:color="auto" w:sz="8" w:space="0"/>
                  </w:tcBorders>
                  <w:noWrap w:val="0"/>
                  <w:vAlign w:val="center"/>
                </w:tcPr>
                <w:p w14:paraId="61DD672B">
                  <w:pPr>
                    <w:pStyle w:val="28"/>
                    <w:rPr>
                      <w:b/>
                      <w:bCs/>
                      <w:color w:val="auto"/>
                      <w:highlight w:val="none"/>
                    </w:rPr>
                  </w:pPr>
                  <w:r>
                    <w:rPr>
                      <w:b/>
                      <w:bCs/>
                      <w:color w:val="auto"/>
                      <w:highlight w:val="none"/>
                    </w:rPr>
                    <w:t>类别</w:t>
                  </w:r>
                </w:p>
              </w:tc>
              <w:tc>
                <w:tcPr>
                  <w:tcW w:w="822" w:type="pct"/>
                  <w:tcBorders>
                    <w:bottom w:val="single" w:color="auto" w:sz="8" w:space="0"/>
                  </w:tcBorders>
                  <w:noWrap w:val="0"/>
                  <w:vAlign w:val="center"/>
                </w:tcPr>
                <w:p w14:paraId="4B79C3A7">
                  <w:pPr>
                    <w:pStyle w:val="28"/>
                    <w:rPr>
                      <w:b/>
                      <w:bCs/>
                      <w:color w:val="auto"/>
                      <w:highlight w:val="none"/>
                    </w:rPr>
                  </w:pPr>
                  <w:r>
                    <w:rPr>
                      <w:b/>
                      <w:bCs/>
                      <w:color w:val="auto"/>
                      <w:highlight w:val="none"/>
                    </w:rPr>
                    <w:t>污染源</w:t>
                  </w:r>
                </w:p>
              </w:tc>
              <w:tc>
                <w:tcPr>
                  <w:tcW w:w="2421" w:type="pct"/>
                  <w:tcBorders>
                    <w:bottom w:val="single" w:color="auto" w:sz="8" w:space="0"/>
                  </w:tcBorders>
                  <w:noWrap w:val="0"/>
                  <w:vAlign w:val="center"/>
                </w:tcPr>
                <w:p w14:paraId="79D62E2D">
                  <w:pPr>
                    <w:pStyle w:val="28"/>
                    <w:rPr>
                      <w:b/>
                      <w:bCs/>
                      <w:color w:val="auto"/>
                      <w:highlight w:val="none"/>
                    </w:rPr>
                  </w:pPr>
                  <w:r>
                    <w:rPr>
                      <w:b/>
                      <w:bCs/>
                      <w:color w:val="auto"/>
                      <w:highlight w:val="none"/>
                    </w:rPr>
                    <w:t>环保设备名称</w:t>
                  </w:r>
                </w:p>
              </w:tc>
              <w:tc>
                <w:tcPr>
                  <w:tcW w:w="616" w:type="pct"/>
                  <w:tcBorders>
                    <w:bottom w:val="single" w:color="auto" w:sz="8" w:space="0"/>
                  </w:tcBorders>
                  <w:noWrap w:val="0"/>
                  <w:vAlign w:val="center"/>
                </w:tcPr>
                <w:p w14:paraId="0D304932">
                  <w:pPr>
                    <w:pStyle w:val="28"/>
                    <w:rPr>
                      <w:b/>
                      <w:bCs/>
                      <w:color w:val="auto"/>
                      <w:highlight w:val="none"/>
                    </w:rPr>
                  </w:pPr>
                  <w:r>
                    <w:rPr>
                      <w:b/>
                      <w:bCs/>
                      <w:color w:val="auto"/>
                      <w:highlight w:val="none"/>
                    </w:rPr>
                    <w:t>投资</w:t>
                  </w:r>
                </w:p>
                <w:p w14:paraId="7DDB7071">
                  <w:pPr>
                    <w:pStyle w:val="28"/>
                    <w:rPr>
                      <w:b/>
                      <w:bCs/>
                      <w:color w:val="auto"/>
                      <w:highlight w:val="none"/>
                    </w:rPr>
                  </w:pPr>
                  <w:r>
                    <w:rPr>
                      <w:b/>
                      <w:bCs/>
                      <w:color w:val="auto"/>
                      <w:highlight w:val="none"/>
                    </w:rPr>
                    <w:t>（万元）</w:t>
                  </w:r>
                </w:p>
              </w:tc>
            </w:tr>
            <w:tr w14:paraId="5DCC6FB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381" w:type="pct"/>
                  <w:vMerge w:val="restart"/>
                  <w:tcBorders>
                    <w:top w:val="single" w:color="auto" w:sz="8" w:space="0"/>
                    <w:tl2br w:val="nil"/>
                    <w:tr2bl w:val="nil"/>
                  </w:tcBorders>
                  <w:noWrap w:val="0"/>
                  <w:vAlign w:val="center"/>
                </w:tcPr>
                <w:p w14:paraId="4C646AB2">
                  <w:pPr>
                    <w:pStyle w:val="28"/>
                    <w:rPr>
                      <w:rFonts w:hint="eastAsia" w:eastAsia="宋体"/>
                      <w:color w:val="auto"/>
                      <w:highlight w:val="none"/>
                      <w:lang w:val="en-US" w:eastAsia="zh-CN"/>
                    </w:rPr>
                  </w:pPr>
                  <w:r>
                    <w:rPr>
                      <w:rFonts w:hint="eastAsia"/>
                      <w:color w:val="auto"/>
                      <w:highlight w:val="none"/>
                      <w:lang w:val="en-US" w:eastAsia="zh-CN"/>
                    </w:rPr>
                    <w:t>1</w:t>
                  </w:r>
                </w:p>
              </w:tc>
              <w:tc>
                <w:tcPr>
                  <w:tcW w:w="186" w:type="pct"/>
                  <w:vMerge w:val="restart"/>
                  <w:tcBorders>
                    <w:top w:val="single" w:color="auto" w:sz="8" w:space="0"/>
                    <w:tl2br w:val="nil"/>
                    <w:tr2bl w:val="nil"/>
                  </w:tcBorders>
                  <w:noWrap w:val="0"/>
                  <w:vAlign w:val="center"/>
                </w:tcPr>
                <w:p w14:paraId="6FE28EBE">
                  <w:pPr>
                    <w:pStyle w:val="28"/>
                    <w:rPr>
                      <w:rFonts w:hint="eastAsia"/>
                      <w:color w:val="auto"/>
                      <w:highlight w:val="none"/>
                    </w:rPr>
                  </w:pPr>
                  <w:r>
                    <w:rPr>
                      <w:rFonts w:hint="eastAsia"/>
                      <w:color w:val="auto"/>
                      <w:highlight w:val="none"/>
                    </w:rPr>
                    <w:t>废气</w:t>
                  </w:r>
                </w:p>
              </w:tc>
              <w:tc>
                <w:tcPr>
                  <w:tcW w:w="572" w:type="pct"/>
                  <w:tcBorders>
                    <w:top w:val="single" w:color="auto" w:sz="8" w:space="0"/>
                    <w:tl2br w:val="nil"/>
                    <w:tr2bl w:val="nil"/>
                  </w:tcBorders>
                  <w:noWrap w:val="0"/>
                  <w:vAlign w:val="center"/>
                </w:tcPr>
                <w:p w14:paraId="3D1B5D8A">
                  <w:pPr>
                    <w:pStyle w:val="28"/>
                    <w:rPr>
                      <w:rFonts w:hint="eastAsia"/>
                      <w:color w:val="auto"/>
                      <w:highlight w:val="none"/>
                    </w:rPr>
                  </w:pPr>
                  <w:r>
                    <w:rPr>
                      <w:rFonts w:hint="eastAsia"/>
                      <w:color w:val="auto"/>
                      <w:highlight w:val="none"/>
                    </w:rPr>
                    <w:t>有组织</w:t>
                  </w:r>
                </w:p>
              </w:tc>
              <w:tc>
                <w:tcPr>
                  <w:tcW w:w="822" w:type="pct"/>
                  <w:tcBorders>
                    <w:top w:val="single" w:color="auto" w:sz="8" w:space="0"/>
                    <w:bottom w:val="single" w:color="auto" w:sz="6" w:space="0"/>
                    <w:tl2br w:val="nil"/>
                    <w:tr2bl w:val="nil"/>
                  </w:tcBorders>
                  <w:noWrap w:val="0"/>
                  <w:vAlign w:val="center"/>
                </w:tcPr>
                <w:p w14:paraId="78832414">
                  <w:pPr>
                    <w:pStyle w:val="28"/>
                    <w:rPr>
                      <w:rFonts w:hint="default" w:eastAsia="宋体"/>
                      <w:color w:val="auto"/>
                      <w:highlight w:val="none"/>
                      <w:lang w:val="en-US" w:eastAsia="zh-CN"/>
                    </w:rPr>
                  </w:pPr>
                  <w:r>
                    <w:rPr>
                      <w:rFonts w:hint="eastAsia"/>
                      <w:color w:val="auto"/>
                      <w:highlight w:val="none"/>
                      <w:lang w:val="en-US" w:eastAsia="zh-CN"/>
                    </w:rPr>
                    <w:t>搅拌、浸涂工序、覆膜工序</w:t>
                  </w:r>
                </w:p>
              </w:tc>
              <w:tc>
                <w:tcPr>
                  <w:tcW w:w="2421" w:type="pct"/>
                  <w:tcBorders>
                    <w:top w:val="single" w:color="auto" w:sz="8" w:space="0"/>
                    <w:bottom w:val="single" w:color="auto" w:sz="6" w:space="0"/>
                    <w:tl2br w:val="nil"/>
                    <w:tr2bl w:val="nil"/>
                  </w:tcBorders>
                  <w:noWrap w:val="0"/>
                  <w:vAlign w:val="center"/>
                </w:tcPr>
                <w:p w14:paraId="6821F213">
                  <w:pPr>
                    <w:pStyle w:val="28"/>
                    <w:jc w:val="center"/>
                    <w:rPr>
                      <w:rFonts w:hint="default" w:eastAsia="宋体"/>
                      <w:color w:val="auto"/>
                      <w:highlight w:val="none"/>
                      <w:lang w:val="en-US" w:eastAsia="zh-CN"/>
                    </w:rPr>
                  </w:pPr>
                  <w:r>
                    <w:rPr>
                      <w:rFonts w:hint="eastAsia"/>
                      <w:color w:val="auto"/>
                      <w:highlight w:val="none"/>
                      <w:lang w:val="en-US" w:eastAsia="zh-CN"/>
                    </w:rPr>
                    <w:t>UV光氧更换为活性炭吸附</w:t>
                  </w:r>
                </w:p>
              </w:tc>
              <w:tc>
                <w:tcPr>
                  <w:tcW w:w="616" w:type="pct"/>
                  <w:tcBorders>
                    <w:top w:val="single" w:color="auto" w:sz="8" w:space="0"/>
                    <w:bottom w:val="single" w:color="auto" w:sz="6" w:space="0"/>
                    <w:tl2br w:val="nil"/>
                    <w:tr2bl w:val="nil"/>
                  </w:tcBorders>
                  <w:noWrap w:val="0"/>
                  <w:vAlign w:val="center"/>
                </w:tcPr>
                <w:p w14:paraId="105784BF">
                  <w:pPr>
                    <w:pStyle w:val="28"/>
                    <w:rPr>
                      <w:rFonts w:hint="default" w:eastAsia="宋体"/>
                      <w:color w:val="auto"/>
                      <w:highlight w:val="none"/>
                      <w:lang w:val="en-US" w:eastAsia="zh-CN"/>
                    </w:rPr>
                  </w:pPr>
                  <w:r>
                    <w:rPr>
                      <w:rFonts w:hint="eastAsia"/>
                      <w:color w:val="auto"/>
                      <w:highlight w:val="none"/>
                      <w:lang w:val="en-US" w:eastAsia="zh-CN"/>
                    </w:rPr>
                    <w:t>10</w:t>
                  </w:r>
                </w:p>
              </w:tc>
            </w:tr>
            <w:tr w14:paraId="059C6603">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381" w:type="pct"/>
                  <w:vMerge w:val="continue"/>
                  <w:tcBorders>
                    <w:tl2br w:val="nil"/>
                    <w:tr2bl w:val="nil"/>
                  </w:tcBorders>
                  <w:noWrap w:val="0"/>
                  <w:vAlign w:val="center"/>
                </w:tcPr>
                <w:p w14:paraId="7C617A05">
                  <w:pPr>
                    <w:pStyle w:val="28"/>
                    <w:rPr>
                      <w:color w:val="auto"/>
                      <w:highlight w:val="none"/>
                    </w:rPr>
                  </w:pPr>
                </w:p>
              </w:tc>
              <w:tc>
                <w:tcPr>
                  <w:tcW w:w="186" w:type="pct"/>
                  <w:vMerge w:val="continue"/>
                  <w:tcBorders>
                    <w:tl2br w:val="nil"/>
                    <w:tr2bl w:val="nil"/>
                  </w:tcBorders>
                  <w:noWrap w:val="0"/>
                  <w:vAlign w:val="center"/>
                </w:tcPr>
                <w:p w14:paraId="192893BD">
                  <w:pPr>
                    <w:pStyle w:val="28"/>
                    <w:rPr>
                      <w:color w:val="auto"/>
                      <w:highlight w:val="none"/>
                    </w:rPr>
                  </w:pPr>
                </w:p>
              </w:tc>
              <w:tc>
                <w:tcPr>
                  <w:tcW w:w="572" w:type="pct"/>
                  <w:tcBorders>
                    <w:tl2br w:val="nil"/>
                    <w:tr2bl w:val="nil"/>
                  </w:tcBorders>
                  <w:noWrap w:val="0"/>
                  <w:vAlign w:val="center"/>
                </w:tcPr>
                <w:p w14:paraId="45E4CEA0">
                  <w:pPr>
                    <w:pStyle w:val="28"/>
                    <w:rPr>
                      <w:rFonts w:hint="eastAsia"/>
                      <w:color w:val="auto"/>
                      <w:highlight w:val="none"/>
                    </w:rPr>
                  </w:pPr>
                  <w:r>
                    <w:rPr>
                      <w:rFonts w:hint="eastAsia"/>
                      <w:color w:val="auto"/>
                      <w:highlight w:val="none"/>
                    </w:rPr>
                    <w:t>无组织</w:t>
                  </w:r>
                </w:p>
              </w:tc>
              <w:tc>
                <w:tcPr>
                  <w:tcW w:w="822" w:type="pct"/>
                  <w:tcBorders>
                    <w:tl2br w:val="nil"/>
                    <w:tr2bl w:val="nil"/>
                  </w:tcBorders>
                  <w:noWrap w:val="0"/>
                  <w:vAlign w:val="center"/>
                </w:tcPr>
                <w:p w14:paraId="3EB57C1E">
                  <w:pPr>
                    <w:pStyle w:val="28"/>
                    <w:rPr>
                      <w:rFonts w:hint="default" w:eastAsia="宋体"/>
                      <w:color w:val="auto"/>
                      <w:highlight w:val="none"/>
                      <w:lang w:val="en-US" w:eastAsia="zh-CN"/>
                    </w:rPr>
                  </w:pPr>
                  <w:r>
                    <w:rPr>
                      <w:rFonts w:hint="eastAsia"/>
                      <w:color w:val="auto"/>
                      <w:highlight w:val="none"/>
                      <w:lang w:val="en-US" w:eastAsia="zh-CN"/>
                    </w:rPr>
                    <w:t>厂界</w:t>
                  </w:r>
                </w:p>
              </w:tc>
              <w:tc>
                <w:tcPr>
                  <w:tcW w:w="2421" w:type="pct"/>
                  <w:tcBorders>
                    <w:tl2br w:val="nil"/>
                    <w:tr2bl w:val="nil"/>
                  </w:tcBorders>
                  <w:noWrap w:val="0"/>
                  <w:vAlign w:val="center"/>
                </w:tcPr>
                <w:p w14:paraId="4BEB8BA6">
                  <w:pPr>
                    <w:pStyle w:val="28"/>
                    <w:jc w:val="center"/>
                    <w:rPr>
                      <w:rFonts w:hint="default" w:eastAsia="宋体"/>
                      <w:color w:val="auto"/>
                      <w:highlight w:val="none"/>
                      <w:lang w:val="en-US" w:eastAsia="zh-CN"/>
                    </w:rPr>
                  </w:pPr>
                  <w:r>
                    <w:rPr>
                      <w:rFonts w:hint="default" w:eastAsia="宋体"/>
                      <w:color w:val="auto"/>
                      <w:highlight w:val="none"/>
                      <w:lang w:val="en-US" w:eastAsia="zh-CN"/>
                    </w:rPr>
                    <w:t>沥青</w:t>
                  </w:r>
                  <w:r>
                    <w:rPr>
                      <w:rFonts w:hint="eastAsia"/>
                      <w:color w:val="auto"/>
                      <w:highlight w:val="none"/>
                      <w:lang w:val="en-US" w:eastAsia="zh-CN"/>
                    </w:rPr>
                    <w:t>储</w:t>
                  </w:r>
                  <w:r>
                    <w:rPr>
                      <w:rFonts w:hint="default" w:eastAsia="宋体"/>
                      <w:color w:val="auto"/>
                      <w:highlight w:val="none"/>
                      <w:lang w:val="en-US" w:eastAsia="zh-CN"/>
                    </w:rPr>
                    <w:t>罐</w:t>
                  </w:r>
                  <w:r>
                    <w:rPr>
                      <w:rFonts w:hint="eastAsia"/>
                      <w:color w:val="auto"/>
                      <w:highlight w:val="none"/>
                      <w:lang w:val="en-US" w:eastAsia="zh-CN"/>
                    </w:rPr>
                    <w:t>、搅拌罐</w:t>
                  </w:r>
                  <w:r>
                    <w:rPr>
                      <w:rFonts w:hint="default" w:eastAsia="宋体"/>
                      <w:color w:val="auto"/>
                      <w:highlight w:val="none"/>
                      <w:lang w:val="en-US" w:eastAsia="zh-CN"/>
                    </w:rPr>
                    <w:t>密</w:t>
                  </w:r>
                  <w:r>
                    <w:rPr>
                      <w:rFonts w:hint="eastAsia"/>
                      <w:color w:val="auto"/>
                      <w:highlight w:val="none"/>
                      <w:lang w:val="en-US" w:eastAsia="zh-CN"/>
                    </w:rPr>
                    <w:t>闭</w:t>
                  </w:r>
                </w:p>
              </w:tc>
              <w:tc>
                <w:tcPr>
                  <w:tcW w:w="616" w:type="pct"/>
                  <w:tcBorders>
                    <w:tl2br w:val="nil"/>
                    <w:tr2bl w:val="nil"/>
                  </w:tcBorders>
                  <w:noWrap w:val="0"/>
                  <w:vAlign w:val="center"/>
                </w:tcPr>
                <w:p w14:paraId="6CE1C6C9">
                  <w:pPr>
                    <w:pStyle w:val="28"/>
                    <w:rPr>
                      <w:rFonts w:hint="default" w:eastAsia="宋体"/>
                      <w:color w:val="auto"/>
                      <w:highlight w:val="none"/>
                      <w:lang w:val="en-US" w:eastAsia="zh-CN"/>
                    </w:rPr>
                  </w:pPr>
                  <w:r>
                    <w:rPr>
                      <w:rFonts w:hint="eastAsia"/>
                      <w:color w:val="auto"/>
                      <w:highlight w:val="none"/>
                      <w:lang w:val="en-US" w:eastAsia="zh-CN"/>
                    </w:rPr>
                    <w:t>6</w:t>
                  </w:r>
                </w:p>
              </w:tc>
            </w:tr>
            <w:tr w14:paraId="3301774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381" w:type="pct"/>
                  <w:vMerge w:val="restart"/>
                  <w:tcBorders>
                    <w:tl2br w:val="nil"/>
                    <w:tr2bl w:val="nil"/>
                  </w:tcBorders>
                  <w:noWrap w:val="0"/>
                  <w:vAlign w:val="center"/>
                </w:tcPr>
                <w:p w14:paraId="0D000F9E">
                  <w:pPr>
                    <w:pStyle w:val="28"/>
                    <w:rPr>
                      <w:rFonts w:hint="eastAsia" w:eastAsia="宋体"/>
                      <w:color w:val="auto"/>
                      <w:highlight w:val="none"/>
                      <w:lang w:val="en-US" w:eastAsia="zh-CN"/>
                    </w:rPr>
                  </w:pPr>
                  <w:r>
                    <w:rPr>
                      <w:rFonts w:hint="eastAsia"/>
                      <w:color w:val="auto"/>
                      <w:highlight w:val="none"/>
                      <w:lang w:val="en-US" w:eastAsia="zh-CN"/>
                    </w:rPr>
                    <w:t>2</w:t>
                  </w:r>
                </w:p>
              </w:tc>
              <w:tc>
                <w:tcPr>
                  <w:tcW w:w="758" w:type="pct"/>
                  <w:gridSpan w:val="2"/>
                  <w:vMerge w:val="restart"/>
                  <w:tcBorders>
                    <w:tl2br w:val="nil"/>
                    <w:tr2bl w:val="nil"/>
                  </w:tcBorders>
                  <w:noWrap w:val="0"/>
                  <w:vAlign w:val="center"/>
                </w:tcPr>
                <w:p w14:paraId="537B9BF6">
                  <w:pPr>
                    <w:pStyle w:val="28"/>
                    <w:rPr>
                      <w:color w:val="auto"/>
                      <w:highlight w:val="none"/>
                    </w:rPr>
                  </w:pPr>
                  <w:r>
                    <w:rPr>
                      <w:color w:val="auto"/>
                      <w:highlight w:val="none"/>
                    </w:rPr>
                    <w:t>废水</w:t>
                  </w:r>
                </w:p>
              </w:tc>
              <w:tc>
                <w:tcPr>
                  <w:tcW w:w="822" w:type="pct"/>
                  <w:tcBorders>
                    <w:tl2br w:val="nil"/>
                    <w:tr2bl w:val="nil"/>
                  </w:tcBorders>
                  <w:noWrap w:val="0"/>
                  <w:vAlign w:val="center"/>
                </w:tcPr>
                <w:p w14:paraId="44892A08">
                  <w:pPr>
                    <w:pStyle w:val="28"/>
                    <w:rPr>
                      <w:rFonts w:hint="eastAsia" w:eastAsia="宋体"/>
                      <w:color w:val="auto"/>
                      <w:highlight w:val="none"/>
                      <w:lang w:val="en-US" w:eastAsia="zh-CN"/>
                    </w:rPr>
                  </w:pPr>
                  <w:r>
                    <w:rPr>
                      <w:rFonts w:hint="eastAsia"/>
                      <w:color w:val="auto"/>
                      <w:highlight w:val="none"/>
                      <w:lang w:val="en-US" w:eastAsia="zh-CN"/>
                    </w:rPr>
                    <w:t>生产废水</w:t>
                  </w:r>
                </w:p>
              </w:tc>
              <w:tc>
                <w:tcPr>
                  <w:tcW w:w="2421" w:type="pct"/>
                  <w:tcBorders>
                    <w:tl2br w:val="nil"/>
                    <w:tr2bl w:val="nil"/>
                  </w:tcBorders>
                  <w:noWrap w:val="0"/>
                  <w:vAlign w:val="center"/>
                </w:tcPr>
                <w:p w14:paraId="3CC3412E">
                  <w:pPr>
                    <w:pStyle w:val="28"/>
                    <w:jc w:val="center"/>
                    <w:rPr>
                      <w:rFonts w:hint="default"/>
                      <w:bCs/>
                      <w:color w:val="auto"/>
                      <w:szCs w:val="21"/>
                      <w:highlight w:val="none"/>
                      <w:lang w:val="en-US"/>
                    </w:rPr>
                  </w:pPr>
                  <w:r>
                    <w:rPr>
                      <w:rFonts w:hint="eastAsia" w:cs="Times New Roman"/>
                      <w:bCs/>
                      <w:color w:val="auto"/>
                      <w:szCs w:val="21"/>
                      <w:highlight w:val="none"/>
                      <w:lang w:val="en-US" w:eastAsia="zh-CN"/>
                    </w:rPr>
                    <w:t>本项生产线的清洗废水经隔油沉淀池沉淀处理后回用不外排；冷却水循环使用不外排；废气处理设施排水经隔油沉淀池收集处理后循环使用不外排</w:t>
                  </w:r>
                </w:p>
              </w:tc>
              <w:tc>
                <w:tcPr>
                  <w:tcW w:w="616" w:type="pct"/>
                  <w:vMerge w:val="restart"/>
                  <w:tcBorders>
                    <w:tl2br w:val="nil"/>
                    <w:tr2bl w:val="nil"/>
                  </w:tcBorders>
                  <w:noWrap w:val="0"/>
                  <w:vAlign w:val="center"/>
                </w:tcPr>
                <w:p w14:paraId="087B6260">
                  <w:pPr>
                    <w:pStyle w:val="28"/>
                    <w:rPr>
                      <w:rFonts w:hint="default" w:eastAsia="宋体"/>
                      <w:color w:val="auto"/>
                      <w:highlight w:val="none"/>
                      <w:lang w:val="en-US" w:eastAsia="zh-CN"/>
                    </w:rPr>
                  </w:pPr>
                  <w:r>
                    <w:rPr>
                      <w:rFonts w:hint="eastAsia"/>
                      <w:color w:val="auto"/>
                      <w:highlight w:val="none"/>
                      <w:lang w:val="en-US" w:eastAsia="zh-CN"/>
                    </w:rPr>
                    <w:t>5</w:t>
                  </w:r>
                </w:p>
              </w:tc>
            </w:tr>
            <w:tr w14:paraId="340D67C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381" w:type="pct"/>
                  <w:vMerge w:val="continue"/>
                  <w:tcBorders>
                    <w:tl2br w:val="nil"/>
                    <w:tr2bl w:val="nil"/>
                  </w:tcBorders>
                  <w:noWrap w:val="0"/>
                  <w:vAlign w:val="center"/>
                </w:tcPr>
                <w:p w14:paraId="3C7E03B3">
                  <w:pPr>
                    <w:pStyle w:val="28"/>
                    <w:rPr>
                      <w:color w:val="auto"/>
                      <w:highlight w:val="none"/>
                    </w:rPr>
                  </w:pPr>
                </w:p>
              </w:tc>
              <w:tc>
                <w:tcPr>
                  <w:tcW w:w="758" w:type="pct"/>
                  <w:gridSpan w:val="2"/>
                  <w:vMerge w:val="continue"/>
                  <w:tcBorders>
                    <w:tl2br w:val="nil"/>
                    <w:tr2bl w:val="nil"/>
                  </w:tcBorders>
                  <w:noWrap w:val="0"/>
                  <w:vAlign w:val="center"/>
                </w:tcPr>
                <w:p w14:paraId="2EA97EF7">
                  <w:pPr>
                    <w:pStyle w:val="28"/>
                    <w:rPr>
                      <w:color w:val="auto"/>
                      <w:highlight w:val="none"/>
                    </w:rPr>
                  </w:pPr>
                </w:p>
              </w:tc>
              <w:tc>
                <w:tcPr>
                  <w:tcW w:w="822" w:type="pct"/>
                  <w:tcBorders>
                    <w:tl2br w:val="nil"/>
                    <w:tr2bl w:val="nil"/>
                  </w:tcBorders>
                  <w:noWrap w:val="0"/>
                  <w:vAlign w:val="center"/>
                </w:tcPr>
                <w:p w14:paraId="4DAD8487">
                  <w:pPr>
                    <w:pStyle w:val="28"/>
                    <w:rPr>
                      <w:color w:val="auto"/>
                      <w:highlight w:val="none"/>
                    </w:rPr>
                  </w:pPr>
                  <w:r>
                    <w:rPr>
                      <w:color w:val="auto"/>
                      <w:highlight w:val="none"/>
                    </w:rPr>
                    <w:t>生活污水</w:t>
                  </w:r>
                </w:p>
              </w:tc>
              <w:tc>
                <w:tcPr>
                  <w:tcW w:w="2421" w:type="pct"/>
                  <w:tcBorders>
                    <w:tl2br w:val="nil"/>
                    <w:tr2bl w:val="nil"/>
                  </w:tcBorders>
                  <w:noWrap w:val="0"/>
                  <w:vAlign w:val="center"/>
                </w:tcPr>
                <w:p w14:paraId="555B64B7">
                  <w:pPr>
                    <w:pStyle w:val="28"/>
                    <w:jc w:val="center"/>
                    <w:rPr>
                      <w:color w:val="auto"/>
                      <w:highlight w:val="none"/>
                    </w:rPr>
                  </w:pPr>
                  <w:r>
                    <w:rPr>
                      <w:rFonts w:hint="eastAsia"/>
                      <w:bCs/>
                      <w:color w:val="auto"/>
                      <w:szCs w:val="21"/>
                      <w:highlight w:val="none"/>
                    </w:rPr>
                    <w:t>生活污水</w:t>
                  </w:r>
                  <w:r>
                    <w:rPr>
                      <w:rFonts w:hint="eastAsia"/>
                      <w:color w:val="auto"/>
                      <w:kern w:val="0"/>
                      <w:highlight w:val="none"/>
                    </w:rPr>
                    <w:t>经园区污水管网直接排入高新区海天污水处理厂</w:t>
                  </w:r>
                </w:p>
              </w:tc>
              <w:tc>
                <w:tcPr>
                  <w:tcW w:w="616" w:type="pct"/>
                  <w:vMerge w:val="continue"/>
                  <w:tcBorders>
                    <w:tl2br w:val="nil"/>
                    <w:tr2bl w:val="nil"/>
                  </w:tcBorders>
                  <w:noWrap w:val="0"/>
                  <w:vAlign w:val="center"/>
                </w:tcPr>
                <w:p w14:paraId="7DFA4A1B">
                  <w:pPr>
                    <w:pStyle w:val="28"/>
                    <w:rPr>
                      <w:color w:val="auto"/>
                      <w:highlight w:val="none"/>
                    </w:rPr>
                  </w:pPr>
                </w:p>
              </w:tc>
            </w:tr>
            <w:tr w14:paraId="1F74CBD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381" w:type="pct"/>
                  <w:vMerge w:val="restart"/>
                  <w:tcBorders>
                    <w:tl2br w:val="nil"/>
                    <w:tr2bl w:val="nil"/>
                  </w:tcBorders>
                  <w:noWrap w:val="0"/>
                  <w:vAlign w:val="center"/>
                </w:tcPr>
                <w:p w14:paraId="6C89AE54">
                  <w:pPr>
                    <w:pStyle w:val="28"/>
                    <w:rPr>
                      <w:rFonts w:hint="eastAsia" w:eastAsia="宋体"/>
                      <w:color w:val="auto"/>
                      <w:highlight w:val="none"/>
                      <w:lang w:val="en-US" w:eastAsia="zh-CN"/>
                    </w:rPr>
                  </w:pPr>
                  <w:r>
                    <w:rPr>
                      <w:rFonts w:hint="eastAsia"/>
                      <w:color w:val="auto"/>
                      <w:highlight w:val="none"/>
                      <w:lang w:val="en-US" w:eastAsia="zh-CN"/>
                    </w:rPr>
                    <w:t>3</w:t>
                  </w:r>
                </w:p>
              </w:tc>
              <w:tc>
                <w:tcPr>
                  <w:tcW w:w="758" w:type="pct"/>
                  <w:gridSpan w:val="2"/>
                  <w:vMerge w:val="restart"/>
                  <w:tcBorders>
                    <w:tl2br w:val="nil"/>
                    <w:tr2bl w:val="nil"/>
                  </w:tcBorders>
                  <w:noWrap w:val="0"/>
                  <w:vAlign w:val="center"/>
                </w:tcPr>
                <w:p w14:paraId="5D097C7A">
                  <w:pPr>
                    <w:pStyle w:val="28"/>
                    <w:rPr>
                      <w:color w:val="auto"/>
                      <w:highlight w:val="none"/>
                    </w:rPr>
                  </w:pPr>
                  <w:r>
                    <w:rPr>
                      <w:color w:val="auto"/>
                      <w:highlight w:val="none"/>
                    </w:rPr>
                    <w:t>噪声</w:t>
                  </w:r>
                </w:p>
              </w:tc>
              <w:tc>
                <w:tcPr>
                  <w:tcW w:w="822" w:type="pct"/>
                  <w:vMerge w:val="restart"/>
                  <w:tcBorders>
                    <w:tl2br w:val="nil"/>
                    <w:tr2bl w:val="nil"/>
                  </w:tcBorders>
                  <w:noWrap w:val="0"/>
                  <w:vAlign w:val="center"/>
                </w:tcPr>
                <w:p w14:paraId="5DDBAEF8">
                  <w:pPr>
                    <w:pStyle w:val="28"/>
                    <w:rPr>
                      <w:color w:val="auto"/>
                      <w:highlight w:val="none"/>
                    </w:rPr>
                  </w:pPr>
                  <w:r>
                    <w:rPr>
                      <w:color w:val="auto"/>
                      <w:highlight w:val="none"/>
                    </w:rPr>
                    <w:t>生产设备</w:t>
                  </w:r>
                </w:p>
              </w:tc>
              <w:tc>
                <w:tcPr>
                  <w:tcW w:w="2421" w:type="pct"/>
                  <w:tcBorders>
                    <w:tl2br w:val="nil"/>
                    <w:tr2bl w:val="nil"/>
                  </w:tcBorders>
                  <w:noWrap w:val="0"/>
                  <w:vAlign w:val="center"/>
                </w:tcPr>
                <w:p w14:paraId="17CFE1D9">
                  <w:pPr>
                    <w:pStyle w:val="28"/>
                    <w:jc w:val="center"/>
                    <w:rPr>
                      <w:color w:val="auto"/>
                      <w:highlight w:val="none"/>
                    </w:rPr>
                  </w:pPr>
                  <w:r>
                    <w:rPr>
                      <w:color w:val="auto"/>
                      <w:highlight w:val="none"/>
                    </w:rPr>
                    <w:t>厂房隔声</w:t>
                  </w:r>
                </w:p>
              </w:tc>
              <w:tc>
                <w:tcPr>
                  <w:tcW w:w="616" w:type="pct"/>
                  <w:vMerge w:val="restart"/>
                  <w:tcBorders>
                    <w:tl2br w:val="nil"/>
                    <w:tr2bl w:val="nil"/>
                  </w:tcBorders>
                  <w:noWrap w:val="0"/>
                  <w:vAlign w:val="center"/>
                </w:tcPr>
                <w:p w14:paraId="4CA0D76C">
                  <w:pPr>
                    <w:pStyle w:val="28"/>
                    <w:jc w:val="center"/>
                    <w:rPr>
                      <w:rFonts w:hint="default" w:eastAsia="宋体"/>
                      <w:color w:val="auto"/>
                      <w:highlight w:val="none"/>
                      <w:lang w:val="en-US" w:eastAsia="zh-CN"/>
                    </w:rPr>
                  </w:pPr>
                  <w:r>
                    <w:rPr>
                      <w:rFonts w:hint="eastAsia"/>
                      <w:color w:val="auto"/>
                      <w:highlight w:val="none"/>
                      <w:lang w:val="en-US" w:eastAsia="zh-CN"/>
                    </w:rPr>
                    <w:t>2</w:t>
                  </w:r>
                </w:p>
              </w:tc>
            </w:tr>
            <w:tr w14:paraId="372661C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381" w:type="pct"/>
                  <w:vMerge w:val="continue"/>
                  <w:tcBorders>
                    <w:tl2br w:val="nil"/>
                    <w:tr2bl w:val="nil"/>
                  </w:tcBorders>
                  <w:noWrap w:val="0"/>
                  <w:vAlign w:val="center"/>
                </w:tcPr>
                <w:p w14:paraId="69853F01">
                  <w:pPr>
                    <w:pStyle w:val="28"/>
                    <w:rPr>
                      <w:color w:val="auto"/>
                      <w:highlight w:val="none"/>
                    </w:rPr>
                  </w:pPr>
                </w:p>
              </w:tc>
              <w:tc>
                <w:tcPr>
                  <w:tcW w:w="758" w:type="pct"/>
                  <w:gridSpan w:val="2"/>
                  <w:vMerge w:val="continue"/>
                  <w:tcBorders>
                    <w:tl2br w:val="nil"/>
                    <w:tr2bl w:val="nil"/>
                  </w:tcBorders>
                  <w:noWrap w:val="0"/>
                  <w:vAlign w:val="center"/>
                </w:tcPr>
                <w:p w14:paraId="2296DF5F">
                  <w:pPr>
                    <w:pStyle w:val="28"/>
                    <w:rPr>
                      <w:color w:val="auto"/>
                      <w:highlight w:val="none"/>
                    </w:rPr>
                  </w:pPr>
                </w:p>
              </w:tc>
              <w:tc>
                <w:tcPr>
                  <w:tcW w:w="822" w:type="pct"/>
                  <w:vMerge w:val="continue"/>
                  <w:tcBorders>
                    <w:tl2br w:val="nil"/>
                    <w:tr2bl w:val="nil"/>
                  </w:tcBorders>
                  <w:noWrap w:val="0"/>
                  <w:vAlign w:val="center"/>
                </w:tcPr>
                <w:p w14:paraId="0102DB61">
                  <w:pPr>
                    <w:pStyle w:val="28"/>
                    <w:rPr>
                      <w:color w:val="auto"/>
                      <w:highlight w:val="none"/>
                    </w:rPr>
                  </w:pPr>
                </w:p>
              </w:tc>
              <w:tc>
                <w:tcPr>
                  <w:tcW w:w="2421" w:type="pct"/>
                  <w:tcBorders>
                    <w:tl2br w:val="nil"/>
                    <w:tr2bl w:val="nil"/>
                  </w:tcBorders>
                  <w:noWrap w:val="0"/>
                  <w:vAlign w:val="center"/>
                </w:tcPr>
                <w:p w14:paraId="6F6F3FF6">
                  <w:pPr>
                    <w:pStyle w:val="28"/>
                    <w:jc w:val="center"/>
                    <w:rPr>
                      <w:color w:val="auto"/>
                      <w:highlight w:val="none"/>
                    </w:rPr>
                  </w:pPr>
                  <w:r>
                    <w:rPr>
                      <w:color w:val="auto"/>
                      <w:highlight w:val="none"/>
                    </w:rPr>
                    <w:t>基础减震措施</w:t>
                  </w:r>
                </w:p>
              </w:tc>
              <w:tc>
                <w:tcPr>
                  <w:tcW w:w="616" w:type="pct"/>
                  <w:vMerge w:val="continue"/>
                  <w:tcBorders>
                    <w:tl2br w:val="nil"/>
                    <w:tr2bl w:val="nil"/>
                  </w:tcBorders>
                  <w:noWrap w:val="0"/>
                  <w:vAlign w:val="center"/>
                </w:tcPr>
                <w:p w14:paraId="48C3AE64">
                  <w:pPr>
                    <w:pStyle w:val="28"/>
                    <w:jc w:val="center"/>
                    <w:rPr>
                      <w:color w:val="auto"/>
                      <w:highlight w:val="none"/>
                    </w:rPr>
                  </w:pPr>
                </w:p>
              </w:tc>
            </w:tr>
            <w:tr w14:paraId="4F4375E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381" w:type="pct"/>
                  <w:vMerge w:val="restart"/>
                  <w:tcBorders>
                    <w:tl2br w:val="nil"/>
                    <w:tr2bl w:val="nil"/>
                  </w:tcBorders>
                  <w:noWrap w:val="0"/>
                  <w:vAlign w:val="center"/>
                </w:tcPr>
                <w:p w14:paraId="57916BBF">
                  <w:pPr>
                    <w:pStyle w:val="28"/>
                    <w:rPr>
                      <w:rFonts w:hint="eastAsia" w:eastAsia="宋体"/>
                      <w:color w:val="auto"/>
                      <w:highlight w:val="none"/>
                      <w:lang w:val="en-US" w:eastAsia="zh-CN"/>
                    </w:rPr>
                  </w:pPr>
                  <w:r>
                    <w:rPr>
                      <w:rFonts w:hint="eastAsia"/>
                      <w:color w:val="auto"/>
                      <w:highlight w:val="none"/>
                      <w:lang w:val="en-US" w:eastAsia="zh-CN"/>
                    </w:rPr>
                    <w:t>4</w:t>
                  </w:r>
                </w:p>
              </w:tc>
              <w:tc>
                <w:tcPr>
                  <w:tcW w:w="758" w:type="pct"/>
                  <w:gridSpan w:val="2"/>
                  <w:vMerge w:val="restart"/>
                  <w:tcBorders>
                    <w:tl2br w:val="nil"/>
                    <w:tr2bl w:val="nil"/>
                  </w:tcBorders>
                  <w:noWrap w:val="0"/>
                  <w:vAlign w:val="center"/>
                </w:tcPr>
                <w:p w14:paraId="5ECF7AF4">
                  <w:pPr>
                    <w:pStyle w:val="28"/>
                    <w:rPr>
                      <w:color w:val="auto"/>
                      <w:highlight w:val="none"/>
                    </w:rPr>
                  </w:pPr>
                  <w:r>
                    <w:rPr>
                      <w:color w:val="auto"/>
                      <w:highlight w:val="none"/>
                    </w:rPr>
                    <w:t>固废</w:t>
                  </w:r>
                </w:p>
              </w:tc>
              <w:tc>
                <w:tcPr>
                  <w:tcW w:w="822" w:type="pct"/>
                  <w:tcBorders>
                    <w:tl2br w:val="nil"/>
                    <w:tr2bl w:val="nil"/>
                  </w:tcBorders>
                  <w:noWrap w:val="0"/>
                  <w:vAlign w:val="center"/>
                </w:tcPr>
                <w:p w14:paraId="2D5DC75B">
                  <w:pPr>
                    <w:pStyle w:val="28"/>
                    <w:rPr>
                      <w:rFonts w:hint="default" w:eastAsia="宋体"/>
                      <w:color w:val="auto"/>
                      <w:highlight w:val="none"/>
                      <w:lang w:val="en-US" w:eastAsia="zh-CN"/>
                    </w:rPr>
                  </w:pPr>
                  <w:r>
                    <w:rPr>
                      <w:rFonts w:hint="eastAsia"/>
                      <w:color w:val="auto"/>
                      <w:highlight w:val="none"/>
                      <w:lang w:val="en-US" w:eastAsia="zh-CN"/>
                    </w:rPr>
                    <w:t>员工生活</w:t>
                  </w:r>
                </w:p>
              </w:tc>
              <w:tc>
                <w:tcPr>
                  <w:tcW w:w="2421" w:type="pct"/>
                  <w:tcBorders>
                    <w:tl2br w:val="nil"/>
                    <w:tr2bl w:val="nil"/>
                  </w:tcBorders>
                  <w:noWrap w:val="0"/>
                  <w:vAlign w:val="center"/>
                </w:tcPr>
                <w:p w14:paraId="5CE04F02">
                  <w:pPr>
                    <w:pStyle w:val="28"/>
                    <w:rPr>
                      <w:rFonts w:hint="default" w:eastAsia="宋体"/>
                      <w:color w:val="auto"/>
                      <w:highlight w:val="none"/>
                      <w:lang w:val="en-US" w:eastAsia="zh-CN"/>
                    </w:rPr>
                  </w:pPr>
                  <w:r>
                    <w:rPr>
                      <w:rFonts w:hint="eastAsia"/>
                      <w:color w:val="auto"/>
                      <w:highlight w:val="none"/>
                      <w:lang w:val="en-US" w:eastAsia="zh-CN"/>
                    </w:rPr>
                    <w:t>园区环卫部门统一清运</w:t>
                  </w:r>
                </w:p>
              </w:tc>
              <w:tc>
                <w:tcPr>
                  <w:tcW w:w="616" w:type="pct"/>
                  <w:tcBorders>
                    <w:tl2br w:val="nil"/>
                    <w:tr2bl w:val="nil"/>
                  </w:tcBorders>
                  <w:noWrap w:val="0"/>
                  <w:vAlign w:val="center"/>
                </w:tcPr>
                <w:p w14:paraId="6D438E15">
                  <w:pPr>
                    <w:pStyle w:val="28"/>
                    <w:jc w:val="center"/>
                    <w:rPr>
                      <w:rFonts w:hint="eastAsia" w:eastAsia="宋体"/>
                      <w:color w:val="auto"/>
                      <w:highlight w:val="none"/>
                      <w:lang w:eastAsia="zh-CN"/>
                    </w:rPr>
                  </w:pPr>
                  <w:r>
                    <w:rPr>
                      <w:rFonts w:hint="eastAsia"/>
                      <w:color w:val="auto"/>
                      <w:highlight w:val="none"/>
                      <w:lang w:val="en-US" w:eastAsia="zh-CN"/>
                    </w:rPr>
                    <w:t>1</w:t>
                  </w:r>
                </w:p>
              </w:tc>
            </w:tr>
            <w:tr w14:paraId="01A2564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381" w:type="pct"/>
                  <w:vMerge w:val="continue"/>
                  <w:tcBorders>
                    <w:tl2br w:val="nil"/>
                    <w:tr2bl w:val="nil"/>
                  </w:tcBorders>
                  <w:noWrap w:val="0"/>
                  <w:vAlign w:val="center"/>
                </w:tcPr>
                <w:p w14:paraId="1DB84A63">
                  <w:pPr>
                    <w:pStyle w:val="28"/>
                    <w:rPr>
                      <w:color w:val="auto"/>
                      <w:highlight w:val="none"/>
                    </w:rPr>
                  </w:pPr>
                </w:p>
              </w:tc>
              <w:tc>
                <w:tcPr>
                  <w:tcW w:w="758" w:type="pct"/>
                  <w:gridSpan w:val="2"/>
                  <w:vMerge w:val="continue"/>
                  <w:tcBorders>
                    <w:tl2br w:val="nil"/>
                    <w:tr2bl w:val="nil"/>
                  </w:tcBorders>
                  <w:noWrap w:val="0"/>
                  <w:vAlign w:val="center"/>
                </w:tcPr>
                <w:p w14:paraId="0066F399">
                  <w:pPr>
                    <w:pStyle w:val="28"/>
                    <w:rPr>
                      <w:color w:val="auto"/>
                      <w:highlight w:val="none"/>
                    </w:rPr>
                  </w:pPr>
                </w:p>
              </w:tc>
              <w:tc>
                <w:tcPr>
                  <w:tcW w:w="822" w:type="pct"/>
                  <w:tcBorders>
                    <w:tl2br w:val="nil"/>
                    <w:tr2bl w:val="nil"/>
                  </w:tcBorders>
                  <w:noWrap w:val="0"/>
                  <w:vAlign w:val="center"/>
                </w:tcPr>
                <w:p w14:paraId="6A6A2997">
                  <w:pPr>
                    <w:pStyle w:val="28"/>
                    <w:rPr>
                      <w:rFonts w:hint="default" w:eastAsia="宋体"/>
                      <w:color w:val="auto"/>
                      <w:highlight w:val="none"/>
                      <w:lang w:val="en-US" w:eastAsia="zh-CN"/>
                    </w:rPr>
                  </w:pPr>
                  <w:r>
                    <w:rPr>
                      <w:rFonts w:hint="eastAsia"/>
                      <w:color w:val="auto"/>
                      <w:highlight w:val="none"/>
                      <w:lang w:val="en-US" w:eastAsia="zh-CN"/>
                    </w:rPr>
                    <w:t>危险废物</w:t>
                  </w:r>
                </w:p>
              </w:tc>
              <w:tc>
                <w:tcPr>
                  <w:tcW w:w="2421" w:type="pct"/>
                  <w:tcBorders>
                    <w:tl2br w:val="nil"/>
                    <w:tr2bl w:val="nil"/>
                  </w:tcBorders>
                  <w:noWrap w:val="0"/>
                  <w:vAlign w:val="center"/>
                </w:tcPr>
                <w:p w14:paraId="0423DDA5">
                  <w:pPr>
                    <w:pStyle w:val="28"/>
                    <w:rPr>
                      <w:rFonts w:hint="default" w:eastAsia="宋体"/>
                      <w:color w:val="auto"/>
                      <w:highlight w:val="none"/>
                      <w:lang w:val="en-US" w:eastAsia="zh-CN"/>
                    </w:rPr>
                  </w:pPr>
                  <w:r>
                    <w:rPr>
                      <w:rFonts w:hint="default" w:eastAsia="宋体"/>
                      <w:color w:val="auto"/>
                      <w:highlight w:val="none"/>
                      <w:lang w:val="en-US" w:eastAsia="zh-CN"/>
                    </w:rPr>
                    <w:t>危险废物暂存间</w:t>
                  </w:r>
                </w:p>
              </w:tc>
              <w:tc>
                <w:tcPr>
                  <w:tcW w:w="616" w:type="pct"/>
                  <w:tcBorders>
                    <w:tl2br w:val="nil"/>
                    <w:tr2bl w:val="nil"/>
                  </w:tcBorders>
                  <w:noWrap w:val="0"/>
                  <w:vAlign w:val="center"/>
                </w:tcPr>
                <w:p w14:paraId="1C6C170A">
                  <w:pPr>
                    <w:pStyle w:val="28"/>
                    <w:rPr>
                      <w:rFonts w:hint="default" w:eastAsia="宋体"/>
                      <w:color w:val="auto"/>
                      <w:highlight w:val="none"/>
                      <w:lang w:val="en-US" w:eastAsia="zh-CN"/>
                    </w:rPr>
                  </w:pPr>
                  <w:r>
                    <w:rPr>
                      <w:rFonts w:hint="eastAsia"/>
                      <w:color w:val="auto"/>
                      <w:highlight w:val="none"/>
                      <w:lang w:val="en-US" w:eastAsia="zh-CN"/>
                    </w:rPr>
                    <w:t>10</w:t>
                  </w:r>
                </w:p>
              </w:tc>
            </w:tr>
            <w:tr w14:paraId="42FE7F6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4383" w:type="pct"/>
                  <w:gridSpan w:val="5"/>
                  <w:tcBorders>
                    <w:tl2br w:val="nil"/>
                    <w:tr2bl w:val="nil"/>
                  </w:tcBorders>
                  <w:noWrap w:val="0"/>
                  <w:vAlign w:val="center"/>
                </w:tcPr>
                <w:p w14:paraId="3DAF4206">
                  <w:pPr>
                    <w:pStyle w:val="28"/>
                    <w:rPr>
                      <w:color w:val="auto"/>
                      <w:highlight w:val="none"/>
                    </w:rPr>
                  </w:pPr>
                  <w:r>
                    <w:rPr>
                      <w:color w:val="auto"/>
                      <w:highlight w:val="none"/>
                    </w:rPr>
                    <w:t>合计</w:t>
                  </w:r>
                </w:p>
              </w:tc>
              <w:tc>
                <w:tcPr>
                  <w:tcW w:w="616" w:type="pct"/>
                  <w:tcBorders>
                    <w:tl2br w:val="nil"/>
                    <w:tr2bl w:val="nil"/>
                  </w:tcBorders>
                  <w:noWrap w:val="0"/>
                  <w:vAlign w:val="center"/>
                </w:tcPr>
                <w:p w14:paraId="53979FD2">
                  <w:pPr>
                    <w:pStyle w:val="28"/>
                    <w:rPr>
                      <w:rFonts w:hint="default" w:eastAsia="宋体"/>
                      <w:color w:val="auto"/>
                      <w:highlight w:val="none"/>
                      <w:lang w:val="en-US" w:eastAsia="zh-CN"/>
                    </w:rPr>
                  </w:pPr>
                  <w:r>
                    <w:rPr>
                      <w:rFonts w:hint="eastAsia"/>
                      <w:color w:val="auto"/>
                      <w:highlight w:val="none"/>
                      <w:lang w:val="en-US" w:eastAsia="zh-CN"/>
                    </w:rPr>
                    <w:t>34</w:t>
                  </w:r>
                </w:p>
              </w:tc>
            </w:tr>
          </w:tbl>
          <w:p w14:paraId="4F0253D6">
            <w:pPr>
              <w:spacing w:line="360" w:lineRule="auto"/>
              <w:ind w:firstLine="480" w:firstLineChars="200"/>
              <w:rPr>
                <w:rFonts w:hint="eastAsia" w:ascii="Times New Roman" w:hAnsi="Times New Roman" w:eastAsia="宋体" w:cs="Times New Roman"/>
                <w:sz w:val="24"/>
                <w:highlight w:val="none"/>
                <w:lang w:val="en-US" w:eastAsia="zh-CN"/>
              </w:rPr>
            </w:pPr>
          </w:p>
          <w:p w14:paraId="43F31D0F">
            <w:pPr>
              <w:rPr>
                <w:rFonts w:hint="default"/>
                <w:highlight w:val="none"/>
              </w:rPr>
            </w:pPr>
          </w:p>
        </w:tc>
      </w:tr>
    </w:tbl>
    <w:p w14:paraId="3A00DDFF">
      <w:pPr>
        <w:adjustRightInd w:val="0"/>
        <w:snapToGrid w:val="0"/>
        <w:spacing w:line="360" w:lineRule="auto"/>
        <w:rPr>
          <w:rFonts w:hint="eastAsia" w:ascii="宋体" w:cs="宋体"/>
          <w:b/>
          <w:kern w:val="0"/>
          <w:sz w:val="28"/>
          <w:szCs w:val="28"/>
          <w:highlight w:val="none"/>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419B981D">
      <w:pPr>
        <w:pStyle w:val="18"/>
        <w:jc w:val="center"/>
        <w:outlineLvl w:val="0"/>
        <w:rPr>
          <w:rFonts w:ascii="黑体" w:hAnsi="黑体" w:eastAsia="黑体"/>
          <w:snapToGrid w:val="0"/>
          <w:sz w:val="30"/>
          <w:szCs w:val="30"/>
          <w:highlight w:val="none"/>
        </w:rPr>
      </w:pPr>
      <w:r>
        <w:rPr>
          <w:rFonts w:hint="eastAsia" w:ascii="黑体" w:hAnsi="黑体" w:eastAsia="黑体"/>
          <w:snapToGrid w:val="0"/>
          <w:sz w:val="30"/>
          <w:szCs w:val="30"/>
          <w:highlight w:val="none"/>
        </w:rPr>
        <w:t>五、</w:t>
      </w:r>
      <w:bookmarkStart w:id="7" w:name="_Hlk54167917"/>
      <w:r>
        <w:rPr>
          <w:rFonts w:hint="eastAsia" w:ascii="黑体" w:hAnsi="黑体" w:eastAsia="黑体"/>
          <w:snapToGrid w:val="0"/>
          <w:sz w:val="30"/>
          <w:szCs w:val="30"/>
          <w:highlight w:val="none"/>
        </w:rPr>
        <w:t>环境保护措施监督检查清单</w:t>
      </w:r>
      <w:bookmarkEnd w:id="7"/>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1680"/>
        <w:gridCol w:w="1364"/>
        <w:gridCol w:w="1836"/>
        <w:gridCol w:w="2318"/>
      </w:tblGrid>
      <w:tr w14:paraId="31C361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02" w:type="dxa"/>
            <w:tcBorders>
              <w:tl2br w:val="single" w:color="auto" w:sz="4" w:space="0"/>
            </w:tcBorders>
            <w:noWrap w:val="0"/>
            <w:vAlign w:val="top"/>
          </w:tcPr>
          <w:p w14:paraId="4A3D7EE5">
            <w:pPr>
              <w:adjustRightInd w:val="0"/>
              <w:snapToGrid w:val="0"/>
              <w:ind w:firstLine="84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内容</w:t>
            </w:r>
          </w:p>
          <w:p w14:paraId="74EBD51A">
            <w:pPr>
              <w:adjustRightInd w:val="0"/>
              <w:snapToGrid w:val="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要素</w:t>
            </w:r>
          </w:p>
        </w:tc>
        <w:tc>
          <w:tcPr>
            <w:tcW w:w="1680" w:type="dxa"/>
            <w:noWrap w:val="0"/>
            <w:vAlign w:val="center"/>
          </w:tcPr>
          <w:p w14:paraId="20C70CD1">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排放口(编号、</w:t>
            </w:r>
          </w:p>
          <w:p w14:paraId="780F03D8">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名称)/污染源</w:t>
            </w:r>
          </w:p>
        </w:tc>
        <w:tc>
          <w:tcPr>
            <w:tcW w:w="1364" w:type="dxa"/>
            <w:noWrap w:val="0"/>
            <w:vAlign w:val="center"/>
          </w:tcPr>
          <w:p w14:paraId="31469888">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污染物</w:t>
            </w:r>
          </w:p>
          <w:p w14:paraId="07A72794">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项目</w:t>
            </w:r>
          </w:p>
        </w:tc>
        <w:tc>
          <w:tcPr>
            <w:tcW w:w="1836" w:type="dxa"/>
            <w:noWrap w:val="0"/>
            <w:vAlign w:val="center"/>
          </w:tcPr>
          <w:p w14:paraId="319A095A">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环境保护措施</w:t>
            </w:r>
          </w:p>
        </w:tc>
        <w:tc>
          <w:tcPr>
            <w:tcW w:w="2318" w:type="dxa"/>
            <w:noWrap w:val="0"/>
            <w:vAlign w:val="center"/>
          </w:tcPr>
          <w:p w14:paraId="29C9C6AE">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执行标准</w:t>
            </w:r>
          </w:p>
        </w:tc>
      </w:tr>
      <w:tr w14:paraId="0ADF4F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602" w:type="dxa"/>
            <w:vMerge w:val="restart"/>
            <w:noWrap w:val="0"/>
            <w:vAlign w:val="center"/>
          </w:tcPr>
          <w:p w14:paraId="6F97C30F">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大气环境</w:t>
            </w:r>
          </w:p>
        </w:tc>
        <w:tc>
          <w:tcPr>
            <w:tcW w:w="1680" w:type="dxa"/>
            <w:vMerge w:val="restart"/>
            <w:noWrap w:val="0"/>
            <w:vAlign w:val="center"/>
          </w:tcPr>
          <w:p w14:paraId="5EF57351">
            <w:pPr>
              <w:adjustRightInd w:val="0"/>
              <w:snapToGrid w:val="0"/>
              <w:jc w:val="center"/>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sz w:val="24"/>
                <w:szCs w:val="24"/>
                <w:highlight w:val="none"/>
                <w:lang w:val="en-US" w:eastAsia="zh-CN" w:bidi="ar-SA"/>
              </w:rPr>
              <w:t>搅拌、浸涂工序、覆膜</w:t>
            </w:r>
            <w:r>
              <w:rPr>
                <w:rFonts w:hint="eastAsia" w:cs="Times New Roman"/>
                <w:kern w:val="2"/>
                <w:sz w:val="24"/>
                <w:szCs w:val="24"/>
                <w:highlight w:val="none"/>
                <w:lang w:val="en-US" w:eastAsia="zh-CN" w:bidi="ar-SA"/>
              </w:rPr>
              <w:t>、储罐</w:t>
            </w:r>
            <w:r>
              <w:rPr>
                <w:rFonts w:hint="default" w:ascii="Times New Roman" w:hAnsi="Times New Roman" w:eastAsia="宋体" w:cs="Times New Roman"/>
                <w:kern w:val="2"/>
                <w:sz w:val="24"/>
                <w:szCs w:val="24"/>
                <w:highlight w:val="none"/>
                <w:lang w:val="en-US" w:eastAsia="zh-CN" w:bidi="ar-SA"/>
              </w:rPr>
              <w:t>工</w:t>
            </w:r>
            <w:r>
              <w:rPr>
                <w:rFonts w:hint="eastAsia" w:ascii="Times New Roman" w:hAnsi="Times New Roman" w:eastAsia="宋体" w:cs="Times New Roman"/>
                <w:kern w:val="2"/>
                <w:sz w:val="24"/>
                <w:szCs w:val="24"/>
                <w:highlight w:val="none"/>
                <w:lang w:val="en-US" w:eastAsia="zh-CN" w:bidi="ar-SA"/>
              </w:rPr>
              <w:t>序</w:t>
            </w:r>
          </w:p>
        </w:tc>
        <w:tc>
          <w:tcPr>
            <w:tcW w:w="1364" w:type="dxa"/>
            <w:noWrap w:val="0"/>
            <w:vAlign w:val="center"/>
          </w:tcPr>
          <w:p w14:paraId="614E8A75">
            <w:pPr>
              <w:adjustRightInd w:val="0"/>
              <w:snapToGrid w:val="0"/>
              <w:jc w:val="center"/>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cs="Times New Roman"/>
                <w:sz w:val="24"/>
                <w:szCs w:val="24"/>
                <w:highlight w:val="none"/>
                <w:lang w:val="en-US" w:eastAsia="zh-CN"/>
              </w:rPr>
              <w:t>沥青烟、苯并[a]芘</w:t>
            </w:r>
          </w:p>
        </w:tc>
        <w:tc>
          <w:tcPr>
            <w:tcW w:w="1836" w:type="dxa"/>
            <w:vMerge w:val="restart"/>
            <w:noWrap w:val="0"/>
            <w:vAlign w:val="center"/>
          </w:tcPr>
          <w:p w14:paraId="68E388C8">
            <w:pPr>
              <w:adjustRightInd w:val="0"/>
              <w:snapToGrid w:val="0"/>
              <w:jc w:val="center"/>
              <w:rPr>
                <w:rFonts w:hint="default" w:ascii="Times New Roman" w:hAnsi="Times New Roman" w:cs="Times New Roman"/>
                <w:kern w:val="2"/>
                <w:sz w:val="24"/>
                <w:szCs w:val="24"/>
                <w:highlight w:val="none"/>
                <w:lang w:val="en-US" w:eastAsia="zh-CN" w:bidi="ar-SA"/>
              </w:rPr>
            </w:pPr>
            <w:r>
              <w:rPr>
                <w:rFonts w:hint="eastAsia"/>
                <w:sz w:val="24"/>
                <w:szCs w:val="24"/>
                <w:highlight w:val="none"/>
                <w:lang w:val="en-US" w:eastAsia="zh-CN"/>
              </w:rPr>
              <w:t>水喷淋+电捕焦油器+活性炭吸附+20</w:t>
            </w:r>
            <w:r>
              <w:rPr>
                <w:rFonts w:hint="default" w:eastAsia="宋体"/>
                <w:sz w:val="24"/>
                <w:szCs w:val="24"/>
                <w:highlight w:val="none"/>
                <w:lang w:val="en-US" w:eastAsia="zh-CN"/>
              </w:rPr>
              <w:t>m排气筒</w:t>
            </w:r>
            <w:r>
              <w:rPr>
                <w:rFonts w:hint="eastAsia" w:eastAsia="宋体"/>
                <w:sz w:val="24"/>
                <w:szCs w:val="24"/>
                <w:highlight w:val="none"/>
                <w:lang w:val="en-US" w:eastAsia="zh-CN"/>
              </w:rPr>
              <w:t>（</w:t>
            </w:r>
            <w:r>
              <w:rPr>
                <w:rFonts w:hint="default" w:ascii="Times New Roman" w:hAnsi="Times New Roman" w:cs="Times New Roman"/>
                <w:sz w:val="24"/>
                <w:szCs w:val="24"/>
                <w:highlight w:val="none"/>
                <w:lang w:val="en-US" w:eastAsia="zh-CN"/>
              </w:rPr>
              <w:t>DA00</w:t>
            </w:r>
            <w:r>
              <w:rPr>
                <w:rFonts w:hint="eastAsia" w:ascii="Times New Roman" w:hAnsi="Times New Roman" w:cs="Times New Roman"/>
                <w:sz w:val="24"/>
                <w:szCs w:val="24"/>
                <w:highlight w:val="none"/>
                <w:lang w:val="en-US" w:eastAsia="zh-CN"/>
              </w:rPr>
              <w:t>1）</w:t>
            </w:r>
          </w:p>
        </w:tc>
        <w:tc>
          <w:tcPr>
            <w:tcW w:w="2318" w:type="dxa"/>
            <w:noWrap w:val="0"/>
            <w:vAlign w:val="center"/>
          </w:tcPr>
          <w:p w14:paraId="63A2E65D">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《大气污染物综合排放标准》（GB16297-1996）</w:t>
            </w:r>
            <w:r>
              <w:rPr>
                <w:rFonts w:hint="default" w:ascii="Times New Roman" w:hAnsi="Times New Roman" w:cs="Times New Roman"/>
                <w:sz w:val="24"/>
                <w:szCs w:val="24"/>
                <w:highlight w:val="none"/>
                <w:lang w:val="en-US" w:eastAsia="zh-CN"/>
              </w:rPr>
              <w:t>表2</w:t>
            </w:r>
            <w:r>
              <w:rPr>
                <w:rFonts w:hint="eastAsia" w:ascii="Times New Roman" w:hAnsi="Times New Roman" w:cs="Times New Roman"/>
                <w:sz w:val="24"/>
                <w:szCs w:val="24"/>
                <w:highlight w:val="none"/>
                <w:lang w:val="en-US" w:eastAsia="zh-CN"/>
              </w:rPr>
              <w:t>二级标准</w:t>
            </w:r>
          </w:p>
        </w:tc>
      </w:tr>
      <w:tr w14:paraId="22EC06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602" w:type="dxa"/>
            <w:vMerge w:val="continue"/>
            <w:noWrap w:val="0"/>
            <w:vAlign w:val="center"/>
          </w:tcPr>
          <w:p w14:paraId="5792785B">
            <w:pPr>
              <w:adjustRightInd w:val="0"/>
              <w:snapToGrid w:val="0"/>
              <w:jc w:val="center"/>
              <w:rPr>
                <w:rFonts w:hint="default" w:ascii="Times New Roman" w:hAnsi="Times New Roman" w:cs="Times New Roman"/>
                <w:sz w:val="24"/>
                <w:szCs w:val="24"/>
                <w:highlight w:val="none"/>
              </w:rPr>
            </w:pPr>
          </w:p>
        </w:tc>
        <w:tc>
          <w:tcPr>
            <w:tcW w:w="1680" w:type="dxa"/>
            <w:vMerge w:val="continue"/>
            <w:noWrap w:val="0"/>
            <w:vAlign w:val="center"/>
          </w:tcPr>
          <w:p w14:paraId="5378BCD2">
            <w:pPr>
              <w:adjustRightInd w:val="0"/>
              <w:snapToGrid w:val="0"/>
              <w:jc w:val="center"/>
              <w:rPr>
                <w:rFonts w:hint="default" w:ascii="Times New Roman" w:hAnsi="Times New Roman" w:eastAsia="宋体" w:cs="Times New Roman"/>
                <w:kern w:val="2"/>
                <w:sz w:val="24"/>
                <w:szCs w:val="24"/>
                <w:highlight w:val="none"/>
                <w:lang w:val="en-US" w:eastAsia="zh-CN" w:bidi="ar-SA"/>
              </w:rPr>
            </w:pPr>
          </w:p>
        </w:tc>
        <w:tc>
          <w:tcPr>
            <w:tcW w:w="1364" w:type="dxa"/>
            <w:noWrap w:val="0"/>
            <w:vAlign w:val="center"/>
          </w:tcPr>
          <w:p w14:paraId="4AD759FB">
            <w:pPr>
              <w:adjustRightInd w:val="0"/>
              <w:snapToGrid w:val="0"/>
              <w:jc w:val="center"/>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非甲烷总烃</w:t>
            </w:r>
          </w:p>
        </w:tc>
        <w:tc>
          <w:tcPr>
            <w:tcW w:w="1836" w:type="dxa"/>
            <w:vMerge w:val="continue"/>
            <w:noWrap w:val="0"/>
            <w:vAlign w:val="center"/>
          </w:tcPr>
          <w:p w14:paraId="639C5944">
            <w:pPr>
              <w:adjustRightInd w:val="0"/>
              <w:snapToGrid w:val="0"/>
              <w:jc w:val="center"/>
              <w:rPr>
                <w:rFonts w:hint="eastAsia"/>
                <w:sz w:val="24"/>
                <w:szCs w:val="24"/>
                <w:highlight w:val="none"/>
                <w:lang w:val="en-US" w:eastAsia="zh-CN"/>
              </w:rPr>
            </w:pPr>
          </w:p>
        </w:tc>
        <w:tc>
          <w:tcPr>
            <w:tcW w:w="2318" w:type="dxa"/>
            <w:noWrap w:val="0"/>
            <w:vAlign w:val="center"/>
          </w:tcPr>
          <w:p w14:paraId="09E79F31">
            <w:pPr>
              <w:adjustRightInd w:val="0"/>
              <w:snapToGrid w:val="0"/>
              <w:jc w:val="center"/>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rPr>
              <w:t>《涂料、油墨及胶粘剂工业大气污染物排放标准》（GB37824-2019）</w:t>
            </w:r>
            <w:r>
              <w:rPr>
                <w:rFonts w:hint="eastAsia" w:cs="Times New Roman"/>
                <w:sz w:val="24"/>
                <w:szCs w:val="24"/>
                <w:highlight w:val="none"/>
                <w:lang w:val="en-US" w:eastAsia="zh-CN"/>
              </w:rPr>
              <w:t>中表2相关标准限值</w:t>
            </w:r>
          </w:p>
        </w:tc>
      </w:tr>
      <w:tr w14:paraId="4991F4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02" w:type="dxa"/>
            <w:vMerge w:val="continue"/>
            <w:noWrap w:val="0"/>
            <w:vAlign w:val="center"/>
          </w:tcPr>
          <w:p w14:paraId="60FCD4DB">
            <w:pPr>
              <w:adjustRightInd w:val="0"/>
              <w:snapToGrid w:val="0"/>
              <w:jc w:val="center"/>
              <w:rPr>
                <w:rFonts w:hint="default" w:ascii="Times New Roman" w:hAnsi="Times New Roman" w:cs="Times New Roman"/>
                <w:sz w:val="24"/>
                <w:szCs w:val="24"/>
                <w:highlight w:val="none"/>
              </w:rPr>
            </w:pPr>
          </w:p>
        </w:tc>
        <w:tc>
          <w:tcPr>
            <w:tcW w:w="1680" w:type="dxa"/>
            <w:vMerge w:val="restart"/>
            <w:noWrap w:val="0"/>
            <w:vAlign w:val="center"/>
          </w:tcPr>
          <w:p w14:paraId="76091ADE">
            <w:pPr>
              <w:adjustRightInd w:val="0"/>
              <w:snapToGrid w:val="0"/>
              <w:jc w:val="center"/>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导热油炉</w:t>
            </w:r>
          </w:p>
        </w:tc>
        <w:tc>
          <w:tcPr>
            <w:tcW w:w="1364" w:type="dxa"/>
            <w:noWrap w:val="0"/>
            <w:vAlign w:val="center"/>
          </w:tcPr>
          <w:p w14:paraId="177D3031">
            <w:pPr>
              <w:adjustRightInd w:val="0"/>
              <w:snapToGrid w:val="0"/>
              <w:jc w:val="center"/>
              <w:rPr>
                <w:rFonts w:hint="default" w:ascii="Times New Roman" w:hAnsi="Times New Roman" w:eastAsia="宋体" w:cs="Times New Roman"/>
                <w:kern w:val="2"/>
                <w:sz w:val="24"/>
                <w:szCs w:val="24"/>
                <w:highlight w:val="none"/>
                <w:vertAlign w:val="baseline"/>
                <w:lang w:val="en-US" w:eastAsia="zh-CN" w:bidi="ar-SA"/>
              </w:rPr>
            </w:pPr>
            <w:r>
              <w:rPr>
                <w:rFonts w:hint="default" w:ascii="Times New Roman" w:hAnsi="Times New Roman" w:cs="Times New Roman"/>
                <w:sz w:val="24"/>
                <w:szCs w:val="24"/>
                <w:highlight w:val="none"/>
                <w:lang w:val="en-US" w:eastAsia="zh-CN"/>
              </w:rPr>
              <w:t>颗粒物</w:t>
            </w:r>
          </w:p>
        </w:tc>
        <w:tc>
          <w:tcPr>
            <w:tcW w:w="1836" w:type="dxa"/>
            <w:vMerge w:val="restart"/>
            <w:noWrap w:val="0"/>
            <w:vAlign w:val="center"/>
          </w:tcPr>
          <w:p w14:paraId="4171761A">
            <w:pPr>
              <w:adjustRightInd w:val="0"/>
              <w:snapToGrid w:val="0"/>
              <w:jc w:val="center"/>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cs="Times New Roman"/>
                <w:sz w:val="24"/>
                <w:szCs w:val="24"/>
                <w:highlight w:val="none"/>
                <w:lang w:val="en-US" w:eastAsia="zh-CN"/>
              </w:rPr>
              <w:t>低氮燃烧+</w:t>
            </w:r>
            <w:r>
              <w:rPr>
                <w:rFonts w:hint="eastAsia" w:cs="Times New Roman"/>
                <w:sz w:val="24"/>
                <w:szCs w:val="24"/>
                <w:highlight w:val="none"/>
                <w:lang w:val="en-US" w:eastAsia="zh-CN"/>
              </w:rPr>
              <w:t>12</w:t>
            </w:r>
            <w:r>
              <w:rPr>
                <w:rFonts w:hint="eastAsia" w:ascii="Times New Roman" w:hAnsi="Times New Roman" w:cs="Times New Roman"/>
                <w:sz w:val="24"/>
                <w:szCs w:val="24"/>
                <w:highlight w:val="none"/>
                <w:lang w:val="en-US" w:eastAsia="zh-CN"/>
              </w:rPr>
              <w:t>m排气筒（DA00</w:t>
            </w:r>
            <w:r>
              <w:rPr>
                <w:rFonts w:hint="eastAsia" w:cs="Times New Roman"/>
                <w:sz w:val="24"/>
                <w:szCs w:val="24"/>
                <w:highlight w:val="none"/>
                <w:lang w:val="en-US" w:eastAsia="zh-CN"/>
              </w:rPr>
              <w:t>2</w:t>
            </w:r>
            <w:r>
              <w:rPr>
                <w:rFonts w:hint="eastAsia" w:ascii="Times New Roman" w:hAnsi="Times New Roman" w:cs="Times New Roman"/>
                <w:sz w:val="24"/>
                <w:szCs w:val="24"/>
                <w:highlight w:val="none"/>
                <w:lang w:val="en-US" w:eastAsia="zh-CN"/>
              </w:rPr>
              <w:t>）</w:t>
            </w:r>
          </w:p>
        </w:tc>
        <w:tc>
          <w:tcPr>
            <w:tcW w:w="2318" w:type="dxa"/>
            <w:vMerge w:val="restart"/>
            <w:noWrap w:val="0"/>
            <w:vAlign w:val="center"/>
          </w:tcPr>
          <w:p w14:paraId="714CCB68">
            <w:pPr>
              <w:adjustRightInd w:val="0"/>
              <w:snapToGrid w:val="0"/>
              <w:jc w:val="center"/>
              <w:rPr>
                <w:rFonts w:hint="default" w:ascii="Times New Roman" w:hAnsi="Times New Roman" w:cs="Times New Roman"/>
                <w:kern w:val="2"/>
                <w:sz w:val="24"/>
                <w:szCs w:val="24"/>
                <w:highlight w:val="none"/>
                <w:lang w:val="en-US" w:eastAsia="zh-CN" w:bidi="ar-SA"/>
              </w:rPr>
            </w:pPr>
            <w:r>
              <w:rPr>
                <w:rFonts w:hint="default" w:ascii="Times New Roman" w:hAnsi="Times New Roman" w:cs="Times New Roman"/>
                <w:sz w:val="24"/>
                <w:szCs w:val="24"/>
                <w:highlight w:val="none"/>
                <w:lang w:val="en-US" w:eastAsia="zh-CN"/>
              </w:rPr>
              <w:t>《锅炉大气污染物排放标准》（GB13271-2014）表3中大气污染物特别排放限值</w:t>
            </w:r>
            <w:r>
              <w:rPr>
                <w:rFonts w:hint="eastAsia" w:ascii="Times New Roman" w:hAnsi="Times New Roman" w:eastAsia="宋体" w:cs="Times New Roman"/>
                <w:color w:val="000000"/>
                <w:sz w:val="24"/>
                <w:highlight w:val="none"/>
                <w:lang w:val="en-US" w:eastAsia="zh-CN"/>
              </w:rPr>
              <w:t>求</w:t>
            </w:r>
          </w:p>
        </w:tc>
      </w:tr>
      <w:tr w14:paraId="4EB975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02" w:type="dxa"/>
            <w:vMerge w:val="continue"/>
            <w:noWrap w:val="0"/>
            <w:vAlign w:val="center"/>
          </w:tcPr>
          <w:p w14:paraId="095CB14E">
            <w:pPr>
              <w:adjustRightInd w:val="0"/>
              <w:snapToGrid w:val="0"/>
              <w:jc w:val="center"/>
            </w:pPr>
          </w:p>
        </w:tc>
        <w:tc>
          <w:tcPr>
            <w:tcW w:w="1680" w:type="dxa"/>
            <w:vMerge w:val="continue"/>
            <w:noWrap w:val="0"/>
            <w:vAlign w:val="center"/>
          </w:tcPr>
          <w:p w14:paraId="6B53D95D">
            <w:pPr>
              <w:adjustRightInd w:val="0"/>
              <w:snapToGrid w:val="0"/>
              <w:jc w:val="center"/>
            </w:pPr>
          </w:p>
        </w:tc>
        <w:tc>
          <w:tcPr>
            <w:tcW w:w="1364" w:type="dxa"/>
            <w:noWrap w:val="0"/>
            <w:vAlign w:val="center"/>
          </w:tcPr>
          <w:p w14:paraId="5A00B2B6">
            <w:pPr>
              <w:adjustRightInd w:val="0"/>
              <w:snapToGrid w:val="0"/>
              <w:jc w:val="center"/>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SO</w:t>
            </w:r>
            <w:r>
              <w:rPr>
                <w:rFonts w:hint="eastAsia" w:ascii="Times New Roman" w:hAnsi="Times New Roman" w:cs="Times New Roman"/>
                <w:sz w:val="24"/>
                <w:szCs w:val="24"/>
                <w:highlight w:val="none"/>
                <w:vertAlign w:val="subscript"/>
                <w:lang w:val="en-US" w:eastAsia="zh-CN"/>
              </w:rPr>
              <w:t>2</w:t>
            </w:r>
          </w:p>
        </w:tc>
        <w:tc>
          <w:tcPr>
            <w:tcW w:w="1836" w:type="dxa"/>
            <w:vMerge w:val="continue"/>
            <w:noWrap w:val="0"/>
            <w:vAlign w:val="center"/>
          </w:tcPr>
          <w:p w14:paraId="21F498E0">
            <w:pPr>
              <w:adjustRightInd w:val="0"/>
              <w:snapToGrid w:val="0"/>
              <w:jc w:val="center"/>
              <w:rPr>
                <w:rFonts w:hint="default" w:ascii="Times New Roman" w:hAnsi="Times New Roman" w:cs="Times New Roman"/>
                <w:sz w:val="24"/>
                <w:szCs w:val="24"/>
                <w:highlight w:val="none"/>
                <w:lang w:val="en-US" w:eastAsia="zh-CN"/>
              </w:rPr>
            </w:pPr>
          </w:p>
        </w:tc>
        <w:tc>
          <w:tcPr>
            <w:tcW w:w="2318" w:type="dxa"/>
            <w:vMerge w:val="continue"/>
            <w:noWrap w:val="0"/>
            <w:vAlign w:val="center"/>
          </w:tcPr>
          <w:p w14:paraId="5208C8FF">
            <w:pPr>
              <w:adjustRightInd w:val="0"/>
              <w:snapToGrid w:val="0"/>
              <w:jc w:val="center"/>
              <w:rPr>
                <w:rFonts w:hint="default" w:ascii="Times New Roman" w:hAnsi="Times New Roman" w:cs="Times New Roman"/>
                <w:sz w:val="24"/>
                <w:szCs w:val="24"/>
                <w:highlight w:val="none"/>
                <w:lang w:val="en-US" w:eastAsia="zh-CN"/>
              </w:rPr>
            </w:pPr>
          </w:p>
        </w:tc>
      </w:tr>
      <w:tr w14:paraId="151F84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02" w:type="dxa"/>
            <w:vMerge w:val="continue"/>
            <w:noWrap w:val="0"/>
            <w:vAlign w:val="center"/>
          </w:tcPr>
          <w:p w14:paraId="23472C18">
            <w:pPr>
              <w:adjustRightInd w:val="0"/>
              <w:snapToGrid w:val="0"/>
              <w:jc w:val="center"/>
              <w:rPr>
                <w:rFonts w:hint="default" w:ascii="Times New Roman" w:hAnsi="Times New Roman" w:cs="Times New Roman"/>
                <w:sz w:val="24"/>
                <w:szCs w:val="24"/>
                <w:highlight w:val="none"/>
                <w:lang w:val="en-US" w:eastAsia="zh-CN"/>
              </w:rPr>
            </w:pPr>
          </w:p>
        </w:tc>
        <w:tc>
          <w:tcPr>
            <w:tcW w:w="1680" w:type="dxa"/>
            <w:vMerge w:val="continue"/>
            <w:noWrap w:val="0"/>
            <w:vAlign w:val="center"/>
          </w:tcPr>
          <w:p w14:paraId="5802B01B">
            <w:pPr>
              <w:adjustRightInd w:val="0"/>
              <w:snapToGrid w:val="0"/>
              <w:jc w:val="center"/>
              <w:rPr>
                <w:rFonts w:hint="default" w:ascii="Times New Roman" w:hAnsi="Times New Roman" w:cs="Times New Roman"/>
                <w:sz w:val="24"/>
                <w:szCs w:val="24"/>
                <w:highlight w:val="none"/>
                <w:lang w:val="en-US" w:eastAsia="zh-CN"/>
              </w:rPr>
            </w:pPr>
          </w:p>
        </w:tc>
        <w:tc>
          <w:tcPr>
            <w:tcW w:w="1364" w:type="dxa"/>
            <w:noWrap w:val="0"/>
            <w:vAlign w:val="center"/>
          </w:tcPr>
          <w:p w14:paraId="2AEE0185">
            <w:pPr>
              <w:adjustRightInd w:val="0"/>
              <w:snapToGrid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vertAlign w:val="baseline"/>
                <w:lang w:val="en-US" w:eastAsia="zh-CN"/>
              </w:rPr>
              <w:t>林格曼黑度</w:t>
            </w:r>
          </w:p>
        </w:tc>
        <w:tc>
          <w:tcPr>
            <w:tcW w:w="1836" w:type="dxa"/>
            <w:vMerge w:val="continue"/>
            <w:noWrap w:val="0"/>
            <w:vAlign w:val="center"/>
          </w:tcPr>
          <w:p w14:paraId="79D3B85D">
            <w:pPr>
              <w:adjustRightInd w:val="0"/>
              <w:snapToGrid w:val="0"/>
              <w:jc w:val="center"/>
              <w:rPr>
                <w:rFonts w:hint="default" w:ascii="Times New Roman" w:hAnsi="Times New Roman" w:cs="Times New Roman"/>
                <w:sz w:val="24"/>
                <w:szCs w:val="24"/>
                <w:highlight w:val="none"/>
                <w:lang w:val="en-US" w:eastAsia="zh-CN"/>
              </w:rPr>
            </w:pPr>
          </w:p>
        </w:tc>
        <w:tc>
          <w:tcPr>
            <w:tcW w:w="2318" w:type="dxa"/>
            <w:vMerge w:val="continue"/>
            <w:noWrap w:val="0"/>
            <w:vAlign w:val="center"/>
          </w:tcPr>
          <w:p w14:paraId="507E5A61">
            <w:pPr>
              <w:adjustRightInd w:val="0"/>
              <w:snapToGrid w:val="0"/>
              <w:jc w:val="center"/>
              <w:rPr>
                <w:rFonts w:hint="default" w:ascii="Times New Roman" w:hAnsi="Times New Roman" w:cs="Times New Roman"/>
                <w:sz w:val="24"/>
                <w:szCs w:val="24"/>
                <w:highlight w:val="none"/>
                <w:lang w:val="en-US" w:eastAsia="zh-CN"/>
              </w:rPr>
            </w:pPr>
          </w:p>
        </w:tc>
      </w:tr>
      <w:tr w14:paraId="120463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02" w:type="dxa"/>
            <w:vMerge w:val="continue"/>
            <w:noWrap w:val="0"/>
            <w:vAlign w:val="center"/>
          </w:tcPr>
          <w:p w14:paraId="39A95F5F">
            <w:pPr>
              <w:adjustRightInd w:val="0"/>
              <w:snapToGrid w:val="0"/>
              <w:jc w:val="center"/>
              <w:rPr>
                <w:rFonts w:hint="default" w:ascii="Times New Roman" w:hAnsi="Times New Roman" w:cs="Times New Roman"/>
                <w:sz w:val="24"/>
                <w:szCs w:val="24"/>
                <w:highlight w:val="none"/>
                <w:lang w:val="en-US" w:eastAsia="zh-CN"/>
              </w:rPr>
            </w:pPr>
          </w:p>
        </w:tc>
        <w:tc>
          <w:tcPr>
            <w:tcW w:w="1680" w:type="dxa"/>
            <w:vMerge w:val="continue"/>
            <w:noWrap w:val="0"/>
            <w:vAlign w:val="center"/>
          </w:tcPr>
          <w:p w14:paraId="0DBC324D">
            <w:pPr>
              <w:adjustRightInd w:val="0"/>
              <w:snapToGrid w:val="0"/>
              <w:jc w:val="center"/>
              <w:rPr>
                <w:rFonts w:hint="default" w:ascii="Times New Roman" w:hAnsi="Times New Roman" w:cs="Times New Roman"/>
                <w:sz w:val="24"/>
                <w:szCs w:val="24"/>
                <w:highlight w:val="none"/>
                <w:lang w:val="en-US" w:eastAsia="zh-CN"/>
              </w:rPr>
            </w:pPr>
          </w:p>
        </w:tc>
        <w:tc>
          <w:tcPr>
            <w:tcW w:w="1364" w:type="dxa"/>
            <w:noWrap w:val="0"/>
            <w:vAlign w:val="center"/>
          </w:tcPr>
          <w:p w14:paraId="362B4F3E">
            <w:pPr>
              <w:adjustRightInd w:val="0"/>
              <w:snapToGrid w:val="0"/>
              <w:jc w:val="center"/>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vertAlign w:val="baseline"/>
                <w:lang w:val="en-US" w:eastAsia="zh-CN"/>
              </w:rPr>
              <w:t>NO</w:t>
            </w:r>
            <w:r>
              <w:rPr>
                <w:rFonts w:hint="eastAsia" w:ascii="Times New Roman" w:hAnsi="Times New Roman" w:cs="Times New Roman"/>
                <w:sz w:val="24"/>
                <w:szCs w:val="24"/>
                <w:highlight w:val="none"/>
                <w:vertAlign w:val="subscript"/>
                <w:lang w:val="en-US" w:eastAsia="zh-CN"/>
              </w:rPr>
              <w:t>x</w:t>
            </w:r>
          </w:p>
        </w:tc>
        <w:tc>
          <w:tcPr>
            <w:tcW w:w="1836" w:type="dxa"/>
            <w:vMerge w:val="continue"/>
            <w:noWrap w:val="0"/>
            <w:vAlign w:val="center"/>
          </w:tcPr>
          <w:p w14:paraId="18B8F7B9">
            <w:pPr>
              <w:adjustRightInd w:val="0"/>
              <w:snapToGrid w:val="0"/>
              <w:jc w:val="center"/>
              <w:rPr>
                <w:rFonts w:hint="default" w:ascii="Times New Roman" w:hAnsi="Times New Roman" w:cs="Times New Roman"/>
                <w:sz w:val="24"/>
                <w:szCs w:val="24"/>
                <w:highlight w:val="none"/>
                <w:lang w:val="en-US" w:eastAsia="zh-CN"/>
              </w:rPr>
            </w:pPr>
          </w:p>
        </w:tc>
        <w:tc>
          <w:tcPr>
            <w:tcW w:w="2318" w:type="dxa"/>
            <w:noWrap w:val="0"/>
            <w:vAlign w:val="center"/>
          </w:tcPr>
          <w:p w14:paraId="0DA19D44">
            <w:pPr>
              <w:adjustRightInd w:val="0"/>
              <w:snapToGrid w:val="0"/>
              <w:jc w:val="center"/>
              <w:rPr>
                <w:rFonts w:hint="default" w:ascii="Times New Roman" w:hAnsi="Times New Roman" w:cs="Times New Roman"/>
                <w:sz w:val="24"/>
                <w:szCs w:val="24"/>
                <w:highlight w:val="none"/>
                <w:lang w:val="en-US" w:eastAsia="zh-CN"/>
              </w:rPr>
            </w:pPr>
            <w:r>
              <w:rPr>
                <w:rFonts w:hint="eastAsia" w:ascii="Times New Roman" w:hAnsi="Times New Roman" w:eastAsia="宋体" w:cs="Times New Roman"/>
                <w:color w:val="000000"/>
                <w:sz w:val="24"/>
                <w:highlight w:val="none"/>
                <w:lang w:val="en-US" w:eastAsia="zh-CN"/>
              </w:rPr>
              <w:t>《关于开展昌吉州2022年度夏秋季大气污染防治“冬病夏治”有关工作的通知》要求</w:t>
            </w:r>
          </w:p>
        </w:tc>
      </w:tr>
      <w:tr w14:paraId="1F04A1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2" w:type="dxa"/>
            <w:vMerge w:val="restart"/>
            <w:noWrap w:val="0"/>
            <w:vAlign w:val="center"/>
          </w:tcPr>
          <w:p w14:paraId="45E66C90">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地表水环境</w:t>
            </w:r>
          </w:p>
        </w:tc>
        <w:tc>
          <w:tcPr>
            <w:tcW w:w="1680" w:type="dxa"/>
            <w:noWrap w:val="0"/>
            <w:vAlign w:val="center"/>
          </w:tcPr>
          <w:p w14:paraId="1DB7C0A9">
            <w:pPr>
              <w:adjustRightInd w:val="0"/>
              <w:snapToGrid w:val="0"/>
              <w:jc w:val="center"/>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生活污水</w:t>
            </w:r>
          </w:p>
        </w:tc>
        <w:tc>
          <w:tcPr>
            <w:tcW w:w="1364" w:type="dxa"/>
            <w:noWrap w:val="0"/>
            <w:vAlign w:val="center"/>
          </w:tcPr>
          <w:p w14:paraId="27AB15D4">
            <w:pPr>
              <w:adjustRightInd w:val="0"/>
              <w:snapToGrid w:val="0"/>
              <w:jc w:val="center"/>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COD、SS、NH</w:t>
            </w:r>
            <w:r>
              <w:rPr>
                <w:rFonts w:hint="eastAsia" w:ascii="Times New Roman" w:hAnsi="Times New Roman" w:cs="Times New Roman"/>
                <w:sz w:val="24"/>
                <w:szCs w:val="24"/>
                <w:highlight w:val="none"/>
                <w:vertAlign w:val="subscript"/>
                <w:lang w:val="en-US" w:eastAsia="zh-CN"/>
              </w:rPr>
              <w:t>3</w:t>
            </w:r>
            <w:r>
              <w:rPr>
                <w:rFonts w:hint="eastAsia" w:ascii="Times New Roman" w:hAnsi="Times New Roman" w:cs="Times New Roman"/>
                <w:sz w:val="24"/>
                <w:szCs w:val="24"/>
                <w:highlight w:val="none"/>
                <w:lang w:val="en-US" w:eastAsia="zh-CN"/>
              </w:rPr>
              <w:t>-</w:t>
            </w:r>
            <w:r>
              <w:rPr>
                <w:rFonts w:hint="eastAsia" w:cs="Times New Roman"/>
                <w:sz w:val="24"/>
                <w:szCs w:val="24"/>
                <w:highlight w:val="none"/>
                <w:lang w:val="en-US" w:eastAsia="zh-CN"/>
              </w:rPr>
              <w:t>N</w:t>
            </w:r>
            <w:r>
              <w:rPr>
                <w:rFonts w:hint="eastAsia" w:ascii="Times New Roman" w:hAnsi="Times New Roman" w:cs="Times New Roman"/>
                <w:sz w:val="24"/>
                <w:szCs w:val="24"/>
                <w:highlight w:val="none"/>
                <w:lang w:val="en-US" w:eastAsia="zh-CN"/>
              </w:rPr>
              <w:t>、BOD</w:t>
            </w:r>
            <w:r>
              <w:rPr>
                <w:rFonts w:hint="eastAsia" w:ascii="Times New Roman" w:hAnsi="Times New Roman" w:cs="Times New Roman"/>
                <w:sz w:val="24"/>
                <w:szCs w:val="24"/>
                <w:highlight w:val="none"/>
                <w:vertAlign w:val="subscript"/>
                <w:lang w:val="en-US" w:eastAsia="zh-CN"/>
              </w:rPr>
              <w:t>5</w:t>
            </w:r>
          </w:p>
        </w:tc>
        <w:tc>
          <w:tcPr>
            <w:tcW w:w="1836" w:type="dxa"/>
            <w:noWrap w:val="0"/>
            <w:vAlign w:val="center"/>
          </w:tcPr>
          <w:p w14:paraId="334F25D7">
            <w:pPr>
              <w:adjustRightInd w:val="0"/>
              <w:snapToGrid w:val="0"/>
              <w:jc w:val="center"/>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生活污水排入园区污水管网</w:t>
            </w:r>
          </w:p>
        </w:tc>
        <w:tc>
          <w:tcPr>
            <w:tcW w:w="2318" w:type="dxa"/>
            <w:noWrap w:val="0"/>
            <w:vAlign w:val="center"/>
          </w:tcPr>
          <w:p w14:paraId="60ACF241">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《污水综合排放标准》（GB8978-1996）表4中三级标准</w:t>
            </w:r>
          </w:p>
        </w:tc>
      </w:tr>
      <w:tr w14:paraId="1FA426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602" w:type="dxa"/>
            <w:vMerge w:val="continue"/>
            <w:noWrap w:val="0"/>
            <w:vAlign w:val="center"/>
          </w:tcPr>
          <w:p w14:paraId="6A63D543">
            <w:pPr>
              <w:adjustRightInd w:val="0"/>
              <w:snapToGrid w:val="0"/>
              <w:jc w:val="center"/>
              <w:rPr>
                <w:rFonts w:hint="default" w:ascii="Times New Roman" w:hAnsi="Times New Roman" w:cs="Times New Roman"/>
                <w:sz w:val="24"/>
                <w:szCs w:val="24"/>
                <w:highlight w:val="none"/>
              </w:rPr>
            </w:pPr>
          </w:p>
        </w:tc>
        <w:tc>
          <w:tcPr>
            <w:tcW w:w="1680" w:type="dxa"/>
            <w:noWrap w:val="0"/>
            <w:vAlign w:val="center"/>
          </w:tcPr>
          <w:p w14:paraId="7F96132A">
            <w:pPr>
              <w:adjustRightInd w:val="0"/>
              <w:snapToGrid w:val="0"/>
              <w:jc w:val="center"/>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生产废水</w:t>
            </w:r>
          </w:p>
        </w:tc>
        <w:tc>
          <w:tcPr>
            <w:tcW w:w="1364" w:type="dxa"/>
            <w:noWrap w:val="0"/>
            <w:vAlign w:val="center"/>
          </w:tcPr>
          <w:p w14:paraId="0A655063">
            <w:pPr>
              <w:adjustRightInd w:val="0"/>
              <w:snapToGrid w:val="0"/>
              <w:jc w:val="center"/>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SS</w:t>
            </w:r>
            <w:r>
              <w:rPr>
                <w:rFonts w:hint="eastAsia"/>
                <w:lang w:eastAsia="zh-CN"/>
              </w:rPr>
              <w:t>、</w:t>
            </w:r>
            <w:r>
              <w:rPr>
                <w:rFonts w:hint="eastAsia"/>
                <w:lang w:val="en-US" w:eastAsia="zh-CN"/>
              </w:rPr>
              <w:t>含油污泥、沉渣</w:t>
            </w:r>
          </w:p>
        </w:tc>
        <w:tc>
          <w:tcPr>
            <w:tcW w:w="1836" w:type="dxa"/>
            <w:noWrap w:val="0"/>
            <w:vAlign w:val="center"/>
          </w:tcPr>
          <w:p w14:paraId="5FEBFC18">
            <w:pPr>
              <w:adjustRightInd w:val="0"/>
              <w:snapToGrid w:val="0"/>
              <w:jc w:val="center"/>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沉淀池</w:t>
            </w:r>
          </w:p>
        </w:tc>
        <w:tc>
          <w:tcPr>
            <w:tcW w:w="2318" w:type="dxa"/>
            <w:noWrap w:val="0"/>
            <w:vAlign w:val="center"/>
          </w:tcPr>
          <w:p w14:paraId="2534937D">
            <w:pPr>
              <w:adjustRightInd w:val="0"/>
              <w:snapToGrid w:val="0"/>
              <w:jc w:val="center"/>
              <w:rPr>
                <w:rFonts w:hint="eastAsia"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w:t>
            </w:r>
          </w:p>
        </w:tc>
      </w:tr>
      <w:tr w14:paraId="59A912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602" w:type="dxa"/>
            <w:noWrap w:val="0"/>
            <w:vAlign w:val="center"/>
          </w:tcPr>
          <w:p w14:paraId="4EB262D0">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声环境</w:t>
            </w:r>
          </w:p>
        </w:tc>
        <w:tc>
          <w:tcPr>
            <w:tcW w:w="1680" w:type="dxa"/>
            <w:noWrap w:val="0"/>
            <w:vAlign w:val="center"/>
          </w:tcPr>
          <w:p w14:paraId="07F2587E">
            <w:pPr>
              <w:adjustRightInd w:val="0"/>
              <w:snapToGrid w:val="0"/>
              <w:jc w:val="center"/>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设备</w:t>
            </w:r>
          </w:p>
        </w:tc>
        <w:tc>
          <w:tcPr>
            <w:tcW w:w="1364" w:type="dxa"/>
            <w:noWrap w:val="0"/>
            <w:vAlign w:val="center"/>
          </w:tcPr>
          <w:p w14:paraId="45C82F81">
            <w:pPr>
              <w:adjustRightInd w:val="0"/>
              <w:snapToGrid w:val="0"/>
              <w:jc w:val="center"/>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等效A声级</w:t>
            </w:r>
          </w:p>
        </w:tc>
        <w:tc>
          <w:tcPr>
            <w:tcW w:w="1836" w:type="dxa"/>
            <w:noWrap w:val="0"/>
            <w:vAlign w:val="center"/>
          </w:tcPr>
          <w:p w14:paraId="5EEE7188">
            <w:pPr>
              <w:adjustRightInd w:val="0"/>
              <w:snapToGrid w:val="0"/>
              <w:jc w:val="center"/>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基础减振、厂房隔声</w:t>
            </w:r>
          </w:p>
        </w:tc>
        <w:tc>
          <w:tcPr>
            <w:tcW w:w="2318" w:type="dxa"/>
            <w:noWrap w:val="0"/>
            <w:vAlign w:val="center"/>
          </w:tcPr>
          <w:p w14:paraId="223481CE">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《工业企业厂界环境噪声排放标准》（GB12348－2008）3类标准</w:t>
            </w:r>
          </w:p>
        </w:tc>
      </w:tr>
      <w:tr w14:paraId="250041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602" w:type="dxa"/>
            <w:noWrap w:val="0"/>
            <w:vAlign w:val="center"/>
          </w:tcPr>
          <w:p w14:paraId="6BB800FF">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电磁辐射</w:t>
            </w:r>
          </w:p>
        </w:tc>
        <w:tc>
          <w:tcPr>
            <w:tcW w:w="7198" w:type="dxa"/>
            <w:gridSpan w:val="4"/>
            <w:noWrap w:val="0"/>
            <w:vAlign w:val="center"/>
          </w:tcPr>
          <w:p w14:paraId="5DE84CA1">
            <w:pPr>
              <w:adjustRightInd w:val="0"/>
              <w:snapToGrid w:val="0"/>
              <w:jc w:val="center"/>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w:t>
            </w:r>
          </w:p>
        </w:tc>
      </w:tr>
      <w:tr w14:paraId="548323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02" w:type="dxa"/>
            <w:vMerge w:val="restart"/>
            <w:noWrap w:val="0"/>
            <w:vAlign w:val="center"/>
          </w:tcPr>
          <w:p w14:paraId="49F53DEC">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固体废物</w:t>
            </w:r>
          </w:p>
        </w:tc>
        <w:tc>
          <w:tcPr>
            <w:tcW w:w="1680" w:type="dxa"/>
            <w:noWrap w:val="0"/>
            <w:vAlign w:val="center"/>
          </w:tcPr>
          <w:p w14:paraId="5F2D6A36">
            <w:pPr>
              <w:adjustRightInd w:val="0"/>
              <w:snapToGrid w:val="0"/>
              <w:jc w:val="center"/>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员工生活</w:t>
            </w:r>
          </w:p>
        </w:tc>
        <w:tc>
          <w:tcPr>
            <w:tcW w:w="1364" w:type="dxa"/>
            <w:noWrap w:val="0"/>
            <w:vAlign w:val="center"/>
          </w:tcPr>
          <w:p w14:paraId="6A602E08">
            <w:pPr>
              <w:adjustRightInd w:val="0"/>
              <w:snapToGrid w:val="0"/>
              <w:jc w:val="center"/>
              <w:rPr>
                <w:rFonts w:hint="eastAsia"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生活垃圾</w:t>
            </w:r>
          </w:p>
        </w:tc>
        <w:tc>
          <w:tcPr>
            <w:tcW w:w="1836" w:type="dxa"/>
            <w:noWrap w:val="0"/>
            <w:vAlign w:val="center"/>
          </w:tcPr>
          <w:p w14:paraId="3918331A">
            <w:pPr>
              <w:adjustRightInd w:val="0"/>
              <w:snapToGrid w:val="0"/>
              <w:jc w:val="center"/>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收集后由当地环卫部门清运</w:t>
            </w:r>
          </w:p>
        </w:tc>
        <w:tc>
          <w:tcPr>
            <w:tcW w:w="2318" w:type="dxa"/>
            <w:vMerge w:val="restart"/>
            <w:noWrap w:val="0"/>
            <w:vAlign w:val="center"/>
          </w:tcPr>
          <w:p w14:paraId="1B986092">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《一般工业固体废物贮存和填埋污染控制标准》（GB18599-2020）</w:t>
            </w:r>
          </w:p>
        </w:tc>
      </w:tr>
      <w:tr w14:paraId="4F6375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2" w:type="dxa"/>
            <w:vMerge w:val="continue"/>
            <w:noWrap w:val="0"/>
            <w:vAlign w:val="center"/>
          </w:tcPr>
          <w:p w14:paraId="0C9C3F97">
            <w:pPr>
              <w:adjustRightInd w:val="0"/>
              <w:snapToGrid w:val="0"/>
              <w:jc w:val="center"/>
              <w:rPr>
                <w:rFonts w:hint="default" w:ascii="Times New Roman" w:hAnsi="Times New Roman" w:cs="Times New Roman"/>
                <w:sz w:val="24"/>
                <w:szCs w:val="24"/>
                <w:highlight w:val="none"/>
              </w:rPr>
            </w:pPr>
          </w:p>
        </w:tc>
        <w:tc>
          <w:tcPr>
            <w:tcW w:w="1680" w:type="dxa"/>
            <w:noWrap w:val="0"/>
            <w:vAlign w:val="center"/>
          </w:tcPr>
          <w:p w14:paraId="7F3D92C0">
            <w:pPr>
              <w:adjustRightInd w:val="0"/>
              <w:snapToGrid w:val="0"/>
              <w:jc w:val="center"/>
              <w:rPr>
                <w:rFonts w:hint="eastAsia"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生产线</w:t>
            </w:r>
          </w:p>
        </w:tc>
        <w:tc>
          <w:tcPr>
            <w:tcW w:w="1364" w:type="dxa"/>
            <w:noWrap w:val="0"/>
            <w:vAlign w:val="center"/>
          </w:tcPr>
          <w:p w14:paraId="546908F8">
            <w:pPr>
              <w:adjustRightInd w:val="0"/>
              <w:snapToGrid w:val="0"/>
              <w:jc w:val="center"/>
              <w:rPr>
                <w:rFonts w:hint="eastAsia"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废弃包装</w:t>
            </w:r>
          </w:p>
        </w:tc>
        <w:tc>
          <w:tcPr>
            <w:tcW w:w="1836" w:type="dxa"/>
            <w:noWrap w:val="0"/>
            <w:vAlign w:val="center"/>
          </w:tcPr>
          <w:p w14:paraId="7AC654A5">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val="en-US" w:eastAsia="zh-CN"/>
              </w:rPr>
              <w:t>收集后统一外售</w:t>
            </w:r>
          </w:p>
        </w:tc>
        <w:tc>
          <w:tcPr>
            <w:tcW w:w="2318" w:type="dxa"/>
            <w:vMerge w:val="continue"/>
            <w:noWrap w:val="0"/>
            <w:vAlign w:val="center"/>
          </w:tcPr>
          <w:p w14:paraId="4BD71A20">
            <w:pPr>
              <w:adjustRightInd w:val="0"/>
              <w:snapToGrid w:val="0"/>
              <w:jc w:val="center"/>
              <w:rPr>
                <w:rFonts w:hint="default" w:ascii="Times New Roman" w:hAnsi="Times New Roman" w:cs="Times New Roman"/>
                <w:sz w:val="24"/>
                <w:szCs w:val="24"/>
                <w:highlight w:val="none"/>
              </w:rPr>
            </w:pPr>
          </w:p>
        </w:tc>
      </w:tr>
      <w:tr w14:paraId="3A22AE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2" w:type="dxa"/>
            <w:vMerge w:val="continue"/>
            <w:noWrap w:val="0"/>
            <w:vAlign w:val="center"/>
          </w:tcPr>
          <w:p w14:paraId="7D13A00E">
            <w:pPr>
              <w:adjustRightInd w:val="0"/>
              <w:snapToGrid w:val="0"/>
              <w:jc w:val="center"/>
              <w:rPr>
                <w:rFonts w:hint="default" w:ascii="Times New Roman" w:hAnsi="Times New Roman" w:cs="Times New Roman"/>
                <w:sz w:val="24"/>
                <w:szCs w:val="24"/>
                <w:highlight w:val="none"/>
              </w:rPr>
            </w:pPr>
          </w:p>
        </w:tc>
        <w:tc>
          <w:tcPr>
            <w:tcW w:w="1680" w:type="dxa"/>
            <w:vMerge w:val="restart"/>
            <w:noWrap w:val="0"/>
            <w:vAlign w:val="center"/>
          </w:tcPr>
          <w:p w14:paraId="1B48ED6F">
            <w:pPr>
              <w:adjustRightInd w:val="0"/>
              <w:snapToGrid w:val="0"/>
              <w:jc w:val="center"/>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废水处理</w:t>
            </w:r>
          </w:p>
        </w:tc>
        <w:tc>
          <w:tcPr>
            <w:tcW w:w="1364" w:type="dxa"/>
            <w:noWrap w:val="0"/>
            <w:vAlign w:val="center"/>
          </w:tcPr>
          <w:p w14:paraId="0A38EC32">
            <w:pPr>
              <w:adjustRightInd w:val="0"/>
              <w:snapToGrid w:val="0"/>
              <w:jc w:val="center"/>
              <w:rPr>
                <w:rFonts w:hint="default" w:ascii="Times New Roman" w:hAnsi="Times New Roman" w:eastAsia="宋体" w:cs="Times New Roman"/>
                <w:sz w:val="24"/>
                <w:szCs w:val="24"/>
                <w:highlight w:val="none"/>
                <w:lang w:val="en-US" w:eastAsia="zh-CN"/>
              </w:rPr>
            </w:pPr>
            <w:r>
              <w:rPr>
                <w:rFonts w:hint="eastAsia" w:cs="Times New Roman"/>
                <w:kern w:val="2"/>
                <w:sz w:val="24"/>
                <w:szCs w:val="24"/>
                <w:highlight w:val="none"/>
                <w:lang w:val="en-US" w:eastAsia="zh-CN" w:bidi="ar-SA"/>
              </w:rPr>
              <w:t>含油污泥</w:t>
            </w:r>
          </w:p>
        </w:tc>
        <w:tc>
          <w:tcPr>
            <w:tcW w:w="1836" w:type="dxa"/>
            <w:vMerge w:val="restart"/>
            <w:noWrap w:val="0"/>
            <w:vAlign w:val="center"/>
          </w:tcPr>
          <w:p w14:paraId="3F994294">
            <w:pPr>
              <w:adjustRightInd w:val="0"/>
              <w:snapToGrid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回用于生产</w:t>
            </w:r>
          </w:p>
        </w:tc>
        <w:tc>
          <w:tcPr>
            <w:tcW w:w="2318" w:type="dxa"/>
            <w:vMerge w:val="restart"/>
            <w:noWrap w:val="0"/>
            <w:vAlign w:val="center"/>
          </w:tcPr>
          <w:p w14:paraId="21C0DD49">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《危险废物贮存污染控制标准》（GB18597-20</w:t>
            </w:r>
            <w:r>
              <w:rPr>
                <w:rFonts w:hint="eastAsia" w:ascii="Times New Roman" w:hAnsi="Times New Roman" w:cs="Times New Roman"/>
                <w:sz w:val="24"/>
                <w:szCs w:val="24"/>
                <w:highlight w:val="none"/>
                <w:lang w:val="en-US" w:eastAsia="zh-CN"/>
              </w:rPr>
              <w:t>23</w:t>
            </w:r>
            <w:r>
              <w:rPr>
                <w:rFonts w:hint="default" w:ascii="Times New Roman" w:hAnsi="Times New Roman" w:cs="Times New Roman"/>
                <w:sz w:val="24"/>
                <w:szCs w:val="24"/>
                <w:highlight w:val="none"/>
              </w:rPr>
              <w:t>）</w:t>
            </w:r>
          </w:p>
        </w:tc>
      </w:tr>
      <w:tr w14:paraId="44E06A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2" w:type="dxa"/>
            <w:vMerge w:val="continue"/>
            <w:noWrap w:val="0"/>
            <w:vAlign w:val="center"/>
          </w:tcPr>
          <w:p w14:paraId="794E5CA9">
            <w:pPr>
              <w:adjustRightInd w:val="0"/>
              <w:snapToGrid w:val="0"/>
              <w:jc w:val="center"/>
              <w:rPr>
                <w:rFonts w:hint="default" w:ascii="Times New Roman" w:hAnsi="Times New Roman" w:cs="Times New Roman"/>
                <w:sz w:val="24"/>
                <w:szCs w:val="24"/>
                <w:highlight w:val="none"/>
              </w:rPr>
            </w:pPr>
          </w:p>
        </w:tc>
        <w:tc>
          <w:tcPr>
            <w:tcW w:w="1680" w:type="dxa"/>
            <w:vMerge w:val="continue"/>
            <w:noWrap w:val="0"/>
            <w:vAlign w:val="center"/>
          </w:tcPr>
          <w:p w14:paraId="2A2E35CA">
            <w:pPr>
              <w:adjustRightInd w:val="0"/>
              <w:snapToGrid w:val="0"/>
              <w:jc w:val="center"/>
              <w:rPr>
                <w:rFonts w:hint="eastAsia" w:ascii="Times New Roman" w:hAnsi="Times New Roman" w:cs="Times New Roman"/>
                <w:kern w:val="2"/>
                <w:sz w:val="24"/>
                <w:szCs w:val="24"/>
                <w:highlight w:val="none"/>
                <w:lang w:val="en-US" w:eastAsia="zh-CN" w:bidi="ar-SA"/>
              </w:rPr>
            </w:pPr>
          </w:p>
        </w:tc>
        <w:tc>
          <w:tcPr>
            <w:tcW w:w="1364" w:type="dxa"/>
            <w:noWrap w:val="0"/>
            <w:vAlign w:val="center"/>
          </w:tcPr>
          <w:p w14:paraId="1BEBC41F">
            <w:pPr>
              <w:adjustRightInd w:val="0"/>
              <w:snapToGrid w:val="0"/>
              <w:jc w:val="center"/>
              <w:rPr>
                <w:rFonts w:hint="eastAsia" w:ascii="Times New Roman" w:hAnsi="Times New Roman" w:cs="Times New Roman"/>
                <w:kern w:val="2"/>
                <w:sz w:val="24"/>
                <w:szCs w:val="24"/>
                <w:highlight w:val="none"/>
                <w:lang w:val="en-US" w:eastAsia="zh-CN" w:bidi="ar-SA"/>
              </w:rPr>
            </w:pPr>
            <w:r>
              <w:rPr>
                <w:rFonts w:hint="eastAsia" w:ascii="Times New Roman" w:hAnsi="Times New Roman" w:cs="Times New Roman"/>
                <w:sz w:val="24"/>
                <w:szCs w:val="24"/>
                <w:highlight w:val="none"/>
                <w:lang w:val="en-US" w:eastAsia="zh-CN"/>
              </w:rPr>
              <w:t>沉渣</w:t>
            </w:r>
          </w:p>
        </w:tc>
        <w:tc>
          <w:tcPr>
            <w:tcW w:w="1836" w:type="dxa"/>
            <w:vMerge w:val="continue"/>
            <w:noWrap w:val="0"/>
            <w:vAlign w:val="center"/>
          </w:tcPr>
          <w:p w14:paraId="65F19986">
            <w:pPr>
              <w:adjustRightInd w:val="0"/>
              <w:snapToGrid w:val="0"/>
              <w:jc w:val="center"/>
              <w:rPr>
                <w:rFonts w:hint="default" w:ascii="Times New Roman" w:hAnsi="Times New Roman" w:cs="Times New Roman"/>
                <w:sz w:val="24"/>
                <w:szCs w:val="24"/>
                <w:highlight w:val="none"/>
                <w:lang w:val="en-US" w:eastAsia="zh-CN"/>
              </w:rPr>
            </w:pPr>
          </w:p>
        </w:tc>
        <w:tc>
          <w:tcPr>
            <w:tcW w:w="2318" w:type="dxa"/>
            <w:vMerge w:val="continue"/>
            <w:noWrap w:val="0"/>
            <w:vAlign w:val="center"/>
          </w:tcPr>
          <w:p w14:paraId="370724FA">
            <w:pPr>
              <w:adjustRightInd w:val="0"/>
              <w:snapToGrid w:val="0"/>
              <w:jc w:val="center"/>
              <w:rPr>
                <w:rFonts w:hint="default" w:ascii="Times New Roman" w:hAnsi="Times New Roman" w:cs="Times New Roman"/>
                <w:sz w:val="24"/>
                <w:szCs w:val="24"/>
                <w:highlight w:val="none"/>
              </w:rPr>
            </w:pPr>
          </w:p>
        </w:tc>
      </w:tr>
      <w:tr w14:paraId="723B8C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02" w:type="dxa"/>
            <w:vMerge w:val="continue"/>
            <w:noWrap w:val="0"/>
            <w:vAlign w:val="center"/>
          </w:tcPr>
          <w:p w14:paraId="27A3E868">
            <w:pPr>
              <w:adjustRightInd w:val="0"/>
              <w:snapToGrid w:val="0"/>
              <w:jc w:val="center"/>
              <w:rPr>
                <w:rFonts w:hint="default" w:ascii="Times New Roman" w:hAnsi="Times New Roman" w:cs="Times New Roman"/>
                <w:sz w:val="24"/>
                <w:szCs w:val="24"/>
                <w:highlight w:val="none"/>
              </w:rPr>
            </w:pPr>
          </w:p>
        </w:tc>
        <w:tc>
          <w:tcPr>
            <w:tcW w:w="1680" w:type="dxa"/>
            <w:noWrap w:val="0"/>
            <w:vAlign w:val="center"/>
          </w:tcPr>
          <w:p w14:paraId="1DD94393">
            <w:pPr>
              <w:adjustRightInd w:val="0"/>
              <w:snapToGrid w:val="0"/>
              <w:jc w:val="center"/>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cs="Times New Roman"/>
                <w:sz w:val="24"/>
                <w:szCs w:val="24"/>
                <w:highlight w:val="none"/>
                <w:lang w:val="en-US" w:eastAsia="zh-CN"/>
              </w:rPr>
              <w:t>废气处理</w:t>
            </w:r>
          </w:p>
        </w:tc>
        <w:tc>
          <w:tcPr>
            <w:tcW w:w="1364" w:type="dxa"/>
            <w:noWrap w:val="0"/>
            <w:vAlign w:val="center"/>
          </w:tcPr>
          <w:p w14:paraId="31A98625">
            <w:pPr>
              <w:adjustRightInd w:val="0"/>
              <w:snapToGrid w:val="0"/>
              <w:jc w:val="center"/>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cs="Times New Roman"/>
                <w:sz w:val="24"/>
                <w:szCs w:val="24"/>
                <w:highlight w:val="none"/>
                <w:lang w:val="en-US" w:eastAsia="zh-CN"/>
              </w:rPr>
              <w:t>废活性炭</w:t>
            </w:r>
          </w:p>
        </w:tc>
        <w:tc>
          <w:tcPr>
            <w:tcW w:w="1836" w:type="dxa"/>
            <w:vMerge w:val="restart"/>
            <w:noWrap w:val="0"/>
            <w:vAlign w:val="center"/>
          </w:tcPr>
          <w:p w14:paraId="15597959">
            <w:pPr>
              <w:adjustRightInd w:val="0"/>
              <w:snapToGrid w:val="0"/>
              <w:jc w:val="center"/>
              <w:rPr>
                <w:rFonts w:hint="default" w:ascii="Times New Roman" w:hAnsi="Times New Roman" w:cs="Times New Roman"/>
                <w:sz w:val="24"/>
                <w:szCs w:val="24"/>
                <w:highlight w:val="none"/>
              </w:rPr>
            </w:pPr>
            <w:r>
              <w:rPr>
                <w:rFonts w:hint="eastAsia" w:ascii="Times New Roman" w:hAnsi="Times New Roman" w:cs="Times New Roman"/>
                <w:sz w:val="24"/>
                <w:szCs w:val="24"/>
                <w:highlight w:val="none"/>
                <w:lang w:val="en-US" w:eastAsia="zh-CN"/>
              </w:rPr>
              <w:t>暂存于危废间，定期委托有资质的单位进行处理</w:t>
            </w:r>
          </w:p>
        </w:tc>
        <w:tc>
          <w:tcPr>
            <w:tcW w:w="2318" w:type="dxa"/>
            <w:vMerge w:val="continue"/>
            <w:noWrap w:val="0"/>
            <w:vAlign w:val="center"/>
          </w:tcPr>
          <w:p w14:paraId="6B10CAFD">
            <w:pPr>
              <w:adjustRightInd w:val="0"/>
              <w:snapToGrid w:val="0"/>
              <w:jc w:val="center"/>
              <w:rPr>
                <w:rFonts w:hint="default" w:ascii="Times New Roman" w:hAnsi="Times New Roman" w:cs="Times New Roman"/>
                <w:sz w:val="24"/>
                <w:szCs w:val="24"/>
                <w:highlight w:val="none"/>
              </w:rPr>
            </w:pPr>
          </w:p>
        </w:tc>
      </w:tr>
      <w:tr w14:paraId="02FC3B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602" w:type="dxa"/>
            <w:vMerge w:val="continue"/>
            <w:noWrap w:val="0"/>
            <w:vAlign w:val="center"/>
          </w:tcPr>
          <w:p w14:paraId="491535D3">
            <w:pPr>
              <w:adjustRightInd w:val="0"/>
              <w:snapToGrid w:val="0"/>
              <w:jc w:val="center"/>
              <w:rPr>
                <w:rFonts w:hint="default" w:ascii="Times New Roman" w:hAnsi="Times New Roman" w:cs="Times New Roman"/>
                <w:sz w:val="24"/>
                <w:szCs w:val="24"/>
                <w:highlight w:val="none"/>
              </w:rPr>
            </w:pPr>
          </w:p>
        </w:tc>
        <w:tc>
          <w:tcPr>
            <w:tcW w:w="1680" w:type="dxa"/>
            <w:vMerge w:val="restart"/>
            <w:noWrap w:val="0"/>
            <w:vAlign w:val="center"/>
          </w:tcPr>
          <w:p w14:paraId="535CC318">
            <w:pPr>
              <w:adjustRightInd w:val="0"/>
              <w:snapToGrid w:val="0"/>
              <w:jc w:val="center"/>
              <w:rPr>
                <w:rFonts w:hint="default" w:ascii="Times New Roman" w:hAnsi="Times New Roman" w:cs="Times New Roman"/>
                <w:kern w:val="2"/>
                <w:sz w:val="24"/>
                <w:szCs w:val="24"/>
                <w:highlight w:val="none"/>
                <w:lang w:val="en-US" w:eastAsia="zh-CN" w:bidi="ar-SA"/>
              </w:rPr>
            </w:pPr>
            <w:r>
              <w:rPr>
                <w:rFonts w:hint="eastAsia" w:ascii="Times New Roman" w:hAnsi="Times New Roman" w:cs="Times New Roman"/>
                <w:sz w:val="24"/>
                <w:szCs w:val="24"/>
                <w:highlight w:val="none"/>
                <w:lang w:val="en-US" w:eastAsia="zh-CN"/>
              </w:rPr>
              <w:t>设备维护</w:t>
            </w:r>
          </w:p>
        </w:tc>
        <w:tc>
          <w:tcPr>
            <w:tcW w:w="1364" w:type="dxa"/>
            <w:noWrap w:val="0"/>
            <w:vAlign w:val="center"/>
          </w:tcPr>
          <w:p w14:paraId="7A170D1D">
            <w:pPr>
              <w:adjustRightInd w:val="0"/>
              <w:snapToGrid w:val="0"/>
              <w:jc w:val="center"/>
              <w:rPr>
                <w:rFonts w:hint="default" w:ascii="Times New Roman" w:hAnsi="Times New Roman" w:cs="Times New Roman"/>
                <w:kern w:val="2"/>
                <w:sz w:val="24"/>
                <w:szCs w:val="24"/>
                <w:highlight w:val="none"/>
                <w:lang w:val="en-US" w:eastAsia="zh-CN" w:bidi="ar-SA"/>
              </w:rPr>
            </w:pPr>
            <w:r>
              <w:rPr>
                <w:rFonts w:hint="eastAsia" w:ascii="Times New Roman" w:hAnsi="Times New Roman" w:cs="Times New Roman"/>
                <w:sz w:val="24"/>
                <w:szCs w:val="24"/>
                <w:highlight w:val="none"/>
                <w:lang w:val="en-US" w:eastAsia="zh-CN"/>
              </w:rPr>
              <w:t>废润滑油</w:t>
            </w:r>
          </w:p>
        </w:tc>
        <w:tc>
          <w:tcPr>
            <w:tcW w:w="1836" w:type="dxa"/>
            <w:vMerge w:val="continue"/>
            <w:noWrap w:val="0"/>
            <w:vAlign w:val="center"/>
          </w:tcPr>
          <w:p w14:paraId="6433E236">
            <w:pPr>
              <w:adjustRightInd w:val="0"/>
              <w:snapToGrid w:val="0"/>
              <w:jc w:val="center"/>
              <w:rPr>
                <w:rFonts w:hint="default" w:ascii="Times New Roman" w:hAnsi="Times New Roman" w:cs="Times New Roman"/>
                <w:sz w:val="24"/>
                <w:szCs w:val="24"/>
                <w:highlight w:val="none"/>
              </w:rPr>
            </w:pPr>
          </w:p>
        </w:tc>
        <w:tc>
          <w:tcPr>
            <w:tcW w:w="2318" w:type="dxa"/>
            <w:vMerge w:val="continue"/>
            <w:noWrap w:val="0"/>
            <w:vAlign w:val="center"/>
          </w:tcPr>
          <w:p w14:paraId="28441679">
            <w:pPr>
              <w:adjustRightInd w:val="0"/>
              <w:snapToGrid w:val="0"/>
              <w:jc w:val="center"/>
              <w:rPr>
                <w:rFonts w:hint="default" w:ascii="Times New Roman" w:hAnsi="Times New Roman" w:cs="Times New Roman"/>
                <w:sz w:val="24"/>
                <w:szCs w:val="24"/>
                <w:highlight w:val="none"/>
              </w:rPr>
            </w:pPr>
          </w:p>
        </w:tc>
      </w:tr>
      <w:tr w14:paraId="26859A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06" w:hRule="atLeast"/>
          <w:jc w:val="center"/>
        </w:trPr>
        <w:tc>
          <w:tcPr>
            <w:tcW w:w="1602" w:type="dxa"/>
            <w:vMerge w:val="continue"/>
            <w:noWrap w:val="0"/>
            <w:vAlign w:val="center"/>
          </w:tcPr>
          <w:p w14:paraId="162118D2">
            <w:pPr>
              <w:adjustRightInd w:val="0"/>
              <w:snapToGrid w:val="0"/>
              <w:jc w:val="center"/>
            </w:pPr>
          </w:p>
        </w:tc>
        <w:tc>
          <w:tcPr>
            <w:tcW w:w="1680" w:type="dxa"/>
            <w:vMerge w:val="continue"/>
            <w:noWrap w:val="0"/>
            <w:vAlign w:val="center"/>
          </w:tcPr>
          <w:p w14:paraId="50AD531E">
            <w:pPr>
              <w:adjustRightInd w:val="0"/>
              <w:snapToGrid w:val="0"/>
              <w:jc w:val="center"/>
            </w:pPr>
          </w:p>
        </w:tc>
        <w:tc>
          <w:tcPr>
            <w:tcW w:w="1364" w:type="dxa"/>
            <w:noWrap w:val="0"/>
            <w:vAlign w:val="center"/>
          </w:tcPr>
          <w:p w14:paraId="7B9012DA">
            <w:pPr>
              <w:adjustRightInd w:val="0"/>
              <w:snapToGrid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沥青沾染物</w:t>
            </w:r>
          </w:p>
        </w:tc>
        <w:tc>
          <w:tcPr>
            <w:tcW w:w="1836" w:type="dxa"/>
            <w:vMerge w:val="continue"/>
            <w:noWrap w:val="0"/>
            <w:vAlign w:val="center"/>
          </w:tcPr>
          <w:p w14:paraId="71B1CA42">
            <w:pPr>
              <w:adjustRightInd w:val="0"/>
              <w:snapToGrid w:val="0"/>
              <w:jc w:val="center"/>
              <w:rPr>
                <w:rFonts w:hint="eastAsia" w:ascii="Times New Roman" w:hAnsi="Times New Roman" w:cs="Times New Roman"/>
                <w:sz w:val="24"/>
                <w:szCs w:val="24"/>
                <w:highlight w:val="none"/>
                <w:lang w:val="en-US" w:eastAsia="zh-CN"/>
              </w:rPr>
            </w:pPr>
          </w:p>
        </w:tc>
        <w:tc>
          <w:tcPr>
            <w:tcW w:w="2318" w:type="dxa"/>
            <w:vMerge w:val="continue"/>
            <w:noWrap w:val="0"/>
            <w:vAlign w:val="center"/>
          </w:tcPr>
          <w:p w14:paraId="2F95835C">
            <w:pPr>
              <w:adjustRightInd w:val="0"/>
              <w:snapToGrid w:val="0"/>
              <w:jc w:val="center"/>
              <w:rPr>
                <w:rFonts w:hint="eastAsia" w:ascii="Times New Roman" w:hAnsi="Times New Roman" w:cs="Times New Roman"/>
                <w:sz w:val="24"/>
                <w:szCs w:val="24"/>
                <w:highlight w:val="none"/>
                <w:lang w:val="en-US" w:eastAsia="zh-CN"/>
              </w:rPr>
            </w:pPr>
          </w:p>
        </w:tc>
      </w:tr>
      <w:tr w14:paraId="36CA78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2" w:type="dxa"/>
            <w:noWrap w:val="0"/>
            <w:vAlign w:val="center"/>
          </w:tcPr>
          <w:p w14:paraId="23301E78">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土壤及地下水污染防治措施</w:t>
            </w:r>
          </w:p>
        </w:tc>
        <w:tc>
          <w:tcPr>
            <w:tcW w:w="7198" w:type="dxa"/>
            <w:gridSpan w:val="4"/>
            <w:noWrap w:val="0"/>
            <w:vAlign w:val="center"/>
          </w:tcPr>
          <w:p w14:paraId="631B11BF">
            <w:pPr>
              <w:adjustRightInd w:val="0"/>
              <w:snapToGrid w:val="0"/>
              <w:jc w:val="center"/>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加强管理</w:t>
            </w:r>
            <w:r>
              <w:rPr>
                <w:rFonts w:hint="eastAsia" w:ascii="Times New Roman" w:hAnsi="Times New Roman" w:eastAsia="宋体" w:cs="Times New Roman"/>
                <w:sz w:val="24"/>
                <w:szCs w:val="24"/>
                <w:highlight w:val="none"/>
                <w:lang w:val="en-US" w:eastAsia="zh-CN"/>
              </w:rPr>
              <w:t>、巡查</w:t>
            </w:r>
            <w:r>
              <w:rPr>
                <w:rFonts w:hint="default" w:ascii="Times New Roman" w:hAnsi="Times New Roman" w:eastAsia="宋体" w:cs="Times New Roman"/>
                <w:sz w:val="24"/>
                <w:szCs w:val="24"/>
                <w:highlight w:val="none"/>
                <w:lang w:val="en-US" w:eastAsia="zh-CN"/>
              </w:rPr>
              <w:t>，提高操作人员技术水平，完善管理机制，做好废气、废水污染防治设施的维护及检修，严格做好分区防渗措施，建立严格的生产管理制度，遵守操作规程。</w:t>
            </w:r>
          </w:p>
        </w:tc>
      </w:tr>
      <w:tr w14:paraId="2C2880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2" w:type="dxa"/>
            <w:noWrap w:val="0"/>
            <w:vAlign w:val="center"/>
          </w:tcPr>
          <w:p w14:paraId="4AA62B05">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生态保护措施</w:t>
            </w:r>
          </w:p>
        </w:tc>
        <w:tc>
          <w:tcPr>
            <w:tcW w:w="7198" w:type="dxa"/>
            <w:gridSpan w:val="4"/>
            <w:noWrap w:val="0"/>
            <w:vAlign w:val="center"/>
          </w:tcPr>
          <w:p w14:paraId="73015A18">
            <w:pPr>
              <w:adjustRightInd w:val="0"/>
              <w:snapToGrid w:val="0"/>
              <w:jc w:val="center"/>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w:t>
            </w:r>
          </w:p>
        </w:tc>
      </w:tr>
      <w:tr w14:paraId="0B0F33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1602" w:type="dxa"/>
            <w:noWrap w:val="0"/>
            <w:vAlign w:val="center"/>
          </w:tcPr>
          <w:p w14:paraId="2AAF0E22">
            <w:pPr>
              <w:adjustRightInd w:val="0"/>
              <w:snapToGrid w:val="0"/>
              <w:jc w:val="center"/>
              <w:rPr>
                <w:rFonts w:hint="default" w:ascii="Times New Roman" w:hAnsi="Times New Roman" w:cs="Times New Roman"/>
                <w:spacing w:val="-8"/>
                <w:sz w:val="24"/>
                <w:szCs w:val="24"/>
                <w:highlight w:val="none"/>
              </w:rPr>
            </w:pPr>
            <w:r>
              <w:rPr>
                <w:rFonts w:hint="default" w:ascii="Times New Roman" w:hAnsi="Times New Roman" w:cs="Times New Roman"/>
                <w:spacing w:val="-8"/>
                <w:sz w:val="24"/>
                <w:szCs w:val="24"/>
                <w:highlight w:val="none"/>
              </w:rPr>
              <w:t>环境风险</w:t>
            </w:r>
          </w:p>
          <w:p w14:paraId="3A05C54B">
            <w:pPr>
              <w:adjustRightInd w:val="0"/>
              <w:snapToGrid w:val="0"/>
              <w:jc w:val="center"/>
              <w:rPr>
                <w:rFonts w:hint="default" w:ascii="Times New Roman" w:hAnsi="Times New Roman" w:cs="Times New Roman"/>
                <w:spacing w:val="-8"/>
                <w:sz w:val="24"/>
                <w:szCs w:val="24"/>
                <w:highlight w:val="none"/>
              </w:rPr>
            </w:pPr>
            <w:r>
              <w:rPr>
                <w:rFonts w:hint="default" w:ascii="Times New Roman" w:hAnsi="Times New Roman" w:cs="Times New Roman"/>
                <w:spacing w:val="-8"/>
                <w:sz w:val="24"/>
                <w:szCs w:val="24"/>
                <w:highlight w:val="none"/>
              </w:rPr>
              <w:t>防范措施</w:t>
            </w:r>
          </w:p>
        </w:tc>
        <w:tc>
          <w:tcPr>
            <w:tcW w:w="7198" w:type="dxa"/>
            <w:gridSpan w:val="4"/>
            <w:noWrap w:val="0"/>
            <w:vAlign w:val="center"/>
          </w:tcPr>
          <w:p w14:paraId="0DAAD3F5">
            <w:pPr>
              <w:adjustRightInd w:val="0"/>
              <w:snapToGrid w:val="0"/>
              <w:jc w:val="center"/>
              <w:rPr>
                <w:rFonts w:hint="eastAsia"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rPr>
              <w:t>制定突发环境事件应急预案，定期进行应急</w:t>
            </w:r>
            <w:r>
              <w:rPr>
                <w:rFonts w:hint="eastAsia" w:cs="Times New Roman"/>
                <w:sz w:val="24"/>
                <w:szCs w:val="24"/>
                <w:highlight w:val="none"/>
                <w:lang w:val="en-US" w:eastAsia="zh-CN"/>
              </w:rPr>
              <w:t>演练</w:t>
            </w: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lang w:val="en-US" w:eastAsia="zh-CN"/>
              </w:rPr>
              <w:t>定期巡查废气处理装置运行情况</w:t>
            </w:r>
            <w:r>
              <w:rPr>
                <w:rFonts w:hint="default" w:ascii="Times New Roman" w:hAnsi="Times New Roman" w:cs="Times New Roman"/>
                <w:sz w:val="24"/>
                <w:szCs w:val="24"/>
                <w:highlight w:val="none"/>
              </w:rPr>
              <w:t>，加强安全教育、管理</w:t>
            </w:r>
            <w:r>
              <w:rPr>
                <w:rFonts w:hint="eastAsia" w:ascii="Times New Roman" w:hAnsi="Times New Roman" w:cs="Times New Roman"/>
                <w:sz w:val="24"/>
                <w:szCs w:val="24"/>
                <w:highlight w:val="none"/>
                <w:lang w:eastAsia="zh-CN"/>
              </w:rPr>
              <w:t>，</w:t>
            </w:r>
            <w:r>
              <w:rPr>
                <w:rFonts w:hint="default" w:ascii="Times New Roman" w:hAnsi="Times New Roman" w:cs="Times New Roman"/>
                <w:sz w:val="24"/>
                <w:szCs w:val="24"/>
                <w:highlight w:val="none"/>
              </w:rPr>
              <w:t>加强对职工上岗前安全教育等</w:t>
            </w:r>
            <w:r>
              <w:rPr>
                <w:rFonts w:hint="eastAsia" w:ascii="Times New Roman" w:hAnsi="Times New Roman" w:cs="Times New Roman"/>
                <w:sz w:val="24"/>
                <w:szCs w:val="24"/>
                <w:highlight w:val="none"/>
                <w:lang w:eastAsia="zh-CN"/>
              </w:rPr>
              <w:t>。</w:t>
            </w:r>
          </w:p>
        </w:tc>
      </w:tr>
      <w:tr w14:paraId="10961B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602" w:type="dxa"/>
            <w:noWrap w:val="0"/>
            <w:vAlign w:val="center"/>
          </w:tcPr>
          <w:p w14:paraId="7846B131">
            <w:pPr>
              <w:adjustRightInd w:val="0"/>
              <w:snapToGrid w:val="0"/>
              <w:jc w:val="center"/>
              <w:rPr>
                <w:rFonts w:hint="default" w:ascii="Times New Roman" w:hAnsi="Times New Roman" w:cs="Times New Roman"/>
                <w:spacing w:val="-8"/>
                <w:sz w:val="24"/>
                <w:szCs w:val="24"/>
                <w:highlight w:val="none"/>
              </w:rPr>
            </w:pPr>
            <w:r>
              <w:rPr>
                <w:rFonts w:hint="default" w:ascii="Times New Roman" w:hAnsi="Times New Roman" w:cs="Times New Roman"/>
                <w:spacing w:val="-8"/>
                <w:sz w:val="24"/>
                <w:szCs w:val="24"/>
                <w:highlight w:val="none"/>
              </w:rPr>
              <w:t>其他环境</w:t>
            </w:r>
          </w:p>
          <w:p w14:paraId="6FE0C3A2">
            <w:pPr>
              <w:adjustRightInd w:val="0"/>
              <w:snapToGrid w:val="0"/>
              <w:jc w:val="center"/>
              <w:rPr>
                <w:rFonts w:hint="default" w:ascii="Times New Roman" w:hAnsi="Times New Roman" w:cs="Times New Roman"/>
                <w:spacing w:val="-8"/>
                <w:szCs w:val="21"/>
                <w:highlight w:val="none"/>
              </w:rPr>
            </w:pPr>
            <w:r>
              <w:rPr>
                <w:rFonts w:hint="default" w:ascii="Times New Roman" w:hAnsi="Times New Roman" w:cs="Times New Roman"/>
                <w:spacing w:val="-8"/>
                <w:sz w:val="24"/>
                <w:szCs w:val="24"/>
                <w:highlight w:val="none"/>
              </w:rPr>
              <w:t>管理要求</w:t>
            </w:r>
          </w:p>
        </w:tc>
        <w:tc>
          <w:tcPr>
            <w:tcW w:w="7198" w:type="dxa"/>
            <w:gridSpan w:val="4"/>
            <w:noWrap w:val="0"/>
            <w:vAlign w:val="center"/>
          </w:tcPr>
          <w:p w14:paraId="521E67B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b/>
                <w:bCs/>
                <w:color w:val="000000"/>
                <w:sz w:val="24"/>
                <w:highlight w:val="none"/>
              </w:rPr>
            </w:pPr>
            <w:r>
              <w:rPr>
                <w:rFonts w:hint="eastAsia"/>
                <w:b/>
                <w:bCs/>
                <w:color w:val="000000"/>
                <w:sz w:val="24"/>
                <w:highlight w:val="none"/>
                <w:lang w:val="en-US" w:eastAsia="zh-CN"/>
              </w:rPr>
              <w:t xml:space="preserve">1 </w:t>
            </w:r>
            <w:r>
              <w:rPr>
                <w:rFonts w:hint="eastAsia"/>
                <w:b/>
                <w:bCs/>
                <w:color w:val="000000"/>
                <w:sz w:val="24"/>
                <w:highlight w:val="none"/>
              </w:rPr>
              <w:t>排污许可证</w:t>
            </w:r>
          </w:p>
          <w:p w14:paraId="34C5606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default" w:eastAsia="宋体"/>
                <w:b w:val="0"/>
                <w:bCs w:val="0"/>
                <w:color w:val="000000"/>
                <w:sz w:val="24"/>
                <w:highlight w:val="none"/>
                <w:lang w:val="en-US" w:eastAsia="zh-CN"/>
              </w:rPr>
            </w:pPr>
            <w:r>
              <w:rPr>
                <w:rFonts w:hint="eastAsia"/>
                <w:b w:val="0"/>
                <w:bCs w:val="0"/>
                <w:color w:val="000000"/>
                <w:sz w:val="24"/>
                <w:highlight w:val="none"/>
                <w:lang w:val="en-US" w:eastAsia="zh-CN"/>
              </w:rPr>
              <w:t>1.1</w:t>
            </w:r>
            <w:r>
              <w:rPr>
                <w:rFonts w:hint="eastAsia"/>
                <w:b w:val="0"/>
                <w:bCs w:val="0"/>
                <w:color w:val="000000"/>
                <w:sz w:val="24"/>
                <w:highlight w:val="none"/>
              </w:rPr>
              <w:t>申请</w:t>
            </w:r>
            <w:r>
              <w:rPr>
                <w:rFonts w:hint="eastAsia"/>
                <w:b w:val="0"/>
                <w:bCs w:val="0"/>
                <w:color w:val="000000"/>
                <w:sz w:val="24"/>
                <w:highlight w:val="none"/>
                <w:lang w:val="en-US" w:eastAsia="zh-CN"/>
              </w:rPr>
              <w:t>与公开</w:t>
            </w:r>
          </w:p>
          <w:p w14:paraId="2389B34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color w:val="000000"/>
                <w:sz w:val="24"/>
                <w:highlight w:val="none"/>
              </w:rPr>
            </w:pPr>
            <w:r>
              <w:rPr>
                <w:rFonts w:hint="eastAsia"/>
                <w:color w:val="000000"/>
                <w:sz w:val="24"/>
                <w:highlight w:val="none"/>
              </w:rPr>
              <w:t>根据《固定污染源排污许可分类管理名录（2019版）</w:t>
            </w:r>
            <w:r>
              <w:rPr>
                <w:rFonts w:hint="eastAsia"/>
                <w:color w:val="000000"/>
                <w:sz w:val="24"/>
                <w:highlight w:val="none"/>
                <w:lang w:val="en-US" w:eastAsia="zh-CN"/>
              </w:rPr>
              <w:t>c</w:t>
            </w:r>
            <w:r>
              <w:rPr>
                <w:rFonts w:hint="eastAsia"/>
                <w:color w:val="000000"/>
                <w:sz w:val="24"/>
                <w:highlight w:val="none"/>
              </w:rPr>
              <w:t>规定，本项目类别属于</w:t>
            </w:r>
            <w:r>
              <w:rPr>
                <w:rFonts w:hint="eastAsia"/>
                <w:color w:val="000000"/>
                <w:sz w:val="24"/>
                <w:highlight w:val="none"/>
                <w:lang w:eastAsia="zh-CN"/>
              </w:rPr>
              <w:t>“</w:t>
            </w:r>
            <w:r>
              <w:rPr>
                <w:rFonts w:hint="eastAsia"/>
                <w:color w:val="000000"/>
                <w:sz w:val="24"/>
                <w:highlight w:val="none"/>
              </w:rPr>
              <w:t>二十五、非金属矿物制品30</w:t>
            </w:r>
            <w:r>
              <w:rPr>
                <w:rFonts w:hint="eastAsia"/>
                <w:color w:val="000000"/>
                <w:sz w:val="24"/>
                <w:highlight w:val="none"/>
                <w:lang w:eastAsia="zh-CN"/>
              </w:rPr>
              <w:t>”</w:t>
            </w:r>
            <w:r>
              <w:rPr>
                <w:rFonts w:hint="eastAsia"/>
                <w:color w:val="000000"/>
                <w:sz w:val="24"/>
                <w:highlight w:val="none"/>
              </w:rPr>
              <w:t>中的</w:t>
            </w:r>
            <w:r>
              <w:rPr>
                <w:rFonts w:hint="eastAsia"/>
                <w:color w:val="000000"/>
                <w:sz w:val="24"/>
                <w:highlight w:val="none"/>
                <w:lang w:eastAsia="zh-CN"/>
              </w:rPr>
              <w:t>“</w:t>
            </w:r>
            <w:r>
              <w:rPr>
                <w:rFonts w:hint="eastAsia"/>
                <w:color w:val="000000"/>
                <w:sz w:val="24"/>
                <w:highlight w:val="none"/>
                <w:lang w:val="en-US" w:eastAsia="zh-CN"/>
              </w:rPr>
              <w:t>防水建筑材料</w:t>
            </w:r>
            <w:r>
              <w:rPr>
                <w:rFonts w:hint="eastAsia"/>
                <w:color w:val="000000"/>
                <w:sz w:val="24"/>
                <w:highlight w:val="none"/>
              </w:rPr>
              <w:t>制造30</w:t>
            </w:r>
            <w:r>
              <w:rPr>
                <w:rFonts w:hint="eastAsia"/>
                <w:color w:val="000000"/>
                <w:sz w:val="24"/>
                <w:highlight w:val="none"/>
                <w:lang w:val="en-US" w:eastAsia="zh-CN"/>
              </w:rPr>
              <w:t>33</w:t>
            </w:r>
            <w:r>
              <w:rPr>
                <w:rFonts w:hint="eastAsia"/>
                <w:color w:val="000000"/>
                <w:sz w:val="24"/>
                <w:highlight w:val="none"/>
                <w:lang w:eastAsia="zh-CN"/>
              </w:rPr>
              <w:t>”</w:t>
            </w:r>
            <w:r>
              <w:rPr>
                <w:rFonts w:hint="eastAsia"/>
                <w:color w:val="000000"/>
                <w:sz w:val="24"/>
                <w:highlight w:val="none"/>
                <w:lang w:val="en-US" w:eastAsia="zh-CN"/>
              </w:rPr>
              <w:t>排污许可为简化管理；根据业主提供的信息，原有项目已申请简化排污许可，待环评审批后需进行排污许可重新申请。</w:t>
            </w:r>
          </w:p>
          <w:p w14:paraId="6E44FA67">
            <w:pPr>
              <w:adjustRightInd w:val="0"/>
              <w:snapToGrid w:val="0"/>
              <w:spacing w:line="360" w:lineRule="auto"/>
              <w:ind w:firstLine="480" w:firstLineChars="200"/>
              <w:jc w:val="both"/>
              <w:rPr>
                <w:rFonts w:hint="eastAsia"/>
                <w:color w:val="000000"/>
                <w:sz w:val="24"/>
                <w:highlight w:val="none"/>
                <w:lang w:val="en-US" w:eastAsia="zh-CN"/>
              </w:rPr>
            </w:pPr>
            <w:r>
              <w:rPr>
                <w:rFonts w:hint="eastAsia"/>
                <w:color w:val="000000"/>
                <w:sz w:val="24"/>
                <w:highlight w:val="none"/>
                <w:lang w:val="en-US" w:eastAsia="zh-CN"/>
              </w:rPr>
              <w:t>根据《排污许可证申请与核发技术规范 石墨及其他非金属矿物制品制造》（HJ1119-2020）和《排污许可证申请与核发技术规范涂料、油墨、颜料及类似产品制造业》（HJ1116-2020）中相关要求，排污单位应按照最新的监测方案开展监测活动，可根据自身条件和能力，利用自有人员、场所和设备进行自行监测；也可委托其他有资质的检（监）测机构代其开展自行监测。排污单位应建立自行监测质量管理制度，按照相关技术规范要求做好监测质量保证与质量控制，记录好与监测有关的数据，按照规定进行保存并依据《企业事业单位环境信息公开办法》（环境保护部令第31号）、《国家重点监控企业自行监测及信息公开办法（试行）》（环发〔2013〕81号）要求向社会公开监测结果。非重点排污单位的信息公开要求由地方环境保护主管部门确定。</w:t>
            </w:r>
          </w:p>
          <w:p w14:paraId="60947188">
            <w:pPr>
              <w:adjustRightInd w:val="0"/>
              <w:snapToGrid w:val="0"/>
              <w:spacing w:line="360" w:lineRule="auto"/>
              <w:jc w:val="both"/>
              <w:rPr>
                <w:rFonts w:hint="default"/>
                <w:color w:val="000000"/>
                <w:sz w:val="24"/>
                <w:highlight w:val="none"/>
                <w:lang w:val="en-US" w:eastAsia="zh-CN"/>
              </w:rPr>
            </w:pPr>
            <w:r>
              <w:rPr>
                <w:rFonts w:hint="eastAsia"/>
                <w:color w:val="000000"/>
                <w:sz w:val="24"/>
                <w:highlight w:val="none"/>
                <w:lang w:val="en-US" w:eastAsia="zh-CN"/>
              </w:rPr>
              <w:t>1.2自行监测</w:t>
            </w:r>
          </w:p>
          <w:p w14:paraId="495B39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80" w:firstLineChars="200"/>
              <w:rPr>
                <w:rFonts w:hint="default"/>
                <w:color w:val="000000"/>
                <w:sz w:val="24"/>
                <w:highlight w:val="none"/>
                <w:lang w:val="en-US" w:eastAsia="zh-CN"/>
              </w:rPr>
            </w:pPr>
            <w:r>
              <w:rPr>
                <w:rFonts w:hint="default"/>
                <w:color w:val="000000"/>
                <w:sz w:val="24"/>
                <w:highlight w:val="none"/>
                <w:lang w:val="en-US" w:eastAsia="zh-CN"/>
              </w:rPr>
              <w:t>排污单位自行监测信息公开内容及方式按照</w:t>
            </w:r>
            <w:r>
              <w:rPr>
                <w:rFonts w:hint="eastAsia"/>
                <w:color w:val="000000"/>
                <w:sz w:val="24"/>
                <w:highlight w:val="none"/>
              </w:rPr>
              <w:t>《</w:t>
            </w:r>
            <w:r>
              <w:rPr>
                <w:rFonts w:hint="default"/>
                <w:color w:val="000000"/>
                <w:sz w:val="24"/>
                <w:highlight w:val="none"/>
                <w:lang w:val="en-US" w:eastAsia="zh-CN"/>
              </w:rPr>
              <w:t>国家重点监控企业自行监测及信息公开办法(试行)</w:t>
            </w:r>
            <w:r>
              <w:rPr>
                <w:rFonts w:hint="eastAsia"/>
                <w:color w:val="000000"/>
                <w:sz w:val="24"/>
                <w:highlight w:val="none"/>
              </w:rPr>
              <w:t>》</w:t>
            </w:r>
            <w:r>
              <w:rPr>
                <w:rFonts w:hint="default" w:ascii="Times New Roman" w:hAnsi="Times New Roman" w:eastAsia="宋体" w:cs="Times New Roman"/>
                <w:color w:val="000000"/>
                <w:sz w:val="24"/>
                <w:highlight w:val="none"/>
                <w:lang w:val="en-US" w:eastAsia="zh-CN"/>
              </w:rPr>
              <w:t>和《国家重点监控企业污染源监督性监测及信息公开办法（试行）》</w:t>
            </w:r>
            <w:r>
              <w:rPr>
                <w:rFonts w:hint="default"/>
                <w:color w:val="000000"/>
                <w:sz w:val="24"/>
                <w:highlight w:val="none"/>
                <w:lang w:val="en-US" w:eastAsia="zh-CN"/>
              </w:rPr>
              <w:t>(环发(2013)81号)执行。非重点排污单位的信息公开要求由地方环境保护主管部门确定。排污单位对其自行监测结果及信息公开内容的真实性、准确性、完整性负责。</w:t>
            </w:r>
          </w:p>
          <w:p w14:paraId="3F4C56F9">
            <w:pPr>
              <w:adjustRightInd w:val="0"/>
              <w:snapToGrid w:val="0"/>
              <w:spacing w:line="360" w:lineRule="auto"/>
              <w:ind w:firstLine="480" w:firstLineChars="200"/>
              <w:jc w:val="both"/>
              <w:rPr>
                <w:rFonts w:hint="default"/>
                <w:color w:val="000000"/>
                <w:sz w:val="24"/>
                <w:highlight w:val="none"/>
                <w:lang w:val="en-US" w:eastAsia="zh-CN"/>
              </w:rPr>
            </w:pPr>
            <w:r>
              <w:rPr>
                <w:rFonts w:hint="default"/>
                <w:color w:val="000000"/>
                <w:sz w:val="24"/>
                <w:highlight w:val="none"/>
                <w:lang w:val="en-US" w:eastAsia="zh-CN"/>
              </w:rPr>
              <w:t>排污单位应积极配合并接受环境保护行政主管部门的日常监督管理。</w:t>
            </w:r>
          </w:p>
          <w:p w14:paraId="37944F84">
            <w:pPr>
              <w:adjustRightInd w:val="0"/>
              <w:snapToGrid w:val="0"/>
              <w:spacing w:line="360" w:lineRule="auto"/>
              <w:jc w:val="both"/>
              <w:rPr>
                <w:rFonts w:hint="default"/>
                <w:color w:val="000000"/>
                <w:sz w:val="24"/>
                <w:highlight w:val="none"/>
                <w:lang w:val="en-US" w:eastAsia="zh-CN"/>
              </w:rPr>
            </w:pPr>
            <w:r>
              <w:rPr>
                <w:rFonts w:hint="eastAsia"/>
                <w:color w:val="000000"/>
                <w:sz w:val="24"/>
                <w:highlight w:val="none"/>
                <w:lang w:val="en-US" w:eastAsia="zh-CN"/>
              </w:rPr>
              <w:t>1.3执行报告</w:t>
            </w:r>
          </w:p>
          <w:p w14:paraId="634BB0D2">
            <w:pPr>
              <w:adjustRightInd w:val="0"/>
              <w:snapToGrid w:val="0"/>
              <w:spacing w:line="360" w:lineRule="auto"/>
              <w:ind w:firstLine="480" w:firstLineChars="200"/>
              <w:jc w:val="both"/>
              <w:rPr>
                <w:rFonts w:hint="default"/>
                <w:color w:val="000000"/>
                <w:sz w:val="24"/>
                <w:highlight w:val="none"/>
                <w:lang w:val="en-US" w:eastAsia="zh-CN"/>
              </w:rPr>
            </w:pPr>
            <w:r>
              <w:rPr>
                <w:rFonts w:hint="eastAsia"/>
                <w:color w:val="000000"/>
                <w:sz w:val="24"/>
                <w:highlight w:val="none"/>
                <w:lang w:val="en-US" w:eastAsia="zh-CN"/>
              </w:rPr>
              <w:t>执行报告的填报需按照《全国排污许可证管理信息平台新版执行报告填报操作指南》和《排污单位环境管理台账及排污许可证执行报告技术规范 总则(试行)》（HJ944-2018）填报执行。排污单位按照排污许可证规定的时间提交执行报告，应每年提交一次排污许可证年度执行报告;同时，还应依据法律法规、标准等文件的要求，提交季度执行报告或月度执行报告。对于持证时间超过三个月的年度，报告周期为当年全年(自然年)；对于持证时间不足三个月的年度，当年可不提交年度执行报告，排污许可证执行情况纳入下一年度执行报告。</w:t>
            </w:r>
          </w:p>
          <w:p w14:paraId="0CBA0394">
            <w:pPr>
              <w:spacing w:line="360" w:lineRule="auto"/>
              <w:rPr>
                <w:b/>
                <w:bCs/>
                <w:sz w:val="24"/>
                <w:highlight w:val="none"/>
              </w:rPr>
            </w:pPr>
            <w:r>
              <w:rPr>
                <w:rFonts w:hint="eastAsia"/>
                <w:b/>
                <w:bCs/>
                <w:sz w:val="24"/>
                <w:highlight w:val="none"/>
                <w:lang w:val="en-US" w:eastAsia="zh-CN"/>
              </w:rPr>
              <w:t xml:space="preserve">2 </w:t>
            </w:r>
            <w:r>
              <w:rPr>
                <w:b/>
                <w:bCs/>
                <w:sz w:val="24"/>
                <w:highlight w:val="none"/>
              </w:rPr>
              <w:t>排污口规范化管理</w:t>
            </w:r>
          </w:p>
          <w:p w14:paraId="5B6AB5FA">
            <w:pPr>
              <w:spacing w:line="360" w:lineRule="auto"/>
              <w:rPr>
                <w:b/>
                <w:bCs/>
                <w:sz w:val="24"/>
                <w:highlight w:val="none"/>
              </w:rPr>
            </w:pPr>
            <w:r>
              <w:rPr>
                <w:rFonts w:hint="eastAsia"/>
                <w:b/>
                <w:bCs/>
                <w:sz w:val="24"/>
                <w:highlight w:val="none"/>
                <w:lang w:val="en-US" w:eastAsia="zh-CN"/>
              </w:rPr>
              <w:t>2</w:t>
            </w:r>
            <w:r>
              <w:rPr>
                <w:rFonts w:hint="eastAsia"/>
                <w:b/>
                <w:bCs/>
                <w:sz w:val="24"/>
                <w:highlight w:val="none"/>
              </w:rPr>
              <w:t>.1</w:t>
            </w:r>
            <w:r>
              <w:rPr>
                <w:b/>
                <w:bCs/>
                <w:sz w:val="24"/>
                <w:highlight w:val="none"/>
              </w:rPr>
              <w:t>排污口标识</w:t>
            </w:r>
          </w:p>
          <w:p w14:paraId="6051BBDD">
            <w:pPr>
              <w:spacing w:line="360" w:lineRule="auto"/>
              <w:ind w:firstLine="480" w:firstLineChars="200"/>
              <w:rPr>
                <w:highlight w:val="none"/>
              </w:rPr>
            </w:pPr>
            <w:r>
              <w:rPr>
                <w:sz w:val="24"/>
                <w:highlight w:val="none"/>
              </w:rPr>
              <w:t>项目应完成</w:t>
            </w:r>
            <w:r>
              <w:rPr>
                <w:rFonts w:hint="eastAsia"/>
                <w:sz w:val="24"/>
                <w:highlight w:val="none"/>
              </w:rPr>
              <w:t>污染</w:t>
            </w:r>
            <w:r>
              <w:rPr>
                <w:sz w:val="24"/>
                <w:highlight w:val="none"/>
              </w:rPr>
              <w:t>排放源的规范化建设，其投资纳入项目总投资中，同时各项污染源应设置专项图标，执行《环境保护图形标志-排放口（源）》（GB15562-1995），详见表</w:t>
            </w:r>
            <w:r>
              <w:rPr>
                <w:rFonts w:hint="eastAsia"/>
                <w:sz w:val="24"/>
                <w:highlight w:val="none"/>
                <w:lang w:val="en-US" w:eastAsia="zh-CN"/>
              </w:rPr>
              <w:t>5-1</w:t>
            </w:r>
            <w:r>
              <w:rPr>
                <w:sz w:val="24"/>
                <w:highlight w:val="none"/>
              </w:rPr>
              <w:t>。</w:t>
            </w:r>
          </w:p>
          <w:p w14:paraId="2A50E9EA">
            <w:pPr>
              <w:jc w:val="center"/>
              <w:rPr>
                <w:b/>
                <w:bCs/>
                <w:highlight w:val="none"/>
              </w:rPr>
            </w:pPr>
            <w:r>
              <w:rPr>
                <w:rFonts w:hint="eastAsia"/>
                <w:b/>
                <w:bCs/>
                <w:szCs w:val="21"/>
                <w:highlight w:val="none"/>
                <w:lang w:val="en-US" w:eastAsia="zh-CN"/>
              </w:rPr>
              <w:t xml:space="preserve">表5-1 </w:t>
            </w:r>
            <w:r>
              <w:rPr>
                <w:rFonts w:hint="eastAsia"/>
                <w:b/>
                <w:bCs/>
                <w:szCs w:val="21"/>
                <w:highlight w:val="none"/>
              </w:rPr>
              <w:t>一般</w:t>
            </w:r>
            <w:r>
              <w:rPr>
                <w:b/>
                <w:bCs/>
                <w:szCs w:val="21"/>
                <w:highlight w:val="none"/>
              </w:rPr>
              <w:t>排污口（源）标志牌设置示意图表</w:t>
            </w:r>
          </w:p>
          <w:tbl>
            <w:tblPr>
              <w:tblStyle w:val="19"/>
              <w:tblW w:w="4997"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95"/>
              <w:gridCol w:w="1395"/>
              <w:gridCol w:w="1394"/>
              <w:gridCol w:w="1396"/>
              <w:gridCol w:w="1396"/>
            </w:tblGrid>
            <w:tr w14:paraId="587BAC9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PrEx>
              <w:trPr>
                <w:jc w:val="center"/>
              </w:trPr>
              <w:tc>
                <w:tcPr>
                  <w:tcW w:w="1000" w:type="pct"/>
                  <w:tcBorders>
                    <w:bottom w:val="single" w:color="auto" w:sz="8" w:space="0"/>
                  </w:tcBorders>
                  <w:noWrap w:val="0"/>
                  <w:vAlign w:val="center"/>
                </w:tcPr>
                <w:p w14:paraId="61564996">
                  <w:pPr>
                    <w:jc w:val="center"/>
                    <w:rPr>
                      <w:b/>
                      <w:bCs/>
                      <w:highlight w:val="none"/>
                    </w:rPr>
                  </w:pPr>
                  <w:r>
                    <w:rPr>
                      <w:b/>
                      <w:bCs/>
                      <w:highlight w:val="none"/>
                    </w:rPr>
                    <w:t>名称</w:t>
                  </w:r>
                </w:p>
              </w:tc>
              <w:tc>
                <w:tcPr>
                  <w:tcW w:w="1000" w:type="pct"/>
                  <w:tcBorders>
                    <w:bottom w:val="single" w:color="auto" w:sz="8" w:space="0"/>
                  </w:tcBorders>
                  <w:noWrap w:val="0"/>
                  <w:vAlign w:val="center"/>
                </w:tcPr>
                <w:p w14:paraId="42EB4256">
                  <w:pPr>
                    <w:jc w:val="center"/>
                    <w:rPr>
                      <w:b/>
                      <w:bCs/>
                      <w:highlight w:val="none"/>
                    </w:rPr>
                  </w:pPr>
                  <w:r>
                    <w:rPr>
                      <w:b/>
                      <w:bCs/>
                      <w:highlight w:val="none"/>
                    </w:rPr>
                    <w:t>废气排放口</w:t>
                  </w:r>
                </w:p>
              </w:tc>
              <w:tc>
                <w:tcPr>
                  <w:tcW w:w="999" w:type="pct"/>
                  <w:tcBorders>
                    <w:bottom w:val="single" w:color="auto" w:sz="8" w:space="0"/>
                  </w:tcBorders>
                  <w:noWrap w:val="0"/>
                  <w:vAlign w:val="center"/>
                </w:tcPr>
                <w:p w14:paraId="12D490E9">
                  <w:pPr>
                    <w:jc w:val="center"/>
                    <w:rPr>
                      <w:b/>
                      <w:bCs/>
                      <w:highlight w:val="none"/>
                    </w:rPr>
                  </w:pPr>
                  <w:r>
                    <w:rPr>
                      <w:b/>
                      <w:bCs/>
                      <w:highlight w:val="none"/>
                    </w:rPr>
                    <w:t>废水排放口</w:t>
                  </w:r>
                </w:p>
              </w:tc>
              <w:tc>
                <w:tcPr>
                  <w:tcW w:w="1000" w:type="pct"/>
                  <w:tcBorders>
                    <w:bottom w:val="single" w:color="auto" w:sz="8" w:space="0"/>
                  </w:tcBorders>
                  <w:noWrap w:val="0"/>
                  <w:vAlign w:val="center"/>
                </w:tcPr>
                <w:p w14:paraId="0046E4C1">
                  <w:pPr>
                    <w:jc w:val="center"/>
                    <w:rPr>
                      <w:b/>
                      <w:bCs/>
                      <w:highlight w:val="none"/>
                    </w:rPr>
                  </w:pPr>
                  <w:r>
                    <w:rPr>
                      <w:b/>
                      <w:bCs/>
                      <w:highlight w:val="none"/>
                    </w:rPr>
                    <w:t>噪声排放源</w:t>
                  </w:r>
                </w:p>
              </w:tc>
              <w:tc>
                <w:tcPr>
                  <w:tcW w:w="1000" w:type="pct"/>
                  <w:tcBorders>
                    <w:bottom w:val="single" w:color="auto" w:sz="8" w:space="0"/>
                  </w:tcBorders>
                  <w:noWrap w:val="0"/>
                  <w:vAlign w:val="center"/>
                </w:tcPr>
                <w:p w14:paraId="32311D3C">
                  <w:pPr>
                    <w:jc w:val="center"/>
                    <w:rPr>
                      <w:b/>
                      <w:bCs/>
                      <w:highlight w:val="none"/>
                    </w:rPr>
                  </w:pPr>
                  <w:r>
                    <w:rPr>
                      <w:b/>
                      <w:bCs/>
                      <w:highlight w:val="none"/>
                    </w:rPr>
                    <w:t>一般固体废物</w:t>
                  </w:r>
                </w:p>
              </w:tc>
            </w:tr>
            <w:tr w14:paraId="192D6D1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220" w:hRule="atLeast"/>
                <w:jc w:val="center"/>
              </w:trPr>
              <w:tc>
                <w:tcPr>
                  <w:tcW w:w="1000" w:type="pct"/>
                  <w:tcBorders>
                    <w:top w:val="single" w:color="auto" w:sz="8" w:space="0"/>
                    <w:tl2br w:val="nil"/>
                    <w:tr2bl w:val="nil"/>
                  </w:tcBorders>
                  <w:noWrap w:val="0"/>
                  <w:vAlign w:val="center"/>
                </w:tcPr>
                <w:p w14:paraId="34A8A73D">
                  <w:pPr>
                    <w:jc w:val="center"/>
                    <w:rPr>
                      <w:highlight w:val="none"/>
                    </w:rPr>
                  </w:pPr>
                  <w:r>
                    <w:rPr>
                      <w:highlight w:val="none"/>
                    </w:rPr>
                    <w:t>提示图形符号</w:t>
                  </w:r>
                </w:p>
              </w:tc>
              <w:tc>
                <w:tcPr>
                  <w:tcW w:w="1000" w:type="pct"/>
                  <w:tcBorders>
                    <w:top w:val="single" w:color="auto" w:sz="8" w:space="0"/>
                    <w:tl2br w:val="nil"/>
                    <w:tr2bl w:val="nil"/>
                  </w:tcBorders>
                  <w:noWrap w:val="0"/>
                  <w:vAlign w:val="center"/>
                </w:tcPr>
                <w:p w14:paraId="67315FEC">
                  <w:pPr>
                    <w:jc w:val="center"/>
                    <w:rPr>
                      <w:highlight w:val="none"/>
                    </w:rPr>
                  </w:pPr>
                  <w:r>
                    <w:rPr>
                      <w:highlight w:val="none"/>
                    </w:rPr>
                    <w:drawing>
                      <wp:anchor distT="0" distB="0" distL="114300" distR="114300" simplePos="0" relativeHeight="251665408" behindDoc="0" locked="0" layoutInCell="1" allowOverlap="1">
                        <wp:simplePos x="0" y="0"/>
                        <wp:positionH relativeFrom="column">
                          <wp:posOffset>-13335</wp:posOffset>
                        </wp:positionH>
                        <wp:positionV relativeFrom="paragraph">
                          <wp:posOffset>61595</wp:posOffset>
                        </wp:positionV>
                        <wp:extent cx="808990" cy="659130"/>
                        <wp:effectExtent l="0" t="0" r="13970" b="11430"/>
                        <wp:wrapNone/>
                        <wp:docPr id="1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2"/>
                                <pic:cNvPicPr>
                                  <a:picLocks noChangeAspect="1"/>
                                </pic:cNvPicPr>
                              </pic:nvPicPr>
                              <pic:blipFill>
                                <a:blip r:embed="rId21"/>
                                <a:stretch>
                                  <a:fillRect/>
                                </a:stretch>
                              </pic:blipFill>
                              <pic:spPr>
                                <a:xfrm>
                                  <a:off x="0" y="0"/>
                                  <a:ext cx="808990" cy="659130"/>
                                </a:xfrm>
                                <a:prstGeom prst="rect">
                                  <a:avLst/>
                                </a:prstGeom>
                                <a:noFill/>
                                <a:ln>
                                  <a:noFill/>
                                </a:ln>
                              </pic:spPr>
                            </pic:pic>
                          </a:graphicData>
                        </a:graphic>
                      </wp:anchor>
                    </w:drawing>
                  </w:r>
                </w:p>
              </w:tc>
              <w:tc>
                <w:tcPr>
                  <w:tcW w:w="999" w:type="pct"/>
                  <w:tcBorders>
                    <w:top w:val="single" w:color="auto" w:sz="8" w:space="0"/>
                    <w:tl2br w:val="nil"/>
                    <w:tr2bl w:val="nil"/>
                  </w:tcBorders>
                  <w:noWrap w:val="0"/>
                  <w:vAlign w:val="center"/>
                </w:tcPr>
                <w:p w14:paraId="70FE3E78">
                  <w:pPr>
                    <w:jc w:val="center"/>
                    <w:rPr>
                      <w:highlight w:val="none"/>
                    </w:rPr>
                  </w:pPr>
                  <w:r>
                    <w:rPr>
                      <w:highlight w:val="none"/>
                    </w:rPr>
                    <w:drawing>
                      <wp:anchor distT="0" distB="0" distL="114300" distR="114300" simplePos="0" relativeHeight="251662336" behindDoc="0" locked="0" layoutInCell="1" allowOverlap="1">
                        <wp:simplePos x="0" y="0"/>
                        <wp:positionH relativeFrom="column">
                          <wp:posOffset>-27940</wp:posOffset>
                        </wp:positionH>
                        <wp:positionV relativeFrom="paragraph">
                          <wp:posOffset>66040</wp:posOffset>
                        </wp:positionV>
                        <wp:extent cx="826135" cy="652145"/>
                        <wp:effectExtent l="0" t="0" r="12065" b="3175"/>
                        <wp:wrapNone/>
                        <wp:docPr id="17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80"/>
                                <pic:cNvPicPr>
                                  <a:picLocks noChangeAspect="1"/>
                                </pic:cNvPicPr>
                              </pic:nvPicPr>
                              <pic:blipFill>
                                <a:blip r:embed="rId22"/>
                                <a:stretch>
                                  <a:fillRect/>
                                </a:stretch>
                              </pic:blipFill>
                              <pic:spPr>
                                <a:xfrm>
                                  <a:off x="0" y="0"/>
                                  <a:ext cx="826135" cy="652145"/>
                                </a:xfrm>
                                <a:prstGeom prst="rect">
                                  <a:avLst/>
                                </a:prstGeom>
                                <a:noFill/>
                                <a:ln>
                                  <a:noFill/>
                                </a:ln>
                              </pic:spPr>
                            </pic:pic>
                          </a:graphicData>
                        </a:graphic>
                      </wp:anchor>
                    </w:drawing>
                  </w:r>
                </w:p>
              </w:tc>
              <w:tc>
                <w:tcPr>
                  <w:tcW w:w="1000" w:type="pct"/>
                  <w:tcBorders>
                    <w:top w:val="single" w:color="auto" w:sz="8" w:space="0"/>
                    <w:tl2br w:val="nil"/>
                    <w:tr2bl w:val="nil"/>
                  </w:tcBorders>
                  <w:noWrap w:val="0"/>
                  <w:vAlign w:val="center"/>
                </w:tcPr>
                <w:p w14:paraId="427A3276">
                  <w:pPr>
                    <w:jc w:val="center"/>
                    <w:rPr>
                      <w:highlight w:val="none"/>
                    </w:rPr>
                  </w:pPr>
                  <w:r>
                    <w:rPr>
                      <w:highlight w:val="none"/>
                    </w:rPr>
                    <w:drawing>
                      <wp:anchor distT="0" distB="0" distL="114300" distR="114300" simplePos="0" relativeHeight="251663360" behindDoc="0" locked="0" layoutInCell="1" allowOverlap="1">
                        <wp:simplePos x="0" y="0"/>
                        <wp:positionH relativeFrom="column">
                          <wp:posOffset>-37465</wp:posOffset>
                        </wp:positionH>
                        <wp:positionV relativeFrom="paragraph">
                          <wp:posOffset>45085</wp:posOffset>
                        </wp:positionV>
                        <wp:extent cx="841375" cy="677545"/>
                        <wp:effectExtent l="0" t="0" r="12065" b="8255"/>
                        <wp:wrapNone/>
                        <wp:docPr id="17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81"/>
                                <pic:cNvPicPr>
                                  <a:picLocks noChangeAspect="1"/>
                                </pic:cNvPicPr>
                              </pic:nvPicPr>
                              <pic:blipFill>
                                <a:blip r:embed="rId23"/>
                                <a:stretch>
                                  <a:fillRect/>
                                </a:stretch>
                              </pic:blipFill>
                              <pic:spPr>
                                <a:xfrm>
                                  <a:off x="0" y="0"/>
                                  <a:ext cx="841375" cy="677545"/>
                                </a:xfrm>
                                <a:prstGeom prst="rect">
                                  <a:avLst/>
                                </a:prstGeom>
                                <a:noFill/>
                                <a:ln>
                                  <a:noFill/>
                                </a:ln>
                              </pic:spPr>
                            </pic:pic>
                          </a:graphicData>
                        </a:graphic>
                      </wp:anchor>
                    </w:drawing>
                  </w:r>
                </w:p>
              </w:tc>
              <w:tc>
                <w:tcPr>
                  <w:tcW w:w="1000" w:type="pct"/>
                  <w:tcBorders>
                    <w:top w:val="single" w:color="auto" w:sz="8" w:space="0"/>
                    <w:tl2br w:val="nil"/>
                    <w:tr2bl w:val="nil"/>
                  </w:tcBorders>
                  <w:noWrap w:val="0"/>
                  <w:vAlign w:val="center"/>
                </w:tcPr>
                <w:p w14:paraId="0DDFB104">
                  <w:pPr>
                    <w:jc w:val="center"/>
                    <w:rPr>
                      <w:highlight w:val="none"/>
                    </w:rPr>
                  </w:pPr>
                  <w:r>
                    <w:rPr>
                      <w:highlight w:val="none"/>
                    </w:rPr>
                    <w:drawing>
                      <wp:anchor distT="0" distB="0" distL="114300" distR="114300" simplePos="0" relativeHeight="251664384" behindDoc="0" locked="0" layoutInCell="1" allowOverlap="1">
                        <wp:simplePos x="0" y="0"/>
                        <wp:positionH relativeFrom="column">
                          <wp:posOffset>-37465</wp:posOffset>
                        </wp:positionH>
                        <wp:positionV relativeFrom="paragraph">
                          <wp:posOffset>46355</wp:posOffset>
                        </wp:positionV>
                        <wp:extent cx="836930" cy="681355"/>
                        <wp:effectExtent l="0" t="0" r="1270" b="4445"/>
                        <wp:wrapNone/>
                        <wp:docPr id="17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82"/>
                                <pic:cNvPicPr>
                                  <a:picLocks noChangeAspect="1"/>
                                </pic:cNvPicPr>
                              </pic:nvPicPr>
                              <pic:blipFill>
                                <a:blip r:embed="rId24"/>
                                <a:stretch>
                                  <a:fillRect/>
                                </a:stretch>
                              </pic:blipFill>
                              <pic:spPr>
                                <a:xfrm>
                                  <a:off x="0" y="0"/>
                                  <a:ext cx="836930" cy="681355"/>
                                </a:xfrm>
                                <a:prstGeom prst="rect">
                                  <a:avLst/>
                                </a:prstGeom>
                                <a:noFill/>
                                <a:ln>
                                  <a:noFill/>
                                </a:ln>
                              </pic:spPr>
                            </pic:pic>
                          </a:graphicData>
                        </a:graphic>
                      </wp:anchor>
                    </w:drawing>
                  </w:r>
                </w:p>
              </w:tc>
            </w:tr>
            <w:tr w14:paraId="738166E3">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000" w:type="pct"/>
                  <w:tcBorders>
                    <w:tl2br w:val="nil"/>
                    <w:tr2bl w:val="nil"/>
                  </w:tcBorders>
                  <w:noWrap w:val="0"/>
                  <w:vAlign w:val="center"/>
                </w:tcPr>
                <w:p w14:paraId="3629984F">
                  <w:pPr>
                    <w:jc w:val="center"/>
                    <w:rPr>
                      <w:highlight w:val="none"/>
                    </w:rPr>
                  </w:pPr>
                  <w:r>
                    <w:rPr>
                      <w:highlight w:val="none"/>
                    </w:rPr>
                    <w:t>功能</w:t>
                  </w:r>
                </w:p>
              </w:tc>
              <w:tc>
                <w:tcPr>
                  <w:tcW w:w="1000" w:type="pct"/>
                  <w:tcBorders>
                    <w:tl2br w:val="nil"/>
                    <w:tr2bl w:val="nil"/>
                  </w:tcBorders>
                  <w:noWrap w:val="0"/>
                  <w:vAlign w:val="center"/>
                </w:tcPr>
                <w:p w14:paraId="040C3DDC">
                  <w:pPr>
                    <w:jc w:val="center"/>
                    <w:rPr>
                      <w:highlight w:val="none"/>
                    </w:rPr>
                  </w:pPr>
                  <w:r>
                    <w:rPr>
                      <w:highlight w:val="none"/>
                    </w:rPr>
                    <w:t>表示废气向大气环境排放</w:t>
                  </w:r>
                </w:p>
              </w:tc>
              <w:tc>
                <w:tcPr>
                  <w:tcW w:w="999" w:type="pct"/>
                  <w:tcBorders>
                    <w:tl2br w:val="nil"/>
                    <w:tr2bl w:val="nil"/>
                  </w:tcBorders>
                  <w:noWrap w:val="0"/>
                  <w:vAlign w:val="center"/>
                </w:tcPr>
                <w:p w14:paraId="1117E194">
                  <w:pPr>
                    <w:jc w:val="center"/>
                    <w:rPr>
                      <w:highlight w:val="none"/>
                    </w:rPr>
                  </w:pPr>
                  <w:r>
                    <w:rPr>
                      <w:highlight w:val="none"/>
                    </w:rPr>
                    <w:t>表示废水向水环境排放</w:t>
                  </w:r>
                </w:p>
              </w:tc>
              <w:tc>
                <w:tcPr>
                  <w:tcW w:w="1000" w:type="pct"/>
                  <w:tcBorders>
                    <w:tl2br w:val="nil"/>
                    <w:tr2bl w:val="nil"/>
                  </w:tcBorders>
                  <w:noWrap w:val="0"/>
                  <w:vAlign w:val="center"/>
                </w:tcPr>
                <w:p w14:paraId="1EA63D89">
                  <w:pPr>
                    <w:jc w:val="center"/>
                    <w:rPr>
                      <w:highlight w:val="none"/>
                    </w:rPr>
                  </w:pPr>
                  <w:r>
                    <w:rPr>
                      <w:highlight w:val="none"/>
                    </w:rPr>
                    <w:t>表示噪声向外环境排放</w:t>
                  </w:r>
                </w:p>
              </w:tc>
              <w:tc>
                <w:tcPr>
                  <w:tcW w:w="1000" w:type="pct"/>
                  <w:tcBorders>
                    <w:tl2br w:val="nil"/>
                    <w:tr2bl w:val="nil"/>
                  </w:tcBorders>
                  <w:noWrap w:val="0"/>
                  <w:vAlign w:val="center"/>
                </w:tcPr>
                <w:p w14:paraId="6ED76A42">
                  <w:pPr>
                    <w:jc w:val="center"/>
                    <w:rPr>
                      <w:highlight w:val="none"/>
                    </w:rPr>
                  </w:pPr>
                  <w:r>
                    <w:rPr>
                      <w:highlight w:val="none"/>
                    </w:rPr>
                    <w:t>表示一般固体废物贮存、处置场所</w:t>
                  </w:r>
                </w:p>
              </w:tc>
            </w:tr>
          </w:tbl>
          <w:p w14:paraId="27ED2815">
            <w:pPr>
              <w:pStyle w:val="45"/>
              <w:snapToGrid w:val="0"/>
              <w:spacing w:line="360" w:lineRule="auto"/>
              <w:ind w:firstLine="480"/>
              <w:rPr>
                <w:rFonts w:ascii="Times New Roman" w:hAnsi="Times New Roman"/>
                <w:kern w:val="2"/>
                <w:highlight w:val="none"/>
              </w:rPr>
            </w:pPr>
            <w:r>
              <w:rPr>
                <w:rFonts w:hint="eastAsia" w:ascii="Times New Roman" w:hAnsi="Times New Roman"/>
                <w:kern w:val="2"/>
                <w:highlight w:val="none"/>
              </w:rPr>
              <w:t>危废暂存间</w:t>
            </w:r>
            <w:r>
              <w:rPr>
                <w:rFonts w:ascii="Times New Roman" w:hAnsi="Times New Roman"/>
                <w:kern w:val="2"/>
                <w:highlight w:val="none"/>
              </w:rPr>
              <w:t>按照《危险废物贮存污染控制标准》（GB18597-20</w:t>
            </w:r>
            <w:r>
              <w:rPr>
                <w:rFonts w:hint="eastAsia" w:ascii="Times New Roman" w:hAnsi="Times New Roman"/>
                <w:kern w:val="2"/>
                <w:highlight w:val="none"/>
              </w:rPr>
              <w:t>23</w:t>
            </w:r>
            <w:r>
              <w:rPr>
                <w:rFonts w:hint="eastAsia" w:ascii="Times New Roman" w:hAnsi="Times New Roman"/>
                <w:kern w:val="2"/>
                <w:highlight w:val="none"/>
                <w:lang w:eastAsia="zh-CN"/>
              </w:rPr>
              <w:t>）和</w:t>
            </w:r>
            <w:r>
              <w:rPr>
                <w:rFonts w:hint="eastAsia" w:ascii="Times New Roman" w:hAnsi="Times New Roman"/>
                <w:kern w:val="2"/>
                <w:highlight w:val="none"/>
              </w:rPr>
              <w:t>《危险废物识别标志设置技术规范》（HJ1276-2022）</w:t>
            </w:r>
            <w:r>
              <w:rPr>
                <w:rFonts w:ascii="Times New Roman" w:hAnsi="Times New Roman"/>
                <w:kern w:val="2"/>
                <w:highlight w:val="none"/>
              </w:rPr>
              <w:t>相关规定要求，贮存库及废机油储存容器上需要张贴有毒、易燃危险废物种类</w:t>
            </w:r>
            <w:r>
              <w:rPr>
                <w:rFonts w:hint="eastAsia" w:ascii="Times New Roman" w:hAnsi="Times New Roman"/>
                <w:kern w:val="2"/>
                <w:highlight w:val="none"/>
              </w:rPr>
              <w:t>标识</w:t>
            </w:r>
            <w:r>
              <w:rPr>
                <w:rFonts w:ascii="Times New Roman" w:hAnsi="Times New Roman"/>
                <w:kern w:val="2"/>
                <w:highlight w:val="none"/>
              </w:rPr>
              <w:t>，标识的设计需符合</w:t>
            </w:r>
            <w:r>
              <w:rPr>
                <w:rFonts w:hint="eastAsia" w:ascii="Times New Roman" w:hAnsi="Times New Roman"/>
                <w:kern w:val="2"/>
                <w:highlight w:val="none"/>
              </w:rPr>
              <w:t>HJ1276-2022</w:t>
            </w:r>
            <w:r>
              <w:rPr>
                <w:rFonts w:ascii="Times New Roman" w:hAnsi="Times New Roman"/>
                <w:kern w:val="2"/>
                <w:highlight w:val="none"/>
              </w:rPr>
              <w:t>的规定，</w:t>
            </w:r>
            <w:r>
              <w:rPr>
                <w:rFonts w:hint="eastAsia" w:ascii="Times New Roman" w:hAnsi="Times New Roman"/>
                <w:kern w:val="2"/>
                <w:highlight w:val="none"/>
              </w:rPr>
              <w:t>详情见表</w:t>
            </w:r>
            <w:r>
              <w:rPr>
                <w:rFonts w:hint="eastAsia" w:ascii="Times New Roman" w:hAnsi="Times New Roman"/>
                <w:kern w:val="2"/>
                <w:highlight w:val="none"/>
                <w:lang w:val="en-US" w:eastAsia="zh-CN"/>
              </w:rPr>
              <w:t>5-2、表5-3</w:t>
            </w:r>
            <w:r>
              <w:rPr>
                <w:rFonts w:ascii="Times New Roman" w:hAnsi="Times New Roman"/>
                <w:kern w:val="2"/>
                <w:highlight w:val="none"/>
              </w:rPr>
              <w:t>。</w:t>
            </w:r>
          </w:p>
          <w:p w14:paraId="1315C480">
            <w:pPr>
              <w:widowControl/>
              <w:jc w:val="center"/>
              <w:rPr>
                <w:rFonts w:eastAsia="黑体"/>
                <w:szCs w:val="21"/>
                <w:highlight w:val="none"/>
              </w:rPr>
            </w:pPr>
            <w:r>
              <w:rPr>
                <w:rFonts w:hint="eastAsia"/>
                <w:b/>
                <w:bCs/>
                <w:szCs w:val="21"/>
                <w:highlight w:val="none"/>
              </w:rPr>
              <w:t>表5-2</w:t>
            </w:r>
            <w:r>
              <w:rPr>
                <w:rFonts w:hint="eastAsia"/>
                <w:b/>
                <w:bCs/>
                <w:szCs w:val="21"/>
                <w:highlight w:val="none"/>
                <w:lang w:val="en-US" w:eastAsia="zh-CN"/>
              </w:rPr>
              <w:t xml:space="preserve"> </w:t>
            </w:r>
            <w:r>
              <w:rPr>
                <w:rFonts w:eastAsia="黑体"/>
                <w:szCs w:val="21"/>
                <w:highlight w:val="none"/>
              </w:rPr>
              <w:t>危废暂存间标签示例</w:t>
            </w:r>
          </w:p>
          <w:tbl>
            <w:tblPr>
              <w:tblStyle w:val="19"/>
              <w:tblW w:w="4998" w:type="pct"/>
              <w:jc w:val="center"/>
              <w:tblBorders>
                <w:top w:val="single" w:color="auto" w:sz="8" w:space="0"/>
                <w:left w:val="none" w:color="auto" w:sz="0" w:space="0"/>
                <w:bottom w:val="single" w:color="auto" w:sz="8" w:space="0"/>
                <w:right w:val="none" w:color="auto" w:sz="0" w:space="0"/>
                <w:insideH w:val="none" w:color="auto" w:sz="0" w:space="0"/>
                <w:insideV w:val="single" w:color="auto" w:sz="6" w:space="0"/>
              </w:tblBorders>
              <w:tblLayout w:type="fixed"/>
              <w:tblCellMar>
                <w:top w:w="0" w:type="dxa"/>
                <w:left w:w="113" w:type="dxa"/>
                <w:bottom w:w="0" w:type="dxa"/>
                <w:right w:w="0" w:type="dxa"/>
              </w:tblCellMar>
            </w:tblPr>
            <w:tblGrid>
              <w:gridCol w:w="981"/>
              <w:gridCol w:w="2994"/>
              <w:gridCol w:w="3004"/>
            </w:tblGrid>
            <w:tr w14:paraId="6053D110">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PrEx>
              <w:trPr>
                <w:trHeight w:val="90" w:hRule="atLeast"/>
                <w:jc w:val="center"/>
              </w:trPr>
              <w:tc>
                <w:tcPr>
                  <w:tcW w:w="703" w:type="pct"/>
                  <w:tcBorders>
                    <w:bottom w:val="single" w:color="auto" w:sz="8" w:space="0"/>
                  </w:tcBorders>
                  <w:noWrap w:val="0"/>
                  <w:vAlign w:val="center"/>
                </w:tcPr>
                <w:p w14:paraId="3F917F8B">
                  <w:pPr>
                    <w:pStyle w:val="46"/>
                    <w:snapToGrid w:val="0"/>
                    <w:rPr>
                      <w:rFonts w:ascii="Times New Roman" w:hAnsi="Times New Roman" w:cs="Times New Roman"/>
                      <w:highlight w:val="none"/>
                    </w:rPr>
                  </w:pPr>
                  <w:r>
                    <w:rPr>
                      <w:rFonts w:ascii="Times New Roman" w:hAnsi="Times New Roman" w:cs="Times New Roman"/>
                      <w:highlight w:val="none"/>
                    </w:rPr>
                    <w:t>场合</w:t>
                  </w:r>
                </w:p>
              </w:tc>
              <w:tc>
                <w:tcPr>
                  <w:tcW w:w="2144" w:type="pct"/>
                  <w:tcBorders>
                    <w:bottom w:val="single" w:color="auto" w:sz="8" w:space="0"/>
                  </w:tcBorders>
                  <w:noWrap w:val="0"/>
                  <w:vAlign w:val="center"/>
                </w:tcPr>
                <w:p w14:paraId="3D606467">
                  <w:pPr>
                    <w:pStyle w:val="46"/>
                    <w:snapToGrid w:val="0"/>
                    <w:rPr>
                      <w:rFonts w:ascii="Times New Roman" w:hAnsi="Times New Roman" w:cs="Times New Roman"/>
                      <w:highlight w:val="none"/>
                    </w:rPr>
                  </w:pPr>
                  <w:r>
                    <w:rPr>
                      <w:rFonts w:ascii="Times New Roman" w:hAnsi="Times New Roman" w:cs="Times New Roman"/>
                      <w:highlight w:val="none"/>
                    </w:rPr>
                    <w:t>样式</w:t>
                  </w:r>
                </w:p>
              </w:tc>
              <w:tc>
                <w:tcPr>
                  <w:tcW w:w="2152" w:type="pct"/>
                  <w:tcBorders>
                    <w:bottom w:val="single" w:color="auto" w:sz="8" w:space="0"/>
                  </w:tcBorders>
                  <w:noWrap w:val="0"/>
                  <w:vAlign w:val="center"/>
                </w:tcPr>
                <w:p w14:paraId="318E3345">
                  <w:pPr>
                    <w:pStyle w:val="46"/>
                    <w:snapToGrid w:val="0"/>
                    <w:rPr>
                      <w:rFonts w:ascii="Times New Roman" w:hAnsi="Times New Roman" w:cs="Times New Roman"/>
                      <w:highlight w:val="none"/>
                    </w:rPr>
                  </w:pPr>
                  <w:r>
                    <w:rPr>
                      <w:rFonts w:ascii="Times New Roman" w:hAnsi="Times New Roman" w:cs="Times New Roman"/>
                      <w:highlight w:val="none"/>
                    </w:rPr>
                    <w:t>要求</w:t>
                  </w:r>
                </w:p>
              </w:tc>
            </w:tr>
            <w:tr w14:paraId="0F926FEB">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13" w:type="dxa"/>
                  <w:bottom w:w="0" w:type="dxa"/>
                  <w:right w:w="0" w:type="dxa"/>
                </w:tblCellMar>
              </w:tblPrEx>
              <w:trPr>
                <w:trHeight w:val="340" w:hRule="atLeast"/>
                <w:jc w:val="center"/>
              </w:trPr>
              <w:tc>
                <w:tcPr>
                  <w:tcW w:w="703" w:type="pct"/>
                  <w:tcBorders>
                    <w:top w:val="single" w:color="auto" w:sz="8" w:space="0"/>
                    <w:tl2br w:val="nil"/>
                    <w:tr2bl w:val="nil"/>
                  </w:tcBorders>
                  <w:noWrap w:val="0"/>
                  <w:vAlign w:val="center"/>
                </w:tcPr>
                <w:p w14:paraId="6CE5F48C">
                  <w:pPr>
                    <w:pStyle w:val="46"/>
                    <w:snapToGrid w:val="0"/>
                    <w:jc w:val="center"/>
                    <w:rPr>
                      <w:rFonts w:ascii="Times New Roman" w:hAnsi="Times New Roman" w:cs="Times New Roman"/>
                      <w:highlight w:val="none"/>
                    </w:rPr>
                  </w:pPr>
                  <w:r>
                    <w:rPr>
                      <w:rFonts w:ascii="Times New Roman" w:hAnsi="Times New Roman" w:cs="Times New Roman"/>
                      <w:highlight w:val="none"/>
                    </w:rPr>
                    <w:t>室外（粘贴于门上或悬挂）</w:t>
                  </w:r>
                </w:p>
              </w:tc>
              <w:tc>
                <w:tcPr>
                  <w:tcW w:w="2144" w:type="pct"/>
                  <w:tcBorders>
                    <w:top w:val="single" w:color="auto" w:sz="8" w:space="0"/>
                    <w:tl2br w:val="nil"/>
                    <w:tr2bl w:val="nil"/>
                  </w:tcBorders>
                  <w:noWrap w:val="0"/>
                  <w:vAlign w:val="center"/>
                </w:tcPr>
                <w:p w14:paraId="1FEE051F">
                  <w:pPr>
                    <w:pStyle w:val="46"/>
                    <w:snapToGrid w:val="0"/>
                    <w:rPr>
                      <w:rFonts w:ascii="Times New Roman" w:hAnsi="Times New Roman" w:cs="Times New Roman"/>
                      <w:highlight w:val="none"/>
                    </w:rPr>
                  </w:pPr>
                  <w:r>
                    <w:rPr>
                      <w:rFonts w:hint="eastAsia" w:ascii="Times New Roman" w:hAnsi="Times New Roman" w:cs="Times New Roman"/>
                      <w:highlight w:val="none"/>
                    </w:rPr>
                    <w:drawing>
                      <wp:anchor distT="0" distB="0" distL="114300" distR="114300" simplePos="0" relativeHeight="251666432" behindDoc="0" locked="0" layoutInCell="1" allowOverlap="1">
                        <wp:simplePos x="0" y="0"/>
                        <wp:positionH relativeFrom="column">
                          <wp:posOffset>34290</wp:posOffset>
                        </wp:positionH>
                        <wp:positionV relativeFrom="paragraph">
                          <wp:posOffset>320040</wp:posOffset>
                        </wp:positionV>
                        <wp:extent cx="1778000" cy="689610"/>
                        <wp:effectExtent l="0" t="0" r="5080" b="11430"/>
                        <wp:wrapNone/>
                        <wp:docPr id="182" name="图片 60" descr="dd5a2859112a75e8ef204fc0504de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60" descr="dd5a2859112a75e8ef204fc0504de4d"/>
                                <pic:cNvPicPr>
                                  <a:picLocks noChangeAspect="1"/>
                                </pic:cNvPicPr>
                              </pic:nvPicPr>
                              <pic:blipFill>
                                <a:blip r:embed="rId25"/>
                                <a:stretch>
                                  <a:fillRect/>
                                </a:stretch>
                              </pic:blipFill>
                              <pic:spPr>
                                <a:xfrm>
                                  <a:off x="0" y="0"/>
                                  <a:ext cx="1778000" cy="689610"/>
                                </a:xfrm>
                                <a:prstGeom prst="rect">
                                  <a:avLst/>
                                </a:prstGeom>
                                <a:noFill/>
                                <a:ln>
                                  <a:noFill/>
                                </a:ln>
                              </pic:spPr>
                            </pic:pic>
                          </a:graphicData>
                        </a:graphic>
                      </wp:anchor>
                    </w:drawing>
                  </w:r>
                </w:p>
              </w:tc>
              <w:tc>
                <w:tcPr>
                  <w:tcW w:w="2152" w:type="pct"/>
                  <w:tcBorders>
                    <w:top w:val="single" w:color="auto" w:sz="8" w:space="0"/>
                    <w:tl2br w:val="nil"/>
                    <w:tr2bl w:val="nil"/>
                  </w:tcBorders>
                  <w:noWrap w:val="0"/>
                  <w:vAlign w:val="center"/>
                </w:tcPr>
                <w:p w14:paraId="50C6D844">
                  <w:pPr>
                    <w:pStyle w:val="46"/>
                    <w:snapToGrid w:val="0"/>
                    <w:jc w:val="both"/>
                    <w:rPr>
                      <w:rFonts w:ascii="Times New Roman" w:hAnsi="Times New Roman" w:cs="Times New Roman"/>
                      <w:highlight w:val="none"/>
                    </w:rPr>
                  </w:pPr>
                  <w:r>
                    <w:rPr>
                      <w:rFonts w:ascii="Times New Roman" w:hAnsi="Times New Roman" w:cs="Times New Roman"/>
                      <w:highlight w:val="none"/>
                    </w:rPr>
                    <w:t>危险废物警告</w:t>
                  </w:r>
                  <w:r>
                    <w:rPr>
                      <w:rFonts w:hint="eastAsia" w:ascii="Times New Roman" w:hAnsi="Times New Roman" w:cs="Times New Roman"/>
                      <w:highlight w:val="none"/>
                      <w:lang w:eastAsia="zh-CN"/>
                    </w:rPr>
                    <w:t>标志</w:t>
                  </w:r>
                  <w:r>
                    <w:rPr>
                      <w:rFonts w:ascii="Times New Roman" w:hAnsi="Times New Roman" w:cs="Times New Roman"/>
                      <w:highlight w:val="none"/>
                    </w:rPr>
                    <w:t>形状</w:t>
                  </w:r>
                  <w:r>
                    <w:rPr>
                      <w:rFonts w:hint="eastAsia" w:ascii="Times New Roman" w:hAnsi="Times New Roman" w:cs="Times New Roman"/>
                      <w:highlight w:val="none"/>
                      <w:lang w:val="en-US" w:eastAsia="zh-CN"/>
                    </w:rPr>
                    <w:t>为</w:t>
                  </w:r>
                  <w:r>
                    <w:rPr>
                      <w:rFonts w:ascii="Times New Roman" w:hAnsi="Times New Roman" w:cs="Times New Roman"/>
                      <w:highlight w:val="none"/>
                    </w:rPr>
                    <w:t>等边三角形，边长40cm</w:t>
                  </w:r>
                  <w:r>
                    <w:rPr>
                      <w:rFonts w:hint="eastAsia" w:ascii="Times New Roman" w:hAnsi="Times New Roman" w:cs="Times New Roman"/>
                      <w:highlight w:val="none"/>
                      <w:lang w:eastAsia="zh-CN"/>
                    </w:rPr>
                    <w:t>，</w:t>
                  </w:r>
                  <w:r>
                    <w:rPr>
                      <w:rFonts w:ascii="Times New Roman" w:hAnsi="Times New Roman" w:cs="Times New Roman"/>
                      <w:highlight w:val="none"/>
                    </w:rPr>
                    <w:t>背景为黄色，图形为黑色警告标志外檐2.5cm</w:t>
                  </w:r>
                </w:p>
                <w:p w14:paraId="26925202">
                  <w:pPr>
                    <w:pStyle w:val="46"/>
                    <w:snapToGrid w:val="0"/>
                    <w:jc w:val="both"/>
                    <w:rPr>
                      <w:rFonts w:ascii="Times New Roman" w:hAnsi="Times New Roman" w:cs="Times New Roman"/>
                      <w:highlight w:val="none"/>
                    </w:rPr>
                  </w:pPr>
                  <w:r>
                    <w:rPr>
                      <w:rFonts w:ascii="Times New Roman" w:hAnsi="Times New Roman" w:cs="Times New Roman"/>
                      <w:highlight w:val="none"/>
                    </w:rPr>
                    <w:t>适用于：危险废物贮存设施为房屋的，建有围墙或防护栅栏，且高度高于100cm时；部分危险废物利用、处置场所</w:t>
                  </w:r>
                </w:p>
              </w:tc>
            </w:tr>
          </w:tbl>
          <w:p w14:paraId="443EE6B3">
            <w:pPr>
              <w:widowControl/>
              <w:jc w:val="center"/>
              <w:rPr>
                <w:rFonts w:hint="eastAsia"/>
                <w:b/>
                <w:bCs/>
                <w:sz w:val="21"/>
                <w:szCs w:val="21"/>
                <w:highlight w:val="none"/>
              </w:rPr>
            </w:pPr>
          </w:p>
          <w:p w14:paraId="47E0B5D9">
            <w:pPr>
              <w:widowControl/>
              <w:jc w:val="center"/>
              <w:rPr>
                <w:rFonts w:eastAsia="黑体"/>
                <w:sz w:val="21"/>
                <w:szCs w:val="21"/>
                <w:highlight w:val="none"/>
              </w:rPr>
            </w:pPr>
            <w:r>
              <w:rPr>
                <w:rFonts w:hint="eastAsia"/>
                <w:b/>
                <w:bCs/>
                <w:sz w:val="21"/>
                <w:szCs w:val="21"/>
                <w:highlight w:val="none"/>
              </w:rPr>
              <w:t>表5-3</w:t>
            </w:r>
            <w:r>
              <w:rPr>
                <w:rFonts w:hint="eastAsia"/>
                <w:b/>
                <w:bCs/>
                <w:sz w:val="21"/>
                <w:szCs w:val="21"/>
                <w:highlight w:val="none"/>
                <w:lang w:val="en-US" w:eastAsia="zh-CN"/>
              </w:rPr>
              <w:t xml:space="preserve"> </w:t>
            </w:r>
            <w:r>
              <w:rPr>
                <w:rFonts w:eastAsia="黑体"/>
                <w:sz w:val="21"/>
                <w:szCs w:val="21"/>
                <w:highlight w:val="none"/>
              </w:rPr>
              <w:t>危废储存容器标签示例</w:t>
            </w:r>
          </w:p>
          <w:tbl>
            <w:tblPr>
              <w:tblStyle w:val="19"/>
              <w:tblW w:w="5000"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13" w:type="dxa"/>
                <w:bottom w:w="0" w:type="dxa"/>
                <w:right w:w="0" w:type="dxa"/>
              </w:tblCellMar>
            </w:tblPr>
            <w:tblGrid>
              <w:gridCol w:w="804"/>
              <w:gridCol w:w="2452"/>
              <w:gridCol w:w="3726"/>
            </w:tblGrid>
            <w:tr w14:paraId="60457B0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13" w:type="dxa"/>
                  <w:bottom w:w="0" w:type="dxa"/>
                  <w:right w:w="0" w:type="dxa"/>
                </w:tblCellMar>
              </w:tblPrEx>
              <w:trPr>
                <w:trHeight w:val="340" w:hRule="atLeast"/>
                <w:jc w:val="center"/>
              </w:trPr>
              <w:tc>
                <w:tcPr>
                  <w:tcW w:w="575" w:type="pct"/>
                  <w:tcBorders>
                    <w:bottom w:val="single" w:color="auto" w:sz="8" w:space="0"/>
                  </w:tcBorders>
                  <w:noWrap w:val="0"/>
                  <w:vAlign w:val="center"/>
                </w:tcPr>
                <w:p w14:paraId="3158C58F">
                  <w:pPr>
                    <w:pStyle w:val="46"/>
                    <w:snapToGrid w:val="0"/>
                    <w:rPr>
                      <w:rFonts w:ascii="Times New Roman" w:hAnsi="Times New Roman" w:cs="Times New Roman"/>
                      <w:highlight w:val="none"/>
                    </w:rPr>
                  </w:pPr>
                  <w:r>
                    <w:rPr>
                      <w:rFonts w:ascii="Times New Roman" w:hAnsi="Times New Roman" w:cs="Times New Roman"/>
                      <w:highlight w:val="none"/>
                    </w:rPr>
                    <w:t>场合</w:t>
                  </w:r>
                </w:p>
              </w:tc>
              <w:tc>
                <w:tcPr>
                  <w:tcW w:w="1755" w:type="pct"/>
                  <w:tcBorders>
                    <w:bottom w:val="single" w:color="auto" w:sz="8" w:space="0"/>
                  </w:tcBorders>
                  <w:noWrap w:val="0"/>
                  <w:vAlign w:val="center"/>
                </w:tcPr>
                <w:p w14:paraId="19BFFAAF">
                  <w:pPr>
                    <w:pStyle w:val="46"/>
                    <w:snapToGrid w:val="0"/>
                    <w:rPr>
                      <w:rFonts w:ascii="Times New Roman" w:hAnsi="Times New Roman" w:cs="Times New Roman"/>
                      <w:highlight w:val="none"/>
                    </w:rPr>
                  </w:pPr>
                  <w:r>
                    <w:rPr>
                      <w:rFonts w:ascii="Times New Roman" w:hAnsi="Times New Roman" w:cs="Times New Roman"/>
                      <w:highlight w:val="none"/>
                    </w:rPr>
                    <w:t>样式</w:t>
                  </w:r>
                </w:p>
              </w:tc>
              <w:tc>
                <w:tcPr>
                  <w:tcW w:w="2668" w:type="pct"/>
                  <w:tcBorders>
                    <w:bottom w:val="single" w:color="auto" w:sz="8" w:space="0"/>
                  </w:tcBorders>
                  <w:noWrap w:val="0"/>
                  <w:vAlign w:val="center"/>
                </w:tcPr>
                <w:p w14:paraId="650C452E">
                  <w:pPr>
                    <w:pStyle w:val="46"/>
                    <w:snapToGrid w:val="0"/>
                    <w:rPr>
                      <w:rFonts w:ascii="Times New Roman" w:hAnsi="Times New Roman" w:cs="Times New Roman"/>
                      <w:highlight w:val="none"/>
                    </w:rPr>
                  </w:pPr>
                  <w:r>
                    <w:rPr>
                      <w:rFonts w:ascii="Times New Roman" w:hAnsi="Times New Roman" w:cs="Times New Roman"/>
                      <w:highlight w:val="none"/>
                    </w:rPr>
                    <w:t>要求</w:t>
                  </w:r>
                </w:p>
              </w:tc>
            </w:tr>
            <w:tr w14:paraId="51658F4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13" w:type="dxa"/>
                  <w:bottom w:w="0" w:type="dxa"/>
                  <w:right w:w="0" w:type="dxa"/>
                </w:tblCellMar>
              </w:tblPrEx>
              <w:trPr>
                <w:trHeight w:val="340" w:hRule="atLeast"/>
                <w:jc w:val="center"/>
              </w:trPr>
              <w:tc>
                <w:tcPr>
                  <w:tcW w:w="575" w:type="pct"/>
                  <w:tcBorders>
                    <w:top w:val="single" w:color="auto" w:sz="8" w:space="0"/>
                    <w:tl2br w:val="nil"/>
                    <w:tr2bl w:val="nil"/>
                  </w:tcBorders>
                  <w:noWrap w:val="0"/>
                  <w:vAlign w:val="center"/>
                </w:tcPr>
                <w:p w14:paraId="29AF3CAA">
                  <w:pPr>
                    <w:pStyle w:val="46"/>
                    <w:snapToGrid w:val="0"/>
                    <w:rPr>
                      <w:rFonts w:ascii="Times New Roman" w:hAnsi="Times New Roman" w:cs="Times New Roman"/>
                      <w:highlight w:val="none"/>
                    </w:rPr>
                  </w:pPr>
                  <w:r>
                    <w:rPr>
                      <w:rFonts w:ascii="Times New Roman" w:hAnsi="Times New Roman" w:cs="Times New Roman"/>
                      <w:highlight w:val="none"/>
                    </w:rPr>
                    <w:t>粘贴于危险废物储存容器</w:t>
                  </w:r>
                </w:p>
              </w:tc>
              <w:tc>
                <w:tcPr>
                  <w:tcW w:w="1755" w:type="pct"/>
                  <w:tcBorders>
                    <w:top w:val="single" w:color="auto" w:sz="8" w:space="0"/>
                    <w:tl2br w:val="nil"/>
                    <w:tr2bl w:val="nil"/>
                  </w:tcBorders>
                  <w:noWrap w:val="0"/>
                  <w:vAlign w:val="center"/>
                </w:tcPr>
                <w:p w14:paraId="78FFE56F">
                  <w:pPr>
                    <w:pStyle w:val="46"/>
                    <w:snapToGrid w:val="0"/>
                    <w:rPr>
                      <w:rFonts w:ascii="Times New Roman" w:hAnsi="Times New Roman" w:cs="Times New Roman"/>
                      <w:highlight w:val="none"/>
                    </w:rPr>
                  </w:pPr>
                </w:p>
                <w:p w14:paraId="33463B02">
                  <w:pPr>
                    <w:pStyle w:val="46"/>
                    <w:snapToGrid w:val="0"/>
                    <w:rPr>
                      <w:rFonts w:ascii="Times New Roman" w:hAnsi="Times New Roman" w:cs="Times New Roman"/>
                      <w:highlight w:val="none"/>
                    </w:rPr>
                  </w:pPr>
                  <w:r>
                    <w:rPr>
                      <w:highlight w:val="none"/>
                    </w:rPr>
                    <w:drawing>
                      <wp:anchor distT="0" distB="0" distL="114300" distR="114300" simplePos="0" relativeHeight="251667456" behindDoc="0" locked="0" layoutInCell="1" allowOverlap="1">
                        <wp:simplePos x="0" y="0"/>
                        <wp:positionH relativeFrom="column">
                          <wp:posOffset>635</wp:posOffset>
                        </wp:positionH>
                        <wp:positionV relativeFrom="paragraph">
                          <wp:posOffset>188595</wp:posOffset>
                        </wp:positionV>
                        <wp:extent cx="1411605" cy="833120"/>
                        <wp:effectExtent l="0" t="0" r="5715" b="5080"/>
                        <wp:wrapNone/>
                        <wp:docPr id="18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4"/>
                                <pic:cNvPicPr>
                                  <a:picLocks noChangeAspect="1"/>
                                </pic:cNvPicPr>
                              </pic:nvPicPr>
                              <pic:blipFill>
                                <a:blip r:embed="rId26"/>
                                <a:stretch>
                                  <a:fillRect/>
                                </a:stretch>
                              </pic:blipFill>
                              <pic:spPr>
                                <a:xfrm>
                                  <a:off x="0" y="0"/>
                                  <a:ext cx="1411605" cy="833120"/>
                                </a:xfrm>
                                <a:prstGeom prst="rect">
                                  <a:avLst/>
                                </a:prstGeom>
                                <a:noFill/>
                                <a:ln>
                                  <a:noFill/>
                                </a:ln>
                              </pic:spPr>
                            </pic:pic>
                          </a:graphicData>
                        </a:graphic>
                      </wp:anchor>
                    </w:drawing>
                  </w:r>
                </w:p>
                <w:p w14:paraId="12633F1F">
                  <w:pPr>
                    <w:pStyle w:val="46"/>
                    <w:snapToGrid w:val="0"/>
                    <w:rPr>
                      <w:rFonts w:ascii="Times New Roman" w:hAnsi="Times New Roman" w:cs="Times New Roman"/>
                      <w:highlight w:val="none"/>
                    </w:rPr>
                  </w:pPr>
                </w:p>
                <w:p w14:paraId="3E3C977A">
                  <w:pPr>
                    <w:pStyle w:val="46"/>
                    <w:snapToGrid w:val="0"/>
                    <w:rPr>
                      <w:rFonts w:ascii="Times New Roman" w:hAnsi="Times New Roman" w:cs="Times New Roman"/>
                      <w:highlight w:val="none"/>
                    </w:rPr>
                  </w:pPr>
                </w:p>
                <w:p w14:paraId="16D82E76">
                  <w:pPr>
                    <w:pStyle w:val="46"/>
                    <w:snapToGrid w:val="0"/>
                    <w:rPr>
                      <w:rFonts w:ascii="Times New Roman" w:hAnsi="Times New Roman" w:cs="Times New Roman"/>
                      <w:highlight w:val="none"/>
                    </w:rPr>
                  </w:pPr>
                </w:p>
                <w:p w14:paraId="6D4BD9C3">
                  <w:pPr>
                    <w:pStyle w:val="46"/>
                    <w:snapToGrid w:val="0"/>
                    <w:rPr>
                      <w:rFonts w:ascii="Times New Roman" w:hAnsi="Times New Roman" w:cs="Times New Roman"/>
                      <w:highlight w:val="none"/>
                    </w:rPr>
                  </w:pPr>
                </w:p>
                <w:p w14:paraId="17C929E1">
                  <w:pPr>
                    <w:pStyle w:val="46"/>
                    <w:snapToGrid w:val="0"/>
                    <w:rPr>
                      <w:rFonts w:ascii="Times New Roman" w:hAnsi="Times New Roman" w:cs="Times New Roman"/>
                      <w:highlight w:val="none"/>
                    </w:rPr>
                  </w:pPr>
                </w:p>
                <w:p w14:paraId="63FD7FD5">
                  <w:pPr>
                    <w:pStyle w:val="46"/>
                    <w:snapToGrid w:val="0"/>
                    <w:rPr>
                      <w:rFonts w:ascii="Times New Roman" w:hAnsi="Times New Roman" w:cs="Times New Roman"/>
                      <w:highlight w:val="none"/>
                    </w:rPr>
                  </w:pPr>
                  <w:r>
                    <w:rPr>
                      <w:highlight w:val="none"/>
                    </w:rPr>
                    <w:drawing>
                      <wp:anchor distT="0" distB="0" distL="114300" distR="114300" simplePos="0" relativeHeight="251668480" behindDoc="0" locked="0" layoutInCell="1" allowOverlap="1">
                        <wp:simplePos x="0" y="0"/>
                        <wp:positionH relativeFrom="column">
                          <wp:posOffset>-33020</wp:posOffset>
                        </wp:positionH>
                        <wp:positionV relativeFrom="paragraph">
                          <wp:posOffset>143510</wp:posOffset>
                        </wp:positionV>
                        <wp:extent cx="1478280" cy="951865"/>
                        <wp:effectExtent l="0" t="0" r="0" b="8255"/>
                        <wp:wrapNone/>
                        <wp:docPr id="18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6"/>
                                <pic:cNvPicPr>
                                  <a:picLocks noChangeAspect="1"/>
                                </pic:cNvPicPr>
                              </pic:nvPicPr>
                              <pic:blipFill>
                                <a:blip r:embed="rId27"/>
                                <a:stretch>
                                  <a:fillRect/>
                                </a:stretch>
                              </pic:blipFill>
                              <pic:spPr>
                                <a:xfrm>
                                  <a:off x="0" y="0"/>
                                  <a:ext cx="1478280" cy="951865"/>
                                </a:xfrm>
                                <a:prstGeom prst="rect">
                                  <a:avLst/>
                                </a:prstGeom>
                                <a:noFill/>
                                <a:ln>
                                  <a:noFill/>
                                </a:ln>
                              </pic:spPr>
                            </pic:pic>
                          </a:graphicData>
                        </a:graphic>
                      </wp:anchor>
                    </w:drawing>
                  </w:r>
                </w:p>
                <w:p w14:paraId="5250EF21">
                  <w:pPr>
                    <w:pStyle w:val="46"/>
                    <w:snapToGrid w:val="0"/>
                    <w:rPr>
                      <w:rFonts w:ascii="Times New Roman" w:hAnsi="Times New Roman" w:cs="Times New Roman"/>
                      <w:highlight w:val="none"/>
                    </w:rPr>
                  </w:pPr>
                </w:p>
                <w:p w14:paraId="312828C8">
                  <w:pPr>
                    <w:pStyle w:val="46"/>
                    <w:snapToGrid w:val="0"/>
                    <w:rPr>
                      <w:rFonts w:ascii="Times New Roman" w:hAnsi="Times New Roman" w:cs="Times New Roman"/>
                      <w:highlight w:val="none"/>
                    </w:rPr>
                  </w:pPr>
                </w:p>
                <w:p w14:paraId="52185708">
                  <w:pPr>
                    <w:pStyle w:val="46"/>
                    <w:snapToGrid w:val="0"/>
                    <w:rPr>
                      <w:rFonts w:ascii="Times New Roman" w:hAnsi="Times New Roman" w:cs="Times New Roman"/>
                      <w:highlight w:val="none"/>
                    </w:rPr>
                  </w:pPr>
                </w:p>
                <w:p w14:paraId="71B4813E">
                  <w:pPr>
                    <w:pStyle w:val="46"/>
                    <w:snapToGrid w:val="0"/>
                    <w:rPr>
                      <w:rFonts w:ascii="Times New Roman" w:hAnsi="Times New Roman" w:cs="Times New Roman"/>
                      <w:highlight w:val="none"/>
                    </w:rPr>
                  </w:pPr>
                </w:p>
              </w:tc>
              <w:tc>
                <w:tcPr>
                  <w:tcW w:w="2668" w:type="pct"/>
                  <w:tcBorders>
                    <w:top w:val="single" w:color="auto" w:sz="8" w:space="0"/>
                    <w:tl2br w:val="nil"/>
                    <w:tr2bl w:val="nil"/>
                  </w:tcBorders>
                  <w:noWrap w:val="0"/>
                  <w:vAlign w:val="center"/>
                </w:tcPr>
                <w:p w14:paraId="293D1343">
                  <w:pPr>
                    <w:pStyle w:val="46"/>
                    <w:snapToGrid w:val="0"/>
                    <w:jc w:val="both"/>
                    <w:rPr>
                      <w:rFonts w:ascii="Times New Roman" w:hAnsi="Times New Roman" w:cs="Times New Roman"/>
                      <w:highlight w:val="none"/>
                    </w:rPr>
                  </w:pP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1</w:t>
                  </w:r>
                  <w:r>
                    <w:rPr>
                      <w:rFonts w:hint="eastAsia" w:ascii="Times New Roman" w:hAnsi="Times New Roman" w:cs="Times New Roman"/>
                      <w:highlight w:val="none"/>
                      <w:lang w:eastAsia="zh-CN"/>
                    </w:rPr>
                    <w:t>）</w:t>
                  </w:r>
                  <w:r>
                    <w:rPr>
                      <w:rFonts w:hint="eastAsia" w:ascii="Times New Roman" w:hAnsi="Times New Roman" w:cs="Times New Roman"/>
                      <w:highlight w:val="none"/>
                    </w:rPr>
                    <w:t>危险废物标签的内容要求</w:t>
                  </w:r>
                </w:p>
                <w:p w14:paraId="624C561C">
                  <w:pPr>
                    <w:pStyle w:val="46"/>
                    <w:snapToGrid w:val="0"/>
                    <w:jc w:val="both"/>
                    <w:rPr>
                      <w:rFonts w:hint="eastAsia" w:ascii="Times New Roman" w:hAnsi="Times New Roman" w:eastAsia="宋体" w:cs="Times New Roman"/>
                      <w:highlight w:val="none"/>
                      <w:lang w:eastAsia="zh-CN"/>
                    </w:rPr>
                  </w:pPr>
                  <w:r>
                    <w:rPr>
                      <w:rFonts w:hint="eastAsia" w:ascii="Times New Roman" w:hAnsi="Times New Roman" w:cs="Times New Roman"/>
                      <w:highlight w:val="none"/>
                      <w:lang w:val="en-US" w:eastAsia="zh-CN"/>
                    </w:rPr>
                    <w:t>①</w:t>
                  </w:r>
                  <w:r>
                    <w:rPr>
                      <w:rFonts w:hint="eastAsia" w:ascii="Times New Roman" w:hAnsi="Times New Roman" w:cs="Times New Roman"/>
                      <w:highlight w:val="none"/>
                    </w:rPr>
                    <w:t>危险废物标签应以醒目的字样标注</w:t>
                  </w:r>
                  <w:r>
                    <w:rPr>
                      <w:rFonts w:hint="eastAsia" w:ascii="Times New Roman" w:hAnsi="Times New Roman" w:cs="Times New Roman"/>
                      <w:highlight w:val="none"/>
                      <w:lang w:eastAsia="zh-CN"/>
                    </w:rPr>
                    <w:t>“</w:t>
                  </w:r>
                  <w:r>
                    <w:rPr>
                      <w:rFonts w:hint="eastAsia" w:ascii="Times New Roman" w:hAnsi="Times New Roman" w:cs="Times New Roman"/>
                      <w:highlight w:val="none"/>
                    </w:rPr>
                    <w:t>危险废物</w:t>
                  </w:r>
                  <w:r>
                    <w:rPr>
                      <w:rFonts w:hint="eastAsia" w:ascii="Times New Roman" w:hAnsi="Times New Roman" w:cs="Times New Roman"/>
                      <w:highlight w:val="none"/>
                      <w:lang w:eastAsia="zh-CN"/>
                    </w:rPr>
                    <w:t>”。</w:t>
                  </w:r>
                </w:p>
                <w:p w14:paraId="748F2F7B">
                  <w:pPr>
                    <w:pStyle w:val="46"/>
                    <w:snapToGrid w:val="0"/>
                    <w:jc w:val="both"/>
                    <w:rPr>
                      <w:rFonts w:ascii="Times New Roman" w:hAnsi="Times New Roman" w:cs="Times New Roman"/>
                      <w:highlight w:val="none"/>
                    </w:rPr>
                  </w:pPr>
                  <w:r>
                    <w:rPr>
                      <w:rFonts w:hint="eastAsia" w:ascii="Times New Roman" w:hAnsi="Times New Roman" w:cs="Times New Roman"/>
                      <w:highlight w:val="none"/>
                      <w:lang w:val="en-US" w:eastAsia="zh-CN"/>
                    </w:rPr>
                    <w:t>②</w:t>
                  </w:r>
                  <w:r>
                    <w:rPr>
                      <w:rFonts w:hint="eastAsia" w:ascii="Times New Roman" w:hAnsi="Times New Roman" w:cs="Times New Roman"/>
                      <w:highlight w:val="none"/>
                    </w:rPr>
                    <w:t>危险废物标签应包含废物名称、废物类别、废物代码、废物形态、危险特性、主要成分、有害成分、注意事项、产生收集单位名称、联系人、联系方式、产生日期、废物重量和备注。</w:t>
                  </w:r>
                </w:p>
                <w:p w14:paraId="0185F5D8">
                  <w:pPr>
                    <w:pStyle w:val="46"/>
                    <w:snapToGrid w:val="0"/>
                    <w:jc w:val="both"/>
                    <w:rPr>
                      <w:rFonts w:ascii="Times New Roman" w:hAnsi="Times New Roman" w:cs="Times New Roman"/>
                      <w:highlight w:val="none"/>
                    </w:rPr>
                  </w:pPr>
                  <w:r>
                    <w:rPr>
                      <w:rFonts w:hint="eastAsia" w:ascii="Times New Roman" w:hAnsi="Times New Roman" w:cs="Times New Roman"/>
                      <w:highlight w:val="none"/>
                      <w:lang w:val="en-US" w:eastAsia="zh-CN"/>
                    </w:rPr>
                    <w:t>③</w:t>
                  </w:r>
                  <w:r>
                    <w:rPr>
                      <w:rFonts w:hint="eastAsia" w:ascii="Times New Roman" w:hAnsi="Times New Roman" w:cs="Times New Roman"/>
                      <w:highlight w:val="none"/>
                    </w:rPr>
                    <w:t>危险废物标签宜设置危险废物数字识别和二维码。</w:t>
                  </w:r>
                </w:p>
                <w:p w14:paraId="4A92AC19">
                  <w:pPr>
                    <w:pStyle w:val="46"/>
                    <w:snapToGrid w:val="0"/>
                    <w:jc w:val="both"/>
                    <w:rPr>
                      <w:rFonts w:ascii="Times New Roman" w:hAnsi="Times New Roman" w:cs="Times New Roman"/>
                      <w:highlight w:val="none"/>
                    </w:rPr>
                  </w:pP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2</w:t>
                  </w:r>
                  <w:r>
                    <w:rPr>
                      <w:rFonts w:hint="eastAsia" w:ascii="Times New Roman" w:hAnsi="Times New Roman" w:cs="Times New Roman"/>
                      <w:highlight w:val="none"/>
                      <w:lang w:eastAsia="zh-CN"/>
                    </w:rPr>
                    <w:t>）</w:t>
                  </w:r>
                  <w:r>
                    <w:rPr>
                      <w:rFonts w:ascii="Times New Roman" w:hAnsi="Times New Roman" w:cs="Times New Roman"/>
                      <w:highlight w:val="none"/>
                    </w:rPr>
                    <w:t>危险废物标签颜色</w:t>
                  </w:r>
                </w:p>
                <w:p w14:paraId="4E7F32EF">
                  <w:pPr>
                    <w:pStyle w:val="46"/>
                    <w:snapToGrid w:val="0"/>
                    <w:jc w:val="both"/>
                    <w:rPr>
                      <w:rFonts w:hint="eastAsia" w:ascii="Times New Roman" w:hAnsi="Times New Roman" w:eastAsia="宋体" w:cs="Times New Roman"/>
                      <w:highlight w:val="none"/>
                      <w:lang w:eastAsia="zh-CN"/>
                    </w:rPr>
                  </w:pPr>
                  <w:r>
                    <w:rPr>
                      <w:rFonts w:hint="eastAsia" w:ascii="Times New Roman" w:hAnsi="Times New Roman" w:cs="Times New Roman"/>
                      <w:highlight w:val="none"/>
                      <w:lang w:val="en-US" w:eastAsia="zh-CN"/>
                    </w:rPr>
                    <w:t>①</w:t>
                  </w:r>
                  <w:r>
                    <w:rPr>
                      <w:rFonts w:ascii="Times New Roman" w:hAnsi="Times New Roman" w:cs="Times New Roman"/>
                      <w:highlight w:val="none"/>
                    </w:rPr>
                    <w:t>底色：醒目的橘黄色</w:t>
                  </w:r>
                  <w:r>
                    <w:rPr>
                      <w:rFonts w:hint="eastAsia" w:ascii="Times New Roman" w:hAnsi="Times New Roman" w:cs="Times New Roman"/>
                      <w:highlight w:val="none"/>
                    </w:rPr>
                    <w:t>，RGB颜色值为（255，150，0）</w:t>
                  </w:r>
                  <w:r>
                    <w:rPr>
                      <w:rFonts w:hint="eastAsia" w:ascii="Times New Roman" w:hAnsi="Times New Roman" w:cs="Times New Roman"/>
                      <w:highlight w:val="none"/>
                      <w:lang w:eastAsia="zh-CN"/>
                    </w:rPr>
                    <w:t>。</w:t>
                  </w:r>
                </w:p>
                <w:p w14:paraId="261D8D29">
                  <w:pPr>
                    <w:pStyle w:val="46"/>
                    <w:snapToGrid w:val="0"/>
                    <w:jc w:val="both"/>
                    <w:rPr>
                      <w:rFonts w:hint="eastAsia" w:ascii="Times New Roman" w:hAnsi="Times New Roman" w:eastAsia="宋体" w:cs="Times New Roman"/>
                      <w:highlight w:val="none"/>
                      <w:lang w:eastAsia="zh-CN"/>
                    </w:rPr>
                  </w:pPr>
                  <w:r>
                    <w:rPr>
                      <w:rFonts w:hint="eastAsia" w:ascii="Times New Roman" w:hAnsi="Times New Roman" w:cs="Times New Roman"/>
                      <w:highlight w:val="none"/>
                      <w:lang w:val="en-US" w:eastAsia="zh-CN"/>
                    </w:rPr>
                    <w:t>②</w:t>
                  </w:r>
                  <w:r>
                    <w:rPr>
                      <w:rFonts w:hint="eastAsia" w:ascii="Times New Roman" w:hAnsi="Times New Roman" w:cs="Times New Roman"/>
                      <w:highlight w:val="none"/>
                    </w:rPr>
                    <w:t>边框和</w:t>
                  </w:r>
                  <w:r>
                    <w:rPr>
                      <w:rFonts w:ascii="Times New Roman" w:hAnsi="Times New Roman" w:cs="Times New Roman"/>
                      <w:highlight w:val="none"/>
                    </w:rPr>
                    <w:t>字体：黑体字</w:t>
                  </w:r>
                  <w:r>
                    <w:rPr>
                      <w:rFonts w:hint="eastAsia" w:ascii="Times New Roman" w:hAnsi="Times New Roman" w:cs="Times New Roman"/>
                      <w:highlight w:val="none"/>
                    </w:rPr>
                    <w:t>，RGB颜色值为（0，0，0）</w:t>
                  </w:r>
                  <w:r>
                    <w:rPr>
                      <w:rFonts w:hint="eastAsia" w:ascii="Times New Roman" w:hAnsi="Times New Roman" w:cs="Times New Roman"/>
                      <w:highlight w:val="none"/>
                      <w:lang w:eastAsia="zh-CN"/>
                    </w:rPr>
                    <w:t>。</w:t>
                  </w:r>
                </w:p>
                <w:p w14:paraId="4C045B29">
                  <w:pPr>
                    <w:pStyle w:val="46"/>
                    <w:snapToGrid w:val="0"/>
                    <w:jc w:val="both"/>
                    <w:rPr>
                      <w:rFonts w:ascii="Times New Roman" w:hAnsi="Times New Roman" w:cs="Times New Roman"/>
                      <w:sz w:val="21"/>
                      <w:szCs w:val="21"/>
                      <w:highlight w:val="none"/>
                    </w:rPr>
                  </w:pPr>
                  <w:r>
                    <w:rPr>
                      <w:rFonts w:hint="eastAsia"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val="en-US" w:eastAsia="zh-CN"/>
                    </w:rPr>
                    <w:t>3</w:t>
                  </w:r>
                  <w:r>
                    <w:rPr>
                      <w:rFonts w:hint="eastAsia" w:ascii="Times New Roman" w:hAnsi="Times New Roman" w:cs="Times New Roman"/>
                      <w:sz w:val="21"/>
                      <w:szCs w:val="21"/>
                      <w:highlight w:val="none"/>
                      <w:lang w:eastAsia="zh-CN"/>
                    </w:rPr>
                    <w:t>）</w:t>
                  </w:r>
                  <w:r>
                    <w:rPr>
                      <w:rFonts w:ascii="Times New Roman" w:hAnsi="Times New Roman" w:cs="Times New Roman"/>
                      <w:sz w:val="21"/>
                      <w:szCs w:val="21"/>
                      <w:highlight w:val="none"/>
                    </w:rPr>
                    <w:t>危险类别</w:t>
                  </w:r>
                </w:p>
                <w:p w14:paraId="3A46E1B9">
                  <w:pPr>
                    <w:pStyle w:val="46"/>
                    <w:snapToGrid w:val="0"/>
                    <w:jc w:val="both"/>
                    <w:rPr>
                      <w:rFonts w:hint="default" w:ascii="Times New Roman" w:hAnsi="Times New Roman" w:eastAsia="宋体" w:cs="Times New Roman"/>
                      <w:b/>
                      <w:bCs/>
                      <w:highlight w:val="none"/>
                      <w:lang w:val="en-US" w:eastAsia="zh-CN"/>
                    </w:rPr>
                  </w:pPr>
                  <w:r>
                    <w:rPr>
                      <w:rFonts w:hint="eastAsia" w:ascii="Times New Roman" w:hAnsi="Times New Roman" w:cs="Times New Roman"/>
                      <w:color w:val="000000"/>
                      <w:sz w:val="21"/>
                      <w:szCs w:val="21"/>
                      <w:highlight w:val="none"/>
                      <w:lang w:eastAsia="zh-CN"/>
                    </w:rPr>
                    <w:t>废沥青油</w:t>
                  </w:r>
                  <w:r>
                    <w:rPr>
                      <w:rFonts w:ascii="Times New Roman" w:hAnsi="Times New Roman" w:cs="Times New Roman"/>
                      <w:color w:val="000000"/>
                      <w:sz w:val="21"/>
                      <w:szCs w:val="21"/>
                      <w:highlight w:val="none"/>
                    </w:rPr>
                    <w:t>（HW08 900-2</w:t>
                  </w:r>
                  <w:r>
                    <w:rPr>
                      <w:rFonts w:hint="eastAsia" w:ascii="Times New Roman" w:hAnsi="Times New Roman" w:cs="Times New Roman"/>
                      <w:color w:val="000000"/>
                      <w:sz w:val="21"/>
                      <w:szCs w:val="21"/>
                      <w:highlight w:val="none"/>
                      <w:lang w:val="en-US" w:eastAsia="zh-CN"/>
                    </w:rPr>
                    <w:t>49</w:t>
                  </w:r>
                  <w:r>
                    <w:rPr>
                      <w:rFonts w:ascii="Times New Roman" w:hAnsi="Times New Roman" w:cs="Times New Roman"/>
                      <w:color w:val="000000"/>
                      <w:sz w:val="21"/>
                      <w:szCs w:val="21"/>
                      <w:highlight w:val="none"/>
                    </w:rPr>
                    <w:t>-08）</w:t>
                  </w:r>
                  <w:r>
                    <w:rPr>
                      <w:rFonts w:hint="eastAsia" w:ascii="Times New Roman" w:hAnsi="Times New Roman" w:cs="Times New Roman"/>
                      <w:color w:val="000000"/>
                      <w:sz w:val="21"/>
                      <w:szCs w:val="21"/>
                      <w:highlight w:val="none"/>
                      <w:lang w:eastAsia="zh-CN"/>
                    </w:rPr>
                    <w:t>、</w:t>
                  </w:r>
                  <w:r>
                    <w:rPr>
                      <w:rFonts w:hint="eastAsia" w:ascii="Times New Roman" w:hAnsi="Times New Roman" w:cs="Times New Roman"/>
                      <w:color w:val="000000"/>
                      <w:sz w:val="21"/>
                      <w:szCs w:val="21"/>
                      <w:highlight w:val="none"/>
                    </w:rPr>
                    <w:t>废</w:t>
                  </w:r>
                  <w:r>
                    <w:rPr>
                      <w:rFonts w:hint="eastAsia" w:ascii="Times New Roman" w:hAnsi="Times New Roman" w:cs="Times New Roman"/>
                      <w:color w:val="000000"/>
                      <w:sz w:val="21"/>
                      <w:szCs w:val="21"/>
                      <w:highlight w:val="none"/>
                      <w:lang w:val="en-US" w:eastAsia="zh-CN"/>
                    </w:rPr>
                    <w:t>活性炭</w:t>
                  </w:r>
                  <w:r>
                    <w:rPr>
                      <w:rFonts w:hint="eastAsia" w:ascii="Times New Roman" w:hAnsi="Times New Roman" w:cs="Times New Roman"/>
                      <w:color w:val="000000"/>
                      <w:sz w:val="21"/>
                      <w:szCs w:val="21"/>
                      <w:highlight w:val="none"/>
                    </w:rPr>
                    <w:t>（</w:t>
                  </w:r>
                  <w:r>
                    <w:rPr>
                      <w:rFonts w:ascii="Times New Roman" w:hAnsi="Times New Roman" w:cs="Times New Roman"/>
                      <w:color w:val="000000"/>
                      <w:sz w:val="21"/>
                      <w:szCs w:val="21"/>
                      <w:highlight w:val="none"/>
                    </w:rPr>
                    <w:t>HW</w:t>
                  </w:r>
                  <w:r>
                    <w:rPr>
                      <w:rFonts w:hint="eastAsia" w:ascii="Times New Roman" w:hAnsi="Times New Roman" w:cs="Times New Roman"/>
                      <w:color w:val="000000"/>
                      <w:sz w:val="21"/>
                      <w:szCs w:val="21"/>
                      <w:highlight w:val="none"/>
                      <w:lang w:val="en-US" w:eastAsia="zh-CN"/>
                    </w:rPr>
                    <w:t>49</w:t>
                  </w:r>
                  <w:r>
                    <w:rPr>
                      <w:rFonts w:hint="eastAsia" w:ascii="Times New Roman" w:hAnsi="Times New Roman" w:cs="Times New Roman"/>
                      <w:color w:val="000000"/>
                      <w:sz w:val="21"/>
                      <w:szCs w:val="21"/>
                      <w:highlight w:val="none"/>
                    </w:rPr>
                    <w:t xml:space="preserve"> </w:t>
                  </w:r>
                  <w:r>
                    <w:rPr>
                      <w:rFonts w:hint="default" w:ascii="Times New Roman" w:hAnsi="Times New Roman" w:eastAsia="宋体" w:cs="Times New Roman"/>
                      <w:b w:val="0"/>
                      <w:bCs w:val="0"/>
                      <w:snapToGrid w:val="0"/>
                      <w:color w:val="000000"/>
                      <w:kern w:val="0"/>
                      <w:sz w:val="21"/>
                      <w:szCs w:val="21"/>
                      <w:highlight w:val="none"/>
                      <w:lang w:val="en-US" w:eastAsia="zh-CN" w:bidi="ar-SA"/>
                    </w:rPr>
                    <w:t>900-0</w:t>
                  </w:r>
                  <w:r>
                    <w:rPr>
                      <w:rFonts w:hint="eastAsia" w:ascii="Times New Roman" w:hAnsi="Times New Roman" w:eastAsia="宋体" w:cs="Times New Roman"/>
                      <w:b w:val="0"/>
                      <w:bCs w:val="0"/>
                      <w:snapToGrid w:val="0"/>
                      <w:color w:val="000000"/>
                      <w:kern w:val="0"/>
                      <w:sz w:val="21"/>
                      <w:szCs w:val="21"/>
                      <w:highlight w:val="none"/>
                      <w:lang w:val="en-US" w:eastAsia="zh-CN" w:bidi="ar-SA"/>
                    </w:rPr>
                    <w:t>39</w:t>
                  </w:r>
                  <w:r>
                    <w:rPr>
                      <w:rFonts w:hint="default" w:ascii="Times New Roman" w:hAnsi="Times New Roman" w:eastAsia="宋体" w:cs="Times New Roman"/>
                      <w:b w:val="0"/>
                      <w:bCs w:val="0"/>
                      <w:snapToGrid w:val="0"/>
                      <w:color w:val="000000"/>
                      <w:kern w:val="0"/>
                      <w:sz w:val="21"/>
                      <w:szCs w:val="21"/>
                      <w:highlight w:val="none"/>
                      <w:lang w:val="en-US" w:eastAsia="zh-CN" w:bidi="ar-SA"/>
                    </w:rPr>
                    <w:t>-</w:t>
                  </w:r>
                  <w:r>
                    <w:rPr>
                      <w:rFonts w:hint="eastAsia" w:ascii="Times New Roman" w:hAnsi="Times New Roman" w:eastAsia="宋体" w:cs="Times New Roman"/>
                      <w:b w:val="0"/>
                      <w:bCs w:val="0"/>
                      <w:snapToGrid w:val="0"/>
                      <w:color w:val="000000"/>
                      <w:kern w:val="0"/>
                      <w:sz w:val="21"/>
                      <w:szCs w:val="21"/>
                      <w:highlight w:val="none"/>
                      <w:lang w:val="en-US" w:eastAsia="zh-CN" w:bidi="ar-SA"/>
                    </w:rPr>
                    <w:t>4</w:t>
                  </w:r>
                  <w:r>
                    <w:rPr>
                      <w:rFonts w:hint="default" w:ascii="Times New Roman" w:hAnsi="Times New Roman" w:eastAsia="宋体" w:cs="Times New Roman"/>
                      <w:b w:val="0"/>
                      <w:bCs w:val="0"/>
                      <w:snapToGrid w:val="0"/>
                      <w:color w:val="000000"/>
                      <w:kern w:val="0"/>
                      <w:sz w:val="21"/>
                      <w:szCs w:val="21"/>
                      <w:highlight w:val="none"/>
                      <w:lang w:val="en-US" w:eastAsia="zh-CN" w:bidi="ar-SA"/>
                    </w:rPr>
                    <w:t>9</w:t>
                  </w:r>
                  <w:r>
                    <w:rPr>
                      <w:rFonts w:hint="eastAsia" w:ascii="Times New Roman" w:hAnsi="Times New Roman" w:cs="Times New Roman"/>
                      <w:color w:val="000000"/>
                      <w:sz w:val="21"/>
                      <w:szCs w:val="21"/>
                      <w:highlight w:val="none"/>
                    </w:rPr>
                    <w:t>）</w:t>
                  </w:r>
                  <w:r>
                    <w:rPr>
                      <w:rFonts w:hint="eastAsia" w:ascii="Times New Roman" w:hAnsi="Times New Roman" w:cs="Times New Roman"/>
                      <w:color w:val="000000"/>
                      <w:sz w:val="21"/>
                      <w:szCs w:val="21"/>
                      <w:highlight w:val="none"/>
                      <w:lang w:eastAsia="zh-CN"/>
                    </w:rPr>
                    <w:t>、</w:t>
                  </w:r>
                  <w:r>
                    <w:rPr>
                      <w:rFonts w:hint="eastAsia" w:ascii="Times New Roman" w:hAnsi="Times New Roman" w:cs="Times New Roman"/>
                      <w:color w:val="000000"/>
                      <w:sz w:val="21"/>
                      <w:szCs w:val="21"/>
                      <w:highlight w:val="none"/>
                      <w:lang w:val="en-US" w:eastAsia="zh-CN"/>
                    </w:rPr>
                    <w:t xml:space="preserve">沉渣（HW06 900-409-06）、废润滑油（HW08 </w:t>
                  </w:r>
                  <w:r>
                    <w:rPr>
                      <w:rFonts w:hint="default" w:ascii="Times New Roman" w:hAnsi="Times New Roman" w:eastAsia="宋体" w:cs="Times New Roman"/>
                      <w:b w:val="0"/>
                      <w:bCs w:val="0"/>
                      <w:snapToGrid w:val="0"/>
                      <w:color w:val="000000"/>
                      <w:kern w:val="0"/>
                      <w:sz w:val="21"/>
                      <w:szCs w:val="21"/>
                      <w:lang w:val="en-US" w:eastAsia="zh-CN" w:bidi="ar-SA"/>
                    </w:rPr>
                    <w:t>900-214-08</w:t>
                  </w:r>
                  <w:r>
                    <w:rPr>
                      <w:rFonts w:hint="eastAsia" w:ascii="Times New Roman" w:hAnsi="Times New Roman" w:eastAsia="宋体" w:cs="Times New Roman"/>
                      <w:b w:val="0"/>
                      <w:bCs w:val="0"/>
                      <w:snapToGrid w:val="0"/>
                      <w:color w:val="000000"/>
                      <w:kern w:val="0"/>
                      <w:sz w:val="21"/>
                      <w:szCs w:val="21"/>
                      <w:lang w:val="en-US" w:eastAsia="zh-CN" w:bidi="ar-SA"/>
                    </w:rPr>
                    <w:t>）</w:t>
                  </w:r>
                  <w:r>
                    <w:rPr>
                      <w:rFonts w:hint="eastAsia" w:ascii="Times New Roman" w:hAnsi="Times New Roman" w:cs="Times New Roman"/>
                      <w:b w:val="0"/>
                      <w:bCs w:val="0"/>
                      <w:snapToGrid w:val="0"/>
                      <w:color w:val="000000"/>
                      <w:kern w:val="0"/>
                      <w:sz w:val="21"/>
                      <w:szCs w:val="21"/>
                      <w:lang w:val="en-US" w:eastAsia="zh-CN" w:bidi="ar-SA"/>
                    </w:rPr>
                    <w:t>、沥青沾染物</w:t>
                  </w:r>
                  <w:r>
                    <w:rPr>
                      <w:rFonts w:ascii="Times New Roman" w:hAnsi="Times New Roman" w:cs="Times New Roman"/>
                      <w:color w:val="000000"/>
                      <w:sz w:val="21"/>
                      <w:szCs w:val="21"/>
                      <w:highlight w:val="none"/>
                    </w:rPr>
                    <w:t>（HW08 900-2</w:t>
                  </w:r>
                  <w:r>
                    <w:rPr>
                      <w:rFonts w:hint="eastAsia" w:ascii="Times New Roman" w:hAnsi="Times New Roman" w:cs="Times New Roman"/>
                      <w:color w:val="000000"/>
                      <w:sz w:val="21"/>
                      <w:szCs w:val="21"/>
                      <w:highlight w:val="none"/>
                      <w:lang w:val="en-US" w:eastAsia="zh-CN"/>
                    </w:rPr>
                    <w:t>49</w:t>
                  </w:r>
                  <w:r>
                    <w:rPr>
                      <w:rFonts w:ascii="Times New Roman" w:hAnsi="Times New Roman" w:cs="Times New Roman"/>
                      <w:color w:val="000000"/>
                      <w:sz w:val="21"/>
                      <w:szCs w:val="21"/>
                      <w:highlight w:val="none"/>
                    </w:rPr>
                    <w:t>-08）</w:t>
                  </w:r>
                </w:p>
              </w:tc>
            </w:tr>
            <w:tr w14:paraId="6A753EB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13" w:type="dxa"/>
                  <w:bottom w:w="0" w:type="dxa"/>
                  <w:right w:w="0" w:type="dxa"/>
                </w:tblCellMar>
              </w:tblPrEx>
              <w:trPr>
                <w:trHeight w:val="2475" w:hRule="atLeast"/>
                <w:jc w:val="center"/>
              </w:trPr>
              <w:tc>
                <w:tcPr>
                  <w:tcW w:w="575" w:type="pct"/>
                  <w:tcBorders>
                    <w:tl2br w:val="nil"/>
                    <w:tr2bl w:val="nil"/>
                  </w:tcBorders>
                  <w:noWrap w:val="0"/>
                  <w:vAlign w:val="center"/>
                </w:tcPr>
                <w:p w14:paraId="102CAAE5">
                  <w:pPr>
                    <w:pStyle w:val="46"/>
                    <w:snapToGrid w:val="0"/>
                    <w:rPr>
                      <w:rFonts w:ascii="Times New Roman" w:hAnsi="Times New Roman" w:cs="Times New Roman"/>
                      <w:highlight w:val="none"/>
                    </w:rPr>
                  </w:pPr>
                  <w:r>
                    <w:rPr>
                      <w:rFonts w:hint="eastAsia" w:ascii="Times New Roman" w:hAnsi="Times New Roman" w:cs="Times New Roman"/>
                      <w:highlight w:val="none"/>
                    </w:rPr>
                    <w:t>危险废物分区标识</w:t>
                  </w:r>
                </w:p>
              </w:tc>
              <w:tc>
                <w:tcPr>
                  <w:tcW w:w="1755" w:type="pct"/>
                  <w:tcBorders>
                    <w:tl2br w:val="nil"/>
                    <w:tr2bl w:val="nil"/>
                  </w:tcBorders>
                  <w:noWrap w:val="0"/>
                  <w:vAlign w:val="center"/>
                </w:tcPr>
                <w:p w14:paraId="04FD6713">
                  <w:pPr>
                    <w:pStyle w:val="46"/>
                    <w:snapToGrid w:val="0"/>
                    <w:rPr>
                      <w:rFonts w:ascii="Times New Roman" w:hAnsi="Times New Roman" w:cs="Times New Roman"/>
                      <w:highlight w:val="none"/>
                    </w:rPr>
                  </w:pPr>
                  <w:r>
                    <w:rPr>
                      <w:highlight w:val="none"/>
                    </w:rPr>
                    <w:drawing>
                      <wp:anchor distT="0" distB="0" distL="114300" distR="114300" simplePos="0" relativeHeight="251670528" behindDoc="0" locked="0" layoutInCell="1" allowOverlap="1">
                        <wp:simplePos x="0" y="0"/>
                        <wp:positionH relativeFrom="column">
                          <wp:posOffset>257175</wp:posOffset>
                        </wp:positionH>
                        <wp:positionV relativeFrom="paragraph">
                          <wp:posOffset>65405</wp:posOffset>
                        </wp:positionV>
                        <wp:extent cx="1007110" cy="653415"/>
                        <wp:effectExtent l="0" t="0" r="13970" b="1905"/>
                        <wp:wrapNone/>
                        <wp:docPr id="185"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6"/>
                                <pic:cNvPicPr>
                                  <a:picLocks noChangeAspect="1"/>
                                </pic:cNvPicPr>
                              </pic:nvPicPr>
                              <pic:blipFill>
                                <a:blip r:embed="rId28"/>
                                <a:stretch>
                                  <a:fillRect/>
                                </a:stretch>
                              </pic:blipFill>
                              <pic:spPr>
                                <a:xfrm>
                                  <a:off x="0" y="0"/>
                                  <a:ext cx="1007110" cy="653415"/>
                                </a:xfrm>
                                <a:prstGeom prst="rect">
                                  <a:avLst/>
                                </a:prstGeom>
                                <a:noFill/>
                                <a:ln>
                                  <a:noFill/>
                                </a:ln>
                              </pic:spPr>
                            </pic:pic>
                          </a:graphicData>
                        </a:graphic>
                      </wp:anchor>
                    </w:drawing>
                  </w:r>
                </w:p>
                <w:p w14:paraId="0C55F00C">
                  <w:pPr>
                    <w:pStyle w:val="46"/>
                    <w:snapToGrid w:val="0"/>
                    <w:rPr>
                      <w:rFonts w:ascii="Times New Roman" w:hAnsi="Times New Roman" w:cs="Times New Roman"/>
                      <w:highlight w:val="none"/>
                    </w:rPr>
                  </w:pPr>
                </w:p>
                <w:p w14:paraId="732096E8">
                  <w:pPr>
                    <w:pStyle w:val="46"/>
                    <w:snapToGrid w:val="0"/>
                    <w:rPr>
                      <w:rFonts w:ascii="Times New Roman" w:hAnsi="Times New Roman" w:cs="Times New Roman"/>
                      <w:highlight w:val="none"/>
                    </w:rPr>
                  </w:pPr>
                </w:p>
                <w:p w14:paraId="33444F3C">
                  <w:pPr>
                    <w:pStyle w:val="46"/>
                    <w:snapToGrid w:val="0"/>
                    <w:rPr>
                      <w:rFonts w:ascii="Times New Roman" w:hAnsi="Times New Roman" w:cs="Times New Roman"/>
                      <w:highlight w:val="none"/>
                    </w:rPr>
                  </w:pPr>
                  <w:r>
                    <w:rPr>
                      <w:highlight w:val="none"/>
                    </w:rPr>
                    <w:drawing>
                      <wp:anchor distT="0" distB="0" distL="114300" distR="114300" simplePos="0" relativeHeight="251669504" behindDoc="0" locked="0" layoutInCell="1" allowOverlap="1">
                        <wp:simplePos x="0" y="0"/>
                        <wp:positionH relativeFrom="column">
                          <wp:posOffset>174625</wp:posOffset>
                        </wp:positionH>
                        <wp:positionV relativeFrom="paragraph">
                          <wp:posOffset>173355</wp:posOffset>
                        </wp:positionV>
                        <wp:extent cx="1163955" cy="753110"/>
                        <wp:effectExtent l="0" t="0" r="9525" b="8890"/>
                        <wp:wrapNone/>
                        <wp:docPr id="18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9"/>
                                <pic:cNvPicPr>
                                  <a:picLocks noChangeAspect="1"/>
                                </pic:cNvPicPr>
                              </pic:nvPicPr>
                              <pic:blipFill>
                                <a:blip r:embed="rId29"/>
                                <a:stretch>
                                  <a:fillRect/>
                                </a:stretch>
                              </pic:blipFill>
                              <pic:spPr>
                                <a:xfrm>
                                  <a:off x="0" y="0"/>
                                  <a:ext cx="1163955" cy="753110"/>
                                </a:xfrm>
                                <a:prstGeom prst="rect">
                                  <a:avLst/>
                                </a:prstGeom>
                                <a:noFill/>
                                <a:ln>
                                  <a:noFill/>
                                </a:ln>
                              </pic:spPr>
                            </pic:pic>
                          </a:graphicData>
                        </a:graphic>
                      </wp:anchor>
                    </w:drawing>
                  </w:r>
                </w:p>
                <w:p w14:paraId="6C6B21E1">
                  <w:pPr>
                    <w:pStyle w:val="46"/>
                    <w:snapToGrid w:val="0"/>
                    <w:rPr>
                      <w:rFonts w:ascii="Times New Roman" w:hAnsi="Times New Roman" w:cs="Times New Roman"/>
                      <w:highlight w:val="none"/>
                    </w:rPr>
                  </w:pPr>
                </w:p>
                <w:p w14:paraId="35FE8CB7">
                  <w:pPr>
                    <w:pStyle w:val="46"/>
                    <w:snapToGrid w:val="0"/>
                    <w:rPr>
                      <w:rFonts w:ascii="Times New Roman" w:hAnsi="Times New Roman" w:cs="Times New Roman"/>
                      <w:highlight w:val="none"/>
                    </w:rPr>
                  </w:pPr>
                </w:p>
                <w:p w14:paraId="3AB4A234">
                  <w:pPr>
                    <w:pStyle w:val="46"/>
                    <w:snapToGrid w:val="0"/>
                    <w:rPr>
                      <w:rFonts w:ascii="Times New Roman" w:hAnsi="Times New Roman" w:cs="Times New Roman"/>
                      <w:highlight w:val="none"/>
                    </w:rPr>
                  </w:pPr>
                </w:p>
                <w:p w14:paraId="24D9C22D">
                  <w:pPr>
                    <w:pStyle w:val="46"/>
                    <w:snapToGrid w:val="0"/>
                    <w:jc w:val="both"/>
                    <w:rPr>
                      <w:rFonts w:ascii="Times New Roman" w:hAnsi="Times New Roman" w:cs="Times New Roman"/>
                      <w:highlight w:val="none"/>
                    </w:rPr>
                  </w:pPr>
                </w:p>
              </w:tc>
              <w:tc>
                <w:tcPr>
                  <w:tcW w:w="2668" w:type="pct"/>
                  <w:tcBorders>
                    <w:tl2br w:val="nil"/>
                    <w:tr2bl w:val="nil"/>
                  </w:tcBorders>
                  <w:noWrap w:val="0"/>
                  <w:vAlign w:val="center"/>
                </w:tcPr>
                <w:p w14:paraId="1AC668B0">
                  <w:pPr>
                    <w:pStyle w:val="46"/>
                    <w:snapToGrid w:val="0"/>
                    <w:jc w:val="both"/>
                    <w:rPr>
                      <w:rFonts w:ascii="Times New Roman" w:hAnsi="Times New Roman" w:cs="Times New Roman"/>
                      <w:highlight w:val="none"/>
                    </w:rPr>
                  </w:pPr>
                  <w:r>
                    <w:rPr>
                      <w:rFonts w:ascii="Times New Roman" w:hAnsi="Times New Roman" w:cs="Times New Roman"/>
                      <w:highlight w:val="none"/>
                    </w:rPr>
                    <w:t>危险废物标签颜色</w:t>
                  </w:r>
                </w:p>
                <w:p w14:paraId="6A230C1A">
                  <w:pPr>
                    <w:pStyle w:val="46"/>
                    <w:snapToGrid w:val="0"/>
                    <w:jc w:val="both"/>
                    <w:rPr>
                      <w:rFonts w:hint="eastAsia" w:ascii="Times New Roman" w:hAnsi="Times New Roman" w:eastAsia="宋体" w:cs="Times New Roman"/>
                      <w:highlight w:val="none"/>
                      <w:lang w:eastAsia="zh-CN"/>
                    </w:rPr>
                  </w:pPr>
                  <w:r>
                    <w:rPr>
                      <w:rFonts w:hint="eastAsia" w:ascii="Times New Roman" w:hAnsi="Times New Roman" w:cs="Times New Roman"/>
                      <w:highlight w:val="none"/>
                      <w:lang w:val="en-US" w:eastAsia="zh-CN"/>
                    </w:rPr>
                    <w:t>①</w:t>
                  </w:r>
                  <w:r>
                    <w:rPr>
                      <w:rFonts w:ascii="Times New Roman" w:hAnsi="Times New Roman" w:cs="Times New Roman"/>
                      <w:highlight w:val="none"/>
                    </w:rPr>
                    <w:t>底色：醒目的黄色</w:t>
                  </w:r>
                  <w:r>
                    <w:rPr>
                      <w:rFonts w:hint="eastAsia" w:ascii="Times New Roman" w:hAnsi="Times New Roman" w:cs="Times New Roman"/>
                      <w:highlight w:val="none"/>
                    </w:rPr>
                    <w:t>，RGB颜色值为（255，255，0）</w:t>
                  </w:r>
                  <w:r>
                    <w:rPr>
                      <w:rFonts w:hint="eastAsia" w:ascii="Times New Roman" w:hAnsi="Times New Roman" w:cs="Times New Roman"/>
                      <w:highlight w:val="none"/>
                      <w:lang w:eastAsia="zh-CN"/>
                    </w:rPr>
                    <w:t>。</w:t>
                  </w:r>
                </w:p>
                <w:p w14:paraId="0AC6EAE1">
                  <w:pPr>
                    <w:pStyle w:val="46"/>
                    <w:snapToGrid w:val="0"/>
                    <w:jc w:val="both"/>
                    <w:rPr>
                      <w:rFonts w:ascii="Times New Roman" w:hAnsi="Times New Roman" w:cs="Times New Roman"/>
                      <w:highlight w:val="none"/>
                    </w:rPr>
                  </w:pPr>
                  <w:r>
                    <w:rPr>
                      <w:rFonts w:hint="eastAsia" w:ascii="Times New Roman" w:hAnsi="Times New Roman" w:cs="Times New Roman"/>
                      <w:highlight w:val="none"/>
                      <w:lang w:val="en-US" w:eastAsia="zh-CN"/>
                    </w:rPr>
                    <w:t>②</w:t>
                  </w:r>
                  <w:r>
                    <w:rPr>
                      <w:rFonts w:hint="eastAsia" w:ascii="Times New Roman" w:hAnsi="Times New Roman" w:cs="Times New Roman"/>
                      <w:highlight w:val="none"/>
                    </w:rPr>
                    <w:t>废物类信息</w:t>
                  </w:r>
                  <w:r>
                    <w:rPr>
                      <w:rFonts w:hint="eastAsia" w:ascii="Times New Roman" w:hAnsi="Times New Roman" w:cs="Times New Roman"/>
                      <w:highlight w:val="none"/>
                      <w:lang w:eastAsia="zh-CN"/>
                    </w:rPr>
                    <w:t>：</w:t>
                  </w:r>
                  <w:r>
                    <w:rPr>
                      <w:rFonts w:hint="eastAsia" w:ascii="Times New Roman" w:hAnsi="Times New Roman" w:cs="Times New Roman"/>
                      <w:highlight w:val="none"/>
                    </w:rPr>
                    <w:t>应采用醒目的橘黄色，RGB颜色值为（255，150，0）</w:t>
                  </w:r>
                </w:p>
                <w:p w14:paraId="5D9A9F6A">
                  <w:pPr>
                    <w:pStyle w:val="46"/>
                    <w:snapToGrid w:val="0"/>
                    <w:jc w:val="both"/>
                    <w:rPr>
                      <w:rFonts w:hint="eastAsia" w:ascii="Times New Roman" w:hAnsi="Times New Roman" w:eastAsia="宋体" w:cs="Times New Roman"/>
                      <w:highlight w:val="none"/>
                      <w:lang w:eastAsia="zh-CN"/>
                    </w:rPr>
                  </w:pPr>
                  <w:r>
                    <w:rPr>
                      <w:rFonts w:hint="eastAsia" w:ascii="Times New Roman" w:hAnsi="Times New Roman" w:cs="Times New Roman"/>
                      <w:highlight w:val="none"/>
                      <w:lang w:val="en-US" w:eastAsia="zh-CN"/>
                    </w:rPr>
                    <w:t>③</w:t>
                  </w:r>
                  <w:r>
                    <w:rPr>
                      <w:rFonts w:hint="eastAsia" w:ascii="Times New Roman" w:hAnsi="Times New Roman" w:cs="Times New Roman"/>
                      <w:highlight w:val="none"/>
                    </w:rPr>
                    <w:t>字体颜色：</w:t>
                  </w:r>
                  <w:r>
                    <w:rPr>
                      <w:rFonts w:ascii="Times New Roman" w:hAnsi="Times New Roman" w:cs="Times New Roman"/>
                      <w:highlight w:val="none"/>
                    </w:rPr>
                    <w:t>黑体</w:t>
                  </w:r>
                  <w:r>
                    <w:rPr>
                      <w:rFonts w:hint="eastAsia" w:ascii="Times New Roman" w:hAnsi="Times New Roman" w:cs="Times New Roman"/>
                      <w:highlight w:val="none"/>
                    </w:rPr>
                    <w:t>，RGB颜色值为（0，0，0）</w:t>
                  </w:r>
                  <w:r>
                    <w:rPr>
                      <w:rFonts w:hint="eastAsia" w:ascii="Times New Roman" w:hAnsi="Times New Roman" w:cs="Times New Roman"/>
                      <w:highlight w:val="none"/>
                      <w:lang w:eastAsia="zh-CN"/>
                    </w:rPr>
                    <w:t>。</w:t>
                  </w:r>
                </w:p>
              </w:tc>
            </w:tr>
          </w:tbl>
          <w:p w14:paraId="495C5BFB">
            <w:pPr>
              <w:pStyle w:val="45"/>
              <w:snapToGrid w:val="0"/>
              <w:spacing w:line="360" w:lineRule="auto"/>
              <w:ind w:firstLine="480"/>
              <w:rPr>
                <w:rFonts w:hint="eastAsia" w:ascii="Times New Roman" w:hAnsi="Times New Roman"/>
                <w:kern w:val="2"/>
                <w:highlight w:val="none"/>
              </w:rPr>
            </w:pPr>
          </w:p>
          <w:p w14:paraId="36BE582D">
            <w:pPr>
              <w:pStyle w:val="45"/>
              <w:snapToGrid w:val="0"/>
              <w:spacing w:line="360" w:lineRule="auto"/>
              <w:ind w:firstLine="480"/>
              <w:rPr>
                <w:rFonts w:hint="eastAsia" w:ascii="Times New Roman" w:hAnsi="Times New Roman"/>
                <w:kern w:val="2"/>
                <w:highlight w:val="none"/>
              </w:rPr>
            </w:pPr>
          </w:p>
          <w:p w14:paraId="735D5BDE">
            <w:pPr>
              <w:pStyle w:val="45"/>
              <w:snapToGrid w:val="0"/>
              <w:spacing w:line="360" w:lineRule="auto"/>
              <w:ind w:firstLine="480"/>
              <w:rPr>
                <w:rFonts w:hint="eastAsia" w:ascii="Times New Roman" w:hAnsi="Times New Roman"/>
                <w:kern w:val="2"/>
                <w:highlight w:val="none"/>
              </w:rPr>
            </w:pPr>
          </w:p>
          <w:p w14:paraId="06A8F755">
            <w:pPr>
              <w:pStyle w:val="45"/>
              <w:snapToGrid w:val="0"/>
              <w:spacing w:line="360" w:lineRule="auto"/>
              <w:ind w:firstLine="480"/>
              <w:rPr>
                <w:rFonts w:hint="eastAsia" w:ascii="Times New Roman" w:hAnsi="Times New Roman"/>
                <w:kern w:val="2"/>
                <w:highlight w:val="none"/>
              </w:rPr>
            </w:pPr>
          </w:p>
          <w:p w14:paraId="0B4A0815">
            <w:pPr>
              <w:pStyle w:val="45"/>
              <w:snapToGrid w:val="0"/>
              <w:spacing w:line="360" w:lineRule="auto"/>
              <w:ind w:firstLine="480"/>
              <w:rPr>
                <w:rFonts w:hint="eastAsia" w:ascii="Times New Roman" w:hAnsi="Times New Roman"/>
                <w:kern w:val="2"/>
                <w:highlight w:val="none"/>
              </w:rPr>
            </w:pPr>
          </w:p>
          <w:p w14:paraId="44A615DB">
            <w:pPr>
              <w:pStyle w:val="45"/>
              <w:snapToGrid w:val="0"/>
              <w:spacing w:line="360" w:lineRule="auto"/>
              <w:ind w:firstLine="480"/>
              <w:rPr>
                <w:rFonts w:hint="eastAsia" w:ascii="Times New Roman" w:hAnsi="Times New Roman"/>
                <w:kern w:val="2"/>
                <w:highlight w:val="none"/>
              </w:rPr>
            </w:pPr>
          </w:p>
          <w:p w14:paraId="0FEDAE59">
            <w:pPr>
              <w:pStyle w:val="45"/>
              <w:snapToGrid w:val="0"/>
              <w:spacing w:line="360" w:lineRule="auto"/>
              <w:ind w:firstLine="480"/>
              <w:rPr>
                <w:rFonts w:hint="eastAsia" w:ascii="Times New Roman" w:hAnsi="Times New Roman"/>
                <w:kern w:val="2"/>
                <w:highlight w:val="none"/>
              </w:rPr>
            </w:pPr>
          </w:p>
          <w:p w14:paraId="13A46DBC">
            <w:pPr>
              <w:pStyle w:val="45"/>
              <w:snapToGrid w:val="0"/>
              <w:spacing w:line="360" w:lineRule="auto"/>
              <w:ind w:firstLine="480"/>
              <w:rPr>
                <w:rFonts w:hint="eastAsia" w:ascii="Times New Roman" w:hAnsi="Times New Roman"/>
                <w:kern w:val="2"/>
                <w:highlight w:val="none"/>
              </w:rPr>
            </w:pPr>
          </w:p>
          <w:p w14:paraId="60CBD2FC">
            <w:pPr>
              <w:pStyle w:val="45"/>
              <w:snapToGrid w:val="0"/>
              <w:spacing w:line="360" w:lineRule="auto"/>
              <w:ind w:firstLine="480"/>
              <w:rPr>
                <w:rFonts w:hint="eastAsia" w:ascii="Times New Roman" w:hAnsi="Times New Roman"/>
                <w:kern w:val="2"/>
                <w:highlight w:val="none"/>
              </w:rPr>
            </w:pPr>
          </w:p>
          <w:p w14:paraId="7730695D">
            <w:pPr>
              <w:pStyle w:val="45"/>
              <w:snapToGrid w:val="0"/>
              <w:spacing w:line="360" w:lineRule="auto"/>
              <w:ind w:firstLine="480"/>
              <w:rPr>
                <w:rFonts w:hint="eastAsia" w:ascii="Times New Roman" w:hAnsi="Times New Roman"/>
                <w:kern w:val="2"/>
                <w:highlight w:val="none"/>
              </w:rPr>
            </w:pPr>
          </w:p>
          <w:p w14:paraId="2B4CB2C4">
            <w:pPr>
              <w:pStyle w:val="45"/>
              <w:snapToGrid w:val="0"/>
              <w:spacing w:line="360" w:lineRule="auto"/>
              <w:ind w:firstLine="480"/>
              <w:rPr>
                <w:rFonts w:hint="eastAsia" w:ascii="Times New Roman" w:hAnsi="Times New Roman"/>
                <w:kern w:val="2"/>
                <w:highlight w:val="none"/>
              </w:rPr>
            </w:pPr>
          </w:p>
          <w:p w14:paraId="2E9B5209">
            <w:pPr>
              <w:pStyle w:val="45"/>
              <w:snapToGrid w:val="0"/>
              <w:spacing w:line="360" w:lineRule="auto"/>
              <w:ind w:firstLine="480"/>
              <w:rPr>
                <w:rFonts w:hint="eastAsia" w:ascii="Times New Roman" w:hAnsi="Times New Roman"/>
                <w:kern w:val="2"/>
                <w:highlight w:val="none"/>
              </w:rPr>
            </w:pPr>
          </w:p>
          <w:p w14:paraId="79DAEFD4">
            <w:pPr>
              <w:pStyle w:val="45"/>
              <w:snapToGrid w:val="0"/>
              <w:spacing w:line="360" w:lineRule="auto"/>
              <w:ind w:firstLine="480"/>
              <w:rPr>
                <w:rFonts w:hint="eastAsia" w:ascii="Times New Roman" w:hAnsi="Times New Roman"/>
                <w:kern w:val="2"/>
                <w:highlight w:val="none"/>
              </w:rPr>
            </w:pPr>
          </w:p>
          <w:p w14:paraId="583DA431">
            <w:pPr>
              <w:pStyle w:val="45"/>
              <w:snapToGrid w:val="0"/>
              <w:spacing w:line="360" w:lineRule="auto"/>
              <w:ind w:firstLine="480"/>
              <w:rPr>
                <w:rFonts w:hint="eastAsia" w:ascii="Times New Roman" w:hAnsi="Times New Roman"/>
                <w:kern w:val="2"/>
                <w:highlight w:val="none"/>
              </w:rPr>
            </w:pPr>
          </w:p>
          <w:p w14:paraId="22E5F9AE">
            <w:pPr>
              <w:pStyle w:val="45"/>
              <w:snapToGrid w:val="0"/>
              <w:spacing w:line="360" w:lineRule="auto"/>
              <w:ind w:firstLine="480"/>
              <w:rPr>
                <w:rFonts w:hint="eastAsia" w:ascii="Times New Roman" w:hAnsi="Times New Roman"/>
                <w:kern w:val="2"/>
                <w:highlight w:val="none"/>
              </w:rPr>
            </w:pPr>
          </w:p>
          <w:p w14:paraId="3CE85519">
            <w:pPr>
              <w:pStyle w:val="45"/>
              <w:snapToGrid w:val="0"/>
              <w:spacing w:line="360" w:lineRule="auto"/>
              <w:ind w:firstLine="480"/>
              <w:rPr>
                <w:rFonts w:hint="eastAsia" w:ascii="Times New Roman" w:hAnsi="Times New Roman"/>
                <w:kern w:val="2"/>
                <w:highlight w:val="none"/>
              </w:rPr>
            </w:pPr>
          </w:p>
          <w:p w14:paraId="1353E6BE">
            <w:pPr>
              <w:pStyle w:val="45"/>
              <w:snapToGrid w:val="0"/>
              <w:spacing w:line="360" w:lineRule="auto"/>
              <w:ind w:firstLine="480"/>
              <w:rPr>
                <w:rFonts w:hint="eastAsia" w:ascii="Times New Roman" w:hAnsi="Times New Roman"/>
                <w:kern w:val="2"/>
                <w:highlight w:val="none"/>
              </w:rPr>
            </w:pPr>
          </w:p>
          <w:p w14:paraId="1F8299CE">
            <w:pPr>
              <w:pStyle w:val="45"/>
              <w:snapToGrid w:val="0"/>
              <w:spacing w:line="360" w:lineRule="auto"/>
              <w:ind w:firstLine="480"/>
              <w:rPr>
                <w:rFonts w:hint="eastAsia" w:ascii="Times New Roman" w:hAnsi="Times New Roman"/>
                <w:kern w:val="2"/>
                <w:highlight w:val="none"/>
              </w:rPr>
            </w:pPr>
          </w:p>
          <w:p w14:paraId="14813770">
            <w:pPr>
              <w:pStyle w:val="45"/>
              <w:snapToGrid w:val="0"/>
              <w:spacing w:line="360" w:lineRule="auto"/>
              <w:ind w:firstLine="480"/>
              <w:rPr>
                <w:rFonts w:hint="eastAsia" w:ascii="Times New Roman" w:hAnsi="Times New Roman"/>
                <w:kern w:val="2"/>
                <w:highlight w:val="none"/>
              </w:rPr>
            </w:pPr>
          </w:p>
          <w:p w14:paraId="5C1DBC2E">
            <w:pPr>
              <w:pStyle w:val="45"/>
              <w:snapToGrid w:val="0"/>
              <w:spacing w:line="360" w:lineRule="auto"/>
              <w:ind w:firstLine="480"/>
              <w:rPr>
                <w:rFonts w:hint="eastAsia" w:ascii="Times New Roman" w:hAnsi="Times New Roman"/>
                <w:kern w:val="2"/>
                <w:highlight w:val="none"/>
              </w:rPr>
            </w:pPr>
          </w:p>
          <w:p w14:paraId="2E0316D1">
            <w:pPr>
              <w:adjustRightInd w:val="0"/>
              <w:snapToGrid w:val="0"/>
              <w:jc w:val="both"/>
              <w:rPr>
                <w:rFonts w:hint="default" w:ascii="Times New Roman" w:hAnsi="Times New Roman" w:eastAsia="宋体" w:cs="Times New Roman"/>
                <w:szCs w:val="21"/>
                <w:highlight w:val="none"/>
                <w:lang w:val="en-US" w:eastAsia="zh-CN"/>
              </w:rPr>
            </w:pPr>
          </w:p>
        </w:tc>
      </w:tr>
    </w:tbl>
    <w:p w14:paraId="59F90528">
      <w:pPr>
        <w:pStyle w:val="18"/>
        <w:jc w:val="center"/>
        <w:outlineLvl w:val="0"/>
        <w:rPr>
          <w:rFonts w:ascii="黑体" w:hAnsi="黑体" w:eastAsia="黑体"/>
          <w:snapToGrid w:val="0"/>
          <w:sz w:val="30"/>
          <w:szCs w:val="30"/>
          <w:highlight w:val="none"/>
        </w:rPr>
      </w:pPr>
      <w:r>
        <w:rPr>
          <w:snapToGrid w:val="0"/>
          <w:highlight w:val="none"/>
        </w:rPr>
        <w:br w:type="page"/>
      </w:r>
      <w:r>
        <w:rPr>
          <w:rFonts w:hint="eastAsia" w:ascii="黑体" w:hAnsi="黑体" w:eastAsia="黑体"/>
          <w:snapToGrid w:val="0"/>
          <w:sz w:val="30"/>
          <w:szCs w:val="30"/>
          <w:highlight w:val="none"/>
        </w:rPr>
        <w:t>六、结论</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675FFC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02E5D6FE">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both"/>
              <w:textAlignment w:val="auto"/>
              <w:rPr>
                <w:rFonts w:ascii="宋体" w:cs="宋体"/>
                <w:sz w:val="24"/>
                <w:highlight w:val="none"/>
              </w:rPr>
            </w:pPr>
            <w:r>
              <w:rPr>
                <w:rFonts w:hint="eastAsia"/>
                <w:sz w:val="24"/>
                <w:szCs w:val="32"/>
                <w:highlight w:val="none"/>
              </w:rPr>
              <w:t>本项目符合当前国家产业政策的要求，项目在采取环保治理措施及污染控制措施后，可实现各类污染物的稳定达标排放，不会对周围环境产生明显影响。因此，本评价从环保角度认为，本项目的建设是可行的。</w:t>
            </w:r>
          </w:p>
        </w:tc>
      </w:tr>
    </w:tbl>
    <w:p w14:paraId="243C0D90">
      <w:pPr>
        <w:rPr>
          <w:rFonts w:ascii="宋体"/>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1B817FE8">
      <w:pPr>
        <w:pStyle w:val="18"/>
        <w:adjustRightInd w:val="0"/>
        <w:snapToGrid w:val="0"/>
        <w:spacing w:before="0" w:beforeAutospacing="0" w:after="0" w:afterAutospacing="0" w:line="360" w:lineRule="auto"/>
        <w:outlineLvl w:val="0"/>
        <w:rPr>
          <w:rFonts w:ascii="黑体" w:hAnsi="黑体" w:eastAsia="黑体"/>
          <w:snapToGrid w:val="0"/>
          <w:sz w:val="32"/>
          <w:szCs w:val="32"/>
          <w:highlight w:val="none"/>
        </w:rPr>
      </w:pPr>
      <w:r>
        <w:rPr>
          <w:rFonts w:hint="eastAsia" w:ascii="黑体" w:hAnsi="黑体" w:eastAsia="黑体"/>
          <w:snapToGrid w:val="0"/>
          <w:sz w:val="32"/>
          <w:szCs w:val="32"/>
          <w:highlight w:val="none"/>
        </w:rPr>
        <w:t>附表</w:t>
      </w:r>
    </w:p>
    <w:p w14:paraId="3C498B18">
      <w:pPr>
        <w:pStyle w:val="18"/>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outlineLvl w:val="0"/>
        <w:rPr>
          <w:rFonts w:hint="eastAsia" w:ascii="方正小标宋_GBK" w:hAnsi="黑体" w:eastAsia="方正小标宋_GBK"/>
          <w:snapToGrid w:val="0"/>
          <w:sz w:val="38"/>
          <w:szCs w:val="38"/>
          <w:highlight w:val="none"/>
        </w:rPr>
      </w:pPr>
      <w:r>
        <w:rPr>
          <w:rFonts w:hint="eastAsia" w:ascii="方正小标宋_GBK" w:hAnsi="黑体" w:eastAsia="方正小标宋_GBK"/>
          <w:snapToGrid w:val="0"/>
          <w:sz w:val="38"/>
          <w:szCs w:val="38"/>
          <w:highlight w:val="none"/>
        </w:rPr>
        <w:t>建设项目污染物排放量汇总表</w:t>
      </w:r>
    </w:p>
    <w:tbl>
      <w:tblPr>
        <w:tblStyle w:val="19"/>
        <w:tblW w:w="137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398"/>
        <w:gridCol w:w="1811"/>
        <w:gridCol w:w="1337"/>
      </w:tblGrid>
      <w:tr w14:paraId="0E531F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tcBorders>
              <w:tl2br w:val="single" w:color="auto" w:sz="4" w:space="0"/>
            </w:tcBorders>
            <w:noWrap w:val="0"/>
            <w:tcMar>
              <w:left w:w="28" w:type="dxa"/>
              <w:right w:w="28" w:type="dxa"/>
            </w:tcMar>
            <w:vAlign w:val="center"/>
          </w:tcPr>
          <w:p w14:paraId="72E83523">
            <w:pPr>
              <w:pStyle w:val="26"/>
              <w:spacing w:beforeLines="0" w:afterLines="0" w:line="240" w:lineRule="auto"/>
              <w:jc w:val="center"/>
              <w:rPr>
                <w:rFonts w:hint="default" w:ascii="Times New Roman" w:hAnsi="Times New Roman" w:eastAsia="黑体" w:cs="Times New Roman"/>
                <w:snapToGrid w:val="0"/>
                <w:color w:val="000000"/>
                <w:spacing w:val="-6"/>
                <w:kern w:val="21"/>
                <w:szCs w:val="21"/>
                <w:highlight w:val="none"/>
              </w:rPr>
            </w:pPr>
            <w:r>
              <w:rPr>
                <w:rFonts w:hint="eastAsia" w:ascii="Times New Roman" w:hAnsi="Times New Roman" w:eastAsia="黑体" w:cs="Times New Roman"/>
                <w:snapToGrid w:val="0"/>
                <w:color w:val="000000"/>
                <w:spacing w:val="-6"/>
                <w:kern w:val="21"/>
                <w:szCs w:val="21"/>
                <w:highlight w:val="none"/>
                <w:lang w:val="en-US" w:eastAsia="zh-CN"/>
              </w:rPr>
              <w:t xml:space="preserve">   </w:t>
            </w:r>
            <w:r>
              <w:rPr>
                <w:rFonts w:hint="default" w:ascii="Times New Roman" w:hAnsi="Times New Roman" w:eastAsia="黑体" w:cs="Times New Roman"/>
                <w:snapToGrid w:val="0"/>
                <w:color w:val="000000"/>
                <w:spacing w:val="-6"/>
                <w:kern w:val="21"/>
                <w:szCs w:val="21"/>
                <w:highlight w:val="none"/>
              </w:rPr>
              <w:t>项目</w:t>
            </w:r>
          </w:p>
          <w:p w14:paraId="5A758850">
            <w:pPr>
              <w:pStyle w:val="26"/>
              <w:spacing w:beforeLines="0" w:afterLines="0" w:line="240" w:lineRule="auto"/>
              <w:ind w:left="0" w:leftChars="0" w:firstLine="228" w:firstLineChars="100"/>
              <w:jc w:val="both"/>
              <w:rPr>
                <w:rFonts w:hint="default" w:ascii="Times New Roman" w:hAnsi="Times New Roman" w:eastAsia="黑体" w:cs="Times New Roman"/>
                <w:snapToGrid w:val="0"/>
                <w:color w:val="000000"/>
                <w:spacing w:val="-6"/>
                <w:kern w:val="21"/>
                <w:szCs w:val="21"/>
                <w:highlight w:val="none"/>
              </w:rPr>
            </w:pPr>
            <w:r>
              <w:rPr>
                <w:rFonts w:hint="default" w:ascii="Times New Roman" w:hAnsi="Times New Roman" w:eastAsia="黑体" w:cs="Times New Roman"/>
                <w:snapToGrid w:val="0"/>
                <w:color w:val="000000"/>
                <w:spacing w:val="-6"/>
                <w:kern w:val="21"/>
                <w:szCs w:val="21"/>
                <w:highlight w:val="none"/>
              </w:rPr>
              <w:t>分类</w:t>
            </w:r>
          </w:p>
        </w:tc>
        <w:tc>
          <w:tcPr>
            <w:tcW w:w="1417" w:type="dxa"/>
            <w:noWrap w:val="0"/>
            <w:tcMar>
              <w:left w:w="28" w:type="dxa"/>
              <w:right w:w="28" w:type="dxa"/>
            </w:tcMar>
            <w:vAlign w:val="center"/>
          </w:tcPr>
          <w:p w14:paraId="3AFA75E9">
            <w:pPr>
              <w:pStyle w:val="26"/>
              <w:spacing w:beforeLines="0" w:afterLines="0" w:line="240" w:lineRule="auto"/>
              <w:ind w:left="0" w:leftChars="0" w:firstLine="0" w:firstLineChars="0"/>
              <w:jc w:val="center"/>
              <w:rPr>
                <w:rFonts w:hint="default" w:ascii="Times New Roman" w:hAnsi="Times New Roman" w:eastAsia="黑体" w:cs="Times New Roman"/>
                <w:snapToGrid w:val="0"/>
                <w:color w:val="000000"/>
                <w:spacing w:val="-6"/>
                <w:kern w:val="21"/>
                <w:szCs w:val="21"/>
                <w:highlight w:val="none"/>
              </w:rPr>
            </w:pPr>
            <w:r>
              <w:rPr>
                <w:rFonts w:hint="default" w:ascii="Times New Roman" w:hAnsi="Times New Roman" w:eastAsia="黑体" w:cs="Times New Roman"/>
                <w:snapToGrid w:val="0"/>
                <w:color w:val="000000"/>
                <w:spacing w:val="-6"/>
                <w:kern w:val="21"/>
                <w:szCs w:val="21"/>
                <w:highlight w:val="none"/>
              </w:rPr>
              <w:t>污染物名称</w:t>
            </w:r>
          </w:p>
        </w:tc>
        <w:tc>
          <w:tcPr>
            <w:tcW w:w="1701" w:type="dxa"/>
            <w:noWrap w:val="0"/>
            <w:tcMar>
              <w:left w:w="28" w:type="dxa"/>
              <w:right w:w="28" w:type="dxa"/>
            </w:tcMar>
            <w:vAlign w:val="center"/>
          </w:tcPr>
          <w:p w14:paraId="26B914CE">
            <w:pPr>
              <w:pStyle w:val="26"/>
              <w:spacing w:beforeLines="0" w:afterLines="0" w:line="240" w:lineRule="auto"/>
              <w:ind w:left="0" w:leftChars="0" w:firstLine="0" w:firstLineChars="0"/>
              <w:jc w:val="center"/>
              <w:rPr>
                <w:rFonts w:hint="default" w:ascii="Times New Roman" w:hAnsi="Times New Roman" w:eastAsia="黑体" w:cs="Times New Roman"/>
                <w:snapToGrid w:val="0"/>
                <w:color w:val="000000"/>
                <w:spacing w:val="-6"/>
                <w:kern w:val="21"/>
                <w:szCs w:val="21"/>
                <w:highlight w:val="none"/>
              </w:rPr>
            </w:pPr>
            <w:r>
              <w:rPr>
                <w:rFonts w:hint="default" w:ascii="Times New Roman" w:hAnsi="Times New Roman" w:eastAsia="黑体" w:cs="Times New Roman"/>
                <w:snapToGrid w:val="0"/>
                <w:color w:val="000000"/>
                <w:spacing w:val="-6"/>
                <w:kern w:val="21"/>
                <w:szCs w:val="21"/>
                <w:highlight w:val="none"/>
              </w:rPr>
              <w:t>现有工程排放量（固体废物产生量）</w:t>
            </w:r>
            <w:r>
              <w:rPr>
                <w:rFonts w:hint="default" w:ascii="Times New Roman" w:hAnsi="Times New Roman" w:eastAsia="黑体" w:cs="Times New Roman"/>
                <w:snapToGrid w:val="0"/>
                <w:color w:val="000000"/>
                <w:spacing w:val="-6"/>
                <w:kern w:val="21"/>
                <w:szCs w:val="21"/>
                <w:highlight w:val="none"/>
              </w:rPr>
              <w:fldChar w:fldCharType="begin"/>
            </w:r>
            <w:r>
              <w:rPr>
                <w:rFonts w:hint="default" w:ascii="Times New Roman" w:hAnsi="Times New Roman" w:eastAsia="黑体" w:cs="Times New Roman"/>
                <w:snapToGrid w:val="0"/>
                <w:color w:val="000000"/>
                <w:spacing w:val="-6"/>
                <w:kern w:val="21"/>
                <w:szCs w:val="21"/>
                <w:highlight w:val="none"/>
              </w:rPr>
              <w:instrText xml:space="preserve"> = 1 \* GB3 \* MERGEFORMAT </w:instrText>
            </w:r>
            <w:r>
              <w:rPr>
                <w:rFonts w:hint="default" w:ascii="Times New Roman" w:hAnsi="Times New Roman" w:eastAsia="黑体" w:cs="Times New Roman"/>
                <w:snapToGrid w:val="0"/>
                <w:color w:val="000000"/>
                <w:spacing w:val="-6"/>
                <w:kern w:val="21"/>
                <w:szCs w:val="21"/>
                <w:highlight w:val="none"/>
              </w:rPr>
              <w:fldChar w:fldCharType="separate"/>
            </w:r>
            <w:r>
              <w:rPr>
                <w:rFonts w:hint="default" w:ascii="Times New Roman" w:hAnsi="Times New Roman" w:eastAsia="黑体" w:cs="Times New Roman"/>
                <w:kern w:val="2"/>
                <w:szCs w:val="21"/>
                <w:highlight w:val="none"/>
              </w:rPr>
              <w:t>①</w:t>
            </w:r>
            <w:r>
              <w:rPr>
                <w:rFonts w:hint="default" w:ascii="Times New Roman" w:hAnsi="Times New Roman" w:eastAsia="黑体" w:cs="Times New Roman"/>
                <w:snapToGrid w:val="0"/>
                <w:color w:val="000000"/>
                <w:spacing w:val="-6"/>
                <w:kern w:val="21"/>
                <w:szCs w:val="21"/>
                <w:highlight w:val="none"/>
              </w:rPr>
              <w:fldChar w:fldCharType="end"/>
            </w:r>
          </w:p>
        </w:tc>
        <w:tc>
          <w:tcPr>
            <w:tcW w:w="1276" w:type="dxa"/>
            <w:noWrap w:val="0"/>
            <w:tcMar>
              <w:left w:w="28" w:type="dxa"/>
              <w:right w:w="28" w:type="dxa"/>
            </w:tcMar>
            <w:vAlign w:val="center"/>
          </w:tcPr>
          <w:p w14:paraId="193D7687">
            <w:pPr>
              <w:pStyle w:val="26"/>
              <w:spacing w:beforeLines="0" w:afterLines="0" w:line="240" w:lineRule="auto"/>
              <w:ind w:left="0" w:leftChars="0" w:firstLine="0" w:firstLineChars="0"/>
              <w:jc w:val="center"/>
              <w:rPr>
                <w:rFonts w:hint="default" w:ascii="Times New Roman" w:hAnsi="Times New Roman" w:eastAsia="黑体" w:cs="Times New Roman"/>
                <w:snapToGrid w:val="0"/>
                <w:color w:val="000000"/>
                <w:spacing w:val="-6"/>
                <w:kern w:val="21"/>
                <w:szCs w:val="21"/>
                <w:highlight w:val="none"/>
              </w:rPr>
            </w:pPr>
            <w:r>
              <w:rPr>
                <w:rFonts w:hint="default" w:ascii="Times New Roman" w:hAnsi="Times New Roman" w:eastAsia="黑体" w:cs="Times New Roman"/>
                <w:snapToGrid w:val="0"/>
                <w:color w:val="000000"/>
                <w:spacing w:val="-6"/>
                <w:kern w:val="21"/>
                <w:szCs w:val="21"/>
                <w:highlight w:val="none"/>
              </w:rPr>
              <w:t>现有工程许可排放量</w:t>
            </w:r>
            <w:r>
              <w:rPr>
                <w:rFonts w:hint="default" w:ascii="Times New Roman" w:hAnsi="Times New Roman" w:eastAsia="黑体" w:cs="Times New Roman"/>
                <w:snapToGrid w:val="0"/>
                <w:color w:val="000000"/>
                <w:spacing w:val="-6"/>
                <w:kern w:val="21"/>
                <w:szCs w:val="21"/>
                <w:highlight w:val="none"/>
              </w:rPr>
              <w:fldChar w:fldCharType="begin"/>
            </w:r>
            <w:r>
              <w:rPr>
                <w:rFonts w:hint="default" w:ascii="Times New Roman" w:hAnsi="Times New Roman" w:eastAsia="黑体" w:cs="Times New Roman"/>
                <w:snapToGrid w:val="0"/>
                <w:color w:val="000000"/>
                <w:spacing w:val="-6"/>
                <w:kern w:val="21"/>
                <w:szCs w:val="21"/>
                <w:highlight w:val="none"/>
              </w:rPr>
              <w:instrText xml:space="preserve"> = 2 \* GB3 \* MERGEFORMAT </w:instrText>
            </w:r>
            <w:r>
              <w:rPr>
                <w:rFonts w:hint="default" w:ascii="Times New Roman" w:hAnsi="Times New Roman" w:eastAsia="黑体" w:cs="Times New Roman"/>
                <w:snapToGrid w:val="0"/>
                <w:color w:val="000000"/>
                <w:spacing w:val="-6"/>
                <w:kern w:val="21"/>
                <w:szCs w:val="21"/>
                <w:highlight w:val="none"/>
              </w:rPr>
              <w:fldChar w:fldCharType="separate"/>
            </w:r>
            <w:r>
              <w:rPr>
                <w:rFonts w:hint="default" w:ascii="Times New Roman" w:hAnsi="Times New Roman" w:eastAsia="黑体" w:cs="Times New Roman"/>
                <w:snapToGrid w:val="0"/>
                <w:color w:val="000000"/>
                <w:spacing w:val="-6"/>
                <w:kern w:val="21"/>
                <w:szCs w:val="21"/>
                <w:highlight w:val="none"/>
              </w:rPr>
              <w:t>②</w:t>
            </w:r>
            <w:r>
              <w:rPr>
                <w:rFonts w:hint="default" w:ascii="Times New Roman" w:hAnsi="Times New Roman" w:eastAsia="黑体" w:cs="Times New Roman"/>
                <w:snapToGrid w:val="0"/>
                <w:color w:val="000000"/>
                <w:spacing w:val="-6"/>
                <w:kern w:val="21"/>
                <w:szCs w:val="21"/>
                <w:highlight w:val="none"/>
              </w:rPr>
              <w:fldChar w:fldCharType="end"/>
            </w:r>
          </w:p>
        </w:tc>
        <w:tc>
          <w:tcPr>
            <w:tcW w:w="1701" w:type="dxa"/>
            <w:noWrap w:val="0"/>
            <w:tcMar>
              <w:left w:w="28" w:type="dxa"/>
              <w:right w:w="28" w:type="dxa"/>
            </w:tcMar>
            <w:vAlign w:val="center"/>
          </w:tcPr>
          <w:p w14:paraId="4E0B5BB1">
            <w:pPr>
              <w:pStyle w:val="26"/>
              <w:spacing w:beforeLines="0" w:afterLines="0" w:line="240" w:lineRule="auto"/>
              <w:ind w:left="0" w:leftChars="0" w:firstLine="0" w:firstLineChars="0"/>
              <w:jc w:val="center"/>
              <w:rPr>
                <w:rFonts w:hint="default" w:ascii="Times New Roman" w:hAnsi="Times New Roman" w:eastAsia="黑体" w:cs="Times New Roman"/>
                <w:snapToGrid w:val="0"/>
                <w:color w:val="000000"/>
                <w:spacing w:val="-6"/>
                <w:kern w:val="21"/>
                <w:szCs w:val="21"/>
                <w:highlight w:val="none"/>
              </w:rPr>
            </w:pPr>
            <w:r>
              <w:rPr>
                <w:rFonts w:hint="default" w:ascii="Times New Roman" w:hAnsi="Times New Roman" w:eastAsia="黑体" w:cs="Times New Roman"/>
                <w:snapToGrid w:val="0"/>
                <w:color w:val="000000"/>
                <w:spacing w:val="-6"/>
                <w:kern w:val="21"/>
                <w:szCs w:val="21"/>
                <w:highlight w:val="none"/>
              </w:rPr>
              <w:t>在建工程排放量（固体废物产生量）</w:t>
            </w:r>
            <w:r>
              <w:rPr>
                <w:rFonts w:hint="default" w:ascii="Times New Roman" w:hAnsi="Times New Roman" w:eastAsia="黑体" w:cs="Times New Roman"/>
                <w:snapToGrid w:val="0"/>
                <w:color w:val="000000"/>
                <w:spacing w:val="-6"/>
                <w:kern w:val="21"/>
                <w:szCs w:val="21"/>
                <w:highlight w:val="none"/>
              </w:rPr>
              <w:fldChar w:fldCharType="begin"/>
            </w:r>
            <w:r>
              <w:rPr>
                <w:rFonts w:hint="default" w:ascii="Times New Roman" w:hAnsi="Times New Roman" w:eastAsia="黑体" w:cs="Times New Roman"/>
                <w:snapToGrid w:val="0"/>
                <w:color w:val="000000"/>
                <w:spacing w:val="-6"/>
                <w:kern w:val="21"/>
                <w:szCs w:val="21"/>
                <w:highlight w:val="none"/>
              </w:rPr>
              <w:instrText xml:space="preserve"> = 3 \* GB3 \* MERGEFORMAT </w:instrText>
            </w:r>
            <w:r>
              <w:rPr>
                <w:rFonts w:hint="default" w:ascii="Times New Roman" w:hAnsi="Times New Roman" w:eastAsia="黑体" w:cs="Times New Roman"/>
                <w:snapToGrid w:val="0"/>
                <w:color w:val="000000"/>
                <w:spacing w:val="-6"/>
                <w:kern w:val="21"/>
                <w:szCs w:val="21"/>
                <w:highlight w:val="none"/>
              </w:rPr>
              <w:fldChar w:fldCharType="separate"/>
            </w:r>
            <w:r>
              <w:rPr>
                <w:rFonts w:hint="default" w:ascii="Times New Roman" w:hAnsi="Times New Roman" w:eastAsia="黑体" w:cs="Times New Roman"/>
                <w:kern w:val="2"/>
                <w:szCs w:val="21"/>
                <w:highlight w:val="none"/>
              </w:rPr>
              <w:t>③</w:t>
            </w:r>
            <w:r>
              <w:rPr>
                <w:rFonts w:hint="default" w:ascii="Times New Roman" w:hAnsi="Times New Roman" w:eastAsia="黑体" w:cs="Times New Roman"/>
                <w:snapToGrid w:val="0"/>
                <w:color w:val="000000"/>
                <w:spacing w:val="-6"/>
                <w:kern w:val="21"/>
                <w:szCs w:val="21"/>
                <w:highlight w:val="none"/>
              </w:rPr>
              <w:fldChar w:fldCharType="end"/>
            </w:r>
          </w:p>
        </w:tc>
        <w:tc>
          <w:tcPr>
            <w:tcW w:w="1559" w:type="dxa"/>
            <w:noWrap w:val="0"/>
            <w:tcMar>
              <w:left w:w="28" w:type="dxa"/>
              <w:right w:w="28" w:type="dxa"/>
            </w:tcMar>
            <w:vAlign w:val="center"/>
          </w:tcPr>
          <w:p w14:paraId="38516875">
            <w:pPr>
              <w:pStyle w:val="26"/>
              <w:spacing w:beforeLines="0" w:afterLines="0" w:line="240" w:lineRule="auto"/>
              <w:ind w:left="0" w:leftChars="0" w:firstLine="0" w:firstLineChars="0"/>
              <w:jc w:val="center"/>
              <w:rPr>
                <w:rFonts w:hint="default" w:ascii="Times New Roman" w:hAnsi="Times New Roman" w:eastAsia="黑体" w:cs="Times New Roman"/>
                <w:snapToGrid w:val="0"/>
                <w:color w:val="000000"/>
                <w:spacing w:val="-6"/>
                <w:kern w:val="21"/>
                <w:szCs w:val="21"/>
                <w:highlight w:val="none"/>
              </w:rPr>
            </w:pPr>
            <w:r>
              <w:rPr>
                <w:rFonts w:hint="default" w:ascii="Times New Roman" w:hAnsi="Times New Roman" w:eastAsia="黑体" w:cs="Times New Roman"/>
                <w:snapToGrid w:val="0"/>
                <w:color w:val="000000"/>
                <w:spacing w:val="-6"/>
                <w:kern w:val="21"/>
                <w:szCs w:val="21"/>
                <w:highlight w:val="none"/>
              </w:rPr>
              <w:t>本项目排放量（固体废物产生量）</w:t>
            </w:r>
            <w:r>
              <w:rPr>
                <w:rFonts w:hint="default" w:ascii="Times New Roman" w:hAnsi="Times New Roman" w:eastAsia="黑体" w:cs="Times New Roman"/>
                <w:snapToGrid w:val="0"/>
                <w:color w:val="000000"/>
                <w:spacing w:val="-6"/>
                <w:kern w:val="21"/>
                <w:szCs w:val="21"/>
                <w:highlight w:val="none"/>
              </w:rPr>
              <w:fldChar w:fldCharType="begin"/>
            </w:r>
            <w:r>
              <w:rPr>
                <w:rFonts w:hint="default" w:ascii="Times New Roman" w:hAnsi="Times New Roman" w:eastAsia="黑体" w:cs="Times New Roman"/>
                <w:snapToGrid w:val="0"/>
                <w:color w:val="000000"/>
                <w:spacing w:val="-6"/>
                <w:kern w:val="21"/>
                <w:szCs w:val="21"/>
                <w:highlight w:val="none"/>
              </w:rPr>
              <w:instrText xml:space="preserve"> = 4 \* GB3 \* MERGEFORMAT </w:instrText>
            </w:r>
            <w:r>
              <w:rPr>
                <w:rFonts w:hint="default" w:ascii="Times New Roman" w:hAnsi="Times New Roman" w:eastAsia="黑体" w:cs="Times New Roman"/>
                <w:snapToGrid w:val="0"/>
                <w:color w:val="000000"/>
                <w:spacing w:val="-6"/>
                <w:kern w:val="21"/>
                <w:szCs w:val="21"/>
                <w:highlight w:val="none"/>
              </w:rPr>
              <w:fldChar w:fldCharType="separate"/>
            </w:r>
            <w:r>
              <w:rPr>
                <w:rFonts w:hint="default" w:ascii="Times New Roman" w:hAnsi="Times New Roman" w:eastAsia="黑体" w:cs="Times New Roman"/>
                <w:kern w:val="2"/>
                <w:szCs w:val="21"/>
                <w:highlight w:val="none"/>
              </w:rPr>
              <w:t>④</w:t>
            </w:r>
            <w:r>
              <w:rPr>
                <w:rFonts w:hint="default" w:ascii="Times New Roman" w:hAnsi="Times New Roman" w:eastAsia="黑体" w:cs="Times New Roman"/>
                <w:snapToGrid w:val="0"/>
                <w:color w:val="000000"/>
                <w:spacing w:val="-6"/>
                <w:kern w:val="21"/>
                <w:szCs w:val="21"/>
                <w:highlight w:val="none"/>
              </w:rPr>
              <w:fldChar w:fldCharType="end"/>
            </w:r>
          </w:p>
        </w:tc>
        <w:tc>
          <w:tcPr>
            <w:tcW w:w="1398" w:type="dxa"/>
            <w:noWrap w:val="0"/>
            <w:tcMar>
              <w:left w:w="28" w:type="dxa"/>
              <w:right w:w="28" w:type="dxa"/>
            </w:tcMar>
            <w:vAlign w:val="center"/>
          </w:tcPr>
          <w:p w14:paraId="6112FBD9">
            <w:pPr>
              <w:pStyle w:val="26"/>
              <w:spacing w:beforeLines="0" w:afterLines="0" w:line="240" w:lineRule="auto"/>
              <w:ind w:left="0" w:leftChars="0" w:firstLine="0" w:firstLineChars="0"/>
              <w:jc w:val="center"/>
              <w:rPr>
                <w:rFonts w:hint="default" w:ascii="Times New Roman" w:hAnsi="Times New Roman" w:eastAsia="黑体" w:cs="Times New Roman"/>
                <w:snapToGrid w:val="0"/>
                <w:color w:val="000000"/>
                <w:spacing w:val="-16"/>
                <w:kern w:val="21"/>
                <w:szCs w:val="21"/>
                <w:highlight w:val="none"/>
              </w:rPr>
            </w:pPr>
            <w:r>
              <w:rPr>
                <w:rFonts w:hint="default" w:ascii="Times New Roman" w:hAnsi="Times New Roman" w:eastAsia="黑体" w:cs="Times New Roman"/>
                <w:snapToGrid w:val="0"/>
                <w:color w:val="000000"/>
                <w:spacing w:val="-16"/>
                <w:kern w:val="21"/>
                <w:szCs w:val="21"/>
                <w:highlight w:val="none"/>
              </w:rPr>
              <w:t>以新带老削减量（新建项目不填）</w:t>
            </w:r>
            <w:r>
              <w:rPr>
                <w:rFonts w:hint="default" w:ascii="Times New Roman" w:hAnsi="Times New Roman" w:eastAsia="黑体" w:cs="Times New Roman"/>
                <w:snapToGrid w:val="0"/>
                <w:color w:val="000000"/>
                <w:spacing w:val="-16"/>
                <w:kern w:val="21"/>
                <w:szCs w:val="21"/>
                <w:highlight w:val="none"/>
              </w:rPr>
              <w:fldChar w:fldCharType="begin"/>
            </w:r>
            <w:r>
              <w:rPr>
                <w:rFonts w:hint="default" w:ascii="Times New Roman" w:hAnsi="Times New Roman" w:eastAsia="黑体" w:cs="Times New Roman"/>
                <w:snapToGrid w:val="0"/>
                <w:color w:val="000000"/>
                <w:spacing w:val="-16"/>
                <w:kern w:val="21"/>
                <w:szCs w:val="21"/>
                <w:highlight w:val="none"/>
              </w:rPr>
              <w:instrText xml:space="preserve"> = 5 \* GB3 \* MERGEFORMAT </w:instrText>
            </w:r>
            <w:r>
              <w:rPr>
                <w:rFonts w:hint="default" w:ascii="Times New Roman" w:hAnsi="Times New Roman" w:eastAsia="黑体" w:cs="Times New Roman"/>
                <w:snapToGrid w:val="0"/>
                <w:color w:val="000000"/>
                <w:spacing w:val="-16"/>
                <w:kern w:val="21"/>
                <w:szCs w:val="21"/>
                <w:highlight w:val="none"/>
              </w:rPr>
              <w:fldChar w:fldCharType="separate"/>
            </w:r>
            <w:r>
              <w:rPr>
                <w:rFonts w:hint="default" w:ascii="Times New Roman" w:hAnsi="Times New Roman" w:eastAsia="黑体" w:cs="Times New Roman"/>
                <w:kern w:val="2"/>
                <w:szCs w:val="21"/>
                <w:highlight w:val="none"/>
              </w:rPr>
              <w:t>⑤</w:t>
            </w:r>
            <w:r>
              <w:rPr>
                <w:rFonts w:hint="default" w:ascii="Times New Roman" w:hAnsi="Times New Roman" w:eastAsia="黑体" w:cs="Times New Roman"/>
                <w:snapToGrid w:val="0"/>
                <w:color w:val="000000"/>
                <w:spacing w:val="-16"/>
                <w:kern w:val="21"/>
                <w:szCs w:val="21"/>
                <w:highlight w:val="none"/>
              </w:rPr>
              <w:fldChar w:fldCharType="end"/>
            </w:r>
          </w:p>
        </w:tc>
        <w:tc>
          <w:tcPr>
            <w:tcW w:w="1811" w:type="dxa"/>
            <w:noWrap w:val="0"/>
            <w:tcMar>
              <w:left w:w="28" w:type="dxa"/>
              <w:right w:w="28" w:type="dxa"/>
            </w:tcMar>
            <w:vAlign w:val="center"/>
          </w:tcPr>
          <w:p w14:paraId="761A83FC">
            <w:pPr>
              <w:pStyle w:val="26"/>
              <w:spacing w:beforeLines="0" w:afterLines="0" w:line="240" w:lineRule="auto"/>
              <w:ind w:left="0" w:leftChars="0" w:firstLine="0" w:firstLineChars="0"/>
              <w:jc w:val="center"/>
              <w:rPr>
                <w:rFonts w:hint="default" w:ascii="Times New Roman" w:hAnsi="Times New Roman" w:eastAsia="黑体" w:cs="Times New Roman"/>
                <w:snapToGrid w:val="0"/>
                <w:color w:val="000000"/>
                <w:spacing w:val="-16"/>
                <w:kern w:val="21"/>
                <w:szCs w:val="21"/>
                <w:highlight w:val="none"/>
              </w:rPr>
            </w:pPr>
            <w:r>
              <w:rPr>
                <w:rFonts w:hint="default" w:ascii="Times New Roman" w:hAnsi="Times New Roman" w:eastAsia="黑体" w:cs="Times New Roman"/>
                <w:snapToGrid w:val="0"/>
                <w:color w:val="000000"/>
                <w:spacing w:val="-16"/>
                <w:kern w:val="21"/>
                <w:szCs w:val="21"/>
                <w:highlight w:val="none"/>
              </w:rPr>
              <w:t>本项目建成后全厂排放量（固体废物产生量）</w:t>
            </w:r>
            <w:r>
              <w:rPr>
                <w:rFonts w:hint="default" w:ascii="Times New Roman" w:hAnsi="Times New Roman" w:eastAsia="黑体" w:cs="Times New Roman"/>
                <w:snapToGrid w:val="0"/>
                <w:color w:val="000000"/>
                <w:spacing w:val="-16"/>
                <w:kern w:val="21"/>
                <w:szCs w:val="21"/>
                <w:highlight w:val="none"/>
              </w:rPr>
              <w:fldChar w:fldCharType="begin"/>
            </w:r>
            <w:r>
              <w:rPr>
                <w:rFonts w:hint="default" w:ascii="Times New Roman" w:hAnsi="Times New Roman" w:eastAsia="黑体" w:cs="Times New Roman"/>
                <w:snapToGrid w:val="0"/>
                <w:color w:val="000000"/>
                <w:spacing w:val="-16"/>
                <w:kern w:val="21"/>
                <w:szCs w:val="21"/>
                <w:highlight w:val="none"/>
              </w:rPr>
              <w:instrText xml:space="preserve"> = 6 \* GB3 \* MERGEFORMAT </w:instrText>
            </w:r>
            <w:r>
              <w:rPr>
                <w:rFonts w:hint="default" w:ascii="Times New Roman" w:hAnsi="Times New Roman" w:eastAsia="黑体" w:cs="Times New Roman"/>
                <w:snapToGrid w:val="0"/>
                <w:color w:val="000000"/>
                <w:spacing w:val="-16"/>
                <w:kern w:val="21"/>
                <w:szCs w:val="21"/>
                <w:highlight w:val="none"/>
              </w:rPr>
              <w:fldChar w:fldCharType="separate"/>
            </w:r>
            <w:r>
              <w:rPr>
                <w:rFonts w:hint="default" w:ascii="Times New Roman" w:hAnsi="Times New Roman" w:eastAsia="黑体" w:cs="Times New Roman"/>
                <w:kern w:val="2"/>
                <w:szCs w:val="21"/>
                <w:highlight w:val="none"/>
              </w:rPr>
              <w:t>⑥</w:t>
            </w:r>
            <w:r>
              <w:rPr>
                <w:rFonts w:hint="default" w:ascii="Times New Roman" w:hAnsi="Times New Roman" w:eastAsia="黑体" w:cs="Times New Roman"/>
                <w:snapToGrid w:val="0"/>
                <w:color w:val="000000"/>
                <w:spacing w:val="-16"/>
                <w:kern w:val="21"/>
                <w:szCs w:val="21"/>
                <w:highlight w:val="none"/>
              </w:rPr>
              <w:fldChar w:fldCharType="end"/>
            </w:r>
          </w:p>
        </w:tc>
        <w:tc>
          <w:tcPr>
            <w:tcW w:w="1337" w:type="dxa"/>
            <w:noWrap w:val="0"/>
            <w:tcMar>
              <w:left w:w="28" w:type="dxa"/>
              <w:right w:w="28" w:type="dxa"/>
            </w:tcMar>
            <w:vAlign w:val="center"/>
          </w:tcPr>
          <w:p w14:paraId="2848548C">
            <w:pPr>
              <w:pStyle w:val="26"/>
              <w:spacing w:beforeLines="0" w:afterLines="0" w:line="240" w:lineRule="auto"/>
              <w:ind w:left="0" w:leftChars="0" w:firstLine="0" w:firstLineChars="0"/>
              <w:jc w:val="center"/>
              <w:rPr>
                <w:rFonts w:hint="default" w:ascii="Times New Roman" w:hAnsi="Times New Roman" w:eastAsia="黑体" w:cs="Times New Roman"/>
                <w:snapToGrid w:val="0"/>
                <w:color w:val="000000"/>
                <w:spacing w:val="-6"/>
                <w:kern w:val="21"/>
                <w:szCs w:val="21"/>
                <w:highlight w:val="none"/>
              </w:rPr>
            </w:pPr>
            <w:r>
              <w:rPr>
                <w:rFonts w:hint="default" w:ascii="Times New Roman" w:hAnsi="Times New Roman" w:eastAsia="黑体" w:cs="Times New Roman"/>
                <w:snapToGrid w:val="0"/>
                <w:color w:val="000000"/>
                <w:spacing w:val="-6"/>
                <w:kern w:val="21"/>
                <w:szCs w:val="21"/>
                <w:highlight w:val="none"/>
              </w:rPr>
              <w:t>变化量</w:t>
            </w:r>
            <w:r>
              <w:rPr>
                <w:rFonts w:hint="default" w:ascii="Times New Roman" w:hAnsi="Times New Roman" w:eastAsia="黑体" w:cs="Times New Roman"/>
                <w:snapToGrid w:val="0"/>
                <w:color w:val="000000"/>
                <w:spacing w:val="-6"/>
                <w:kern w:val="21"/>
                <w:szCs w:val="21"/>
                <w:highlight w:val="none"/>
              </w:rPr>
              <w:fldChar w:fldCharType="begin"/>
            </w:r>
            <w:r>
              <w:rPr>
                <w:rFonts w:hint="default" w:ascii="Times New Roman" w:hAnsi="Times New Roman" w:eastAsia="黑体" w:cs="Times New Roman"/>
                <w:snapToGrid w:val="0"/>
                <w:color w:val="000000"/>
                <w:spacing w:val="-6"/>
                <w:kern w:val="21"/>
                <w:szCs w:val="21"/>
                <w:highlight w:val="none"/>
              </w:rPr>
              <w:instrText xml:space="preserve"> = 7 \* GB3 \* MERGEFORMAT </w:instrText>
            </w:r>
            <w:r>
              <w:rPr>
                <w:rFonts w:hint="default" w:ascii="Times New Roman" w:hAnsi="Times New Roman" w:eastAsia="黑体" w:cs="Times New Roman"/>
                <w:snapToGrid w:val="0"/>
                <w:color w:val="000000"/>
                <w:spacing w:val="-6"/>
                <w:kern w:val="21"/>
                <w:szCs w:val="21"/>
                <w:highlight w:val="none"/>
              </w:rPr>
              <w:fldChar w:fldCharType="separate"/>
            </w:r>
            <w:r>
              <w:rPr>
                <w:rFonts w:hint="default" w:ascii="Times New Roman" w:hAnsi="Times New Roman" w:eastAsia="黑体" w:cs="Times New Roman"/>
                <w:kern w:val="2"/>
                <w:szCs w:val="21"/>
                <w:highlight w:val="none"/>
              </w:rPr>
              <w:t>⑦</w:t>
            </w:r>
            <w:r>
              <w:rPr>
                <w:rFonts w:hint="default" w:ascii="Times New Roman" w:hAnsi="Times New Roman" w:eastAsia="黑体" w:cs="Times New Roman"/>
                <w:snapToGrid w:val="0"/>
                <w:color w:val="000000"/>
                <w:spacing w:val="-6"/>
                <w:kern w:val="21"/>
                <w:szCs w:val="21"/>
                <w:highlight w:val="none"/>
              </w:rPr>
              <w:fldChar w:fldCharType="end"/>
            </w:r>
          </w:p>
        </w:tc>
      </w:tr>
      <w:tr w14:paraId="27FF5E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restart"/>
            <w:noWrap w:val="0"/>
            <w:vAlign w:val="center"/>
          </w:tcPr>
          <w:p w14:paraId="37FED03A">
            <w:pPr>
              <w:pStyle w:val="26"/>
              <w:spacing w:beforeLines="0" w:afterLines="0" w:line="240" w:lineRule="auto"/>
              <w:jc w:val="center"/>
              <w:rPr>
                <w:rFonts w:hint="default" w:ascii="Times New Roman" w:hAnsi="Times New Roman" w:cs="Times New Roman"/>
                <w:snapToGrid w:val="0"/>
                <w:color w:val="000000"/>
                <w:kern w:val="21"/>
                <w:szCs w:val="21"/>
                <w:highlight w:val="none"/>
              </w:rPr>
            </w:pPr>
            <w:r>
              <w:rPr>
                <w:rFonts w:hint="default" w:ascii="Times New Roman" w:hAnsi="Times New Roman" w:cs="Times New Roman"/>
                <w:snapToGrid w:val="0"/>
                <w:color w:val="000000"/>
                <w:kern w:val="21"/>
                <w:szCs w:val="21"/>
                <w:highlight w:val="none"/>
              </w:rPr>
              <w:t>废气</w:t>
            </w:r>
          </w:p>
        </w:tc>
        <w:tc>
          <w:tcPr>
            <w:tcW w:w="1417" w:type="dxa"/>
            <w:noWrap w:val="0"/>
            <w:vAlign w:val="center"/>
          </w:tcPr>
          <w:p w14:paraId="407AF964">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Cs w:val="21"/>
                <w:highlight w:val="none"/>
                <w:lang w:val="en-US" w:eastAsia="zh-CN"/>
              </w:rPr>
            </w:pPr>
            <w:r>
              <w:rPr>
                <w:rFonts w:hint="default" w:ascii="Times New Roman" w:hAnsi="Times New Roman" w:cs="Times New Roman"/>
                <w:snapToGrid w:val="0"/>
                <w:color w:val="000000"/>
                <w:kern w:val="21"/>
                <w:szCs w:val="21"/>
                <w:highlight w:val="none"/>
                <w:lang w:val="en-US" w:eastAsia="zh-CN"/>
              </w:rPr>
              <w:t>颗粒物</w:t>
            </w:r>
          </w:p>
        </w:tc>
        <w:tc>
          <w:tcPr>
            <w:tcW w:w="1701" w:type="dxa"/>
            <w:noWrap w:val="0"/>
            <w:vAlign w:val="center"/>
          </w:tcPr>
          <w:p w14:paraId="39600F3B">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0.015</w:t>
            </w:r>
          </w:p>
        </w:tc>
        <w:tc>
          <w:tcPr>
            <w:tcW w:w="1276" w:type="dxa"/>
            <w:noWrap w:val="0"/>
            <w:vAlign w:val="center"/>
          </w:tcPr>
          <w:p w14:paraId="1BB31DFB">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cs="Times New Roman"/>
                <w:snapToGrid w:val="0"/>
                <w:color w:val="000000"/>
                <w:kern w:val="21"/>
                <w:sz w:val="24"/>
                <w:szCs w:val="24"/>
                <w:highlight w:val="none"/>
                <w:lang w:val="en-US" w:eastAsia="zh-CN"/>
              </w:rPr>
              <w:t>/</w:t>
            </w:r>
          </w:p>
        </w:tc>
        <w:tc>
          <w:tcPr>
            <w:tcW w:w="1701" w:type="dxa"/>
            <w:noWrap w:val="0"/>
            <w:vAlign w:val="center"/>
          </w:tcPr>
          <w:p w14:paraId="221B4B7B">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cs="Times New Roman"/>
                <w:snapToGrid w:val="0"/>
                <w:color w:val="000000"/>
                <w:kern w:val="21"/>
                <w:sz w:val="24"/>
                <w:szCs w:val="24"/>
                <w:highlight w:val="none"/>
                <w:lang w:val="en-US" w:eastAsia="zh-CN"/>
              </w:rPr>
              <w:t>/</w:t>
            </w:r>
          </w:p>
        </w:tc>
        <w:tc>
          <w:tcPr>
            <w:tcW w:w="1559" w:type="dxa"/>
            <w:noWrap w:val="0"/>
            <w:vAlign w:val="center"/>
          </w:tcPr>
          <w:p w14:paraId="7B38499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cs="Times New Roman"/>
                <w:i w:val="0"/>
                <w:iCs w:val="0"/>
                <w:color w:val="000000"/>
                <w:kern w:val="2"/>
                <w:sz w:val="24"/>
                <w:szCs w:val="24"/>
                <w:u w:val="none"/>
                <w:lang w:val="en-US" w:eastAsia="zh-CN" w:bidi="ar-SA"/>
              </w:rPr>
              <w:t>0.11</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6AE2E155">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3B6C8AD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cs="Times New Roman"/>
                <w:i w:val="0"/>
                <w:iCs w:val="0"/>
                <w:color w:val="000000"/>
                <w:kern w:val="2"/>
                <w:sz w:val="24"/>
                <w:szCs w:val="24"/>
                <w:u w:val="none"/>
                <w:lang w:val="en-US" w:eastAsia="zh-CN" w:bidi="ar-SA"/>
              </w:rPr>
              <w:t>0.125</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51EDDF0E">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w:t>
            </w:r>
            <w:r>
              <w:rPr>
                <w:rFonts w:ascii="Times New Roman" w:hAnsi="Times New Roman"/>
                <w:snapToGrid w:val="0"/>
                <w:color w:val="auto"/>
                <w:kern w:val="21"/>
                <w:sz w:val="24"/>
                <w:szCs w:val="24"/>
                <w:highlight w:val="none"/>
              </w:rPr>
              <w:t>0</w:t>
            </w:r>
            <w:r>
              <w:rPr>
                <w:rFonts w:hint="eastAsia" w:ascii="Times New Roman" w:hAnsi="Times New Roman"/>
                <w:snapToGrid w:val="0"/>
                <w:color w:val="auto"/>
                <w:kern w:val="21"/>
                <w:sz w:val="24"/>
                <w:szCs w:val="24"/>
                <w:highlight w:val="none"/>
                <w:lang w:val="en-US" w:eastAsia="zh-CN"/>
              </w:rPr>
              <w:t>.11</w:t>
            </w:r>
            <w:r>
              <w:rPr>
                <w:rFonts w:hint="eastAsia" w:ascii="Times New Roman" w:hAnsi="Times New Roman" w:cs="Times New Roman"/>
                <w:i w:val="0"/>
                <w:iCs w:val="0"/>
                <w:color w:val="000000"/>
                <w:kern w:val="2"/>
                <w:sz w:val="24"/>
                <w:szCs w:val="24"/>
                <w:u w:val="none"/>
                <w:lang w:val="en-US" w:eastAsia="zh-CN" w:bidi="ar-SA"/>
              </w:rPr>
              <w:t>t/a</w:t>
            </w:r>
          </w:p>
        </w:tc>
      </w:tr>
      <w:tr w14:paraId="67B2A9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continue"/>
            <w:noWrap w:val="0"/>
            <w:vAlign w:val="center"/>
          </w:tcPr>
          <w:p w14:paraId="59DAFA54">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2174FA11">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Cs w:val="21"/>
                <w:highlight w:val="none"/>
                <w:lang w:val="en-US" w:eastAsia="zh-CN"/>
              </w:rPr>
            </w:pPr>
            <w:r>
              <w:rPr>
                <w:rFonts w:hint="default" w:ascii="Times New Roman" w:hAnsi="Times New Roman" w:cs="Times New Roman"/>
                <w:snapToGrid w:val="0"/>
                <w:color w:val="000000"/>
                <w:kern w:val="21"/>
                <w:szCs w:val="21"/>
                <w:highlight w:val="none"/>
                <w:lang w:val="en-US" w:eastAsia="zh-CN"/>
              </w:rPr>
              <w:t>沥青烟</w:t>
            </w:r>
          </w:p>
        </w:tc>
        <w:tc>
          <w:tcPr>
            <w:tcW w:w="1701" w:type="dxa"/>
            <w:noWrap w:val="0"/>
            <w:vAlign w:val="center"/>
          </w:tcPr>
          <w:p w14:paraId="3DE4C333">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1.38</w:t>
            </w:r>
          </w:p>
        </w:tc>
        <w:tc>
          <w:tcPr>
            <w:tcW w:w="1276" w:type="dxa"/>
            <w:noWrap w:val="0"/>
            <w:vAlign w:val="center"/>
          </w:tcPr>
          <w:p w14:paraId="2C7E9767">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6AADCF80">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7265A0E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cs="Times New Roman"/>
                <w:i w:val="0"/>
                <w:iCs w:val="0"/>
                <w:color w:val="000000"/>
                <w:kern w:val="2"/>
                <w:sz w:val="24"/>
                <w:szCs w:val="24"/>
                <w:u w:val="none"/>
                <w:lang w:val="en-US" w:eastAsia="zh-CN" w:bidi="ar-SA"/>
              </w:rPr>
              <w:t>0.17</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4F42F7EF">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2E5FD6C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cs="Times New Roman"/>
                <w:i w:val="0"/>
                <w:iCs w:val="0"/>
                <w:color w:val="000000"/>
                <w:kern w:val="2"/>
                <w:sz w:val="24"/>
                <w:szCs w:val="24"/>
                <w:u w:val="none"/>
                <w:lang w:val="en-US" w:eastAsia="zh-CN" w:bidi="ar-SA"/>
              </w:rPr>
              <w:t>1.55</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701F03D4">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w:t>
            </w:r>
            <w:r>
              <w:rPr>
                <w:rFonts w:ascii="Times New Roman" w:hAnsi="Times New Roman"/>
                <w:snapToGrid w:val="0"/>
                <w:color w:val="auto"/>
                <w:kern w:val="21"/>
                <w:sz w:val="24"/>
                <w:szCs w:val="24"/>
                <w:highlight w:val="none"/>
              </w:rPr>
              <w:t>0</w:t>
            </w:r>
            <w:r>
              <w:rPr>
                <w:rFonts w:hint="eastAsia" w:ascii="Times New Roman" w:hAnsi="Times New Roman"/>
                <w:snapToGrid w:val="0"/>
                <w:color w:val="auto"/>
                <w:kern w:val="21"/>
                <w:sz w:val="24"/>
                <w:szCs w:val="24"/>
                <w:highlight w:val="none"/>
                <w:lang w:val="en-US" w:eastAsia="zh-CN"/>
              </w:rPr>
              <w:t>.17</w:t>
            </w:r>
            <w:r>
              <w:rPr>
                <w:rFonts w:hint="eastAsia" w:ascii="Times New Roman" w:hAnsi="Times New Roman" w:cs="Times New Roman"/>
                <w:i w:val="0"/>
                <w:iCs w:val="0"/>
                <w:color w:val="000000"/>
                <w:kern w:val="2"/>
                <w:sz w:val="24"/>
                <w:szCs w:val="24"/>
                <w:u w:val="none"/>
                <w:lang w:val="en-US" w:eastAsia="zh-CN" w:bidi="ar-SA"/>
              </w:rPr>
              <w:t>t/a</w:t>
            </w:r>
          </w:p>
        </w:tc>
      </w:tr>
      <w:tr w14:paraId="2766B9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1588" w:type="dxa"/>
            <w:vMerge w:val="continue"/>
            <w:noWrap w:val="0"/>
            <w:vAlign w:val="center"/>
          </w:tcPr>
          <w:p w14:paraId="66645FF3">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3F74E7AF">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lang w:val="en-US" w:eastAsia="zh-CN"/>
              </w:rPr>
            </w:pPr>
            <w:r>
              <w:rPr>
                <w:rFonts w:hint="default" w:ascii="Times New Roman" w:hAnsi="Times New Roman" w:cs="Times New Roman"/>
                <w:snapToGrid w:val="0"/>
                <w:color w:val="000000"/>
                <w:kern w:val="21"/>
                <w:szCs w:val="21"/>
                <w:highlight w:val="none"/>
                <w:lang w:val="en-US" w:eastAsia="zh-CN"/>
              </w:rPr>
              <w:t>苯并[a]芘</w:t>
            </w:r>
          </w:p>
        </w:tc>
        <w:tc>
          <w:tcPr>
            <w:tcW w:w="1701" w:type="dxa"/>
            <w:noWrap w:val="0"/>
            <w:vAlign w:val="center"/>
          </w:tcPr>
          <w:p w14:paraId="13910400">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0.00038kg/a</w:t>
            </w:r>
          </w:p>
        </w:tc>
        <w:tc>
          <w:tcPr>
            <w:tcW w:w="1276" w:type="dxa"/>
            <w:noWrap w:val="0"/>
            <w:vAlign w:val="center"/>
          </w:tcPr>
          <w:p w14:paraId="208DB4B7">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774211CB">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7A9C9C6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Times New Roman" w:hAnsi="Times New Roman" w:cs="Times New Roman"/>
                <w:i w:val="0"/>
                <w:iCs w:val="0"/>
                <w:color w:val="000000"/>
                <w:kern w:val="2"/>
                <w:sz w:val="24"/>
                <w:szCs w:val="24"/>
                <w:u w:val="none"/>
                <w:lang w:val="en-US" w:eastAsia="zh-CN" w:bidi="ar-SA"/>
              </w:rPr>
              <w:t>0.</w:t>
            </w:r>
            <w:r>
              <w:rPr>
                <w:rFonts w:hint="eastAsia" w:cs="Times New Roman"/>
                <w:i w:val="0"/>
                <w:iCs w:val="0"/>
                <w:color w:val="000000"/>
                <w:kern w:val="2"/>
                <w:sz w:val="24"/>
                <w:szCs w:val="24"/>
                <w:u w:val="none"/>
                <w:lang w:val="en-US" w:eastAsia="zh-CN" w:bidi="ar-SA"/>
              </w:rPr>
              <w:t>09</w:t>
            </w:r>
            <w:r>
              <w:rPr>
                <w:rFonts w:hint="eastAsia" w:ascii="Times New Roman" w:hAnsi="Times New Roman" w:cs="Times New Roman"/>
                <w:i w:val="0"/>
                <w:iCs w:val="0"/>
                <w:color w:val="000000"/>
                <w:kern w:val="2"/>
                <w:sz w:val="24"/>
                <w:szCs w:val="24"/>
                <w:u w:val="none"/>
                <w:lang w:val="en-US" w:eastAsia="zh-CN" w:bidi="ar-SA"/>
              </w:rPr>
              <w:t>kg/a</w:t>
            </w:r>
          </w:p>
        </w:tc>
        <w:tc>
          <w:tcPr>
            <w:tcW w:w="1398" w:type="dxa"/>
            <w:noWrap w:val="0"/>
            <w:vAlign w:val="center"/>
          </w:tcPr>
          <w:p w14:paraId="26A43416">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4BE3FB8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cs="Times New Roman"/>
                <w:i w:val="0"/>
                <w:iCs w:val="0"/>
                <w:color w:val="000000"/>
                <w:kern w:val="2"/>
                <w:sz w:val="24"/>
                <w:szCs w:val="24"/>
                <w:u w:val="none"/>
                <w:lang w:val="en-US" w:eastAsia="zh-CN" w:bidi="ar-SA"/>
              </w:rPr>
              <w:t>0.00038</w:t>
            </w:r>
            <w:r>
              <w:rPr>
                <w:rFonts w:hint="eastAsia" w:ascii="Times New Roman" w:hAnsi="Times New Roman" w:cs="Times New Roman"/>
                <w:i w:val="0"/>
                <w:iCs w:val="0"/>
                <w:color w:val="000000"/>
                <w:kern w:val="2"/>
                <w:sz w:val="24"/>
                <w:szCs w:val="24"/>
                <w:u w:val="none"/>
                <w:lang w:val="en-US" w:eastAsia="zh-CN" w:bidi="ar-SA"/>
              </w:rPr>
              <w:t>kg/a</w:t>
            </w:r>
          </w:p>
        </w:tc>
        <w:tc>
          <w:tcPr>
            <w:tcW w:w="1337" w:type="dxa"/>
            <w:shd w:val="clear" w:color="auto" w:fill="auto"/>
            <w:noWrap w:val="0"/>
            <w:vAlign w:val="center"/>
          </w:tcPr>
          <w:p w14:paraId="600B824B">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+0.09</w:t>
            </w:r>
            <w:r>
              <w:rPr>
                <w:rFonts w:hint="eastAsia" w:ascii="Times New Roman" w:hAnsi="Times New Roman" w:cs="Times New Roman"/>
                <w:i w:val="0"/>
                <w:iCs w:val="0"/>
                <w:color w:val="000000"/>
                <w:kern w:val="2"/>
                <w:sz w:val="24"/>
                <w:szCs w:val="24"/>
                <w:u w:val="none"/>
                <w:lang w:val="en-US" w:eastAsia="zh-CN" w:bidi="ar-SA"/>
              </w:rPr>
              <w:t>kg/a</w:t>
            </w:r>
          </w:p>
        </w:tc>
      </w:tr>
      <w:tr w14:paraId="7D2EC9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continue"/>
            <w:noWrap w:val="0"/>
            <w:vAlign w:val="center"/>
          </w:tcPr>
          <w:p w14:paraId="4CE083CE">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10E28D5C">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非甲烷总烃</w:t>
            </w:r>
          </w:p>
        </w:tc>
        <w:tc>
          <w:tcPr>
            <w:tcW w:w="1701" w:type="dxa"/>
            <w:noWrap w:val="0"/>
            <w:vAlign w:val="center"/>
          </w:tcPr>
          <w:p w14:paraId="19F644A9">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0.056</w:t>
            </w:r>
          </w:p>
        </w:tc>
        <w:tc>
          <w:tcPr>
            <w:tcW w:w="1276" w:type="dxa"/>
            <w:noWrap w:val="0"/>
            <w:vAlign w:val="center"/>
          </w:tcPr>
          <w:p w14:paraId="45F2C59E">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52C6E763">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223694C7">
            <w:pPr>
              <w:keepNext w:val="0"/>
              <w:keepLines w:val="0"/>
              <w:widowControl/>
              <w:suppressLineNumbers w:val="0"/>
              <w:jc w:val="center"/>
              <w:textAlignment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cs="Times New Roman"/>
                <w:snapToGrid w:val="0"/>
                <w:color w:val="000000"/>
                <w:kern w:val="21"/>
                <w:sz w:val="24"/>
                <w:szCs w:val="24"/>
                <w:highlight w:val="none"/>
                <w:lang w:val="en-US" w:eastAsia="zh-CN"/>
              </w:rPr>
              <w:t>1.27</w:t>
            </w:r>
            <w:r>
              <w:rPr>
                <w:rFonts w:hint="eastAsia" w:ascii="Times New Roman" w:hAnsi="Times New Roman" w:cs="Times New Roman"/>
                <w:snapToGrid w:val="0"/>
                <w:color w:val="000000"/>
                <w:kern w:val="21"/>
                <w:sz w:val="24"/>
                <w:szCs w:val="24"/>
                <w:highlight w:val="none"/>
                <w:lang w:val="en-US" w:eastAsia="zh-CN"/>
              </w:rPr>
              <w:t>t/a</w:t>
            </w:r>
          </w:p>
        </w:tc>
        <w:tc>
          <w:tcPr>
            <w:tcW w:w="1398" w:type="dxa"/>
            <w:noWrap w:val="0"/>
            <w:vAlign w:val="center"/>
          </w:tcPr>
          <w:p w14:paraId="2F705AF1">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cs="Times New Roman"/>
                <w:snapToGrid w:val="0"/>
                <w:color w:val="000000"/>
                <w:kern w:val="21"/>
                <w:sz w:val="24"/>
                <w:szCs w:val="24"/>
                <w:highlight w:val="none"/>
                <w:lang w:val="en-US" w:eastAsia="zh-CN"/>
              </w:rPr>
              <w:t>0.014</w:t>
            </w:r>
          </w:p>
        </w:tc>
        <w:tc>
          <w:tcPr>
            <w:tcW w:w="1811" w:type="dxa"/>
            <w:shd w:val="clear" w:color="auto" w:fill="auto"/>
            <w:noWrap w:val="0"/>
            <w:vAlign w:val="center"/>
          </w:tcPr>
          <w:p w14:paraId="47F9F7C6">
            <w:pPr>
              <w:keepNext w:val="0"/>
              <w:keepLines w:val="0"/>
              <w:widowControl/>
              <w:suppressLineNumbers w:val="0"/>
              <w:jc w:val="center"/>
              <w:textAlignment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cs="Times New Roman"/>
                <w:snapToGrid w:val="0"/>
                <w:color w:val="000000"/>
                <w:kern w:val="21"/>
                <w:sz w:val="24"/>
                <w:szCs w:val="24"/>
                <w:highlight w:val="none"/>
                <w:lang w:val="en-US" w:eastAsia="zh-CN"/>
              </w:rPr>
              <w:t>1.312</w:t>
            </w:r>
            <w:r>
              <w:rPr>
                <w:rFonts w:hint="eastAsia" w:ascii="Times New Roman" w:hAnsi="Times New Roman" w:cs="Times New Roman"/>
                <w:snapToGrid w:val="0"/>
                <w:color w:val="000000"/>
                <w:kern w:val="21"/>
                <w:sz w:val="24"/>
                <w:szCs w:val="24"/>
                <w:highlight w:val="none"/>
                <w:lang w:val="en-US" w:eastAsia="zh-CN"/>
              </w:rPr>
              <w:t>t/a</w:t>
            </w:r>
          </w:p>
        </w:tc>
        <w:tc>
          <w:tcPr>
            <w:tcW w:w="1337" w:type="dxa"/>
            <w:shd w:val="clear" w:color="auto" w:fill="auto"/>
            <w:noWrap w:val="0"/>
            <w:vAlign w:val="center"/>
          </w:tcPr>
          <w:p w14:paraId="674A17BD">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+1.256</w:t>
            </w:r>
            <w:r>
              <w:rPr>
                <w:rFonts w:hint="eastAsia" w:ascii="Times New Roman" w:hAnsi="Times New Roman" w:cs="Times New Roman"/>
                <w:i w:val="0"/>
                <w:iCs w:val="0"/>
                <w:color w:val="000000"/>
                <w:kern w:val="2"/>
                <w:sz w:val="24"/>
                <w:szCs w:val="24"/>
                <w:u w:val="none"/>
                <w:lang w:val="en-US" w:eastAsia="zh-CN" w:bidi="ar-SA"/>
              </w:rPr>
              <w:t>t/a</w:t>
            </w:r>
          </w:p>
        </w:tc>
      </w:tr>
      <w:tr w14:paraId="1A3A1D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continue"/>
            <w:noWrap w:val="0"/>
            <w:vAlign w:val="center"/>
          </w:tcPr>
          <w:p w14:paraId="72EBC610">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14114C16">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SO</w:t>
            </w:r>
            <w:r>
              <w:rPr>
                <w:rFonts w:hint="eastAsia" w:ascii="Times New Roman" w:hAnsi="Times New Roman" w:cs="Times New Roman"/>
                <w:snapToGrid w:val="0"/>
                <w:color w:val="000000"/>
                <w:kern w:val="21"/>
                <w:szCs w:val="21"/>
                <w:highlight w:val="none"/>
                <w:vertAlign w:val="subscript"/>
                <w:lang w:val="en-US" w:eastAsia="zh-CN"/>
              </w:rPr>
              <w:t>2</w:t>
            </w:r>
          </w:p>
        </w:tc>
        <w:tc>
          <w:tcPr>
            <w:tcW w:w="1701" w:type="dxa"/>
            <w:noWrap w:val="0"/>
            <w:vAlign w:val="center"/>
          </w:tcPr>
          <w:p w14:paraId="3F881564">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0.004</w:t>
            </w:r>
          </w:p>
        </w:tc>
        <w:tc>
          <w:tcPr>
            <w:tcW w:w="1276" w:type="dxa"/>
            <w:noWrap w:val="0"/>
            <w:vAlign w:val="center"/>
          </w:tcPr>
          <w:p w14:paraId="62847208">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32D65B43">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6F55ADE2">
            <w:pPr>
              <w:keepNext w:val="0"/>
              <w:keepLines w:val="0"/>
              <w:widowControl/>
              <w:suppressLineNumbers w:val="0"/>
              <w:jc w:val="center"/>
              <w:textAlignment w:val="center"/>
              <w:rPr>
                <w:rFonts w:hint="default" w:ascii="Times New Roman" w:hAnsi="Times New Roman" w:eastAsia="宋体" w:cs="Times New Roman"/>
                <w:snapToGrid w:val="0"/>
                <w:color w:val="000000"/>
                <w:kern w:val="21"/>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w:t>
            </w:r>
            <w:r>
              <w:rPr>
                <w:rFonts w:hint="eastAsia" w:cs="Times New Roman"/>
                <w:i w:val="0"/>
                <w:iCs w:val="0"/>
                <w:color w:val="000000"/>
                <w:kern w:val="0"/>
                <w:sz w:val="24"/>
                <w:szCs w:val="24"/>
                <w:u w:val="none"/>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2</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28E67FA9">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4D1B4179">
            <w:pPr>
              <w:keepNext w:val="0"/>
              <w:keepLines w:val="0"/>
              <w:widowControl/>
              <w:suppressLineNumbers w:val="0"/>
              <w:jc w:val="center"/>
              <w:textAlignment w:val="center"/>
              <w:rPr>
                <w:rFonts w:hint="eastAsia" w:ascii="Times New Roman" w:hAnsi="Times New Roman" w:eastAsia="宋体" w:cs="Times New Roman"/>
                <w:snapToGrid w:val="0"/>
                <w:color w:val="000000"/>
                <w:kern w:val="21"/>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w:t>
            </w:r>
            <w:r>
              <w:rPr>
                <w:rFonts w:hint="eastAsia" w:cs="Times New Roman"/>
                <w:i w:val="0"/>
                <w:iCs w:val="0"/>
                <w:color w:val="000000"/>
                <w:kern w:val="0"/>
                <w:sz w:val="24"/>
                <w:szCs w:val="24"/>
                <w:u w:val="none"/>
                <w:lang w:val="en-US" w:eastAsia="zh-CN" w:bidi="ar"/>
              </w:rPr>
              <w:t>224</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79B341AF">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w:t>
            </w:r>
            <w:r>
              <w:rPr>
                <w:rFonts w:ascii="Times New Roman" w:hAnsi="Times New Roman"/>
                <w:snapToGrid w:val="0"/>
                <w:color w:val="auto"/>
                <w:kern w:val="21"/>
                <w:sz w:val="24"/>
                <w:szCs w:val="24"/>
                <w:highlight w:val="none"/>
              </w:rPr>
              <w:t>0</w:t>
            </w:r>
            <w:r>
              <w:rPr>
                <w:rFonts w:hint="eastAsia" w:ascii="Times New Roman" w:hAnsi="Times New Roman"/>
                <w:snapToGrid w:val="0"/>
                <w:color w:val="auto"/>
                <w:kern w:val="21"/>
                <w:sz w:val="24"/>
                <w:szCs w:val="24"/>
                <w:highlight w:val="none"/>
                <w:lang w:val="en-US" w:eastAsia="zh-CN"/>
              </w:rPr>
              <w:t>.22</w:t>
            </w:r>
            <w:r>
              <w:rPr>
                <w:rFonts w:hint="eastAsia" w:ascii="Times New Roman" w:hAnsi="Times New Roman" w:cs="Times New Roman"/>
                <w:i w:val="0"/>
                <w:iCs w:val="0"/>
                <w:color w:val="000000"/>
                <w:kern w:val="2"/>
                <w:sz w:val="24"/>
                <w:szCs w:val="24"/>
                <w:u w:val="none"/>
                <w:lang w:val="en-US" w:eastAsia="zh-CN" w:bidi="ar-SA"/>
              </w:rPr>
              <w:t>t/a</w:t>
            </w:r>
          </w:p>
        </w:tc>
      </w:tr>
      <w:tr w14:paraId="2CCD96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continue"/>
            <w:noWrap w:val="0"/>
            <w:vAlign w:val="center"/>
          </w:tcPr>
          <w:p w14:paraId="1632623C">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462522BC">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NO</w:t>
            </w:r>
            <w:r>
              <w:rPr>
                <w:rFonts w:hint="eastAsia" w:ascii="Times New Roman" w:hAnsi="Times New Roman" w:cs="Times New Roman"/>
                <w:snapToGrid w:val="0"/>
                <w:color w:val="000000"/>
                <w:kern w:val="21"/>
                <w:szCs w:val="21"/>
                <w:highlight w:val="none"/>
                <w:vertAlign w:val="subscript"/>
                <w:lang w:val="en-US" w:eastAsia="zh-CN"/>
              </w:rPr>
              <w:t>x</w:t>
            </w:r>
          </w:p>
        </w:tc>
        <w:tc>
          <w:tcPr>
            <w:tcW w:w="1701" w:type="dxa"/>
            <w:noWrap w:val="0"/>
            <w:vAlign w:val="center"/>
          </w:tcPr>
          <w:p w14:paraId="5991E417">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0.177</w:t>
            </w:r>
          </w:p>
        </w:tc>
        <w:tc>
          <w:tcPr>
            <w:tcW w:w="1276" w:type="dxa"/>
            <w:noWrap w:val="0"/>
            <w:vAlign w:val="center"/>
          </w:tcPr>
          <w:p w14:paraId="762820B7">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2C49BD1C">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75B2467D">
            <w:pPr>
              <w:keepNext w:val="0"/>
              <w:keepLines w:val="0"/>
              <w:widowControl/>
              <w:suppressLineNumbers w:val="0"/>
              <w:jc w:val="center"/>
              <w:textAlignment w:val="center"/>
              <w:rPr>
                <w:rFonts w:hint="default" w:ascii="Times New Roman" w:hAnsi="Times New Roman" w:eastAsia="宋体" w:cs="Times New Roman"/>
                <w:snapToGrid w:val="0"/>
                <w:color w:val="000000"/>
                <w:kern w:val="21"/>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w:t>
            </w:r>
            <w:r>
              <w:rPr>
                <w:rFonts w:hint="eastAsia" w:cs="Times New Roman"/>
                <w:i w:val="0"/>
                <w:iCs w:val="0"/>
                <w:color w:val="000000"/>
                <w:kern w:val="0"/>
                <w:sz w:val="24"/>
                <w:szCs w:val="24"/>
                <w:u w:val="none"/>
                <w:lang w:val="en-US" w:eastAsia="zh-CN" w:bidi="ar"/>
              </w:rPr>
              <w:t>19</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35320B78">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3948901E">
            <w:pPr>
              <w:keepNext w:val="0"/>
              <w:keepLines w:val="0"/>
              <w:widowControl/>
              <w:suppressLineNumbers w:val="0"/>
              <w:jc w:val="center"/>
              <w:textAlignment w:val="center"/>
              <w:rPr>
                <w:rFonts w:hint="eastAsia" w:ascii="Times New Roman" w:hAnsi="Times New Roman" w:eastAsia="宋体" w:cs="Times New Roman"/>
                <w:snapToGrid w:val="0"/>
                <w:color w:val="000000"/>
                <w:kern w:val="21"/>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w:t>
            </w:r>
            <w:r>
              <w:rPr>
                <w:rFonts w:hint="eastAsia" w:cs="Times New Roman"/>
                <w:i w:val="0"/>
                <w:iCs w:val="0"/>
                <w:color w:val="000000"/>
                <w:kern w:val="0"/>
                <w:sz w:val="24"/>
                <w:szCs w:val="24"/>
                <w:u w:val="none"/>
                <w:lang w:val="en-US" w:eastAsia="zh-CN" w:bidi="ar"/>
              </w:rPr>
              <w:t>367</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23BD7584">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w:t>
            </w:r>
            <w:r>
              <w:rPr>
                <w:rFonts w:ascii="Times New Roman" w:hAnsi="Times New Roman"/>
                <w:snapToGrid w:val="0"/>
                <w:color w:val="auto"/>
                <w:kern w:val="21"/>
                <w:sz w:val="24"/>
                <w:szCs w:val="24"/>
                <w:highlight w:val="none"/>
              </w:rPr>
              <w:t>0</w:t>
            </w:r>
            <w:r>
              <w:rPr>
                <w:rFonts w:hint="eastAsia" w:ascii="Times New Roman" w:hAnsi="Times New Roman"/>
                <w:snapToGrid w:val="0"/>
                <w:color w:val="auto"/>
                <w:kern w:val="21"/>
                <w:sz w:val="24"/>
                <w:szCs w:val="24"/>
                <w:highlight w:val="none"/>
                <w:lang w:val="en-US" w:eastAsia="zh-CN"/>
              </w:rPr>
              <w:t>.19</w:t>
            </w:r>
            <w:r>
              <w:rPr>
                <w:rFonts w:hint="eastAsia" w:ascii="Times New Roman" w:hAnsi="Times New Roman" w:cs="Times New Roman"/>
                <w:i w:val="0"/>
                <w:iCs w:val="0"/>
                <w:color w:val="000000"/>
                <w:kern w:val="2"/>
                <w:sz w:val="24"/>
                <w:szCs w:val="24"/>
                <w:u w:val="none"/>
                <w:lang w:val="en-US" w:eastAsia="zh-CN" w:bidi="ar-SA"/>
              </w:rPr>
              <w:t>t/a</w:t>
            </w:r>
          </w:p>
        </w:tc>
      </w:tr>
      <w:tr w14:paraId="10D13A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restart"/>
            <w:noWrap w:val="0"/>
            <w:vAlign w:val="center"/>
          </w:tcPr>
          <w:p w14:paraId="0E59B3FF">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rPr>
            </w:pPr>
            <w:r>
              <w:rPr>
                <w:rFonts w:hint="default" w:ascii="Times New Roman" w:hAnsi="Times New Roman" w:cs="Times New Roman"/>
                <w:snapToGrid w:val="0"/>
                <w:color w:val="000000"/>
                <w:kern w:val="21"/>
                <w:szCs w:val="21"/>
                <w:highlight w:val="none"/>
              </w:rPr>
              <w:t>废水</w:t>
            </w:r>
          </w:p>
        </w:tc>
        <w:tc>
          <w:tcPr>
            <w:tcW w:w="1417" w:type="dxa"/>
            <w:noWrap w:val="0"/>
            <w:vAlign w:val="center"/>
          </w:tcPr>
          <w:p w14:paraId="71EC2150">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BOD</w:t>
            </w:r>
            <w:r>
              <w:rPr>
                <w:rFonts w:hint="eastAsia" w:ascii="Times New Roman" w:hAnsi="Times New Roman" w:cs="Times New Roman"/>
                <w:snapToGrid w:val="0"/>
                <w:color w:val="000000"/>
                <w:kern w:val="21"/>
                <w:szCs w:val="21"/>
                <w:highlight w:val="none"/>
                <w:vertAlign w:val="subscript"/>
                <w:lang w:val="en-US" w:eastAsia="zh-CN"/>
              </w:rPr>
              <w:t>5</w:t>
            </w:r>
          </w:p>
        </w:tc>
        <w:tc>
          <w:tcPr>
            <w:tcW w:w="1701" w:type="dxa"/>
            <w:noWrap w:val="0"/>
            <w:vAlign w:val="center"/>
          </w:tcPr>
          <w:p w14:paraId="46C65F5B">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0.03</w:t>
            </w:r>
            <w:r>
              <w:rPr>
                <w:rFonts w:hint="eastAsia" w:ascii="Times New Roman" w:hAnsi="Times New Roman" w:eastAsia="宋体" w:cs="Times New Roman"/>
                <w:snapToGrid w:val="0"/>
                <w:color w:val="000000"/>
                <w:kern w:val="21"/>
                <w:sz w:val="24"/>
                <w:szCs w:val="24"/>
                <w:highlight w:val="none"/>
                <w:lang w:val="en-US" w:eastAsia="zh-CN"/>
              </w:rPr>
              <w:t>/</w:t>
            </w:r>
          </w:p>
        </w:tc>
        <w:tc>
          <w:tcPr>
            <w:tcW w:w="1276" w:type="dxa"/>
            <w:noWrap w:val="0"/>
            <w:vAlign w:val="center"/>
          </w:tcPr>
          <w:p w14:paraId="6EC7D1C1">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7B0A0AAE">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73B25DEA">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default" w:ascii="Times New Roman" w:hAnsi="Times New Roman" w:eastAsia="宋体" w:cs="Times New Roman"/>
                <w:snapToGrid w:val="0"/>
                <w:color w:val="000000"/>
                <w:kern w:val="21"/>
                <w:sz w:val="24"/>
                <w:szCs w:val="24"/>
                <w:highlight w:val="none"/>
                <w:lang w:val="en-US" w:eastAsia="zh-CN"/>
              </w:rPr>
              <w:t>0.0</w:t>
            </w:r>
            <w:r>
              <w:rPr>
                <w:rFonts w:hint="eastAsia" w:ascii="Times New Roman" w:hAnsi="Times New Roman" w:cs="Times New Roman"/>
                <w:snapToGrid w:val="0"/>
                <w:color w:val="000000"/>
                <w:kern w:val="21"/>
                <w:sz w:val="24"/>
                <w:szCs w:val="24"/>
                <w:highlight w:val="none"/>
                <w:lang w:val="en-US" w:eastAsia="zh-CN"/>
              </w:rPr>
              <w:t>18</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01A61606">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17F7F6CA">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default" w:ascii="Times New Roman" w:hAnsi="Times New Roman" w:eastAsia="宋体" w:cs="Times New Roman"/>
                <w:snapToGrid w:val="0"/>
                <w:color w:val="000000"/>
                <w:kern w:val="21"/>
                <w:sz w:val="24"/>
                <w:szCs w:val="24"/>
                <w:highlight w:val="none"/>
                <w:lang w:val="en-US" w:eastAsia="zh-CN"/>
              </w:rPr>
              <w:t>0.0</w:t>
            </w:r>
            <w:r>
              <w:rPr>
                <w:rFonts w:hint="eastAsia" w:ascii="Times New Roman" w:hAnsi="Times New Roman" w:cs="Times New Roman"/>
                <w:snapToGrid w:val="0"/>
                <w:color w:val="000000"/>
                <w:kern w:val="21"/>
                <w:sz w:val="24"/>
                <w:szCs w:val="24"/>
                <w:highlight w:val="none"/>
                <w:lang w:val="en-US" w:eastAsia="zh-CN"/>
              </w:rPr>
              <w:t>44</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6F685B8D">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+0.</w:t>
            </w:r>
            <w:r>
              <w:rPr>
                <w:rFonts w:ascii="Times New Roman" w:hAnsi="Times New Roman"/>
                <w:snapToGrid w:val="0"/>
                <w:color w:val="auto"/>
                <w:kern w:val="21"/>
                <w:sz w:val="24"/>
                <w:szCs w:val="24"/>
                <w:highlight w:val="none"/>
              </w:rPr>
              <w:t>0</w:t>
            </w:r>
            <w:r>
              <w:rPr>
                <w:rFonts w:hint="eastAsia" w:ascii="Times New Roman" w:hAnsi="Times New Roman"/>
                <w:snapToGrid w:val="0"/>
                <w:color w:val="auto"/>
                <w:kern w:val="21"/>
                <w:sz w:val="24"/>
                <w:szCs w:val="24"/>
                <w:highlight w:val="none"/>
                <w:lang w:val="en-US" w:eastAsia="zh-CN"/>
              </w:rPr>
              <w:t>14</w:t>
            </w:r>
            <w:r>
              <w:rPr>
                <w:rFonts w:hint="eastAsia" w:ascii="Times New Roman" w:hAnsi="Times New Roman" w:cs="Times New Roman"/>
                <w:i w:val="0"/>
                <w:iCs w:val="0"/>
                <w:color w:val="000000"/>
                <w:kern w:val="2"/>
                <w:sz w:val="24"/>
                <w:szCs w:val="24"/>
                <w:u w:val="none"/>
                <w:lang w:val="en-US" w:eastAsia="zh-CN" w:bidi="ar-SA"/>
              </w:rPr>
              <w:t>t/a</w:t>
            </w:r>
          </w:p>
        </w:tc>
      </w:tr>
      <w:tr w14:paraId="184D48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continue"/>
            <w:noWrap w:val="0"/>
            <w:vAlign w:val="center"/>
          </w:tcPr>
          <w:p w14:paraId="650AB5EB">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4762C240">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COD</w:t>
            </w:r>
          </w:p>
        </w:tc>
        <w:tc>
          <w:tcPr>
            <w:tcW w:w="1701" w:type="dxa"/>
            <w:noWrap w:val="0"/>
            <w:vAlign w:val="center"/>
          </w:tcPr>
          <w:p w14:paraId="37249A28">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0.09</w:t>
            </w:r>
          </w:p>
        </w:tc>
        <w:tc>
          <w:tcPr>
            <w:tcW w:w="1276" w:type="dxa"/>
            <w:noWrap w:val="0"/>
            <w:vAlign w:val="center"/>
          </w:tcPr>
          <w:p w14:paraId="760E2593">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28FB0124">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4896B728">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default" w:ascii="Times New Roman" w:hAnsi="Times New Roman" w:eastAsia="宋体" w:cs="Times New Roman"/>
                <w:snapToGrid w:val="0"/>
                <w:color w:val="000000"/>
                <w:kern w:val="21"/>
                <w:sz w:val="24"/>
                <w:szCs w:val="24"/>
                <w:highlight w:val="none"/>
                <w:lang w:val="en-US" w:eastAsia="zh-CN"/>
              </w:rPr>
              <w:t>0.</w:t>
            </w:r>
            <w:r>
              <w:rPr>
                <w:rFonts w:hint="eastAsia" w:ascii="Times New Roman" w:hAnsi="Times New Roman" w:cs="Times New Roman"/>
                <w:snapToGrid w:val="0"/>
                <w:color w:val="000000"/>
                <w:kern w:val="21"/>
                <w:sz w:val="24"/>
                <w:szCs w:val="24"/>
                <w:highlight w:val="none"/>
                <w:lang w:val="en-US" w:eastAsia="zh-CN"/>
              </w:rPr>
              <w:t>026</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2E696F00">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0C308006">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default" w:ascii="Times New Roman" w:hAnsi="Times New Roman" w:eastAsia="宋体" w:cs="Times New Roman"/>
                <w:snapToGrid w:val="0"/>
                <w:color w:val="000000"/>
                <w:kern w:val="21"/>
                <w:sz w:val="24"/>
                <w:szCs w:val="24"/>
                <w:highlight w:val="none"/>
                <w:lang w:val="en-US" w:eastAsia="zh-CN"/>
              </w:rPr>
              <w:t>0.</w:t>
            </w:r>
            <w:r>
              <w:rPr>
                <w:rFonts w:hint="eastAsia" w:ascii="Times New Roman" w:hAnsi="Times New Roman" w:cs="Times New Roman"/>
                <w:snapToGrid w:val="0"/>
                <w:color w:val="000000"/>
                <w:kern w:val="21"/>
                <w:sz w:val="24"/>
                <w:szCs w:val="24"/>
                <w:highlight w:val="none"/>
                <w:lang w:val="en-US" w:eastAsia="zh-CN"/>
              </w:rPr>
              <w:t>116</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38702DF4">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+0.</w:t>
            </w:r>
            <w:r>
              <w:rPr>
                <w:rFonts w:ascii="Times New Roman" w:hAnsi="Times New Roman"/>
                <w:snapToGrid w:val="0"/>
                <w:color w:val="auto"/>
                <w:kern w:val="21"/>
                <w:sz w:val="24"/>
                <w:szCs w:val="24"/>
                <w:highlight w:val="none"/>
              </w:rPr>
              <w:t>0</w:t>
            </w:r>
            <w:r>
              <w:rPr>
                <w:rFonts w:hint="eastAsia" w:ascii="Times New Roman" w:hAnsi="Times New Roman"/>
                <w:snapToGrid w:val="0"/>
                <w:color w:val="auto"/>
                <w:kern w:val="21"/>
                <w:sz w:val="24"/>
                <w:szCs w:val="24"/>
                <w:highlight w:val="none"/>
                <w:lang w:val="en-US" w:eastAsia="zh-CN"/>
              </w:rPr>
              <w:t>26</w:t>
            </w:r>
            <w:r>
              <w:rPr>
                <w:rFonts w:hint="eastAsia" w:ascii="Times New Roman" w:hAnsi="Times New Roman" w:cs="Times New Roman"/>
                <w:i w:val="0"/>
                <w:iCs w:val="0"/>
                <w:color w:val="000000"/>
                <w:kern w:val="2"/>
                <w:sz w:val="24"/>
                <w:szCs w:val="24"/>
                <w:u w:val="none"/>
                <w:lang w:val="en-US" w:eastAsia="zh-CN" w:bidi="ar-SA"/>
              </w:rPr>
              <w:t>t/a</w:t>
            </w:r>
          </w:p>
        </w:tc>
      </w:tr>
      <w:tr w14:paraId="38B6EB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88" w:type="dxa"/>
            <w:vMerge w:val="continue"/>
            <w:noWrap w:val="0"/>
            <w:vAlign w:val="center"/>
          </w:tcPr>
          <w:p w14:paraId="0EBE28C1">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0F974425">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SS</w:t>
            </w:r>
          </w:p>
        </w:tc>
        <w:tc>
          <w:tcPr>
            <w:tcW w:w="1701" w:type="dxa"/>
            <w:noWrap w:val="0"/>
            <w:vAlign w:val="center"/>
          </w:tcPr>
          <w:p w14:paraId="46B56451">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0.1</w:t>
            </w:r>
          </w:p>
        </w:tc>
        <w:tc>
          <w:tcPr>
            <w:tcW w:w="1276" w:type="dxa"/>
            <w:noWrap w:val="0"/>
            <w:vAlign w:val="center"/>
          </w:tcPr>
          <w:p w14:paraId="28085978">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55C7411A">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5281112C">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default" w:ascii="Times New Roman" w:hAnsi="Times New Roman" w:eastAsia="宋体" w:cs="Times New Roman"/>
                <w:snapToGrid w:val="0"/>
                <w:color w:val="000000"/>
                <w:kern w:val="21"/>
                <w:sz w:val="24"/>
                <w:szCs w:val="24"/>
                <w:highlight w:val="none"/>
                <w:lang w:val="en-US" w:eastAsia="zh-CN"/>
              </w:rPr>
              <w:t>0.</w:t>
            </w:r>
            <w:r>
              <w:rPr>
                <w:rFonts w:hint="eastAsia" w:ascii="Times New Roman" w:hAnsi="Times New Roman" w:cs="Times New Roman"/>
                <w:snapToGrid w:val="0"/>
                <w:color w:val="000000"/>
                <w:kern w:val="21"/>
                <w:sz w:val="24"/>
                <w:szCs w:val="24"/>
                <w:highlight w:val="none"/>
                <w:lang w:val="en-US" w:eastAsia="zh-CN"/>
              </w:rPr>
              <w:t>018</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06690FD3">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69BFC6A0">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default" w:ascii="Times New Roman" w:hAnsi="Times New Roman" w:eastAsia="宋体" w:cs="Times New Roman"/>
                <w:snapToGrid w:val="0"/>
                <w:color w:val="000000"/>
                <w:kern w:val="21"/>
                <w:sz w:val="24"/>
                <w:szCs w:val="24"/>
                <w:highlight w:val="none"/>
                <w:lang w:val="en-US" w:eastAsia="zh-CN"/>
              </w:rPr>
              <w:t>0.</w:t>
            </w:r>
            <w:r>
              <w:rPr>
                <w:rFonts w:hint="eastAsia" w:ascii="Times New Roman" w:hAnsi="Times New Roman" w:cs="Times New Roman"/>
                <w:snapToGrid w:val="0"/>
                <w:color w:val="000000"/>
                <w:kern w:val="21"/>
                <w:sz w:val="24"/>
                <w:szCs w:val="24"/>
                <w:highlight w:val="none"/>
                <w:lang w:val="en-US" w:eastAsia="zh-CN"/>
              </w:rPr>
              <w:t>118</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0FCF2DB7">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+0.118</w:t>
            </w:r>
            <w:r>
              <w:rPr>
                <w:rFonts w:hint="eastAsia" w:ascii="Times New Roman" w:hAnsi="Times New Roman" w:cs="Times New Roman"/>
                <w:i w:val="0"/>
                <w:iCs w:val="0"/>
                <w:color w:val="000000"/>
                <w:kern w:val="2"/>
                <w:sz w:val="24"/>
                <w:szCs w:val="24"/>
                <w:u w:val="none"/>
                <w:lang w:val="en-US" w:eastAsia="zh-CN" w:bidi="ar-SA"/>
              </w:rPr>
              <w:t>t/a</w:t>
            </w:r>
          </w:p>
        </w:tc>
      </w:tr>
      <w:tr w14:paraId="12312D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continue"/>
            <w:noWrap w:val="0"/>
            <w:vAlign w:val="center"/>
          </w:tcPr>
          <w:p w14:paraId="7FB65A74">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45BB3A47">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氨氮</w:t>
            </w:r>
          </w:p>
        </w:tc>
        <w:tc>
          <w:tcPr>
            <w:tcW w:w="1701" w:type="dxa"/>
            <w:noWrap w:val="0"/>
            <w:vAlign w:val="center"/>
          </w:tcPr>
          <w:p w14:paraId="276E9CAE">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0.02</w:t>
            </w:r>
          </w:p>
        </w:tc>
        <w:tc>
          <w:tcPr>
            <w:tcW w:w="1276" w:type="dxa"/>
            <w:noWrap w:val="0"/>
            <w:vAlign w:val="center"/>
          </w:tcPr>
          <w:p w14:paraId="4F45BFEA">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338EA12A">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037D4604">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default" w:ascii="Times New Roman" w:hAnsi="Times New Roman" w:eastAsia="宋体" w:cs="Times New Roman"/>
                <w:snapToGrid w:val="0"/>
                <w:color w:val="000000"/>
                <w:kern w:val="21"/>
                <w:sz w:val="24"/>
                <w:szCs w:val="24"/>
                <w:highlight w:val="none"/>
                <w:lang w:val="en-US" w:eastAsia="zh-CN"/>
              </w:rPr>
              <w:t>0.0</w:t>
            </w:r>
            <w:r>
              <w:rPr>
                <w:rFonts w:hint="eastAsia" w:ascii="Times New Roman" w:hAnsi="Times New Roman" w:cs="Times New Roman"/>
                <w:snapToGrid w:val="0"/>
                <w:color w:val="000000"/>
                <w:kern w:val="21"/>
                <w:sz w:val="24"/>
                <w:szCs w:val="24"/>
                <w:highlight w:val="none"/>
                <w:lang w:val="en-US" w:eastAsia="zh-CN"/>
              </w:rPr>
              <w:t>03</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5F67474A">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76F3543D">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default" w:ascii="Times New Roman" w:hAnsi="Times New Roman" w:eastAsia="宋体" w:cs="Times New Roman"/>
                <w:snapToGrid w:val="0"/>
                <w:color w:val="000000"/>
                <w:kern w:val="21"/>
                <w:sz w:val="24"/>
                <w:szCs w:val="24"/>
                <w:highlight w:val="none"/>
                <w:lang w:val="en-US" w:eastAsia="zh-CN"/>
              </w:rPr>
              <w:t>0.0</w:t>
            </w:r>
            <w:r>
              <w:rPr>
                <w:rFonts w:hint="eastAsia" w:ascii="Times New Roman" w:hAnsi="Times New Roman" w:cs="Times New Roman"/>
                <w:snapToGrid w:val="0"/>
                <w:color w:val="000000"/>
                <w:kern w:val="21"/>
                <w:sz w:val="24"/>
                <w:szCs w:val="24"/>
                <w:highlight w:val="none"/>
                <w:lang w:val="en-US" w:eastAsia="zh-CN"/>
              </w:rPr>
              <w:t>23</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45F982D1">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+0.0</w:t>
            </w:r>
            <w:r>
              <w:rPr>
                <w:rFonts w:ascii="Times New Roman" w:hAnsi="Times New Roman"/>
                <w:snapToGrid w:val="0"/>
                <w:color w:val="auto"/>
                <w:kern w:val="21"/>
                <w:sz w:val="24"/>
                <w:szCs w:val="24"/>
                <w:highlight w:val="none"/>
              </w:rPr>
              <w:t>0</w:t>
            </w:r>
            <w:r>
              <w:rPr>
                <w:rFonts w:hint="eastAsia" w:ascii="Times New Roman" w:hAnsi="Times New Roman"/>
                <w:snapToGrid w:val="0"/>
                <w:color w:val="auto"/>
                <w:kern w:val="21"/>
                <w:sz w:val="24"/>
                <w:szCs w:val="24"/>
                <w:highlight w:val="none"/>
                <w:lang w:val="en-US" w:eastAsia="zh-CN"/>
              </w:rPr>
              <w:t>3</w:t>
            </w:r>
            <w:r>
              <w:rPr>
                <w:rFonts w:hint="eastAsia" w:ascii="Times New Roman" w:hAnsi="Times New Roman" w:cs="Times New Roman"/>
                <w:i w:val="0"/>
                <w:iCs w:val="0"/>
                <w:color w:val="000000"/>
                <w:kern w:val="2"/>
                <w:sz w:val="24"/>
                <w:szCs w:val="24"/>
                <w:u w:val="none"/>
                <w:lang w:val="en-US" w:eastAsia="zh-CN" w:bidi="ar-SA"/>
              </w:rPr>
              <w:t>t/a</w:t>
            </w:r>
          </w:p>
        </w:tc>
      </w:tr>
      <w:tr w14:paraId="039E51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restart"/>
            <w:noWrap w:val="0"/>
            <w:vAlign w:val="center"/>
          </w:tcPr>
          <w:p w14:paraId="5E68F3F3">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rPr>
            </w:pPr>
            <w:r>
              <w:rPr>
                <w:rFonts w:hint="default" w:ascii="Times New Roman" w:hAnsi="Times New Roman" w:cs="Times New Roman"/>
                <w:snapToGrid w:val="0"/>
                <w:color w:val="000000"/>
                <w:kern w:val="21"/>
                <w:szCs w:val="21"/>
                <w:highlight w:val="none"/>
              </w:rPr>
              <w:t>一般工业固体废物</w:t>
            </w:r>
          </w:p>
        </w:tc>
        <w:tc>
          <w:tcPr>
            <w:tcW w:w="1417" w:type="dxa"/>
            <w:noWrap w:val="0"/>
            <w:vAlign w:val="center"/>
          </w:tcPr>
          <w:p w14:paraId="5F3ACDE7">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生活垃圾</w:t>
            </w:r>
          </w:p>
        </w:tc>
        <w:tc>
          <w:tcPr>
            <w:tcW w:w="1701" w:type="dxa"/>
            <w:noWrap w:val="0"/>
            <w:vAlign w:val="center"/>
          </w:tcPr>
          <w:p w14:paraId="57CD589F">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1.8</w:t>
            </w:r>
          </w:p>
        </w:tc>
        <w:tc>
          <w:tcPr>
            <w:tcW w:w="1276" w:type="dxa"/>
            <w:noWrap w:val="0"/>
            <w:vAlign w:val="center"/>
          </w:tcPr>
          <w:p w14:paraId="117FD52D">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46B6184D">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71C51484">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1.44</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4CA2049A">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40726FB6">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cs="Times New Roman"/>
                <w:snapToGrid w:val="0"/>
                <w:color w:val="000000"/>
                <w:kern w:val="21"/>
                <w:sz w:val="24"/>
                <w:szCs w:val="24"/>
                <w:highlight w:val="none"/>
                <w:lang w:val="en-US" w:eastAsia="zh-CN"/>
              </w:rPr>
              <w:t>3.24</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1BF6832B">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+1.44</w:t>
            </w:r>
            <w:r>
              <w:rPr>
                <w:rFonts w:hint="eastAsia" w:ascii="Times New Roman" w:hAnsi="Times New Roman" w:cs="Times New Roman"/>
                <w:i w:val="0"/>
                <w:iCs w:val="0"/>
                <w:color w:val="000000"/>
                <w:kern w:val="2"/>
                <w:sz w:val="24"/>
                <w:szCs w:val="24"/>
                <w:u w:val="none"/>
                <w:lang w:val="en-US" w:eastAsia="zh-CN" w:bidi="ar-SA"/>
              </w:rPr>
              <w:t>t/a</w:t>
            </w:r>
          </w:p>
        </w:tc>
      </w:tr>
      <w:tr w14:paraId="26C54C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continue"/>
            <w:noWrap w:val="0"/>
            <w:vAlign w:val="center"/>
          </w:tcPr>
          <w:p w14:paraId="523680F6">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51ECD072">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废弃包装</w:t>
            </w:r>
          </w:p>
        </w:tc>
        <w:tc>
          <w:tcPr>
            <w:tcW w:w="1701" w:type="dxa"/>
            <w:noWrap w:val="0"/>
            <w:vAlign w:val="center"/>
          </w:tcPr>
          <w:p w14:paraId="1241CA3F">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4.4</w:t>
            </w:r>
          </w:p>
        </w:tc>
        <w:tc>
          <w:tcPr>
            <w:tcW w:w="1276" w:type="dxa"/>
            <w:noWrap w:val="0"/>
            <w:vAlign w:val="center"/>
          </w:tcPr>
          <w:p w14:paraId="30FD79EC">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2E6601E3">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74EA7D26">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default" w:ascii="Times New Roman" w:hAnsi="Times New Roman" w:eastAsia="宋体" w:cs="Times New Roman"/>
                <w:snapToGrid w:val="0"/>
                <w:color w:val="000000"/>
                <w:kern w:val="21"/>
                <w:sz w:val="24"/>
                <w:szCs w:val="24"/>
                <w:highlight w:val="none"/>
                <w:lang w:val="en-US" w:eastAsia="zh-CN"/>
              </w:rPr>
              <w:t>7.5</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5FFF165A">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5845D6CE">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cs="Times New Roman"/>
                <w:snapToGrid w:val="0"/>
                <w:color w:val="000000"/>
                <w:kern w:val="21"/>
                <w:sz w:val="24"/>
                <w:szCs w:val="24"/>
                <w:highlight w:val="none"/>
                <w:lang w:val="en-US" w:eastAsia="zh-CN"/>
              </w:rPr>
              <w:t>11.9</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042C0E3F">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+7.5</w:t>
            </w:r>
            <w:r>
              <w:rPr>
                <w:rFonts w:hint="eastAsia" w:ascii="Times New Roman" w:hAnsi="Times New Roman" w:cs="Times New Roman"/>
                <w:i w:val="0"/>
                <w:iCs w:val="0"/>
                <w:color w:val="000000"/>
                <w:kern w:val="2"/>
                <w:sz w:val="24"/>
                <w:szCs w:val="24"/>
                <w:u w:val="none"/>
                <w:lang w:val="en-US" w:eastAsia="zh-CN" w:bidi="ar-SA"/>
              </w:rPr>
              <w:t>t/a</w:t>
            </w:r>
          </w:p>
        </w:tc>
      </w:tr>
      <w:tr w14:paraId="17C4E3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restart"/>
            <w:noWrap w:val="0"/>
            <w:vAlign w:val="center"/>
          </w:tcPr>
          <w:p w14:paraId="0D423CD4">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rPr>
            </w:pPr>
            <w:r>
              <w:rPr>
                <w:rFonts w:hint="default" w:ascii="Times New Roman" w:hAnsi="Times New Roman" w:cs="Times New Roman"/>
                <w:snapToGrid w:val="0"/>
                <w:color w:val="000000"/>
                <w:kern w:val="21"/>
                <w:szCs w:val="21"/>
                <w:highlight w:val="none"/>
              </w:rPr>
              <w:t>危险废物</w:t>
            </w:r>
          </w:p>
        </w:tc>
        <w:tc>
          <w:tcPr>
            <w:tcW w:w="1417" w:type="dxa"/>
            <w:noWrap w:val="0"/>
            <w:vAlign w:val="center"/>
          </w:tcPr>
          <w:p w14:paraId="2058DB73">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含油污泥</w:t>
            </w:r>
          </w:p>
        </w:tc>
        <w:tc>
          <w:tcPr>
            <w:tcW w:w="1701" w:type="dxa"/>
            <w:noWrap w:val="0"/>
            <w:vAlign w:val="center"/>
          </w:tcPr>
          <w:p w14:paraId="5924FD31">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276" w:type="dxa"/>
            <w:noWrap w:val="0"/>
            <w:vAlign w:val="center"/>
          </w:tcPr>
          <w:p w14:paraId="655F9291">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73F17613">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4CFD0B47">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8.73</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7F8DE0E9">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2763F8E9">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cs="Times New Roman"/>
                <w:snapToGrid w:val="0"/>
                <w:color w:val="000000"/>
                <w:kern w:val="21"/>
                <w:sz w:val="24"/>
                <w:szCs w:val="24"/>
                <w:highlight w:val="none"/>
                <w:lang w:val="en-US" w:eastAsia="zh-CN"/>
              </w:rPr>
              <w:t>8.73</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19D351E8">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+8.73</w:t>
            </w:r>
            <w:r>
              <w:rPr>
                <w:rFonts w:hint="eastAsia" w:ascii="Times New Roman" w:hAnsi="Times New Roman" w:cs="Times New Roman"/>
                <w:i w:val="0"/>
                <w:iCs w:val="0"/>
                <w:color w:val="000000"/>
                <w:kern w:val="2"/>
                <w:sz w:val="24"/>
                <w:szCs w:val="24"/>
                <w:u w:val="none"/>
                <w:lang w:val="en-US" w:eastAsia="zh-CN" w:bidi="ar-SA"/>
              </w:rPr>
              <w:t>t/a</w:t>
            </w:r>
          </w:p>
        </w:tc>
      </w:tr>
      <w:tr w14:paraId="23F388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88" w:type="dxa"/>
            <w:vMerge w:val="continue"/>
            <w:noWrap w:val="0"/>
            <w:vAlign w:val="center"/>
          </w:tcPr>
          <w:p w14:paraId="28755909">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1156A410">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废润滑油</w:t>
            </w:r>
          </w:p>
        </w:tc>
        <w:tc>
          <w:tcPr>
            <w:tcW w:w="1701" w:type="dxa"/>
            <w:noWrap w:val="0"/>
            <w:vAlign w:val="center"/>
          </w:tcPr>
          <w:p w14:paraId="3442752B">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w:t>
            </w:r>
          </w:p>
        </w:tc>
        <w:tc>
          <w:tcPr>
            <w:tcW w:w="1276" w:type="dxa"/>
            <w:noWrap w:val="0"/>
            <w:vAlign w:val="center"/>
          </w:tcPr>
          <w:p w14:paraId="1B6D7F2F">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rPr>
            </w:pPr>
          </w:p>
        </w:tc>
        <w:tc>
          <w:tcPr>
            <w:tcW w:w="1701" w:type="dxa"/>
            <w:noWrap w:val="0"/>
            <w:vAlign w:val="center"/>
          </w:tcPr>
          <w:p w14:paraId="43E91992">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rPr>
            </w:pPr>
          </w:p>
        </w:tc>
        <w:tc>
          <w:tcPr>
            <w:tcW w:w="1559" w:type="dxa"/>
            <w:noWrap w:val="0"/>
            <w:vAlign w:val="center"/>
          </w:tcPr>
          <w:p w14:paraId="69BEC145">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default" w:ascii="Times New Roman" w:hAnsi="Times New Roman" w:eastAsia="宋体" w:cs="Times New Roman"/>
                <w:snapToGrid w:val="0"/>
                <w:color w:val="000000"/>
                <w:kern w:val="21"/>
                <w:sz w:val="24"/>
                <w:szCs w:val="24"/>
                <w:highlight w:val="none"/>
                <w:lang w:val="en-US" w:eastAsia="zh-CN"/>
              </w:rPr>
              <w:t>1</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1A4AD9EA">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rPr>
            </w:pPr>
          </w:p>
        </w:tc>
        <w:tc>
          <w:tcPr>
            <w:tcW w:w="1811" w:type="dxa"/>
            <w:shd w:val="clear" w:color="auto" w:fill="auto"/>
            <w:noWrap w:val="0"/>
            <w:vAlign w:val="center"/>
          </w:tcPr>
          <w:p w14:paraId="0E30BECB">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default" w:ascii="Times New Roman" w:hAnsi="Times New Roman" w:eastAsia="宋体" w:cs="Times New Roman"/>
                <w:snapToGrid w:val="0"/>
                <w:color w:val="000000"/>
                <w:kern w:val="21"/>
                <w:sz w:val="24"/>
                <w:szCs w:val="24"/>
                <w:highlight w:val="none"/>
                <w:lang w:val="en-US" w:eastAsia="zh-CN"/>
              </w:rPr>
              <w:t>1</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1DFDE892">
            <w:pPr>
              <w:pStyle w:val="26"/>
              <w:spacing w:beforeLines="0" w:afterLines="0" w:line="240" w:lineRule="auto"/>
              <w:jc w:val="center"/>
              <w:rPr>
                <w:rFonts w:hint="eastAsia"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+1</w:t>
            </w:r>
            <w:r>
              <w:rPr>
                <w:rFonts w:hint="eastAsia" w:ascii="Times New Roman" w:hAnsi="Times New Roman" w:cs="Times New Roman"/>
                <w:i w:val="0"/>
                <w:iCs w:val="0"/>
                <w:color w:val="000000"/>
                <w:kern w:val="2"/>
                <w:sz w:val="24"/>
                <w:szCs w:val="24"/>
                <w:u w:val="none"/>
                <w:lang w:val="en-US" w:eastAsia="zh-CN" w:bidi="ar-SA"/>
              </w:rPr>
              <w:t>t/a</w:t>
            </w:r>
          </w:p>
        </w:tc>
      </w:tr>
      <w:tr w14:paraId="67AAFF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continue"/>
            <w:noWrap w:val="0"/>
            <w:vAlign w:val="center"/>
          </w:tcPr>
          <w:p w14:paraId="5FCA0CD2">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2640C752">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废活性炭</w:t>
            </w:r>
          </w:p>
        </w:tc>
        <w:tc>
          <w:tcPr>
            <w:tcW w:w="1701" w:type="dxa"/>
            <w:noWrap w:val="0"/>
            <w:vAlign w:val="center"/>
          </w:tcPr>
          <w:p w14:paraId="101FA93C">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276" w:type="dxa"/>
            <w:noWrap w:val="0"/>
            <w:vAlign w:val="center"/>
          </w:tcPr>
          <w:p w14:paraId="659D58D4">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150F7E15">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4A8CA3A6">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7.24</w:t>
            </w:r>
          </w:p>
        </w:tc>
        <w:tc>
          <w:tcPr>
            <w:tcW w:w="1398" w:type="dxa"/>
            <w:noWrap w:val="0"/>
            <w:vAlign w:val="center"/>
          </w:tcPr>
          <w:p w14:paraId="43C9653E">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7EC677E3">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cs="Times New Roman"/>
                <w:snapToGrid w:val="0"/>
                <w:color w:val="000000"/>
                <w:kern w:val="21"/>
                <w:sz w:val="24"/>
                <w:szCs w:val="24"/>
                <w:highlight w:val="none"/>
                <w:lang w:val="en-US" w:eastAsia="zh-CN"/>
              </w:rPr>
              <w:t>7.24</w:t>
            </w:r>
          </w:p>
        </w:tc>
        <w:tc>
          <w:tcPr>
            <w:tcW w:w="1337" w:type="dxa"/>
            <w:shd w:val="clear" w:color="auto" w:fill="auto"/>
            <w:noWrap w:val="0"/>
            <w:vAlign w:val="center"/>
          </w:tcPr>
          <w:p w14:paraId="26CE0997">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+7.24</w:t>
            </w:r>
            <w:r>
              <w:rPr>
                <w:rFonts w:hint="eastAsia" w:ascii="Times New Roman" w:hAnsi="Times New Roman" w:cs="Times New Roman"/>
                <w:i w:val="0"/>
                <w:iCs w:val="0"/>
                <w:color w:val="000000"/>
                <w:kern w:val="2"/>
                <w:sz w:val="24"/>
                <w:szCs w:val="24"/>
                <w:u w:val="none"/>
                <w:lang w:val="en-US" w:eastAsia="zh-CN" w:bidi="ar-SA"/>
              </w:rPr>
              <w:t>t/a</w:t>
            </w:r>
          </w:p>
        </w:tc>
      </w:tr>
      <w:tr w14:paraId="5E5C19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continue"/>
            <w:noWrap w:val="0"/>
            <w:vAlign w:val="center"/>
          </w:tcPr>
          <w:p w14:paraId="063CE89D">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3A96B37E">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沉渣</w:t>
            </w:r>
          </w:p>
        </w:tc>
        <w:tc>
          <w:tcPr>
            <w:tcW w:w="1701" w:type="dxa"/>
            <w:noWrap w:val="0"/>
            <w:vAlign w:val="center"/>
          </w:tcPr>
          <w:p w14:paraId="20A83253">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276" w:type="dxa"/>
            <w:noWrap w:val="0"/>
            <w:vAlign w:val="center"/>
          </w:tcPr>
          <w:p w14:paraId="48264C5C">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71803E33">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7DE0A238">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6</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1D9BFED5">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46892CC4">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cs="Times New Roman"/>
                <w:snapToGrid w:val="0"/>
                <w:color w:val="000000"/>
                <w:kern w:val="21"/>
                <w:sz w:val="24"/>
                <w:szCs w:val="24"/>
                <w:highlight w:val="none"/>
                <w:lang w:val="en-US" w:eastAsia="zh-CN"/>
              </w:rPr>
              <w:t>6</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2C887CB7">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+6</w:t>
            </w:r>
            <w:r>
              <w:rPr>
                <w:rFonts w:hint="eastAsia" w:ascii="Times New Roman" w:hAnsi="Times New Roman" w:cs="Times New Roman"/>
                <w:i w:val="0"/>
                <w:iCs w:val="0"/>
                <w:color w:val="000000"/>
                <w:kern w:val="2"/>
                <w:sz w:val="24"/>
                <w:szCs w:val="24"/>
                <w:u w:val="none"/>
                <w:lang w:val="en-US" w:eastAsia="zh-CN" w:bidi="ar-SA"/>
              </w:rPr>
              <w:t>t/a</w:t>
            </w:r>
          </w:p>
        </w:tc>
      </w:tr>
      <w:tr w14:paraId="31AF25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continue"/>
            <w:noWrap w:val="0"/>
            <w:vAlign w:val="center"/>
          </w:tcPr>
          <w:p w14:paraId="7E00A556">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39288ED0">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沥青沾染物</w:t>
            </w:r>
          </w:p>
        </w:tc>
        <w:tc>
          <w:tcPr>
            <w:tcW w:w="1701" w:type="dxa"/>
            <w:noWrap w:val="0"/>
            <w:vAlign w:val="center"/>
          </w:tcPr>
          <w:p w14:paraId="00EB9CC7">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w:t>
            </w:r>
          </w:p>
        </w:tc>
        <w:tc>
          <w:tcPr>
            <w:tcW w:w="1276" w:type="dxa"/>
            <w:noWrap w:val="0"/>
            <w:vAlign w:val="center"/>
          </w:tcPr>
          <w:p w14:paraId="0527B9AE">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w:t>
            </w:r>
          </w:p>
        </w:tc>
        <w:tc>
          <w:tcPr>
            <w:tcW w:w="1701" w:type="dxa"/>
            <w:noWrap w:val="0"/>
            <w:vAlign w:val="center"/>
          </w:tcPr>
          <w:p w14:paraId="4DE9CC54">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w:t>
            </w:r>
          </w:p>
        </w:tc>
        <w:tc>
          <w:tcPr>
            <w:tcW w:w="1559" w:type="dxa"/>
            <w:noWrap w:val="0"/>
            <w:vAlign w:val="center"/>
          </w:tcPr>
          <w:p w14:paraId="3E0B6370">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3t/a</w:t>
            </w:r>
          </w:p>
        </w:tc>
        <w:tc>
          <w:tcPr>
            <w:tcW w:w="1398" w:type="dxa"/>
            <w:noWrap w:val="0"/>
            <w:vAlign w:val="center"/>
          </w:tcPr>
          <w:p w14:paraId="715AF2E4">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13A59AC0">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3t/a</w:t>
            </w:r>
          </w:p>
        </w:tc>
        <w:tc>
          <w:tcPr>
            <w:tcW w:w="1337" w:type="dxa"/>
            <w:shd w:val="clear" w:color="auto" w:fill="auto"/>
            <w:noWrap w:val="0"/>
            <w:vAlign w:val="center"/>
          </w:tcPr>
          <w:p w14:paraId="74133397">
            <w:pPr>
              <w:pStyle w:val="26"/>
              <w:spacing w:beforeLines="0" w:afterLines="0" w:line="240" w:lineRule="auto"/>
              <w:jc w:val="center"/>
              <w:rPr>
                <w:rFonts w:hint="default" w:ascii="Times New Roman" w:hAnsi="Times New Roman"/>
                <w:snapToGrid w:val="0"/>
                <w:color w:val="auto"/>
                <w:kern w:val="21"/>
                <w:sz w:val="24"/>
                <w:szCs w:val="24"/>
                <w:highlight w:val="none"/>
                <w:lang w:val="en-US" w:eastAsia="zh-CN"/>
              </w:rPr>
            </w:pPr>
            <w:r>
              <w:rPr>
                <w:rFonts w:hint="eastAsia" w:ascii="Times New Roman" w:hAnsi="Times New Roman"/>
                <w:snapToGrid w:val="0"/>
                <w:color w:val="auto"/>
                <w:kern w:val="21"/>
                <w:sz w:val="24"/>
                <w:szCs w:val="24"/>
                <w:highlight w:val="none"/>
                <w:lang w:val="en-US" w:eastAsia="zh-CN"/>
              </w:rPr>
              <w:t>+3t/a</w:t>
            </w:r>
          </w:p>
        </w:tc>
      </w:tr>
    </w:tbl>
    <w:p w14:paraId="3E566152">
      <w:pPr>
        <w:pStyle w:val="11"/>
        <w:widowControl w:val="0"/>
        <w:numPr>
          <w:ilvl w:val="0"/>
          <w:numId w:val="0"/>
        </w:numPr>
        <w:jc w:val="both"/>
        <w:rPr>
          <w:rFonts w:hint="eastAsia" w:hAnsi="宋体"/>
          <w:b/>
          <w:bCs/>
          <w:snapToGrid w:val="0"/>
          <w:spacing w:val="-6"/>
          <w:kern w:val="21"/>
          <w:sz w:val="24"/>
          <w:szCs w:val="24"/>
          <w:lang w:val="en-US" w:eastAsia="zh-CN"/>
        </w:rPr>
      </w:pPr>
      <w:r>
        <w:rPr>
          <w:rFonts w:hAnsi="宋体"/>
          <w:snapToGrid w:val="0"/>
          <w:color w:val="000000"/>
          <w:kern w:val="21"/>
          <w:szCs w:val="21"/>
          <w:highlight w:val="none"/>
        </w:rPr>
        <w:t>注：</w:t>
      </w:r>
      <w:r>
        <w:rPr>
          <w:rFonts w:hAnsi="宋体"/>
          <w:snapToGrid w:val="0"/>
          <w:color w:val="000000"/>
          <w:spacing w:val="-16"/>
          <w:kern w:val="21"/>
          <w:szCs w:val="21"/>
          <w:highlight w:val="none"/>
        </w:rPr>
        <w:fldChar w:fldCharType="begin"/>
      </w:r>
      <w:r>
        <w:rPr>
          <w:rFonts w:hAnsi="宋体"/>
          <w:snapToGrid w:val="0"/>
          <w:color w:val="000000"/>
          <w:spacing w:val="-16"/>
          <w:kern w:val="21"/>
          <w:szCs w:val="21"/>
          <w:highlight w:val="none"/>
        </w:rPr>
        <w:instrText xml:space="preserve"> = 6 \* GB3 \* MERGEFORMAT </w:instrText>
      </w:r>
      <w:r>
        <w:rPr>
          <w:rFonts w:hAnsi="宋体"/>
          <w:snapToGrid w:val="0"/>
          <w:color w:val="000000"/>
          <w:spacing w:val="-16"/>
          <w:kern w:val="21"/>
          <w:szCs w:val="21"/>
          <w:highlight w:val="none"/>
        </w:rPr>
        <w:fldChar w:fldCharType="separate"/>
      </w:r>
      <w:r>
        <w:rPr>
          <w:rFonts w:hint="eastAsia" w:hAnsi="宋体"/>
          <w:szCs w:val="21"/>
          <w:highlight w:val="none"/>
        </w:rPr>
        <w:t>⑥</w:t>
      </w:r>
      <w:r>
        <w:rPr>
          <w:rFonts w:hAnsi="宋体"/>
          <w:snapToGrid w:val="0"/>
          <w:color w:val="000000"/>
          <w:spacing w:val="-16"/>
          <w:kern w:val="21"/>
          <w:szCs w:val="21"/>
          <w:highlight w:val="none"/>
        </w:rPr>
        <w:fldChar w:fldCharType="end"/>
      </w:r>
      <w:r>
        <w:rPr>
          <w:rFonts w:hAnsi="宋体"/>
          <w:snapToGrid w:val="0"/>
          <w:color w:val="000000"/>
          <w:spacing w:val="-16"/>
          <w:kern w:val="21"/>
          <w:szCs w:val="21"/>
          <w:highlight w:val="none"/>
        </w:rPr>
        <w:t>=</w:t>
      </w:r>
      <w:r>
        <w:rPr>
          <w:rFonts w:hAnsi="宋体"/>
          <w:snapToGrid w:val="0"/>
          <w:color w:val="000000"/>
          <w:spacing w:val="-6"/>
          <w:kern w:val="21"/>
          <w:szCs w:val="21"/>
          <w:highlight w:val="none"/>
        </w:rPr>
        <w:fldChar w:fldCharType="begin"/>
      </w:r>
      <w:r>
        <w:rPr>
          <w:rFonts w:hAnsi="宋体"/>
          <w:snapToGrid w:val="0"/>
          <w:color w:val="000000"/>
          <w:spacing w:val="-6"/>
          <w:kern w:val="21"/>
          <w:szCs w:val="21"/>
          <w:highlight w:val="none"/>
        </w:rPr>
        <w:instrText xml:space="preserve"> = 1 \* GB3 \* MERGEFORMAT </w:instrText>
      </w:r>
      <w:r>
        <w:rPr>
          <w:rFonts w:hAnsi="宋体"/>
          <w:snapToGrid w:val="0"/>
          <w:color w:val="000000"/>
          <w:spacing w:val="-6"/>
          <w:kern w:val="21"/>
          <w:szCs w:val="21"/>
          <w:highlight w:val="none"/>
        </w:rPr>
        <w:fldChar w:fldCharType="separate"/>
      </w:r>
      <w:r>
        <w:rPr>
          <w:rFonts w:hint="eastAsia" w:hAnsi="宋体"/>
          <w:szCs w:val="21"/>
          <w:highlight w:val="none"/>
        </w:rPr>
        <w:t>①</w:t>
      </w:r>
      <w:r>
        <w:rPr>
          <w:rFonts w:hAnsi="宋体"/>
          <w:snapToGrid w:val="0"/>
          <w:color w:val="000000"/>
          <w:spacing w:val="-6"/>
          <w:kern w:val="21"/>
          <w:szCs w:val="21"/>
          <w:highlight w:val="none"/>
        </w:rPr>
        <w:fldChar w:fldCharType="end"/>
      </w:r>
      <w:r>
        <w:rPr>
          <w:rFonts w:hAnsi="宋体"/>
          <w:snapToGrid w:val="0"/>
          <w:color w:val="000000"/>
          <w:spacing w:val="-6"/>
          <w:kern w:val="21"/>
          <w:szCs w:val="21"/>
          <w:highlight w:val="none"/>
        </w:rPr>
        <w:t>+</w:t>
      </w:r>
      <w:r>
        <w:rPr>
          <w:rFonts w:hAnsi="宋体"/>
          <w:snapToGrid w:val="0"/>
          <w:color w:val="000000"/>
          <w:spacing w:val="-6"/>
          <w:kern w:val="21"/>
          <w:szCs w:val="21"/>
          <w:highlight w:val="none"/>
        </w:rPr>
        <w:fldChar w:fldCharType="begin"/>
      </w:r>
      <w:r>
        <w:rPr>
          <w:rFonts w:hAnsi="宋体"/>
          <w:snapToGrid w:val="0"/>
          <w:color w:val="000000"/>
          <w:spacing w:val="-6"/>
          <w:kern w:val="21"/>
          <w:szCs w:val="21"/>
          <w:highlight w:val="none"/>
        </w:rPr>
        <w:instrText xml:space="preserve"> = 3 \* GB3 \* MERGEFORMAT </w:instrText>
      </w:r>
      <w:r>
        <w:rPr>
          <w:rFonts w:hAnsi="宋体"/>
          <w:snapToGrid w:val="0"/>
          <w:color w:val="000000"/>
          <w:spacing w:val="-6"/>
          <w:kern w:val="21"/>
          <w:szCs w:val="21"/>
          <w:highlight w:val="none"/>
        </w:rPr>
        <w:fldChar w:fldCharType="separate"/>
      </w:r>
      <w:r>
        <w:rPr>
          <w:rFonts w:hint="eastAsia" w:hAnsi="宋体"/>
          <w:szCs w:val="21"/>
          <w:highlight w:val="none"/>
        </w:rPr>
        <w:t>③</w:t>
      </w:r>
      <w:r>
        <w:rPr>
          <w:rFonts w:hAnsi="宋体"/>
          <w:snapToGrid w:val="0"/>
          <w:color w:val="000000"/>
          <w:spacing w:val="-6"/>
          <w:kern w:val="21"/>
          <w:szCs w:val="21"/>
          <w:highlight w:val="none"/>
        </w:rPr>
        <w:fldChar w:fldCharType="end"/>
      </w:r>
      <w:r>
        <w:rPr>
          <w:rFonts w:hAnsi="宋体"/>
          <w:snapToGrid w:val="0"/>
          <w:color w:val="000000"/>
          <w:spacing w:val="-6"/>
          <w:kern w:val="21"/>
          <w:szCs w:val="21"/>
          <w:highlight w:val="none"/>
        </w:rPr>
        <w:t>+</w:t>
      </w:r>
      <w:r>
        <w:rPr>
          <w:rFonts w:hAnsi="宋体"/>
          <w:snapToGrid w:val="0"/>
          <w:color w:val="000000"/>
          <w:spacing w:val="-6"/>
          <w:kern w:val="21"/>
          <w:szCs w:val="21"/>
          <w:highlight w:val="none"/>
        </w:rPr>
        <w:fldChar w:fldCharType="begin"/>
      </w:r>
      <w:r>
        <w:rPr>
          <w:rFonts w:hAnsi="宋体"/>
          <w:snapToGrid w:val="0"/>
          <w:color w:val="000000"/>
          <w:spacing w:val="-6"/>
          <w:kern w:val="21"/>
          <w:szCs w:val="21"/>
          <w:highlight w:val="none"/>
        </w:rPr>
        <w:instrText xml:space="preserve"> = 4 \* GB3 \* MERGEFORMAT </w:instrText>
      </w:r>
      <w:r>
        <w:rPr>
          <w:rFonts w:hAnsi="宋体"/>
          <w:snapToGrid w:val="0"/>
          <w:color w:val="000000"/>
          <w:spacing w:val="-6"/>
          <w:kern w:val="21"/>
          <w:szCs w:val="21"/>
          <w:highlight w:val="none"/>
        </w:rPr>
        <w:fldChar w:fldCharType="separate"/>
      </w:r>
      <w:r>
        <w:rPr>
          <w:rFonts w:hint="eastAsia" w:hAnsi="宋体"/>
          <w:szCs w:val="21"/>
          <w:highlight w:val="none"/>
        </w:rPr>
        <w:t>④</w:t>
      </w:r>
      <w:r>
        <w:rPr>
          <w:rFonts w:hAnsi="宋体"/>
          <w:snapToGrid w:val="0"/>
          <w:color w:val="000000"/>
          <w:spacing w:val="-6"/>
          <w:kern w:val="21"/>
          <w:szCs w:val="21"/>
          <w:highlight w:val="none"/>
        </w:rPr>
        <w:fldChar w:fldCharType="end"/>
      </w:r>
      <w:r>
        <w:rPr>
          <w:rFonts w:hAnsi="宋体"/>
          <w:snapToGrid w:val="0"/>
          <w:color w:val="000000"/>
          <w:spacing w:val="-6"/>
          <w:kern w:val="21"/>
          <w:szCs w:val="21"/>
          <w:highlight w:val="none"/>
        </w:rPr>
        <w:t>-</w:t>
      </w:r>
      <w:r>
        <w:rPr>
          <w:rFonts w:hAnsi="宋体"/>
          <w:snapToGrid w:val="0"/>
          <w:color w:val="000000"/>
          <w:spacing w:val="-16"/>
          <w:kern w:val="21"/>
          <w:szCs w:val="21"/>
          <w:highlight w:val="none"/>
        </w:rPr>
        <w:fldChar w:fldCharType="begin"/>
      </w:r>
      <w:r>
        <w:rPr>
          <w:rFonts w:hAnsi="宋体"/>
          <w:snapToGrid w:val="0"/>
          <w:color w:val="000000"/>
          <w:spacing w:val="-16"/>
          <w:kern w:val="21"/>
          <w:szCs w:val="21"/>
          <w:highlight w:val="none"/>
        </w:rPr>
        <w:instrText xml:space="preserve"> = 5 \* GB3 \* MERGEFORMAT </w:instrText>
      </w:r>
      <w:r>
        <w:rPr>
          <w:rFonts w:hAnsi="宋体"/>
          <w:snapToGrid w:val="0"/>
          <w:color w:val="000000"/>
          <w:spacing w:val="-16"/>
          <w:kern w:val="21"/>
          <w:szCs w:val="21"/>
          <w:highlight w:val="none"/>
        </w:rPr>
        <w:fldChar w:fldCharType="separate"/>
      </w:r>
      <w:r>
        <w:rPr>
          <w:rFonts w:hint="eastAsia" w:hAnsi="宋体"/>
          <w:szCs w:val="21"/>
          <w:highlight w:val="none"/>
        </w:rPr>
        <w:t>⑤</w:t>
      </w:r>
      <w:r>
        <w:rPr>
          <w:rFonts w:hAnsi="宋体"/>
          <w:snapToGrid w:val="0"/>
          <w:color w:val="000000"/>
          <w:spacing w:val="-16"/>
          <w:kern w:val="21"/>
          <w:szCs w:val="21"/>
          <w:highlight w:val="none"/>
        </w:rPr>
        <w:fldChar w:fldCharType="end"/>
      </w:r>
      <w:r>
        <w:rPr>
          <w:rFonts w:hAnsi="宋体"/>
          <w:snapToGrid w:val="0"/>
          <w:color w:val="000000"/>
          <w:spacing w:val="-16"/>
          <w:kern w:val="21"/>
          <w:szCs w:val="21"/>
          <w:highlight w:val="none"/>
        </w:rPr>
        <w:t>；</w:t>
      </w:r>
      <w:r>
        <w:rPr>
          <w:rFonts w:hAnsi="宋体"/>
          <w:snapToGrid w:val="0"/>
          <w:color w:val="000000"/>
          <w:spacing w:val="-6"/>
          <w:kern w:val="21"/>
          <w:szCs w:val="21"/>
          <w:highlight w:val="none"/>
        </w:rPr>
        <w:fldChar w:fldCharType="begin"/>
      </w:r>
      <w:r>
        <w:rPr>
          <w:rFonts w:hAnsi="宋体"/>
          <w:snapToGrid w:val="0"/>
          <w:color w:val="000000"/>
          <w:spacing w:val="-6"/>
          <w:kern w:val="21"/>
          <w:szCs w:val="21"/>
          <w:highlight w:val="none"/>
        </w:rPr>
        <w:instrText xml:space="preserve"> = 7 \* GB3 \* MERGEFORMAT </w:instrText>
      </w:r>
      <w:r>
        <w:rPr>
          <w:rFonts w:hAnsi="宋体"/>
          <w:snapToGrid w:val="0"/>
          <w:color w:val="000000"/>
          <w:spacing w:val="-6"/>
          <w:kern w:val="21"/>
          <w:szCs w:val="21"/>
          <w:highlight w:val="none"/>
        </w:rPr>
        <w:fldChar w:fldCharType="separate"/>
      </w:r>
      <w:r>
        <w:rPr>
          <w:rFonts w:hint="eastAsia" w:hAnsi="宋体"/>
          <w:szCs w:val="21"/>
          <w:highlight w:val="none"/>
        </w:rPr>
        <w:t>⑦</w:t>
      </w:r>
      <w:r>
        <w:rPr>
          <w:rFonts w:hAnsi="宋体"/>
          <w:snapToGrid w:val="0"/>
          <w:color w:val="000000"/>
          <w:spacing w:val="-6"/>
          <w:kern w:val="21"/>
          <w:szCs w:val="21"/>
          <w:highlight w:val="none"/>
        </w:rPr>
        <w:fldChar w:fldCharType="end"/>
      </w:r>
      <w:r>
        <w:rPr>
          <w:rFonts w:hAnsi="宋体"/>
          <w:snapToGrid w:val="0"/>
          <w:color w:val="000000"/>
          <w:spacing w:val="-6"/>
          <w:kern w:val="21"/>
          <w:szCs w:val="21"/>
          <w:highlight w:val="none"/>
        </w:rPr>
        <w:t>=</w:t>
      </w:r>
      <w:r>
        <w:rPr>
          <w:rFonts w:hAnsi="宋体"/>
          <w:snapToGrid w:val="0"/>
          <w:color w:val="000000"/>
          <w:spacing w:val="-16"/>
          <w:kern w:val="21"/>
          <w:szCs w:val="21"/>
          <w:highlight w:val="none"/>
        </w:rPr>
        <w:fldChar w:fldCharType="begin"/>
      </w:r>
      <w:r>
        <w:rPr>
          <w:rFonts w:hAnsi="宋体"/>
          <w:snapToGrid w:val="0"/>
          <w:color w:val="000000"/>
          <w:spacing w:val="-16"/>
          <w:kern w:val="21"/>
          <w:szCs w:val="21"/>
          <w:highlight w:val="none"/>
        </w:rPr>
        <w:instrText xml:space="preserve"> = 6 \* GB3 \* MERGEFORMAT </w:instrText>
      </w:r>
      <w:r>
        <w:rPr>
          <w:rFonts w:hAnsi="宋体"/>
          <w:snapToGrid w:val="0"/>
          <w:color w:val="000000"/>
          <w:spacing w:val="-16"/>
          <w:kern w:val="21"/>
          <w:szCs w:val="21"/>
          <w:highlight w:val="none"/>
        </w:rPr>
        <w:fldChar w:fldCharType="separate"/>
      </w:r>
      <w:r>
        <w:rPr>
          <w:rFonts w:hint="eastAsia" w:hAnsi="宋体"/>
          <w:szCs w:val="21"/>
          <w:highlight w:val="none"/>
        </w:rPr>
        <w:t>⑥</w:t>
      </w:r>
      <w:r>
        <w:rPr>
          <w:rFonts w:hAnsi="宋体"/>
          <w:snapToGrid w:val="0"/>
          <w:color w:val="000000"/>
          <w:spacing w:val="-16"/>
          <w:kern w:val="21"/>
          <w:szCs w:val="21"/>
          <w:highlight w:val="none"/>
        </w:rPr>
        <w:fldChar w:fldCharType="end"/>
      </w:r>
      <w:r>
        <w:rPr>
          <w:rFonts w:hAnsi="宋体"/>
          <w:snapToGrid w:val="0"/>
          <w:color w:val="000000"/>
          <w:spacing w:val="-16"/>
          <w:kern w:val="21"/>
          <w:szCs w:val="21"/>
          <w:highlight w:val="none"/>
        </w:rPr>
        <w:t>-</w:t>
      </w:r>
      <w:r>
        <w:rPr>
          <w:rFonts w:hAnsi="宋体"/>
          <w:snapToGrid w:val="0"/>
          <w:color w:val="000000"/>
          <w:spacing w:val="-6"/>
          <w:kern w:val="21"/>
          <w:szCs w:val="21"/>
          <w:highlight w:val="none"/>
        </w:rPr>
        <w:fldChar w:fldCharType="begin"/>
      </w:r>
      <w:r>
        <w:rPr>
          <w:rFonts w:hAnsi="宋体"/>
          <w:snapToGrid w:val="0"/>
          <w:color w:val="000000"/>
          <w:spacing w:val="-6"/>
          <w:kern w:val="21"/>
          <w:szCs w:val="21"/>
          <w:highlight w:val="none"/>
        </w:rPr>
        <w:instrText xml:space="preserve"> = 1 \* GB3 \* MERGEFORMAT </w:instrText>
      </w:r>
      <w:r>
        <w:rPr>
          <w:rFonts w:hAnsi="宋体"/>
          <w:snapToGrid w:val="0"/>
          <w:color w:val="000000"/>
          <w:spacing w:val="-6"/>
          <w:kern w:val="21"/>
          <w:szCs w:val="21"/>
          <w:highlight w:val="none"/>
        </w:rPr>
        <w:fldChar w:fldCharType="separate"/>
      </w:r>
      <w:r>
        <w:rPr>
          <w:rFonts w:hint="eastAsia" w:hAnsi="宋体"/>
          <w:szCs w:val="21"/>
          <w:highlight w:val="none"/>
        </w:rPr>
        <w:t>①</w:t>
      </w:r>
      <w:r>
        <w:rPr>
          <w:rFonts w:hAnsi="宋体"/>
          <w:snapToGrid w:val="0"/>
          <w:color w:val="000000"/>
          <w:spacing w:val="-6"/>
          <w:kern w:val="21"/>
          <w:szCs w:val="21"/>
          <w:highlight w:val="none"/>
        </w:rPr>
        <w:fldChar w:fldCharType="end"/>
      </w:r>
    </w:p>
    <w:p w14:paraId="5C9B79D5"/>
    <w:sectPr>
      <w:footerReference r:id="rId7" w:type="default"/>
      <w:pgSz w:w="16838" w:h="11906" w:orient="landscape"/>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8F6448D-DF0D-46F9-A1E6-AD88F9C76DB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2" w:fontKey="{13CB69F0-C52F-4518-A3AE-F5196A02F357}"/>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embedRegular r:id="rId3" w:fontKey="{B6AA7537-081A-45A4-A6C3-95A55F380298}"/>
  </w:font>
  <w:font w:name="仿宋_GB2312">
    <w:panose1 w:val="02010609030101010101"/>
    <w:charset w:val="86"/>
    <w:family w:val="modern"/>
    <w:pitch w:val="default"/>
    <w:sig w:usb0="00000001" w:usb1="080E0000" w:usb2="00000000" w:usb3="00000000" w:csb0="00040000" w:csb1="00000000"/>
    <w:embedRegular r:id="rId4" w:fontKey="{878EFC02-FCB6-4730-8B8D-0373D176FA49}"/>
  </w:font>
  <w:font w:name="方正小标宋_GBK">
    <w:panose1 w:val="02000000000000000000"/>
    <w:charset w:val="86"/>
    <w:family w:val="script"/>
    <w:pitch w:val="default"/>
    <w:sig w:usb0="A00002BF" w:usb1="38CF7CFA" w:usb2="00082016" w:usb3="00000000" w:csb0="00040001" w:csb1="00000000"/>
    <w:embedRegular r:id="rId5" w:fontKey="{DCDB3821-3ECD-4A0F-AF0F-0A0E39265F36}"/>
  </w:font>
  <w:font w:name="仿宋">
    <w:panose1 w:val="02010609060101010101"/>
    <w:charset w:val="86"/>
    <w:family w:val="auto"/>
    <w:pitch w:val="default"/>
    <w:sig w:usb0="800002BF" w:usb1="38CF7CFA" w:usb2="00000016" w:usb3="00000000" w:csb0="00040001" w:csb1="00000000"/>
    <w:embedRegular r:id="rId6" w:fontKey="{764849DD-D73F-467D-919A-5C6AE2901DFF}"/>
  </w:font>
  <w:font w:name="Wingdings 2">
    <w:panose1 w:val="05020102010507070707"/>
    <w:charset w:val="02"/>
    <w:family w:val="auto"/>
    <w:pitch w:val="default"/>
    <w:sig w:usb0="00000000" w:usb1="00000000" w:usb2="00000000" w:usb3="00000000" w:csb0="80000000" w:csb1="00000000"/>
    <w:embedRegular r:id="rId7" w:fontKey="{109A4692-7CC2-413F-9BE4-C359D3E7C35F}"/>
  </w:font>
  <w:font w:name="楷体">
    <w:panose1 w:val="02010609060101010101"/>
    <w:charset w:val="86"/>
    <w:family w:val="auto"/>
    <w:pitch w:val="default"/>
    <w:sig w:usb0="800002BF" w:usb1="38CF7CFA" w:usb2="00000016" w:usb3="00000000" w:csb0="00040001" w:csb1="00000000"/>
    <w:embedRegular r:id="rId8" w:fontKey="{CD00D5CE-776B-41BD-92C0-3A818DCD46F5}"/>
  </w:font>
  <w:font w:name="PMingLiU">
    <w:altName w:val="Microsoft JhengHei UI"/>
    <w:panose1 w:val="02010601000101010101"/>
    <w:charset w:val="88"/>
    <w:family w:val="roman"/>
    <w:pitch w:val="default"/>
    <w:sig w:usb0="00000000" w:usb1="00000000" w:usb2="00000016" w:usb3="00000000" w:csb0="00100001" w:csb1="00000000"/>
    <w:embedRegular r:id="rId9" w:fontKey="{85D2C305-C530-4960-A7B9-F67162513ED5}"/>
  </w:font>
  <w:font w:name="Microsoft JhengHei UI">
    <w:panose1 w:val="020B0604030504040204"/>
    <w:charset w:val="88"/>
    <w:family w:val="auto"/>
    <w:pitch w:val="default"/>
    <w:sig w:usb0="000002A7" w:usb1="28CF4400" w:usb2="00000016" w:usb3="00000000" w:csb0="00100009" w:csb1="00000000"/>
  </w:font>
  <w:font w:name="Segoe UI">
    <w:panose1 w:val="020B0502040204020203"/>
    <w:charset w:val="00"/>
    <w:family w:val="auto"/>
    <w:pitch w:val="default"/>
    <w:sig w:usb0="E4002EFF" w:usb1="C000E47F" w:usb2="00000009" w:usb3="00000000" w:csb0="200001FF" w:csb1="00000000"/>
    <w:embedRegular r:id="rId10" w:fontKey="{30C4344E-F012-4E50-85ED-51060137F14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5C477">
    <w:pPr>
      <w:pStyle w:val="12"/>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82FAC">
    <w:pPr>
      <w:pStyle w:val="12"/>
      <w:framePr w:wrap="around" w:vAnchor="text" w:hAnchor="margin" w:xAlign="center" w:y="1"/>
      <w:rPr>
        <w:rStyle w:val="22"/>
      </w:rPr>
    </w:pPr>
    <w:r>
      <w:fldChar w:fldCharType="begin"/>
    </w:r>
    <w:r>
      <w:rPr>
        <w:rStyle w:val="22"/>
      </w:rPr>
      <w:instrText xml:space="preserve">PAGE  </w:instrText>
    </w:r>
    <w:r>
      <w:fldChar w:fldCharType="end"/>
    </w:r>
  </w:p>
  <w:p w14:paraId="7E23D542">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A1C98">
    <w:pPr>
      <w:pStyle w:val="12"/>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8EB44">
    <w:pPr>
      <w:pStyle w:val="12"/>
      <w:ind w:right="360" w:firstLine="360"/>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20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AFA48A">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05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Ctyq+EBAADCAwAADgAAAGRycy9lMm9Eb2MueG1srVPNjtMwEL4j8Q6W&#10;7zTZSruqoqYroFqEhABp4QFcx2ks+U+eaZPyAPAGnLhw57n6HIydpAvLZQ9ckvGM/c33fR6vbwdr&#10;2FFF0N7V/GpRcqac9I12+5p//nT3YsUZoHCNMN6pmp8U8NvN82frPlRq6TtvGhUZgTio+lDzDjFU&#10;RQGyU1bAwgflqNj6aAXSMu6LJoqe0K0plmV5U/Q+NiF6qQAoux2LfEKMTwH0baul2np5sMrhiBqV&#10;EUiSoNMB+CazbVsl8UPbgkJmak5KMX+pCcW79C02a1HtowidlhMF8RQKjzRZoR01vUBtBQp2iPof&#10;KKtl9OBbXEhvi1FIdoRUXJWPvLnvRFBZC1kN4WI6/D9Y+f74MTLd1PyaLHHC0o2fv387//h1/vmV&#10;Lcvrm2RRH6CinfeB9uLwyg80OHMeKJmUD2206U+aGNUJ7XQxWA3IZDq0Wq5WJZUk1eYF4RcPx0ME&#10;fKO8ZSmoeaQbzMaK4zvAceu8JXVz/k4bk2/RuL8ShJkyReI+ckwRDrthErTzzYn00FOgPp2PXzjr&#10;aRBq7mjuOTNvHflMXHEO4hzs5kA4SQdrjpyN4WscZ+sQot53edoSKQgvD0hMs4BEY+w9saOrzRZM&#10;Y5hm58913vXw9D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QK3Kr4QEAAMIDAAAOAAAA&#10;AAAAAAEAIAAAAB4BAABkcnMvZTJvRG9jLnhtbFBLBQYAAAAABgAGAFkBAABxBQAAAAA=&#10;">
              <v:fill on="f" focussize="0,0"/>
              <v:stroke on="f"/>
              <v:imagedata o:title=""/>
              <o:lock v:ext="edit" aspectratio="f"/>
              <v:textbox inset="0mm,0mm,0mm,0mm" style="mso-fit-shape-to-text:t;">
                <w:txbxContent>
                  <w:p w14:paraId="4EAFA48A">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DDA53">
    <w:pPr>
      <w:pStyle w:val="12"/>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8" name="文本框 20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8F1381">
                          <w:pPr>
                            <w:pStyle w:val="12"/>
                          </w:pPr>
                          <w:r>
                            <w:fldChar w:fldCharType="begin"/>
                          </w:r>
                          <w:r>
                            <w:instrText xml:space="preserve"> PAGE  \* MERGEFORMAT </w:instrText>
                          </w:r>
                          <w:r>
                            <w:fldChar w:fldCharType="separate"/>
                          </w:r>
                          <w:r>
                            <w:t>8</w:t>
                          </w:r>
                          <w:r>
                            <w:fldChar w:fldCharType="end"/>
                          </w:r>
                        </w:p>
                      </w:txbxContent>
                    </wps:txbx>
                    <wps:bodyPr vert="horz" wrap="none" lIns="0" tIns="0" rIns="0" bIns="0" anchor="t" anchorCtr="0" upright="0">
                      <a:spAutoFit/>
                    </wps:bodyPr>
                  </wps:wsp>
                </a:graphicData>
              </a:graphic>
            </wp:anchor>
          </w:drawing>
        </mc:Choice>
        <mc:Fallback>
          <w:pict>
            <v:shape id="文本框 205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z4R3uIBAADDAwAADgAAAGRycy9lMm9Eb2MueG1srVPNjtMwEL4j8Q6W&#10;7zTZClCJmq6AahESAqSFB3Adp7HkP3mmTcoDwBtw4sKd5+pzMHaSLiyXPXBJxjPjb+b7Zry+Hqxh&#10;RxVBe1fzq0XJmXLSN9rta/75082TFWeAwjXCeKdqflLArzePH637UKml77xpVGQE4qDqQ807xFAV&#10;BchOWQELH5SjYOujFUjHuC+aKHpCt6ZYluXzovexCdFLBUDe7RjkE2J8CKBvWy3V1suDVQ5H1KiM&#10;QKIEnQ7AN7nbtlUSP7QtKGSm5sQU85eKkL1L32KzFtU+itBpObUgHtLCPU5WaEdFL1BbgYIdov4H&#10;ymoZPfgWF9LbYiSSFSEWV+U9bW47EVTmQlJDuIgO/w9Wvj9+jEw3NV8+pcE7YWnk5+/fzj9+nX9+&#10;Zcvy2YukUR+gotTbQMk4vPIDbc7sB3Im6kMbbfoTKUZxUvh0UVgNyGS6tFquViWFJMXmA+EXd9dD&#10;BHyjvGXJqHmkEWZlxfEd4Jg6p6Rqzt9oY/IYjfvLQZjJU6Texx6ThcNumAjtfHMiPvQWqE7n4xfO&#10;etqEmjtafM7MW0dCp6WZjTgbu9kQTtLFmiNno/kax+U6hKj3XV631BSElwekTjOB1MZYe+qOZpsl&#10;mPYwLc+f55x19/Y2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Fz4R3uIBAADDAwAADgAA&#10;AAAAAAABACAAAAAeAQAAZHJzL2Uyb0RvYy54bWxQSwUGAAAAAAYABgBZAQAAcgUAAAAA&#10;">
              <v:fill on="f" focussize="0,0"/>
              <v:stroke on="f"/>
              <v:imagedata o:title=""/>
              <o:lock v:ext="edit" aspectratio="f"/>
              <v:textbox inset="0mm,0mm,0mm,0mm" style="mso-fit-shape-to-text:t;">
                <w:txbxContent>
                  <w:p w14:paraId="3E8F1381">
                    <w:pPr>
                      <w:pStyle w:val="12"/>
                    </w:pPr>
                    <w:r>
                      <w:fldChar w:fldCharType="begin"/>
                    </w:r>
                    <w:r>
                      <w:instrText xml:space="preserve"> PAGE  \* MERGEFORMAT </w:instrText>
                    </w:r>
                    <w:r>
                      <w:fldChar w:fldCharType="separate"/>
                    </w:r>
                    <w:r>
                      <w:t>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17104"/>
    <w:multiLevelType w:val="multilevel"/>
    <w:tmpl w:val="9BD1710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7626073A"/>
    <w:multiLevelType w:val="singleLevel"/>
    <w:tmpl w:val="7626073A"/>
    <w:lvl w:ilvl="0" w:tentative="0">
      <w:start w:val="1"/>
      <w:numFmt w:val="bullet"/>
      <w:pStyle w:val="11"/>
      <w:lvlText w:val=""/>
      <w:lvlJc w:val="left"/>
      <w:pPr>
        <w:tabs>
          <w:tab w:val="left" w:pos="2040"/>
        </w:tabs>
        <w:ind w:left="2040" w:hanging="360"/>
      </w:pPr>
      <w:rPr>
        <w:rFonts w:hint="default" w:ascii="Wingdings" w:hAnsi="Wingdings"/>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欧阳雨艾 [2]">
    <w15:presenceInfo w15:providerId="WPS Office" w15:userId="29596747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E636F7"/>
    <w:rsid w:val="008B290C"/>
    <w:rsid w:val="019C2A3A"/>
    <w:rsid w:val="02160F0D"/>
    <w:rsid w:val="021D229B"/>
    <w:rsid w:val="028A475D"/>
    <w:rsid w:val="032D29B2"/>
    <w:rsid w:val="03EE456B"/>
    <w:rsid w:val="043833BC"/>
    <w:rsid w:val="04CC198C"/>
    <w:rsid w:val="052318B7"/>
    <w:rsid w:val="061B11E8"/>
    <w:rsid w:val="065A7130"/>
    <w:rsid w:val="06EA56A4"/>
    <w:rsid w:val="095D13C4"/>
    <w:rsid w:val="09D43C39"/>
    <w:rsid w:val="09E31E89"/>
    <w:rsid w:val="09F14739"/>
    <w:rsid w:val="0A27015B"/>
    <w:rsid w:val="0A522CFE"/>
    <w:rsid w:val="0AB134D3"/>
    <w:rsid w:val="0C4E093E"/>
    <w:rsid w:val="0CB376A1"/>
    <w:rsid w:val="0CDA7707"/>
    <w:rsid w:val="0E0367E9"/>
    <w:rsid w:val="0E3B2429"/>
    <w:rsid w:val="0E5A6A38"/>
    <w:rsid w:val="0F222C0B"/>
    <w:rsid w:val="0FE636F7"/>
    <w:rsid w:val="102C4210"/>
    <w:rsid w:val="111908A7"/>
    <w:rsid w:val="131B2827"/>
    <w:rsid w:val="13491142"/>
    <w:rsid w:val="138C54D3"/>
    <w:rsid w:val="145A197B"/>
    <w:rsid w:val="152409D2"/>
    <w:rsid w:val="15557ACD"/>
    <w:rsid w:val="156B07AE"/>
    <w:rsid w:val="165C0BA1"/>
    <w:rsid w:val="19753171"/>
    <w:rsid w:val="19D61D25"/>
    <w:rsid w:val="1A136F72"/>
    <w:rsid w:val="1A4D518E"/>
    <w:rsid w:val="1B3F2E2B"/>
    <w:rsid w:val="1B4A0FC4"/>
    <w:rsid w:val="1C077DEC"/>
    <w:rsid w:val="1DAF669D"/>
    <w:rsid w:val="210E0CB1"/>
    <w:rsid w:val="21DB45C0"/>
    <w:rsid w:val="22C32FEA"/>
    <w:rsid w:val="22C61650"/>
    <w:rsid w:val="237B4CE6"/>
    <w:rsid w:val="238316E2"/>
    <w:rsid w:val="24EF58C2"/>
    <w:rsid w:val="25E96F91"/>
    <w:rsid w:val="26ED00AB"/>
    <w:rsid w:val="2920678A"/>
    <w:rsid w:val="298F21F5"/>
    <w:rsid w:val="29AC2D42"/>
    <w:rsid w:val="2A4B1DFC"/>
    <w:rsid w:val="2A587E23"/>
    <w:rsid w:val="2A5E596B"/>
    <w:rsid w:val="2ADC19AA"/>
    <w:rsid w:val="2E8F0E60"/>
    <w:rsid w:val="2F376CC8"/>
    <w:rsid w:val="326A47D9"/>
    <w:rsid w:val="353D0710"/>
    <w:rsid w:val="357D44CC"/>
    <w:rsid w:val="3886018E"/>
    <w:rsid w:val="388C59F4"/>
    <w:rsid w:val="39B2454E"/>
    <w:rsid w:val="3E1877C8"/>
    <w:rsid w:val="3E6F7C2F"/>
    <w:rsid w:val="3FD339BE"/>
    <w:rsid w:val="408B4E91"/>
    <w:rsid w:val="4497233C"/>
    <w:rsid w:val="44B11B7E"/>
    <w:rsid w:val="45B83DEF"/>
    <w:rsid w:val="45E76415"/>
    <w:rsid w:val="472366AA"/>
    <w:rsid w:val="48FB1816"/>
    <w:rsid w:val="48FD73FC"/>
    <w:rsid w:val="494F20E3"/>
    <w:rsid w:val="49A12A13"/>
    <w:rsid w:val="4A303FA5"/>
    <w:rsid w:val="4BB40984"/>
    <w:rsid w:val="4D383276"/>
    <w:rsid w:val="4E1D708A"/>
    <w:rsid w:val="4EFB5FF6"/>
    <w:rsid w:val="4FC82E13"/>
    <w:rsid w:val="52146C98"/>
    <w:rsid w:val="529639BE"/>
    <w:rsid w:val="53CB7776"/>
    <w:rsid w:val="53FF0DCE"/>
    <w:rsid w:val="57F82DC0"/>
    <w:rsid w:val="5935286C"/>
    <w:rsid w:val="59DD4CA9"/>
    <w:rsid w:val="5A93773E"/>
    <w:rsid w:val="5B075199"/>
    <w:rsid w:val="5B707553"/>
    <w:rsid w:val="5ED53B92"/>
    <w:rsid w:val="64E47E0D"/>
    <w:rsid w:val="65966648"/>
    <w:rsid w:val="65FB0ADE"/>
    <w:rsid w:val="67090666"/>
    <w:rsid w:val="67C301C7"/>
    <w:rsid w:val="689478DF"/>
    <w:rsid w:val="69676DA1"/>
    <w:rsid w:val="69BE4554"/>
    <w:rsid w:val="69CB6DD2"/>
    <w:rsid w:val="6BA25F39"/>
    <w:rsid w:val="6DB02BDE"/>
    <w:rsid w:val="6E4C538E"/>
    <w:rsid w:val="700C2BAC"/>
    <w:rsid w:val="71E37527"/>
    <w:rsid w:val="71EF3DD8"/>
    <w:rsid w:val="727F5809"/>
    <w:rsid w:val="72CE4137"/>
    <w:rsid w:val="74E102DA"/>
    <w:rsid w:val="7552410A"/>
    <w:rsid w:val="766C3C31"/>
    <w:rsid w:val="7783749C"/>
    <w:rsid w:val="78B54DF6"/>
    <w:rsid w:val="78C200B7"/>
    <w:rsid w:val="78CE2999"/>
    <w:rsid w:val="78EC2E1F"/>
    <w:rsid w:val="7A765160"/>
    <w:rsid w:val="7AD61A68"/>
    <w:rsid w:val="7B3003E7"/>
    <w:rsid w:val="7B354F51"/>
    <w:rsid w:val="7B8B5655"/>
    <w:rsid w:val="7C3A6597"/>
    <w:rsid w:val="7DA57E5F"/>
    <w:rsid w:val="7F8861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line="360" w:lineRule="auto"/>
      <w:outlineLvl w:val="1"/>
    </w:pPr>
    <w:rPr>
      <w:sz w:val="28"/>
    </w:rPr>
  </w:style>
  <w:style w:type="paragraph" w:styleId="3">
    <w:name w:val="heading 3"/>
    <w:basedOn w:val="1"/>
    <w:next w:val="1"/>
    <w:qFormat/>
    <w:uiPriority w:val="0"/>
    <w:pPr>
      <w:keepNext/>
      <w:keepLines/>
      <w:outlineLvl w:val="2"/>
    </w:pPr>
    <w:rPr>
      <w:b/>
      <w:bCs/>
      <w:szCs w:val="32"/>
    </w:rPr>
  </w:style>
  <w:style w:type="paragraph" w:styleId="4">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pPr>
  </w:style>
  <w:style w:type="paragraph" w:styleId="6">
    <w:name w:val="annotation text"/>
    <w:basedOn w:val="1"/>
    <w:qFormat/>
    <w:uiPriority w:val="0"/>
    <w:pPr>
      <w:jc w:val="left"/>
    </w:pPr>
  </w:style>
  <w:style w:type="paragraph" w:styleId="7">
    <w:name w:val="Body Text"/>
    <w:basedOn w:val="1"/>
    <w:next w:val="8"/>
    <w:qFormat/>
    <w:uiPriority w:val="0"/>
    <w:pPr>
      <w:widowControl/>
      <w:snapToGrid w:val="0"/>
      <w:spacing w:before="60" w:after="160" w:line="259" w:lineRule="auto"/>
      <w:ind w:right="113"/>
    </w:pPr>
    <w:rPr>
      <w:kern w:val="0"/>
      <w:sz w:val="18"/>
      <w:szCs w:val="20"/>
    </w:rPr>
  </w:style>
  <w:style w:type="paragraph" w:styleId="8">
    <w:name w:val="Body Text First Indent 2"/>
    <w:basedOn w:val="9"/>
    <w:next w:val="7"/>
    <w:qFormat/>
    <w:uiPriority w:val="0"/>
    <w:pPr>
      <w:ind w:firstLine="420" w:firstLineChars="200"/>
    </w:pPr>
    <w:rPr>
      <w:rFonts w:ascii="Calibri" w:hAnsi="Calibri"/>
      <w:sz w:val="28"/>
      <w:szCs w:val="22"/>
    </w:rPr>
  </w:style>
  <w:style w:type="paragraph" w:styleId="9">
    <w:name w:val="Body Text Indent"/>
    <w:basedOn w:val="1"/>
    <w:next w:val="8"/>
    <w:qFormat/>
    <w:uiPriority w:val="0"/>
    <w:pPr>
      <w:spacing w:after="120"/>
      <w:ind w:left="420" w:leftChars="200"/>
    </w:pPr>
    <w:rPr>
      <w:kern w:val="0"/>
      <w:sz w:val="24"/>
      <w:szCs w:val="20"/>
    </w:rPr>
  </w:style>
  <w:style w:type="paragraph" w:styleId="10">
    <w:name w:val="Plain Text"/>
    <w:basedOn w:val="1"/>
    <w:qFormat/>
    <w:uiPriority w:val="0"/>
    <w:rPr>
      <w:rFonts w:ascii="宋体" w:hAnsi="Courier New" w:cs="Courier New"/>
      <w:sz w:val="21"/>
      <w:szCs w:val="21"/>
    </w:rPr>
  </w:style>
  <w:style w:type="paragraph" w:styleId="11">
    <w:name w:val="List Bullet 5"/>
    <w:basedOn w:val="1"/>
    <w:qFormat/>
    <w:uiPriority w:val="0"/>
    <w:pPr>
      <w:numPr>
        <w:ilvl w:val="0"/>
        <w:numId w:val="1"/>
      </w:numPr>
    </w:pPr>
  </w:style>
  <w:style w:type="paragraph" w:styleId="12">
    <w:name w:val="footer"/>
    <w:basedOn w:val="1"/>
    <w:qFormat/>
    <w:uiPriority w:val="99"/>
    <w:pPr>
      <w:tabs>
        <w:tab w:val="center" w:pos="4153"/>
        <w:tab w:val="right" w:pos="8306"/>
      </w:tabs>
      <w:snapToGrid w:val="0"/>
      <w:jc w:val="left"/>
    </w:pPr>
    <w:rPr>
      <w:kern w:val="0"/>
      <w:sz w:val="18"/>
      <w:szCs w:val="20"/>
    </w:rPr>
  </w:style>
  <w:style w:type="paragraph" w:styleId="13">
    <w:name w:val="header"/>
    <w:basedOn w:val="1"/>
    <w:next w:val="1"/>
    <w:qFormat/>
    <w:uiPriority w:val="0"/>
    <w:pPr>
      <w:pBdr>
        <w:bottom w:val="single" w:color="auto" w:sz="6" w:space="1"/>
      </w:pBdr>
      <w:tabs>
        <w:tab w:val="center" w:pos="4153"/>
        <w:tab w:val="right" w:pos="8306"/>
      </w:tabs>
      <w:snapToGrid w:val="0"/>
      <w:jc w:val="center"/>
    </w:pPr>
    <w:rPr>
      <w:kern w:val="0"/>
      <w:sz w:val="18"/>
      <w:szCs w:val="20"/>
    </w:rPr>
  </w:style>
  <w:style w:type="paragraph" w:styleId="14">
    <w:name w:val="index heading"/>
    <w:basedOn w:val="1"/>
    <w:next w:val="15"/>
    <w:qFormat/>
    <w:uiPriority w:val="0"/>
    <w:rPr>
      <w:rFonts w:ascii="宋体"/>
      <w:bCs/>
    </w:rPr>
  </w:style>
  <w:style w:type="paragraph" w:styleId="15">
    <w:name w:val="index 1"/>
    <w:basedOn w:val="1"/>
    <w:next w:val="1"/>
    <w:qFormat/>
    <w:uiPriority w:val="0"/>
    <w:rPr>
      <w:szCs w:val="20"/>
    </w:rPr>
  </w:style>
  <w:style w:type="paragraph" w:styleId="16">
    <w:name w:val="List"/>
    <w:basedOn w:val="1"/>
    <w:qFormat/>
    <w:uiPriority w:val="0"/>
    <w:pPr>
      <w:ind w:left="200" w:hanging="200" w:hangingChars="200"/>
    </w:pPr>
  </w:style>
  <w:style w:type="paragraph" w:styleId="17">
    <w:name w:val="Body Text 2"/>
    <w:basedOn w:val="1"/>
    <w:unhideWhenUsed/>
    <w:qFormat/>
    <w:uiPriority w:val="99"/>
    <w:pPr>
      <w:spacing w:line="360" w:lineRule="auto"/>
      <w:ind w:firstLine="602" w:firstLineChars="200"/>
    </w:pPr>
  </w:style>
  <w:style w:type="paragraph" w:styleId="18">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20">
    <w:name w:val="Table Grid"/>
    <w:basedOn w:val="19"/>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qFormat/>
    <w:uiPriority w:val="0"/>
  </w:style>
  <w:style w:type="character" w:styleId="23">
    <w:name w:val="annotation reference"/>
    <w:semiHidden/>
    <w:qFormat/>
    <w:uiPriority w:val="0"/>
    <w:rPr>
      <w:sz w:val="21"/>
    </w:rPr>
  </w:style>
  <w:style w:type="paragraph" w:customStyle="1" w:styleId="24">
    <w:name w:val="表格标题"/>
    <w:basedOn w:val="25"/>
    <w:qFormat/>
    <w:uiPriority w:val="0"/>
    <w:pPr>
      <w:spacing w:before="50" w:beforeLines="50"/>
      <w:jc w:val="center"/>
    </w:pPr>
  </w:style>
  <w:style w:type="paragraph" w:customStyle="1" w:styleId="25">
    <w:name w:val="表头"/>
    <w:basedOn w:val="5"/>
    <w:next w:val="1"/>
    <w:qFormat/>
    <w:uiPriority w:val="0"/>
    <w:pPr>
      <w:spacing w:line="240" w:lineRule="auto"/>
      <w:ind w:firstLine="0" w:firstLineChars="0"/>
      <w:jc w:val="center"/>
    </w:pPr>
    <w:rPr>
      <w:b/>
      <w:bCs/>
      <w:sz w:val="21"/>
      <w:szCs w:val="21"/>
    </w:rPr>
  </w:style>
  <w:style w:type="paragraph" w:customStyle="1" w:styleId="26">
    <w:name w:val="表格"/>
    <w:basedOn w:val="18"/>
    <w:next w:val="1"/>
    <w:qFormat/>
    <w:uiPriority w:val="0"/>
    <w:pPr>
      <w:adjustRightInd w:val="0"/>
      <w:snapToGrid w:val="0"/>
      <w:spacing w:beforeLines="10" w:afterLines="10" w:line="259" w:lineRule="auto"/>
      <w:jc w:val="center"/>
    </w:pPr>
    <w:rPr>
      <w:rFonts w:ascii="宋体"/>
      <w:kern w:val="0"/>
      <w:szCs w:val="20"/>
    </w:rPr>
  </w:style>
  <w:style w:type="character" w:customStyle="1" w:styleId="27">
    <w:name w:val="表格内容 Char"/>
    <w:link w:val="28"/>
    <w:qFormat/>
    <w:uiPriority w:val="0"/>
    <w:rPr>
      <w:rFonts w:ascii="Times New Roman" w:hAnsi="Times New Roman" w:eastAsia="宋体"/>
      <w:color w:val="000000"/>
      <w:sz w:val="21"/>
      <w:szCs w:val="18"/>
    </w:rPr>
  </w:style>
  <w:style w:type="paragraph" w:customStyle="1" w:styleId="28">
    <w:name w:val="表格内容"/>
    <w:basedOn w:val="1"/>
    <w:next w:val="29"/>
    <w:link w:val="27"/>
    <w:qFormat/>
    <w:uiPriority w:val="0"/>
    <w:pPr>
      <w:adjustRightInd w:val="0"/>
      <w:snapToGrid w:val="0"/>
      <w:spacing w:line="240" w:lineRule="auto"/>
      <w:ind w:left="0" w:leftChars="0" w:right="0" w:rightChars="0" w:firstLine="0" w:firstLineChars="0"/>
      <w:jc w:val="center"/>
    </w:pPr>
    <w:rPr>
      <w:rFonts w:ascii="Times New Roman" w:hAnsi="Times New Roman" w:eastAsia="宋体"/>
      <w:color w:val="000000"/>
      <w:sz w:val="21"/>
      <w:szCs w:val="18"/>
    </w:rPr>
  </w:style>
  <w:style w:type="paragraph" w:customStyle="1" w:styleId="29">
    <w:name w:val="文本正文"/>
    <w:basedOn w:val="1"/>
    <w:qFormat/>
    <w:uiPriority w:val="0"/>
    <w:pPr>
      <w:ind w:firstLine="480"/>
    </w:pPr>
  </w:style>
  <w:style w:type="paragraph" w:customStyle="1" w:styleId="30">
    <w:name w:val="报告书表格内容"/>
    <w:basedOn w:val="31"/>
    <w:qFormat/>
    <w:uiPriority w:val="0"/>
    <w:pPr>
      <w:spacing w:line="240" w:lineRule="auto"/>
    </w:pPr>
  </w:style>
  <w:style w:type="paragraph" w:customStyle="1" w:styleId="31">
    <w:name w:val="表格内容1"/>
    <w:basedOn w:val="1"/>
    <w:qFormat/>
    <w:uiPriority w:val="0"/>
    <w:pPr>
      <w:adjustRightInd w:val="0"/>
      <w:snapToGrid w:val="0"/>
      <w:spacing w:line="240" w:lineRule="auto"/>
      <w:ind w:firstLine="0" w:firstLineChars="0"/>
      <w:jc w:val="center"/>
      <w:textAlignment w:val="baseline"/>
    </w:pPr>
    <w:rPr>
      <w:rFonts w:ascii="Times New Roman" w:hAnsi="Times New Roman"/>
      <w:sz w:val="21"/>
      <w:szCs w:val="21"/>
    </w:rPr>
  </w:style>
  <w:style w:type="paragraph" w:customStyle="1" w:styleId="32">
    <w:name w:val="正文26"/>
    <w:basedOn w:val="1"/>
    <w:qFormat/>
    <w:uiPriority w:val="0"/>
    <w:pPr>
      <w:adjustRightInd w:val="0"/>
      <w:snapToGrid w:val="0"/>
      <w:spacing w:line="520" w:lineRule="exact"/>
      <w:ind w:firstLine="480" w:firstLineChars="200"/>
      <w:textAlignment w:val="baseline"/>
    </w:pPr>
    <w:rPr>
      <w:snapToGrid w:val="0"/>
      <w:kern w:val="0"/>
      <w:sz w:val="24"/>
    </w:rPr>
  </w:style>
  <w:style w:type="paragraph" w:customStyle="1" w:styleId="33">
    <w:name w:val="表格标题1"/>
    <w:basedOn w:val="1"/>
    <w:qFormat/>
    <w:uiPriority w:val="0"/>
    <w:pPr>
      <w:adjustRightInd w:val="0"/>
      <w:snapToGrid w:val="0"/>
      <w:jc w:val="center"/>
      <w:textAlignment w:val="baseline"/>
    </w:pPr>
    <w:rPr>
      <w:rFonts w:ascii="黑体" w:hAnsi="黑体" w:eastAsia="黑体" w:cs="宋体"/>
      <w:snapToGrid w:val="0"/>
      <w:kern w:val="0"/>
      <w:sz w:val="24"/>
    </w:rPr>
  </w:style>
  <w:style w:type="paragraph" w:customStyle="1" w:styleId="34">
    <w:name w:val="环评正文"/>
    <w:basedOn w:val="1"/>
    <w:qFormat/>
    <w:uiPriority w:val="0"/>
    <w:pPr>
      <w:autoSpaceDE w:val="0"/>
      <w:autoSpaceDN w:val="0"/>
      <w:adjustRightInd w:val="0"/>
      <w:snapToGrid w:val="0"/>
      <w:spacing w:line="360" w:lineRule="auto"/>
      <w:ind w:firstLine="200" w:firstLineChars="200"/>
    </w:pPr>
    <w:rPr>
      <w:rFonts w:cs="宋体"/>
      <w:kern w:val="0"/>
      <w:sz w:val="24"/>
      <w:szCs w:val="21"/>
    </w:rPr>
  </w:style>
  <w:style w:type="paragraph" w:customStyle="1" w:styleId="35">
    <w:name w:val="表格正文"/>
    <w:basedOn w:val="24"/>
    <w:autoRedefine/>
    <w:qFormat/>
    <w:uiPriority w:val="0"/>
    <w:pPr>
      <w:wordWrap w:val="0"/>
    </w:pPr>
    <w:rPr>
      <w:b w:val="0"/>
    </w:rPr>
  </w:style>
  <w:style w:type="paragraph" w:customStyle="1" w:styleId="36">
    <w:name w:val="表格标题-yj"/>
    <w:basedOn w:val="1"/>
    <w:qFormat/>
    <w:uiPriority w:val="0"/>
    <w:pPr>
      <w:adjustRightInd w:val="0"/>
      <w:snapToGrid w:val="0"/>
      <w:spacing w:line="240" w:lineRule="auto"/>
      <w:ind w:firstLine="0" w:firstLineChars="0"/>
      <w:jc w:val="center"/>
      <w:textAlignment w:val="baseline"/>
    </w:pPr>
    <w:rPr>
      <w:rFonts w:ascii="Times New Roman" w:hAnsi="Times New Roman" w:eastAsia="宋体" w:cs="Times New Roman"/>
      <w:b/>
      <w:bCs/>
      <w:snapToGrid w:val="0"/>
      <w:kern w:val="0"/>
      <w:sz w:val="24"/>
    </w:rPr>
  </w:style>
  <w:style w:type="paragraph" w:customStyle="1" w:styleId="37">
    <w:name w:val="表中文字"/>
    <w:basedOn w:val="1"/>
    <w:qFormat/>
    <w:uiPriority w:val="0"/>
    <w:pPr>
      <w:spacing w:line="240" w:lineRule="auto"/>
      <w:ind w:firstLine="0" w:firstLineChars="0"/>
      <w:jc w:val="center"/>
    </w:pPr>
    <w:rPr>
      <w:rFonts w:ascii="Times New Roman" w:hAnsi="Times New Roman" w:eastAsia="宋体" w:cs="Times New Roman"/>
      <w:sz w:val="21"/>
      <w:szCs w:val="21"/>
    </w:rPr>
  </w:style>
  <w:style w:type="paragraph" w:customStyle="1" w:styleId="38">
    <w:name w:val="表内容"/>
    <w:basedOn w:val="1"/>
    <w:next w:val="1"/>
    <w:qFormat/>
    <w:uiPriority w:val="0"/>
    <w:pPr>
      <w:spacing w:line="240" w:lineRule="auto"/>
      <w:ind w:firstLine="0" w:firstLineChars="0"/>
      <w:jc w:val="center"/>
    </w:pPr>
    <w:rPr>
      <w:rFonts w:eastAsia="Arial"/>
      <w:snapToGrid w:val="0"/>
      <w:sz w:val="21"/>
      <w:szCs w:val="21"/>
      <w:lang w:val="en-US" w:eastAsia="zh-CN" w:bidi="ar-SA"/>
    </w:rPr>
  </w:style>
  <w:style w:type="paragraph" w:customStyle="1" w:styleId="39">
    <w:name w:val="Default"/>
    <w:basedOn w:val="40"/>
    <w:next w:val="16"/>
    <w:qFormat/>
    <w:uiPriority w:val="0"/>
    <w:pPr>
      <w:widowControl w:val="0"/>
      <w:autoSpaceDE w:val="0"/>
      <w:autoSpaceDN w:val="0"/>
    </w:pPr>
    <w:rPr>
      <w:rFonts w:hint="eastAsia" w:ascii="黑体" w:hAnsi="黑体" w:eastAsia="黑体"/>
      <w:color w:val="000000"/>
      <w:sz w:val="24"/>
      <w:lang w:val="en-US" w:eastAsia="zh-CN" w:bidi="ar-SA"/>
    </w:rPr>
  </w:style>
  <w:style w:type="paragraph" w:customStyle="1" w:styleId="40">
    <w:name w:val="纯文本1"/>
    <w:basedOn w:val="1"/>
    <w:qFormat/>
    <w:uiPriority w:val="0"/>
    <w:pPr>
      <w:adjustRightInd w:val="0"/>
    </w:pPr>
    <w:rPr>
      <w:rFonts w:ascii="宋体" w:hAnsi="Courier New"/>
      <w:szCs w:val="20"/>
    </w:rPr>
  </w:style>
  <w:style w:type="paragraph" w:customStyle="1" w:styleId="41">
    <w:name w:val="表格内"/>
    <w:basedOn w:val="1"/>
    <w:qFormat/>
    <w:uiPriority w:val="0"/>
    <w:pPr>
      <w:spacing w:line="360" w:lineRule="exact"/>
      <w:jc w:val="center"/>
    </w:pPr>
    <w:rPr>
      <w:rFonts w:ascii="Calibri" w:hAnsi="Calibri"/>
      <w:snapToGrid w:val="0"/>
      <w:szCs w:val="21"/>
    </w:rPr>
  </w:style>
  <w:style w:type="paragraph" w:customStyle="1" w:styleId="42">
    <w:name w:val="样式 加粗 居中 行距: 固定值 25 磅"/>
    <w:basedOn w:val="1"/>
    <w:qFormat/>
    <w:uiPriority w:val="0"/>
    <w:pPr>
      <w:spacing w:line="500" w:lineRule="exact"/>
      <w:jc w:val="center"/>
    </w:pPr>
    <w:rPr>
      <w:rFonts w:cs="宋体"/>
      <w:b/>
      <w:bCs/>
      <w:szCs w:val="20"/>
    </w:rPr>
  </w:style>
  <w:style w:type="paragraph" w:customStyle="1" w:styleId="43">
    <w:name w:val="样式 正文缩进正文缩进2正文缩进 Char Char正文缩进 Char Char Char Char正文缩进 Char ..."/>
    <w:basedOn w:val="5"/>
    <w:qFormat/>
    <w:uiPriority w:val="0"/>
    <w:pPr>
      <w:spacing w:line="360" w:lineRule="auto"/>
      <w:ind w:firstLine="200"/>
    </w:pPr>
    <w:rPr>
      <w:rFonts w:cs="宋体"/>
      <w:sz w:val="24"/>
    </w:rPr>
  </w:style>
  <w:style w:type="paragraph" w:customStyle="1" w:styleId="44">
    <w:name w:val="文章正文"/>
    <w:basedOn w:val="1"/>
    <w:next w:val="1"/>
    <w:qFormat/>
    <w:uiPriority w:val="0"/>
    <w:pPr>
      <w:spacing w:line="360" w:lineRule="auto"/>
      <w:ind w:firstLine="883" w:firstLineChars="200"/>
    </w:pPr>
    <w:rPr>
      <w:rFonts w:ascii="Times New Roman" w:hAnsi="Times New Roman"/>
    </w:rPr>
  </w:style>
  <w:style w:type="paragraph" w:customStyle="1" w:styleId="45">
    <w:name w:val="MEL正文*"/>
    <w:basedOn w:val="1"/>
    <w:qFormat/>
    <w:uiPriority w:val="0"/>
    <w:pPr>
      <w:spacing w:line="500" w:lineRule="exact"/>
      <w:ind w:firstLine="200" w:firstLineChars="200"/>
    </w:pPr>
    <w:rPr>
      <w:rFonts w:ascii="宋体" w:hAnsi="宋体"/>
      <w:kern w:val="0"/>
      <w:sz w:val="24"/>
    </w:rPr>
  </w:style>
  <w:style w:type="paragraph" w:customStyle="1" w:styleId="46">
    <w:name w:val="表内文字"/>
    <w:basedOn w:val="1"/>
    <w:qFormat/>
    <w:uiPriority w:val="0"/>
    <w:pPr>
      <w:widowControl/>
      <w:overflowPunct w:val="0"/>
      <w:autoSpaceDE w:val="0"/>
      <w:autoSpaceDN w:val="0"/>
      <w:adjustRightInd w:val="0"/>
      <w:spacing w:line="300" w:lineRule="exact"/>
      <w:jc w:val="center"/>
    </w:pPr>
    <w:rPr>
      <w:rFonts w:ascii="宋体" w:hAnsi="楷体_GB2312" w:cs="楷体_GB2312"/>
      <w:kern w:val="0"/>
      <w:szCs w:val="22"/>
    </w:rPr>
  </w:style>
  <w:style w:type="character" w:customStyle="1" w:styleId="47">
    <w:name w:val="表头字体 Char"/>
    <w:link w:val="48"/>
    <w:qFormat/>
    <w:uiPriority w:val="0"/>
  </w:style>
  <w:style w:type="paragraph" w:customStyle="1" w:styleId="48">
    <w:name w:val="表头字体"/>
    <w:basedOn w:val="1"/>
    <w:link w:val="47"/>
    <w:qFormat/>
    <w:uiPriority w:val="0"/>
    <w:pPr>
      <w:spacing w:line="360" w:lineRule="auto"/>
      <w:jc w:val="center"/>
    </w:pPr>
  </w:style>
  <w:style w:type="paragraph" w:customStyle="1" w:styleId="49">
    <w:name w:val="环评标题"/>
    <w:basedOn w:val="34"/>
    <w:autoRedefine/>
    <w:qFormat/>
    <w:uiPriority w:val="0"/>
    <w:pPr>
      <w:ind w:firstLine="0" w:firstLineChars="0"/>
    </w:pPr>
    <w:rPr>
      <w:b/>
    </w:rPr>
  </w:style>
  <w:style w:type="paragraph" w:customStyle="1" w:styleId="50">
    <w:name w:val="表头邵"/>
    <w:basedOn w:val="1"/>
    <w:next w:val="1"/>
    <w:qFormat/>
    <w:uiPriority w:val="0"/>
    <w:pPr>
      <w:jc w:val="center"/>
    </w:pPr>
    <w:rPr>
      <w:b/>
      <w:szCs w:val="21"/>
    </w:rPr>
  </w:style>
  <w:style w:type="paragraph" w:customStyle="1" w:styleId="51">
    <w:name w:val="1正文段落"/>
    <w:basedOn w:val="1"/>
    <w:qFormat/>
    <w:uiPriority w:val="99"/>
    <w:pPr>
      <w:spacing w:line="360" w:lineRule="auto"/>
      <w:ind w:firstLine="200" w:firstLineChars="200"/>
    </w:pPr>
    <w:rPr>
      <w:snapToGrid w:val="0"/>
      <w:kern w:val="0"/>
      <w:sz w:val="24"/>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4" Type="http://schemas.microsoft.com/office/2011/relationships/people" Target="people.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er" Target="footer1.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w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extobjs>
    <extobj name="ECB019B1-382A-4266-B25C-5B523AA43C14-1">
      <extobjdata type="ECB019B1-382A-4266-B25C-5B523AA43C14" data="ewoJIkZpbGVJZCIgOiAiNDc2NzUzNTA2OTE1IiwKCSJHcm91cElkIiA6ICIzOTA4NTIzNTUiLAoJIkltYWdlIiA6ICJpVkJPUncwS0dnb0FBQUFOU1VoRVVnQUFCUWNBQUFIekNBWUFBQUNkY2FzcUFBQUFBWE5TUjBJQXJzNGM2UUFBSUFCSlJFRlVlSnpzM1hsY1ZXWCtCL0RQYzg2NUc1dW9LQzRvcUNoS2dvQlpMcGxUWTR2YVpwWlQvYlRNYXRReUhXMFoyL2R0c25UTUpqUExYTVpHeTJsVHM4eWNwakkzZGtKQlZGQnlReEZaTHBlN25PZjNCM0FIQkJSTE9CZjl2Rit2WHNGenpubk81MXhSdUYrZUJTQ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eW5EQTZBQkVSRVJFUkVmbXVrSkNvUUd1UTBrRlRoYjlVRlQ4QnpXeDBKdm9mQ2JmVDdkSHRRaGVsZGxGeHREQW5wOWpvVEVUVXNyQTRTRVJFUkVSRVJMV0U5K3piQjRvNkJnSURoVUFFSkd4Q0NFMUthQkJTTVRvZjFTQ0ZMZ1RjRW5BQmNFaGR6d093V1ZmdytZR2RhUmxHeHlNaTM4ZmlJQkVSRVJFUkVTbWhQV0pEckNZNVhFQ1pKb1M0dE9aQmk5a01SVldoS2dxRXdyZVJ2a1JLQ1k5SGg4ZmpnY3ZsaEpUL082WkxtU2gxL04zaDhueHpkRjlHQVFEZHlLeEU1SnY0cnpvUkVSRVJFZEVGckhOa2JKaXFpSEdLZ2x1RkVBa0FvS29xK3ZUdWhjanUzZEV0SWh5ZE9vVEMzOThmZm40Mm1NMmNWZXhMbkM0WDdIWTdTa3ZMY09Ub1VlemRsNGZkT1h1UXRYczNYQzQzcEpRNkJGS2xsSis0bk83bEIvZG03amM2TXhINUZoWUhpWWlJaUlpSUxsQmgzZnYwMU16bWhRSVlEQ0hNcllLQ01PYW02ekh5MnF2UXNVTW9BZ01DRVJEZ2IzUk1PZ3VsWldVb0tTN0I0YU1GK09iYjc3QnE5V2M0VVZRRVFMb2t4TTh1ajJ2YXI5bS9wQnFkazRoOEI0dURSRVJFUkVSRUY1eitwbTY5WGRkS2lPVkNpQ0NielliNGZyRjQ0dEVaNkIzVkMwTHdyZUw1UUVxSm5EMTc4Y3JyYzdGMVJ5TEt5OHNocFN6UnBaeTRYM1YvZ2N4TXA5RVppY2g0cXRFQmlJaUlpSWlJcUJsRlI1c2oybUNLRU1wOFJZaWdxSjZSK090RGY4R2pNeDVFYVB2MkxBeWVSNFFRYU51bURVWmVlelc2UlhSRjNvRURPSDY4MEFJaHJtc2xSYm0vV1UwcEtTbHhHWjJUaUl6RjRpQVJFUkVSRWRFRkpLSk5wNGVoS0U4SmdWYlJ2YU13NTI4dlllQWxGMFBUTktPalVSTlJWUVdSUGJwandNVUpTUDhsRTBlT0hEVUppSUdLeGVZNWVleklEMGJuSXlKanNUaElSRVJFUkVSMFlWQzc5dTczWjBVUmMxVkZzZmFQNzRjbGk5NUI1MDRkb1NpSzBkbW9pVldQSWh4eDlWVklTazdCa2FOSExaRDRZNnMyN1F0T0hqK1NCRUEyb2hzaU9nK3hPRWhFUkVSRVJIVCtFMTE2OTd0S0JlYXBxdXAvNWJDaGVPUFZGOUdtZFd1amMxRXpzMW9zR0g3bE1CeklQNGk5KzNJaElRZTNiaHVhV1hUOHlHNFdDSWt1VEN3T0VoRVJFUkVSbmVjNjllb1ZZaExtOXdIMERPL2FSYnp4Nmd2bzFMRUQxeGU4UUZrdEZzVDA3WVBOVzdmajJMSGpWaWlpajE5UTIzVWxKd3BPR3AyTmlKcmZCZldkSUNRa0t0QWFwSFRRVk9FdlZjVlBRRE1iblluK1I4THRkSHQwdTlCRnFWMVVIQzNNeVNrMk9oTVJFUkVSMFhsQURlL2RiNDRpeElNQi92NVl1ZXdEOU9uZHkraE01QU95ZHUvR3JmODNFYVdscFpDNi9rNXVWdHFEQUR4RzV5S2k1blhlRndmRGUvYnRBMFVkQTRHQlFpQUNFalloaENZbE5BakpoVFY4aVJTNkVIQkx3QVhBSVhVOUQ4Qm1YY0huQjNhbVpSZ2RqNGlJaUlpb0pZcm9IWHNYb0x4dnNaalU1NTk2SEdQSDNHUjBKUElobjM2eEJvOC8vUUlxbkU2M3grTzVmMzkyK250R1p5S2k1blUrRmdlVjBCNnhJVGFUSEFrb2s0VVFsOVk4YURHYm9hZ3FWRVdCVU03SHgyKzVwSlR3ZUhSNFBCNjRYRTdJR3F0ZDZGSW1TaDEvZDdnODN4emRsMUVBUURjeUt4RVJFUkZSUzlDcFI5OHVGcE82RGtMMHZYeklJTXlkL1FxQ1c3VXlPaGI1a05MU01qejgyRlA0WnVNbVNDbjNTU24vbUplVnRzL29YRVRVZk02cnZlb2plc2RGNkxxOFRWRndxeEJLQWdDb3Fvbyt2WHNoc250M2RJc0lSNmNPb2ZEMzk0ZWZudzFtTTJjVit4S255d1c3M1k3UzBqSWNPWG9VZS9mbFlYZk9IbVR0M2cyWHk5MWZLdkpEUDZ1YUd0NDc5aE9YMDczODRON00vVVpuSmlJaUlpTHlZY0trS3RjQWlBenc5OGR0WThld01FaDFCQVQ0WSt5WTBkaWVtSXdUUlVWaGtPSkdBSC9uNWlSRUY0N3padWhjV1BjK1BVMW04MklBQXlDRXVYVndNRWJmTUFvanI3MEtIVHVFSWpBZ0VBRUIva2JIcExOUVdsYUdrdUlTSEQ1YWdHKysvUTZyVm4rR0UwVkZBS1JMUXZ6czhyaW0vWnI5UzZyUk9ZbUlpSWlJZkZGWTJFVnR0RUR0TXdFeGRPaVFRWGozclRkaHRWcU5qa1UrcU56aHdJeEhuOEEzMzM0SEtmR3pSNWJmY2lBcjY2RFJ1WWlvZWJUODRtQjB0TG1icmwwaklaWUxJWUpzTmh2aSs4WGltU2NlUVdUMzd0eDk2endocFVUT25yMTQ1Zlc1MkxvakVlWGw1WkJTbHVoU1R0eXZ1cjlBWnFiVDZJeEVSRVJFUkw2a1cxVGZzVkMwNVFCTW42MWNqdGlZaTR5T1JENHNJM01uYnJqbERnQndlYURmdTM5bjJsS2pNeEZSODFDTkR2QzdSRWViSXp6bXZ3Z2g1aXBDQkYwVTNSdVB6SmlHUjJjOGlIWWhJU3dNbmtlRUVHamJwZzFHWG5zMXVrVjBSZDZCQXpoK3ZOQUNJYTVySlVXNXYxbE5LU2twY1JtZGs0aUlpSWpJSjBSR1dvSlZ5OGRDaVBZanI3a0tkOS81ZjBZbkloL1h2bDA3N05tYmkreWNQYW9pRVZNVUhMZ1FoWVhjdVpqb0F0Q2lpNE1SYlRvOUxJUjRBZ0pCMGIyak1QZHZMK1BTQWYyaGFlZlZVb3BVZzZvcWlPelJIUU11VGtENkw1azRjdVNvU1VBTVZDdzJ6OGxqUjM0d09oOFJFUkVSa1MrSWFOL2xYaUhFWGNHdFd1RzVKMmVoUTRkUW95TlJDeEFSMFJWZmZmMHRIQlVWYlZxcDVzTW5qeDNlYm5RbUltcDZpdEVCZmlPMWErOStrNFFpWGxVMUplamloRGlzV1BJZUludDBoNnEyNkhvbk5ZS2lLT2dWMlFNZkx2d0hCdlNQaDZvcFFZcFFYZ3J2Rlh0L1N5OTRFeEVSRVJHZEF4b2c3d0NBU3krNUdEMGp1eHVkaDFxSWlQQ3VHSHJaSUFDQWdMeUg3NitJTGd3dHNUZ29JbnJGWEs4QXp5dUtnbXV2R282MzU3eU9vTUJBbzNOUk0yc1ZGSWdGYjcySmE2OGFEbFZWSVZUeFlyZW8yRkV0OU91YWlJaUlpT2ljNkJvWkhTV0VFbUd4bURGazRDWHc5K2ZHak5RNE5xc1ZRd1plQ2orYkRVS0tzTTY5THVwcmRDWWlhbm90cm9qU3FWZXZ0bERVWndHMDZ4TFdHWS9PbklhUWtMWkd4eUtEQkxkcWhVZG5Qb2lla1QwQWlXQ3BpT2M2ZFk4T016b1hFUkVSRVpGaEZGT0NsR2dYNEIrQVN3ZjBOem9OdFRCeHNURm8zYm8xQUJsa0V0b2dvL01RVWROcmFjVkIxYVRZbmhZQy9RSURBc1EvNXM1R2w3RE8zSGprQWlhRVFKZXdNTXo1MjRzSURBd1VBaUxPYk5KbWNmZzdFUkVSRVYySUlpSWlyRUxJZ1lDMFJvUjNSZmR1RVVaSG9oYW1XMFJYaEhjTmd3VE1FTGdrTkRTV1EwK0p6bk10cWpnWTBUdDJuSUM0MzJJeDQ4bFpENk5QNzE1R1J5SWZFZFd6SjU1NzhxK3dtTTBRaW5KZjExNHhFNDNPUkVSRVJFVFUzTXJWb0NBaGxNdUVFR0xVdFZkeFRYWTZhNXFtNFpyaFYwSlVqc0s1eEdaenRqTTZFeEUxclJaVEhPemFNNmE3Z0hoWUNLakRoZzdCMWNPdk1Eb1MrWmlycnJ3Q3c0WU9BUUJOVVpUSHdxTml1eG1kaVlpSWlJaW9PV2thK2dxQmFMUFpqSkhYWG1WMEhHcWhyaDUrSlN3V0M0UVFVZEprdmNqb1BFVFV0RnBLY1ZBb1Fya1JRR1NBdno5dXUrVm1CTGRxWlhRbThqRUJBZjRZTzJZMFdnY0hRd2dSSnFEY0NJQnp6b21JaUlqb2dxRUpjUjBBN1pLTEU5QXVKTVRvT05SQ3RXOFhVcjFlcFFaVlhtTjBIaUpxV2kyaU9CZ1dkbEZycUxnTlFsamo0Mkl4Nk5JQlJrY2lIelZvNEFBTXVEZ0JBRXdRR05zbEtxcWowWm1JaUlpSWlKcU53QUFBR0RMd1VxN05UcitaRUFLWEQ2bmFpMFFnM3VnOFJOUzBXa1J4ME9RdmhndUlCQUI0YU5vRHNGZ3NSa2NpSDJXeldqRjE4cjBBQUNGd3NWQXN3NDNPUkVSRVJFVFVURFJGaWxnQTZOTTd5dWdzMU1MRnh2UUZBQWdwWWxwSzdZQ0lmaHZmL3dzZUdXbVJRbjBCZ0RieW1xc1FHOFBsRHVqMCtrYjN3WFVqcmdFQWt5ckZVNGlNWkRXWmlJaUlpTTU3blh2MzdnNkJJSDkvUDNRSWJXOTBIR3JoT25ZTWhiK2ZINFJBcTdEdWZYb1luWWVJbW83UEZ3Y2pOUDhKUW9oZWJWcTN4cjBUeGhzZGgxcUlLWCtlaU5iQndZQVFrZUdtZ0h1TnprTkVSRVJFMU5SVWFZNEZnUFloSWZEenN4a2RoMW80cTluaUxUSnJtcHBnZEI0aWFqcStYaHpVQUhrSEFQeGg2QkQwak94dWRCNXFJU0xDdTJMb1paVnJaQWpJZXdDb1JtY2lJaUlpSW1wS3FsRGlBYUI5Ky9id3M3RTRTTCtQMldKR3AwNlZTN2hMUmJ2WTZEeEUxSFI4dWpnWUh0a3ZSZ2dsd21JeFkvQ2dTK0h2NzI5MEpHb2hiRllyaGd5OEZINDJHNFFVWVoxN1hkVFg2RXhFUkVSRVJFMUpoK3lIcXAxbWJTMnNPRmhhV29wRGh3NDErdnd2dnZnQzk5NTcrZ2xDMjdkdngzMzMzWWZEaHcrZmc0VEFnUU1IVUZ4Y2ZFNzZzdHZ0S0NvcU9pZDlOUld6Mll5T0hVS0J5Z0VYSERsSWRCN1RqQTV3V29vY0pLVm9GK0FmZ1BoK01VYW5vUlltTGpZR3JWdTNodDF1RHpJSmJSQ0FWS016RVJFUkVSRTFFU0dFNkF3QTdVTGF3bXB0V2N0dXIxdTNEcSs5OWhwV3JGaUJxS2d6YjZaeTlPaFJaR1JrMUduUHpNeEVSRVFFL1B6OFVGaFlpS1NrSkRnY2pucjdjRGdjT0hUb0VPeDJPK3gyTzhyTHkyRzMyM0h5NUVrY1AzNGNKMDZjd1BIang5RzNiMTlNbkRnUk45MTBFNlpNbVhMYW9xVFQ2WVNVc2xhYnBtbFExZG9UbVNaUG5neFZWYkZ3NFVLWVRLWXpQcThSekNaVHpiVXJJNHhOUTBSTnlXZUxneEVSRVZZb3lpV0F0RWFFZDBYWExtRkdSNklXcGx0RVY0UjNEVVArcjcrYUlYQkphR2pzc2lOSDBzcU16a1ZFUkVSRWRLNkZoWVZaaFpTYXFta0lDZ3FDRU1Mb1NBQUF0OXVOaHg1NnFONWpRNGNPeFMyMzNBSUErTzY3N3hBUkVkR293dURwekp3NUU3MTY5Y0s4ZWZQT2VHNXViaTcrNy8vK3IwNjcxV3BGWUdBZ2dvS0NFQlFVaEpLU2trYmZmL1RvMFhWR0tqNzY2S1A0MDUvK1ZLdHQ2dFNwbURKbEN1YlBuNDhaTTJZMHV2L21KSVJBWUVBQU5FMkQyKzNXd3NMQ2JQbjUrZVZHNXlLaWM4OW5pNFBsYWxDUVRlQVNBU0ZHWFh0Vm5kKzBFSjJKcG1tNFp2aVYyTHhsbTVCU1htS3pPZHNCWUhHUWlJaUlpTTQ3aXRMYUtvVlFGVVg0M0tqQjRPRGdPbTFmZi8wMU9uWHFCQUE0ZnZ3NGtwS1NNR1hLbExQdTIrUHhlTjhyNXVmbm82Q2dBTGZmZm51anJvMk1qTVNpUll0Z3RWclJxbFVybEphV1l2UG16Wmd3WVFJQVFFcUp2Ly85N3hnNWN1UlpaYnI5OXR1OTEweWRPaFVBc0d2WExoUVVGTlE2cjArZlBpZ3NMTVFQUC94UXE3MWJ0MjRJQy9PTndURm1pd1dxb3NBdHBhSW9yYTBBaTRORTV5T2ZMUTVxR3ZvS29LZlpiTWJJYTY4eU9nNjFVRmNQdnhJdnZ6NEhGUlVWVWJySmVoR0FYS016RVJFUkVSR2RhOExmYlJWUU5DRVVXQzIrVXh6VU5BM1BQZmRjbmZhYUJiSDE2OWZENC9GZzRjS0ZXTFJvVWIzOStQbjVZY09HRGJYYVBCNFBicjc1WnN5Wk13ZmR1M2ZIOTk5L0R3QVlNR0JBbzdOOTlkVlhVQlFGczJiTlFrWkdCdDU2NnkwTUhqd1l2WHIxd3BZdFc3QnMyVElNSGp6NHJKNjVmZnYyaUk2T0JnQnY0WExKa2lYNDVwdHY2cHk3YytkT3JGdTNybGJiOU9uVGNlZWRkNTdWUFp1S3hXeUdvcXFRRUlxME9XMEFUaGlkaVlqT1BkOHREZ3B4SFFEdGtvc1QwQzRreE9nNDFFSzFieGVDU3dmMHgzOS8zS3hCbGRjQVdHdDBKaUlpSWlLaWMwNDNXYVdBcWlnS3JGYXIwV25PeXVlZmY0NSsvZnJoRDMvNFE2MzJGU3RXSUNBZ0FEZmNjSU4zWGI2ZmZ2b0phOWFzUVk4ZVBhQW9DalJOdzV0dnZvbjU4K2RqNDhhTkFJRDc3cnNQcUNvZUFxaDM2dkNLRlNzUUhoNk91TGc0UFBmY2M3ajc3cnZSdDI5ZmRPN2NHV3ZXck1ITW1UT3hjdVZLeE1YRjRaSkxMdm5kei9qQ0N5L2cyV2VmaFpRU0JRVUZhTi9ldTVZZkRoNDhpSTRkTzNxbmdtdWE3N3hOdDFTTkhCUkNxdEtsK1JtZGg0aWFodS84cTNNcWdRRUFNR1RncFQ2elhnYTFQRUlJWEQ1a0VQNzc0MlpBSU43b1BFUkVSRVJFVFVMWHJkQTBuNXhXZkRyYnQyL0huajE3Y09PTk45WVpMYmRzMlRMRXg4ZlhhazlOVGNXK2ZmdlFvMGNQQ0NFd2ZmcDB6Smd4QTU5ODhnbFNVMU14Y3VSSTc4akJqSXdNckY2OUd2ZmNjdzlDVGhsdzByWnRXd0RBMVZkZmpYbno1bUgxNnRXNC8vNzdjZFZWVjZHZ29BRFoyZG40NFljZjhNNDc3NXoxTXgwK2ZCanA2ZWxBMVpxTHFDcjRhWnFHWmN1VzRkMTMzOFZISDMyRUxsMjY0TVNKRTVnd1lRSkdqUnFGUng5OTlEZThnazNMWWpGRFVSVkFDa1ZBYlZsVlp5SnFORjh0RG1xS0ZMRVFRSi9ldjI5QldxTFltTDRBQUNGRkRBQUZnRzUwSmlJaUlpS2ljMHFxVmtpcEtVS0J4WWVtRlovSnNtWExBQUE1T1RtMTJoME9Cd29MQzlHeFk4ZGE3YnQzNzBaa1pLVDM4OHN2dnh6VHAwOUhSa1lHekdZelpzeVlnVFp0MmdCVm85NVdyMTZOSzYrOEVoRVI5VysybTVHUmdmSGp4eU04UEJ3N2R1ekFvRUdEQUFEejU4OUh4NDRkb1NnS0RoMDZWQ2ZINmF4Y3VSSXJWNjZzMDc1ejUwN01uejhmMTF4ekRicDA2UUlBYU4yNk5SNTQ0QUc4OXRwcnNGcXRtRFp0V3FQdjB4d3FSdzZxa0FJS1ZNVm1kQjRpYWhvK1dSenMzTHQzZHdnRUJRWUUxTnc2bmVnMzZkZ3hGUDUrZmlpejIxdUZkZS9USTMvdnp0MUdaeUlpSWlJaU9wYzhDa3dhaENLRWdMbHFDcTZ2eU1qSXdONjllMnUxT1oxTzdOeTVFK25wNllpUGo4Y3Z2L3dDcDlNSnM5a01BTWpPemdZQWhJZUgxN291UFQwZGQ5OTlOOHJMLzdjdnh2WFhYNDlSbzBaaDFLaFIzc0pnWTgyY09STW5UNTVzOFBpa1NaTXdaY29VM0h2dnZZM3VjOXEwYWQ2cHpDTkdqQUFBSERseUJETm56a1NYTGwzdzJHT1AxVHAvN05peEtDOHZ4N3g1ODJDMVd2SG5QLy81cko2aEtabE1HaFJGQVNBVkFiU2Nxak1SblJXZkxBNnEwaHdMQVhUb0VBby9QLzV5Z240ZnE5bUNEcUh0c1dkZkxqUk5UUURBNGlBUkVSRVJuVmMwNlhJS21EeFNTamlkVHFQajFMSisvWHA4OU5GSHRkWkNkRGdjNk5LbEM0S0RnekZwMGlTTUd6Y095Y25KdVBUU1M0R3E2Y01BMEs5ZlArODFlWGw1T0hIaUJQcjI3WXZ0MjdkNzI0VVFHRFJvRU1hTkczZlcyVDc1NUJQb2V0MkpSVC85OUJQZWVPTU50R3ZYcnM1YWlHY2loS2kxYm1CSlNRa2VlT0FCVkZSVTRLMjMza0paV1Jsc3R2Kzl6OTI3ZHk4aUl5TXhldlJvdlB2dXUralRwdytHRGgxNjFzL1NGTnd1TjNTcEF4QzZEdWxiWDFoRWRNNzRabkZRS1BFQTBLbGpCL2paZkxjNG1KdWIyK0R3OU1MQ1F0aHN0bHIvNko4di92R1BmNkJQbno2NDRvb3JqSTdTS0dhTEdaMDZkY1NlZmJtUWluWXhnTHBqL0ltSWlJaUlXaktoT2lDRVI5ZDFsRHNxakU1VFI2dFdyZkRkZDk5NVA1ODhlVEo2OXV5SjhlUEhROWQxQkFjSDR6Ly8rWSszT1Bqenp6OGpMQ3lzMWxxQlhicDB3ZkxseTlHalI0OWF4Y0hnNEdDODhjWWJ2eW5YcVNNTnk4cks4T2FiYitLenp6N0QyTEZqTVgzNjlOKzl3WXZWYWtYdjNyMHhac3dZUFAvODgramN1VE5lZWVVVjcvR1BQLzRZWDM3NUpkYXZYNC9vNkdoY2R0bGx2K3QrNTVLam9nSWVqd2RDUW9kYkwyL0VKVVRVQXZsa2NWQ0g3S2RBb0dPSFVKOHRybTNmdmgyVEowL0dNODg4Z3h0dXVLSE84YWVmZmhwNWVYbjQrT09QNi8xbXNuLy9mcnovL3Z0NDdMSEh2TWR6YzNPOUM5YWVTWnMyYmJ6ZnlFcExTL0hzczg5aTBxUko2Tm16NSs5K3RqTlp1WElsUm80YzJYS0tnMll6T25ZSUJRQUl5QVNqOHhBUkVSRVJuV3NPeGVXd1NxV3lPRmp1K3pXY0JRc1dlRDlXVlJYRGhnM0R1blhyTUgzNmRKU1dsbUw3OXUwWVAzNThyV3NVUlVHZlBuM3E3Vy83OXUxNDhNRUhhN1ZKS1FFQWYvclRuMnB0Y3RtM2IxOHNXclNvM242bVRadUd2THc4eko4LzM3ditZSGw1K1ZtOUw4M0x5OFBtelpzQkFDNlhDeWFUQ1MrKytDSUFZT0RBZ1ZpeVpBbU9IVHVHa0pBUXVGd3VmUFBOTi9qakgvK0lnSUFBM0h6enpZMitUM053T0J5VnV6NExxUXRGMm8zT1EwUk53eGVMZzBJSTBSa0FPclJ2NzdNN2JRMFlNQUFqUm96QWdnVUxNSHo0Y1BqNS9XOVg5N1ZyMStMbm4zK3VWZmc3MWZIang3RnUzVHFZVENZOCtlU1RBSUNKRXllZWRyMkxtaVpPbklnSEhuZ0FBRkJVVklTZE8zZGl3b1FKZVBubGx6RnMyREFBd0xCaHd4cGRiQVNBSVVPRzRHOS8reHR1dnZubXltOEFEU2dySzhPNmRldTgzL0RxYzlOTk4rSHV1Kzl1OUwyYmt0bGtxcmwyWmYxRFBZbUlpSWlJV2pDUFEzRUlLOXk2MUZIdWNCZ2Q1NnpkY3NzdCtQenp6N0Z5NVVvVUZoWkMxM1hjZU9PTmpiNitXN2R1ZVBycHAydTFwYWVuWTlXcVZYamdnUWRxalVCczNicDFuZXRMUzB0eDZOQWhIRGx5QkczYXRNSEdqUnV4YU5FaTdOdTNEd01HRE1CcnI3MVc3MzByS2lycWJBQ3paczBhckYrL0hxZ3FydFYwNjYyM1lzbVNKVmk4ZURFZWVlUVJyRjI3RmtWRlJianR0dHNhL2F6TnllR29nTWVqUTByaGdlcnkvYW96RWYwbVBsY2NEQTJOOVJOU2FxcW1JVEF3b05admVJeTBjdVZLekprenAxYWJsQkpTU2x4NTVaVzEycXNMY3JObno4YnMyYk85N1lHQmdkaXdZUU1BSUQ0K0huZmRkUmNXTDE2TUlVT0c0SW9ycnNEYXRXc2hwVVJxYWlwTUpoT2lvNk85MSs3WnN3ZHZ2LzAyZHV6WWdSRWpSbUQwNk5IZVkyRmhZZmpnZ3c4d2VmSmtQUHp3dzNqcXFhZHd3dzAzd0c2M1kvRGd3WTFlcjZKNkI2Nzc3cnZQKzF1MityejAwa3U0NktLTGNOMTExelY0VHJkdTNScDF6K1lnaEVCZ1FBQTBUWVBiN2RiQ3dzSnMrZm41L01aR1JFUkVST2NOZjlnZFVnUjdkRjNXS1VqNUlpa2w4dkx5dk1zMFJVZEhZL0Rnd1hqLy9mZmhkRG94WXNTSU9wdVJuRTVJU0FoR2poeFpxMDFWVmF4YXRRcVhYMzU1dmN0QmZmTEpKMWk5ZWpVT0hqeUkwdEpTYjd1bWFkQjFIZUhoNGJqeHhodFBPODMzcDU5K3dsdHZ2WVYzM25rSEhUcDBRSGw1T1I1NjZDR01IVHNXQUhEVlZWZlZPcjlkdTNZWU0yWU1WcTVjaVdIRGh1SGRkOS9GMEtGREd4d1JhYlRxa1lNQ1VpOXVDVU5TaWVnMzhibmlvTnJLWVpQQ1QxVVVBYlBGZDBZTkRoNDhHRzNidGtWeGNURnNOaHRNVlR1QXJWcTFDc2VQSDhlVUtWTUFBRGs1T1hqdnZmY3dhOVlzNzIra0RoMDZoSTRkTzNxdnFUWnAwaVI4Ly8zM2VPbWxsekJvMENEdlVQVnQyN1poeFlvVnVPU1NTM0RycmJkaXc0WU5XTDkrUFlZTkc0WlZxMWFoZS9mdWRmS0Zob1ppNGNLRm1ESmxTcTNmaEVWSFIrT1dXMjd4ZnI1dzRVSUlJWERmZmZjMStLd2pSb3hBZm41K2d3VkNSVkhRdG0xYnhNVEUxSHU4UTRjT2RaN1ZhR2FMQmFxaXdDMmxvaWl0clFDTGcwUkVSRVIwL3NnRkhOMmtkRmRPSy9idDR1Q09IVHN3ZCs1Y0JBWUc0cDEzM3ZHMlQ1dzQwYnNyOE9uZXI1d3JxcXJDWkRMaGlpdXVRTGR1M2RDOWUzZk1uajBiMGRIUnRkWUVQSjNTMGxMczM3OGZpcUxBNVhLaHBLUUVyVnExT3UwMWt5ZFB4c2FOR3pGMTZsUm9tb2FaTTJlZW95YzY5NnJYSElRUStrbXptZE9LaWM1VFBsY2NoTWRzRTZyVWhGQmdxZHJHM2hkMDZkSUZuVHQzeHZqeDR4RVVGSVEzMzN3VE5wc05QL3p3QTl4dU40WVBIdzVValE1RTFSVGRUcDA2WWRXcVZaZy9mejRXTDE1Y2F5UWdBSmhNSmp6MzNITW9LU21CMVdyRjBhTkhVVnhjakZHalJpRWhJUUdMRnkvR2pCa3pBQUF6WnN6QXdJRURvZXM2Y25KeUVCZ1lpTkRRMEZyOXRXdlhEdi82MTc5cTdZeDFxczJiTnpkcXZZelJvMGZYdTJ0WHRYWHIxbUhkdW5YMUhsdTVjaVVpSXlQUGVJL21aREdib2FncUpJUWliVTRiZ0JOR1p5SWlJaUlpT21keWN4MnlUMXpWaGlTK1ZSeXNIblNRbnA2T0JRc1dZTXVXTGVqY3VUTW1USmpnUGVlWFgzN0I0NDgvN2gyMTkvampqK09OTjk1QWh3NGRtaXpYNk5HamE4M0lBb0I1OCthZFZSL0hqaDJEcG1sbzI3WXQ5dTdkQzEzWDBiVnIxOU5lWXphYjBhTkhEMnpkdWhVaElTRW9LeXY3VGZtYm1wUVNEa2NGZEYySGxOS05uQnpmMittR2lNNEpueXNPQ3BOcWt4S3FvaWl3K3RESVFWU05tSnMxYXhZZWVPQUJUSjgrdmRZaXV2WFpzR0VEWG4vOWRZd2JONjVPWWJCYXpmYTMzMzRiYTlhc3FmZThVNmMwWDMzMTFkN2ZaczJaTXdjWFgzd3hoZzRkZXRyQ0lLcW1QS3VxZXRwekFHRFRwazBOamh3Y05Xb1Vycjc2YWt5ZlByM2U0LzcrL21mc3Y3bFpxa1lPQ2lGVjZkTDhHbkVKRVJFUkVWR0xJcVhNRjBMRUZSY1h3K2wwd3V3amd5MXljbkp3OHVSSlRKZ3dBY0hCd1hqNDRZZHg2NjIzUXRNMDJPMTJmUERCQjFpNmRDbHNOaHZtejUrUGt5ZFA0cW1ubnNMWXNXTngvLzMzWTh5WU1jMDJNNm1pb2dLS290Ujd6R0t4b0tpb3FGWmJXbG9hdW5idENsVlZzWFhyVmxnc0Z2VG8wYVBCL2hNVEUvSHl5eS9qd0lFRHVQUE9PL0hGRjE5Z3dvUUp1T2VlZXpCdTNMaGFhOWtiemUzMmVKOVhTdXd6T2c4Uk5SMmZLdzVDZDl1Z21xcW1GZnZHTjdPYVltSmlNR2ZPSE5qdDlnYS9hVlRyMGFNSDdyMzNYa3lhTktsVys5YXRXNUdWbGVYOS9PYWJiMFpBUUFBQW9ILy8vcGc3ZDY3MzJPT1BQKzRkWVZqdDBVY2Y5WDVjVmxhRzFOUlVMRisrSEhmZWVTZW1UcDFhcC9qM3pUZmZvTGk0R0FCUVdGZ0lwOU9KVHo3NXBOWTVIVHQyeEpBaFEvQ2YvL3luVGlIeVZIYTdIUnMyYk1EMjdkc2JQQ2NvS0FqTGxpMDdiVC9OeVdJeFExRVZTQjJLUlpVOTQrTGlBb1FRdGFxZnAzNWVzODNwZE5iYmZycHJGVVdwMCtaeXVjNTQzWm15bk0wOUt5b3FHbjF0WS9wcktPK3A1NVdYbDlkcHErLzFPRk4vZHJ2OXJLNXR6RDFST1lXa1RudFpXZGtacjYzdnV2ck9yZSs4aHE0OWVmTGtiN3BXMDdRNmJjZU9IV3ZVMTJGOTE5YlhaamFiNjdUWmJEYUpxaDlzYTZqdjJlcHJhM2luSXlJaUl2cmRCR1FpSUs0N2ZPUW83UFp5bnlnT0hqaHdBRWxKU2JCWUxCZzNiaHp1dXVzdStQdjd3MjYzWTlXcVZWaThlREVLQ3dzUkh4K1BGMTU0d2JzT2VwY3VYZkRFRTAvZzlkZGZ4NUlsU3pCNjlHaU1IeisrM2xsUXUzYnRRbloyZHAzMmpJd01BTUIzMzMxWGEwTVNWSzFST0hqd1lKU1dsbUxKa2lVSURBekV3WU1IOGV1dnY5WlpVNzVhWkdRa1B2NzRZeFFVRk1EZjN4Lzc5KzlIY25JeTdybm5IcUFCZzMvSEFBQWdBRWxFUVZScWR0WGd3WU5SVmxhR3hNUkVsSldWNGNTSkU3QllMTmkwYVJOV3JseUo3ZHUzbzFPblRsaXdZQUVTRWhKdzIyMjNZZGFzV1hqMzNYZXhkT2xTWEhQTk5iajMzbnU5cjRPUktwd1Z5RDk0Q0FBZ2hOeG1kQjRpYWpvK1Z4dzA2YW9OaXRRVW9kVFo5Y2tvNWVYbDNtbkRwM0s1WE5CMUhVT0dEQUVBNzFUY1cyKzkxWHZPMHFWTHZSL2ZjY2NkS0M4dng2ZWZmZ3BkMStGME9qRjgrSEJ2Y2ZCcytmdjc0NzMzM3NQTEw3K01wVXVYSWpzN0cvUG56NGNRQWxKS0NDR3diTmt5N04yN0Y2Z3FGaFVVRk5RcUFEb2NEZ3diTmd4RGhneEJ6NTQ5NnhRemZ3dGYrRUdrcHNxUmd5cUVBalhBYlA2TEVLSlgxU0Z2QWFPQmtaSVNWVlBBR3pwMkduV08xK2pucksvRmFZcHBEVjEzeXQraCtoL3dmODk5dXI1UGUxOTV5b3QzeWk3ZHY3bGZQeisvMzNUdDJiNU9BR3IrSFd6dzJsT2Y4Mnd5NmJwZTc3SHFwUWpPa1BtTTk1VlMxbGxxb0JIWG52VnJXUDBTSkNRa25MSGZlbDZ1aHRjcU9NZUVFRG9BOXluUEtPdjVlcGVvKzd4UzEvVTZiYWQrWE5WWlF3WDBVLzlmWDMrbnZrNE5YbHNqZUwxNVQzMjQrdkxXaysyMHgrcnByOTVucmY3YWJ1RDFxcGx0VzBwS3lxcXFQeGNpSW1vQ2JsMmttbFRneU5HanNKZVhJemo0OUd2Zk5ZY3VYYnJncWFlZVFsUlVGS0tpb3J6dFR6LzlORFp0Mm9UUTBGQTgvL3p6R0RseVpLM05LS09pb3ZEUlJ4OWgrZkxsK1BEREQzSGd3SUVHbDBmNjRZY2Y4T0dISDlaN3pHcTE0djMzMzYvVEhoOGZqOEdEQjhQZjN4K3JWcTFDYVdrcFZGVkZuejU5YXEzWlh0TXp6enlEaFFzWDRzQ0JBM0M3M2ZEMzk4ZWtTWk13Y2VKRWxKYVc0dmp4NDVnMmJScnNkanVtVHAzcWZZNk9IVHRpMnJScENBZ0l3TlNwVTNINzdiZDdmMTRPRFEzRisrKy9qNisvL2hxTEZpMUNabVptdmJzcEc4Rlo0Y1RCcXVLZ0JCTFBlQUVSdFZpK3NSVndEVjE2eFE1VkZXVmxVR0JBeDNmbXZZSEJBeTh4T2hMY2JqYzJidHg0VHZxS2lJandmbFA4OXR0djhkZS8vaFZmZnZrbE9uWHFoR2VlZWFiQmFjV25xam10dU5vSEgzeUF6cDA3NDVwcnJvSFQ2Y1NnUVlNd2JkbzAzSFhYWGQ1enhvd1pnMTY5ZXRXNjl0cHJyMFY4Zkh5ZC9yWnUzWHJXenhjYUdscnZUbUJHKy9Ibkxaanh5Qk00WG5pOEtNaWk3RllWVWY5dUt1ZUFsTktvdjFmTmV0K3FIOTZNZU5ZTDR2V3QxbEsvbm9TdmJEVlB2dVNZeStXNklUMDkvV2VqZ3hBUm5hL0N3Mk83Q1p2WTB5b29TSHl5NGtORTlxaTdrYUd2S0NrcHdjYU5HekZxMUtnelRoa3VLU21CeVdRNjlSZlE1MVQxSUk4enpRNDduY09IRDlkYUk3RjZzQWFxMWx1TWlvbzY3U0FLWGRkUldscUtvS0NnMzV6aFhEcDArREJHM0RnV0o0dUxwY01odWgvT1RjazFPaE1STlEyZkd6bW9TamdGcEVkS0NaZkxaWFFjb0dvcisydXV1YVpaN2hVVEU0TW5uM3pTKy9uczJiT2hhUnIrOHBlL2VOdGVmZlhWZXErZE9IR2k5K1BxNlppbi9uYk41WExWK2ViYjBIb2s5OTkvUHpSTk8rTTZodFVjRGdmR2poMkx2LzcxcjQwNnZ6bTVYVzdvVW9lVTBsUHVjcjluMDVSalZZZThCUXhGVVdvV013VHFLY3ljOG5tOTU2aXFXbTk3elh0SktZV3FxZzJlVTk5OTZtcy81WWVYQnErdE9rL1ViRHZkTTUzcFdhdW5ydGM0cDZIckdzcFZNLzhacjYzNVo5UEl2UFUrN3lrRnEzcGZqd2JPcWZkWkcvTmFOdFRmYWE1dDhQNDEvcndiOHpWeHhxL0RNLzE1MTFQZ2E5VHpWZlhWck45ZnBKUzExbE5vb0RoNXVqK3Zlczg1VGZ1cFh6Y05YZHVZZXpiNjJucmVzTlRiM3huKzNPdTAxWGk1R3ZXYW5NVnJKd0MwRWtMRVNTazFrOGxrL0JBV0lxTHpXRjVlV2w1NDc3akM0cEtTdG9jT0gvSHA0bUJnWUNCdXV1bW1ScC9iMUg1UFViRGFxWnVuMVB4eEpDYm16R01URkVYeG1jSWdBQnc4ZEFURkpTVVF3REVXQm9uT2J6NVhISFFyZXJsSmFCNWQxK0Z3K041bVNPdldyY05MTDcxMFZ0ZDA3Tml4emhwL0RiRmFyYlYyK3ZYejg0UEZZcW5WVnQrR0h4VVZGVml4WWdXdXYvNTZoSVNFb0xTMDFOdGZUY2VPSFVQYnRtMXJ0VG1kemdhbmNFK2NPTEhSMDR5SERSdldxUE9NNEtpb2dNZmpnWUNpMjhzOVc3TDNwcVliblltSXpxbFRmNkwvUFlVL3Iram82SHFQT1ozT091MXV0N3ZlY3h0cTEzVzlUbnYxK2tJdWw2dFIvWHM4bmdhejEzZXN2bnNDUU92V3Jlczl2NkgrRytxbnZ2TXRGc3ZGcXFvdUJPQTc3M2FJaU01Zk9xQW5BOHJ3blZuWkdEcGtrTkY1cUFWTFRjK28ra2ltR2h5RmlKcVl6eFVINGZLVVM3TmFXUnlzY0JpZHBnNjMydzJIdzRHbm4zNjZVY1BhMTZ4WjQxM3ZyekVTRXhPOTZ4ZWlxbkFuaEtqVGR1b2FpSm1abVpnL2Z6NFVSY0ZkZDkyRm5Kd2NvR3FOajJwNWVYbW9xS2hBZUhoNHJXc3JLaW9hTEE1Vzd4eldHQTZINy8xNVZYTTRIUEI0UElDUXVsQ2szZWc4UkhUT05jbDZocG1abVUzUmJZTU9IanpZclBkckRyR3hzU2VsbE0yMjNpUVIwWVZPQU5zQkROKzhaUnZ1dS90T2NLVVAraTJrbFBqaHg4cVZRSFNCWktQekVGSFQ4cjNpb0dhMkM4Q3RTeDJPQ3Q4Yk9WanR5aXV2Yk5Udzl2VDA5TE1xRHZiczJSUFRwMC8zZnI1Z3dRS1lUQ2J2RGxnQThJOS8vS1BPZFNrcEtVRGxKZ0VBNE4wTnVXZlBudDV6ZnY2NThoLzNmdjM2ZWR2Y2JqZDBYVyt3T0RoeTVFamNjTU1OamNyKzRJTVBOdW84SXpnY0ZmQjRkRWdwUEZCZDVVYm5JU0lpSWlKcUNoTHlTeUhsUTF1MjdUQWZPVnFBRHFIdGpZNUVMZENSSTBleGVjdFdBSEJKNkJ1TXprTkVUY3ZuaW9PeXJNSWhnNndlWFplbzhNRnB4ZFd1dmZiYVJwM25kcnNSRWhMUzZINkRnb0p3NmFXWGVqOWZ1WElsTEJZTDR1TGlZTEZZNEhLNTZoM3BsNXFhQ3F2VmlqNTkrZ0JWbTRtRWhZVjVkMkNWVXVLenp6NURlSGc0dW5YcjVyMnVlclJmUTZNZ2hSQ05YblBRbDFXUEhCU1FlbkY1T1l1RFJFUkVSSFJlcW5DWDUxZzEvNTFPcDdQZittKyt4WVR4ZHhnZGlWcWdiemQ5RDVmYkRVaVo1YXJ3WkJ1ZGg0aWFsczlWZllRb3RRdHBjZnZxbW9QVm5ubm1tVHFiZmRUbjMvLytON0t6Ni81YktxWEVEei84QUZUdHZuVW1Uenp4aFBkOHQ5dU44ZVBIZTQ5NVBCNmtwS1FnSmlZR21xWWhOemNYcWFtcG1EQmhndmVjcjc3NkNydDM3OGJERHo5Y3E5K0dOaTZwdG5idFduejk5ZGRuekFkZm4xWmN0ZVlnaE5CUG1zMmNWa3hFUkVSRTU2WERibmRKdUlZZklXWHNGMnZYaS9GMy9NbTdtUnhSWTNnOEhuejk3WGVRVWtvSWJOUHRwbU9OdUl5SVdqQ2ZLdzdtNStjN0l2cUVWSzA1Nkx2RndVR0RCalZxV3ZIV3JWdnJMUTYrOHNvcldMTm1EY0xDd3ZEY2M4OWg3dHk1dU9tbW0rb1UyS1pNbVFJaEJKeE9Kd1lPSEFpUHg0UHUzYnRqd0lBQjNuTXlNek5SVWxMaW5WSzhmUGx5QVBCT0I4N0x5OE5ycjcyR3NMQXczSHp6emJYNi8vWFhYNEdxeGVqcmN6WWJrbHgrK2VXTk9xKzVTU25oY0ZSQTEzVklLZDNJeWZIZEx5d2lJaUlpb3Q4ak45Y2hvL3B0RVVKTTNIOGczNWExT3dmUnZhT01Ua1V0eUo2OSs1Q2J0eDhDY0VxSnJVZU9wSlVablltSW1wYlBGUWNyYXpreVh3Z1JWM1R5Skp4T0o4eG1zOUdaNnZqMDAwOGJYS2V2cHZvS2d3c1dMTURxMWF2eDRJTVBZdVRJa1pnNGNTSnV1ZVVXWEhubGxZaU1qTVRSbzBlaGFScFVWWVdxcXRBMERSNlBCd0VCQVhDNVhEaHc0QUQyN2RzSEFCZzdkcXgzTGNHRWhBUnMyN1lObjM3NktZWU9IWXJ3OEhEczNyMGIwNlpOUTBWRkJWNTQ0UVZZTEJiOCs5Ly94dUhEaDZGcEdyNzY2aXNvaW9LTExycm9yRitEZDk1NUJ3NkhBMmF6R1VWRlJTZ3JLME83ZHUzT3VwK201blo3VUZSVUJBQ1FFdnVNemtORVJFUkUxSlIwZU5KVW9SNHJLeXZya3BpVXd1SWduWlcwakV5Y0tDb0NJRXFrVzk5aGRCNGlhbnErV0J5RWdFd0V4SFcvL25vUWRudTVUeFlIUC83NFl5aUtjc2J6aW9xS3ZPditWZXZVcVJOR2pCamhuZmI3MFVjZllmbnk1ZmorKysreGFkTW1sSldWUVVwNXhyNnZ1T0lLakIwN0ZnY1BIb1RKWkVKTVRBeFdybHdKbTgyR1diTm1BUUNXTGwyS0V5ZE80SlZYWGtGc2JLdzMwK0xGaTZIck9rSkRRL0hZWTQvVjJjRzRNUTRmUG96VTFGUklLV0UybTNIOTlkZGo3Tml4WjkxUFU2dHdWaUQvNENFQWdCQnltOUY1aUlpSWlJaWFVbjVXUm1aRTczNEhLNXpPTHB1M2JzZk5OMTRIZjM5L28yTlJDK0NvcU1DV2JUdGd0NWNEMEEvbjVhU2xHcDJKaUpxZVQrNXJIOWFyMzJpVEt2NGQzU2NLQytmUFJhZU9IWXlPZEU2NTNXNjQzZTRHTndFQkFGM1g0WFE2NFhLNUt0ZktBNkFvQ29RUTN2L01aak5NSmhNQW9MaTRHRUZCUVFDQVBYdjJvRWVQSGdBQWw4dUZ2WHYzSWlxcTdtOExwWlFRd2llL0JNNnB3c0lUR0RkeEVuWmw3NFl1OVZ2eWRxV3ROam9URWRHRklqWTJkcUNxcWg4QkNCWkMzSjZVbExUZTZFeEVSQmVDOE40eFV4V2h2dFVxS0FpTDNwbUgvdkg5akk1RUxjQ3VyTjI0NCs3N1VGUjBFbExYWitSbXBjMDFPaE1STmIwekQzMHpnRm9oVTZTVTh1REJ3OTROTTg0bm1xYWR0akNJcWtLZzFXcEZZR0FnZ29PREVSd2NqS0NnSUFRR0JpSWdJQUQrL3Y3ZXdpQ3Fkam11VmwwWUJBQ1R5VlJ2WVJCVk94RmZDQ3FjRlRoNDZEQ2tsTExDb1NRYW5ZZUlpSWlJcUtuWmozcytsSkI1SjR1THNYVEZ2NHlPUXkzRWU0dVhWaFlHcGR4WFZ1aGVaSFFlSW1vZVBsa2N6TXRMeTVNUWhVVW5UK0xRNFNOR3g2RVc3dUNoSXlndUtZRUFqaDNPVGNrMU9nOFJFUkVSVVZNcktNZ3MxVDN5YVFEdUw5ZXV4ODZzdW11aEU5V1V1U3NibjM2eEJsTENBK2l2RmhSa2xocWRpWWlhaDA4V0J3SG9nSjRNZ04vRTZIZExUYytvK2toeXZRd2lJaUlpdW1Eb2RzOGFRRzRCZ0Zkbno0WEQ0VEE2RXZrb2g4T0JlVzh2cVB4RXlCMXVYVmxyZENZaWFqNitXaHlFQUxZRHdPWXQyeHExT1FkUmZhU1UrT0hIeXQyY2RZRmtvL01RRVJFUkVUV1gvUHhmaXFRdVYwREtpdVRVZFB6NDh4YWpJNUdQMnJZakNUdVNVZ0RBSlhTNU9qODc5WkRSbVlpbytmaHNjVkJDZmduQXRXWGJEaHc1V21CMEhHcWhqaHc1aXMxYnRnS0FTMExmWUhRZUlpSWlJcUptcEV0Z3ZRUnlTMHRMOGM5L2ZZS2lreWVOemtRK3BxeXNEQ3MvK1JTRkowNEF3Q0dYMi9OcDVXdytJcnBRK0d4eHNNSmRuaU1oZHp1ZFRxei81bHVqNDFBTDllMm03K0Z5dXdFcHMxd09EK2VvRXhFUkVkRUZKUzhyYlo4TytZcVU4R3plc2cyclAvdlM2RWprWXo3OVlpMiszZlE5cElUSDQvRzhtTC9ubHh5ak14RlI4L0xaNHVCaHQ3c0VVbXlYVXNvdjFxNkh4K014T2hLMU1CNlBCMTkvK3gya2xGSUtiTlB0cG1OR1p5SWlJaUlpYW03N2Q2V3RBT1JTbDh1RmVXKy9pNjA3RW8yT1JENGlPU1VOcjg5OUN5NlhDMUxLRmZ1ejB6ODBPaE1STlQrZkxRNGlOOWNCcVc4RmhHUC9nWHpzM2NkTlp1bnM3Tm03RDdsNSt5RUFKeVMySGptU1ZtWjBKaUlpSWlJaUE3aktISzdISmJDenVLUkV6bmprY2V6ZXM1ZHJ1MS9BcEpUWWw1dUhSeDUvR3NYRkpWSkttU1YxL1ZrQUxxT3pFVkh6ODkzaUlBQVA5TzFDeUdObFpXVkl5OGcwT2c2MU1Ha1ptVGhSVkFSQWxFaTMzR0YwSGlJaUlpSWlveFRrWmg3VjNmSlJBUnc3Y3JRQXo3MzBHbjQ5eUQwbkxsUUZCY2Z3L010L3c3NjgvUUJFc2RUeDJQN2Q2UnlSUTNTQjh1bmk0SUdzakZRcGNiREM2Y1RQVzdlaHJJd0R2Nmh4SEJVVjJMSnRCK3oyY2dENjRieWN0RlNqTXhFUkVmbUMrUGo0cFhGeGNTTWJPcDZRa0hCdFhGemNyWTNwS3lvcUtqQStQdjZUdUxpNElhZmNJem8rUG41cDM3NTl1NXlMekVSMFR1ajdkNmQrTGFWOFdVcUpMZHQyNEMrUFBGNzF5M1M2a0JRV25zQ0REODNDajV1M1FFb0pqL0E4bDVldHJlRW1KRVFYTHA4dURsYnRNTHNjQURaOS95TjJaWE5kVkdxYzNOejkrTzc3L3dJQXBNVDdBTGhvSlJFUkVRQWh4RWhGVWJvM2RGeEsrYkNpS0s4Q1VNL1VWMEJBZ0VVSU1VWUlVYXNJS0tXOFF3aHhxOFBoNExhb1JMN0ZsWnVWTmxkSy9WbVBydHVUVWxJeDd1NUoySmViQjExblhlaDhwK3M2OXVYdHg4UXAwN0E5TVFsdWoxN3U4Y2huRHV4TW53TWtjam94MFFWTU16ckFtZGlQZXo3MEQxRWVQbEZVRkw1MHhiL1FQNzZmMFpHb0JYaHY4VklVRloyRWxISmZXYUY3a2RGNWlJaUl6bFo4ZlB3Q0ljU2tobzRMSWZwSUtYZWVxWi95OHZKZU5wdnRhU0hFeE1URTJtLys0dUxpSmdDUUtTa3BTMnIwT3h2QVYzRnhjVGVucEtSODNFQzJhVkxLY2dDZjFoZE5VWlRicFpScmMzSnlpcy84cEVUVTNITGQ5bGNqRlA5aUtPTFpuVm5aUVpNZW5JbDc3aHFIbTY0ZkJZdkZiSFE4YWdKT3B4T2ZyMW1IRDViOEU5azVleUFCTzRSODNsMWE4SmJSMllqSWVENWZIQ3dveUN5MXRZNTlXbEhFQjErdVhhOU92dmR1OUlucVpYUXM4bUdadTdMeDZSZHJJQ1U4Z1A1cVFVRm1xZEdaaUlpSWZnc3A1YmRTeWtlRUVEY0FlRVJLT1JSQUowVlIxa29wM1I2UFoyajF1YXFxUGlTbEhLenIrcGlhZldpYWRnekFMYnF1cndYd3I1ckhGRVg1cTVReUE0QzNPSmlVbFBSMVFrTENYaUhFOVFEcUxRNEtJVzRVUWh5c3J6Z1lIeDkvSllEdUFENUxTRWk0OWpTUGw1T1VsTVJwSVVSR3lNbXBjSWVGTGREODJoUkNFZS9rN05scmUvRzEyZmpxNjI5eC82U0p1RGdoSG9yaTY1UE1xREYwWFVkeWFqcitzZkI5Yk51UmlMSXllMlZoVU9JQlozSEJxb01IRDlxTnpraEV4dlA1NGlBQTZIYlBHalZBSkFGaXdLdXo1MkxoL0Rtd1dDeEd4eUlmNUhBNE1PL3RCWldmQ0xuRDdWSFdHcDJKaUlqb2R6aVprcEtTRWhjWEY2Y29paWM1T1RrbExpN091MEJZYW1ycWo5VWZKeVFrdkF6ZzU1cHQxZUxqNC84TllHck40bUJWNGE2M0VPTFp1TGk0ZTJ1ZXIrdjY1NHFpN0tyWnJpaks0YVNrcERWVm4wWklLWDhVUXRTWGVUSXFDNGd6QWN4czZNRjBYWDhjd0N0bjkzSVEwYm1TbjU5ZkR1UXZDWXZxbTZ4QlhWeGFhdS8zMzU4MnE1dTNic01WdzRiaTd2RjNvRmZQSHZDejJXQzFXbzJPUzJmQjRhaUF2ZHlPN0p3OVdQYlBsZGp3M1NhNDNSNUlLWFVJcExrOXJrbjUyWm5iak01SlJMNmpSUlFIOC9OL0tZcUlpdnRFUU1ZbXA2WmJ0aWNtNGJMQmc0eU9SVDVvMjQ0azdFaEtBUUNYME9YcS9PdzBic0ZHUkVRdFdlLzQrUGduQWNRRHNGUjlIRng5TURZMk5relR0TENxVC9zSklWWW1KQ1FNckQ0dXBkeVRuSnhjQUdDeEVHSkRRa0pDYkkxanM0UVFYMHNweXhWRmViZSttOWNjT1NTbC9CbkFtdjc5Ky92cHVoNEJZSmF1Nnc5VkZRZy9qSStQWHlTRW1BeGd0SlR5TFFBZkNTRTJTeW1mQXJBZXdEY0EvaVdsL0tlaUtEOHFpbExTVkM4YUVUVmVmbFpHV3NkdWZXNjJXTXlUSmNRTmJyYzdlc1BHVGRpNDZYdEU5WXhFVksrZTZCWVJqazRkUXVIdjd3OC9QeHZNWms0OTlpVk9sd3QydXgybHBXVTRjdlFvOXU3THhjNnNiT3pPMlF1UHAzTHBkU2xsbGhUaUMrbjJMTWpmbmJuWDZNeEU1RnRhUkhFUWdPNFM4ak1UTUxHMHREUnF4YXJWNkh0Uk5JSmJ0VEk2Ri9tUXNySXlyUHprVXhTZU9BRUFoMXh1ejZmY2NZdUlpRnE0RUNIRVpRQTZBOUNFRUpkSktXM1ZCeFZGbVN5bGZBeEFlVlhUSFZYL1FRamhMNlc4RzhDSHljbkozeVVrSkN4M3U5MjZwbW1RVWdvQW16MGV6MmVwcWFuYkFBVEh4Y1VGcDZTazFObTJ0Ry9mdnFFWkdSbkhxamYzY3J2ZGw2cXFxdWk2L29BUW9nTEFVZ0R6cTBZUzNpbWxkSlNYbHo5bk5wdERxdTcxZFVwS1NrcDhmSHdyQUQ4N0hJNWRmbjUrMEhXZHhVRWlIM0ZvMzg0OFJFWSsyd1hXUlVKVGh5dkFuM1ZkVDlpWmxZMmRXZGtRQXJEWmJOQTBEWnFxY2NxeGo5R2xEcmZiRGJmTGpYS0hBMUpLN3pFcGtTb0Yzdk00eFRmNVN1bCs1T1JVR0JxV2lIeFNTeWtPNHRkZHFkbGRlOGUrb2tqeC9uZi8rYSs2K3JNdmNjOWQ0NHlPUlQ3azB5L1c0dHROMzBOS2VIVGQ4MkwrbmwrNGpoRVJFYlYwUHlZbEpkMFNGeGMzUVZHVXVVbEpTZGZHeGNWRkNDSDJWWjhnaE5pZWxKUTA4TlFMRXhJU2pnRkEvLzc5UTNSZGo1QlMvbDFWVld0VmtiR0xsSEtWb2lpSWlZbUpVVlYxcUJEaXpmNzkrd2VldW1tSnlXUmFIUjhmYjA1T1RyNEVsV3NiRHBkU0ZxU2twQ3pxMzc5L1NOV2IwQjFTeXQwQWJoQkN2TFpyMTY3ajhmSHhWd053SFR0MkxDTTJOcmFMRUVMUmRYMnZ6V1lMUUdWaGs4VkJJbCtTazFOeEFOaUR5di9lRGV2ZU8wWXptMitIVUlaQXltNTJ1OTBNS1ZRcHBBS0lGbDBkbExwRTlhSUlFb0JRNmwwaW9RV1J1cEJDaDVBZUFFNWRSNTRpNUgraGUxYmxaditTYW5RNkl2SjlMYVk0Q0FEN2Q2V3RpT2pkYjVqVDZicDczdHZ2b3U5RmZYRHB4ZjJOamtVK0lEa2xEYS9QZlFzdWx3dFN5aFg3czlNL05Eb1RFUkhST2RDMlg3OStseW1LMGxOS3FmYnIxKzh5SVVTSCtrN3MyN2R2cU1sa3l0TjEvZktxMFlBQUFJL0hjNU9pS08rZGN2b2pRb2hIVUxsaFNSNkF1NFFRRnBmTEZRTWdxZnFrL3YzN202U1UvUUY0cHgxTEtXOEU4TzJwOTVkU3VxV1VheW9xS3FyWEVSd0dJQ2svUDcrOGZmdjJGMVcxL2FMcmVtZFZWVGx5a01qSDVlL2RsUTRnSFFCQ1FxSUNyVUZLQjAwVi9sSlYvQVMwRmoydjJLenFFZjVtYmF3T21NcWQ3bis2ZERYWDZFeS9oNFRINmZMb2RxR0xVcnVvT0ZySW5lS0o2Q3kxcU9JZ0FGZVp3L1Y0Z00wOHRMaWtwTWVNUng0WC8xeThFQkhoWGRIQWd0aDBucE5TSWpkdlB4NTUvR2tVRjVkSUFObFMxNThGNEdyRTVVUkVSRDVOQ0RGVVVaVDFVa3BOQ0dGUkZHVzlhT0NISGwzWGhSRENvcXBxclJFOVRxZnpYMmF6dWJxWWQ3dWlLQzlMS1orUlVpNnR1czd0ZHJ1TExCYUxybW5heFRXTGcyNjNPNzVxdE9IRzZqWXA1VGdoUkoyMVhSUkZPZUowT2lkbVptYVdBbENyZGxpdUxpcGVMS1hNVFVsSktVcElTT2dOamh3a2FsR09IY3Nxd1RHY04zOW40K1BqaHdraDRvV1UxZ0NMOW1KeWN2TDNSbWNpSWpKU2l4c09YcENiZWRTajY0OEo0TmlSb3dWNDhkWForUFVnOTV5NFVCVVVITVB6TC84TisvTDJBeERGVXNkaiszZW50K2pmL0JFUkVWVlpKNlVjbDV5Y0hDQ2xuQXpnWkhKeWNvQ3U2NTExWFgrcG9xS2lzT2JKRm90RlFlVkl3VnJyN1dabVpwYW1wS1RrcHFTazVDcUtNaEtWUmNmQ29xS2l3eWtwS2JscGFXbjVWUVc5WFFBdXJubXRvaWlYQVhBWEZ4ZDczemlucEtTa1ZMK1JkcmxjMVQ5THpsSVU1WkRaYkw0T0FPTGk0bTRHME5IajhYeFVkZnhLQUQ5VTVRdENaWkdSSTF1SWlJaUlmRUNMS3c0QzBQZG51YitRVXI0c3BjUi9mL29aZjNua2Nad29xck4rTnAzbkNndFA0TUdIWnVISHpWc2dwWVJIZUo3THk5YldjQk1TSWlJNkQyaFN5djlLS2RmSHhjVUZBL0FESUtvK0JvRFpxcXJXV2xSZUNPR0h5b0plYVgwZHhzWEZEUVlRSzZVc2sxSSsxTHAxNi8vR3g4ZTNxM0Y5a3BReS9wUStoMG9wdCtYVW5xSW00dUxpaGlRa0pNeFhWVFdqNnJ6MkFONVNGT1UvRVJFUlZpSEVTMUxLMWFtcHFkbjkrL2Z2S0tVY0lvVDRwaXBmRUNvTGkrZk5LQ1FpSWlLaWxxd2xGZ2NCWkRwenM5TG1TcWsvNjNaN3lwTlNVakh1N2tuSTIzOEF1czY2MFBsTzEzWHN5OXVQaVZPbVlYdGlFdHdldmR6amtjOGMySmsrQjBqa2RHSWlJbXJ4NHVQai82QW95b2thLzcwTklLaG1tNlpwcTJ0ZUk2WHNoTXJ2a3lmcjYxTUk4UXFBaFVJSUI0RGxBTXdBTnZmdjM3OUgxU2xwQUdKcUxEc2pBRndtaE5od1NyYjNGRVg1RWNBa0FLbFY5NTZabEpUMGFHSmk0djdXclZ2UHFSbzErSmVxUEZPRUVNN2k0dUl2cXM1dGpjcVJqaHc1U0VSRVJPUURXbWh4c0ZLdTIvNHFvTDhBaWVLZFdkbVlNdjFoZlB6dnoxRlI0VFE2R2pVUnA5T0oxWjk5Z2Z1blBZVDBqRjhnQVR1RWZNNWRXakRiNkd4RVJFVG5pcUlvbTRVUWZZUVFmYVNVZndCUURxQUV3TVhWN1c2Mys5NVRMdXNucFN4TlRVMnRzOTVLUWtMQ09BQURQUjdQWEZRV0NvKzQzZTRyaEJBbnBaUXpxazVMRTBKWUVoSVNvcXV1aVFFUUFtRDlLZDF0QnZDa0VLS3JvaWkzMXp3UUZ4ZjNzQkJpc2hCaVZscGFXbjUwZEhRSEFET2tsQXVyUng4cWloSXNwWlNKaVlrY09VaEVSRVRrQTFyYWhpUzE1ZVJVT0R0MStyczVJT1FnRlBIT3JxeHMyNHV2emNaWFgzK0w2Vk1ub1Y5TVh5aEtpNjUvVWhWZDE1R2NtbzUvTEh3ZjIzWWtvcXpNWGxrWWxIakFXVnl3NnVEQmczYWpNeElSRVowcmlZbUo5cW8xQUpYNCtQZzNBRGlycGhhdjEzVjlabkp5OGpKVUZ1Tzgxd2doeGdMWUIwRFc3S3RmdjM2ZHBaVHpoQkR6VWxOVGYwMUlTQUFBcEtlbm40aUtpcm9pS3l1cnJPcjZOQ2tsZEYyUEI1Q202L29WUW9qQzVPVGtiVFg3UzA1Ty9xRDY0Lzc5KzRkVWY1eVFrSEFkZ05jQnpFMUtTbm9iZ0dLeFdKWUpJVHhPcC9QbDZ2T2tsRzJGRUtWY0JvU0lpSWpJTjdUczRpQ0F5cUxRd1NWaFVYMlROV2pMU2t2dEYvMzNwODNxejF1MzRRL0RodUx1OFhlZ1Y4OGU4TFBaWUxWYWpZNUxaOEhocUlDOTNJN3NuRDFZOXMrVjJQRGRKcmpkSGtncGRRaWt1VDJ1U2ZuWm1kc2EwUlVSRVZHTGxKQ1E4QWFBS0FEUEFuaFdTdmtDZ0VVSkNRbERDd3NMcDBrcDA2U1VNaTR1N2c0QWw2RnkydS9uYnJmN0xnRC9Ga0xzQXhBTm9PRG8wYU5QbjlwL1ZsYVdkL1JlWW1MaW9ZU0VoQkVBdHFDeVdIaDExYWpCUmhYeGhCQmY2N3IrVUhKeThweXFISE9FRU1NQjNKYVJrWEdreHFraFVzcDZwejRURVJFUlVmTnI4Y1hCYXZsWkdXbGRJdnZlckdycXZSTGlCcGZiSGIxaDR5WnMzUFE5b25wR0lxcFhUM1NMQ0VlbkRxSHc5L2VIbjU4TlpyUFo2TmhVZzlQbGd0MXVSMmxwR1k0Y1BZcTkrM0t4TXlzYnUzUDJ3dVB4QUpXakRiS2tFRjlJdDJkQi91N012VVpuSmlJaWFnclIwZEZtaThVeVQwcjVKN2ZiZmJtcXF2MFZSVUZ5Y3ZLODJOallIMVZWL1NnNE9QamFsSlNVVlFrSkNRTEFFaW5sZjZTVVR3b2gvcVZwV3BLVTh0Yms1T1FkQUVSTVRNd3QrZm41NVdlNmIxSlMwbm9BaUl5TXRBZ2gvaUNsUEhYcWNvTVNFeE5kQU40RW9GWVZCaCtVVXI2YW5KeThzdVo1UW9nQlVzcXMzL2pTRUJFUkVkRTVkdDRVQndIZ1FFN0dIa1JHUHRzRjFrV0twbzRRd04yNi92L3MzWGw4RlBYNUIvRFBNN05YUWdqM0hTQmk1QWdrMlZsVVZLUjRnS0xXcXg2MVhxMVd4Yk1xS3BXaXJkU3JVaTJDV08rYnF2alQxbnBBMVZwUEZOUmtjeEVLQkVnbGlISWZJU0haM1hsK2YyUjN6VTNJdFRrKzc5ZkxsNXVaNzg0OHUrVEo3RHo3UFd6ZnF0VnJzR3IxR29nQWNYRnhjRGdjY0pnT0RqbHVaMnkxRVF3R0VRd0VVYlovUDFSL0hCV2xpaHdWUEJXcWtQZUxqWkp2VVZoWTN1REJpSWlJT2pDMzIzMDZnTk9Ed2VCUDh2THk4cnhlNy9qSXZ0emMzQ3dBWThhUEg1L2s4L2tXQWJoSVJONE1Cb01YNStibTdyTXN5eWNpaTFWMW1jL25tNUdWbGZWb1hsNWVYbDNuc1N4ckNvQTNhMjRYRVFFUUx5TFBXSmIxVkpYdHY4N0t5bHBjNjBCaHFhbXBDVzYzKzAwUk9WRlYvK0wzKzJkWmxuVWZnQ0NBVWdCSEFVZ1hrUnRhNXAwaUlpSWlvdWJxVk1WQm9DTG1hVVlBQUNBQVNVUkJWSElld28zQU9nQUxBU3hNR2pFNnplRnkvUUppVElUcUlhV2xwUzZvbUNwcUFNTHFZTHVpdHFqWUVBMEJxTEJ0L004US9SUjI2TFdpTlN0elloMGRFUkZSVy9INy9YKzNMT3ZMdkx5ODcrcHBZdHUyL1hzQXg2cnF4ZG5aMlgrcjh0eXRBS2I2Zkw3N0FhU0VWeDNXZWc2eVNrU3VyN205NmhkMFZRV0R3YThiaXJ1Z29HQ2ZaVmsvcU9vVmZyLy9tZkRtbzBYa3VQRGo3ZUdpNGVNTkhZZUlpSWlJMm83RU9vQzIxTGZ2cU82ZVJHT2d3NVJ1YWhyeEFnZkhGYmNqaW1CRk1HU1hpaTBscFZLK1pVZDRWVU1pSXVxNDB0UFRqekpOOHhVQVBVWGtGNUZocTlRaXpOVFVWTE9nb0tBaTFvRTBRa2VLbFlnNk9jdXlKb3ZJcTZycUFYQ1czKy8vSk5ZeEVSSEZVdWZyT2RpQWJkdFc3OFUyN0cxRVV5SWlJcUwyTGxSUVVCQ0tkUkNOMUpGaUpTSWlJdXBTT0t5V2lJaUlpSWlJaUlpb2kySnhrSWlJaUlpSWlJaUlxSXRpY1pDSWlJaUlpSWlJaUtpTFluR1FpSWlJaUlpSWlJaW9pMkp4a0lpSWlJaUlpSWlJcUl0aWNaQ0lpSWlJaUlpSWlLaUxZbkdRaUlpSWlJaUlpSWlvaTJKeGtJaUlpSWlJaUlpb0RYaTkzbE10eTNxeHZ2MXBhV205ZkQ3ZnZhbXBxYTdHSE0reXJGOWJsalcvNW5hZnozZXYxK3U5b3JueFV0ZkE0aUFSRVJFUkVSRVJVUnN3REdPRWlKemF3UDZ4QUg3bjhYZ3Vhc3p4Uk1RU2taT3JiaHMxYWxSM0FEY2JobkZJUzhSTW5aOGoxZ0VRRVJFUkVSRVJFYlVucWFtcEF6MGV6K1lHbXZ6TnR1MGl3ekJtTjNRY1ZYMUFWYjgxREdOUFZsYldvaHJuY0xuZDdyK0dRcUc3Y25Oeml3RWdKeWZuYzUvUHQwSlZid0h3WEYzSHRDeHJNSUE1Z1VEZ2ozWHRqNCtQUHh0QVhEQVlmS1Z4cjVhNk9oWUhpWWlJaUlpSWlJanFvS3JucXVvNnd6Q1doQXVDZnhPUlA0b0lUTk44TWhnTS9nc0FUTlBzQmVBdFZmMlRiZHZ2UnA1dkdNWkdFYmtHd0prQS9sYjEyRzYzKzJjaThtc0FEd01vam15M2Jmc3hFWG5TNS9PTnljcktXbFV6SmhFNUZNQVZicmY3VDZwYUsyWVJ1VkpWdHpnY2ppU2Z6NWRVMzJ2THlzcjZWelBmSHVva1dCd2tJaUlpSWlJaUlxcERLQlJhblp1Ym0yOVpWb1dJYk1yT3pzNjJMR3NIQUVkbVp1YTNBTDVGNVJ4L0o2Q3ltTGc0SnljbnUrb3h2Rjd2TXlMeVc4dXlUcXk2WFVSdVV0V2xEb2RqcE5mclBTcXkzVEFNajZyT3MyMTdvdGZyblZpbC9SSy8zLytkcWlhTFNDaHk3cW95TWpMR0FqaFdSQUJnYVgydlMxVXJBTGliL3c1Ulo4RGlJQkVSRVJFUkVSRUJnQWtnRk9zZzJoUFROSyt5TEdzTGdCNnFPdFd5ckFRUlNRZFFnTXFpNEZHb0xMYWRKaUlCQU4waTIwS2hVSGxPVG80L096dDdyV1ZaeTBUa1dnRC9RV1hCOERnQUV3QWNvNm9QR1lhUld2VzhJb0p3Z1M5S1ZkY0MrQTdBV0FDbWJkczdSY1NscWc3THNrcEU1Q05WM1E1Z3IyM2Iwd3pEdUJMQWlhcjZNd0RuaXNndHRtMGZJeUxYaThocGJmaytVdnZHNGlBUkVSRVJFUkVSd2V2MVRoT1JnYlp0cjYrb3FGaS9hdFdxVFFDQ3NZNHJ4bndpVWdMQUEyQUVBRk5WQjRoSVFiaW04aVdBL1FCQ3Fsb2hJdStGaC9vNkRjUFlEQ0FabGNXK1J3Q2tWRG51TGxYOWk5L3YveExBTVFBYzZlbnA3dHpjM0gxVlQ1NmFtdXFLaTR0THpNek0zRlpsODlHcStxR3FMZ1J3SllBTVZiMWVWYnNaaHZHY3FqNlVuWjM5aFdWWk53REk4L3Y5MzFpV2RRYUFiN096czcrMkxHdVBxdTV0cXplUTJqK3VWa3hFUkVSRVJFUkVVRldmaUN3MERPTWxqOGZ6bG1WWmY3Y3M2L2VXWlUwWlAzNThqMWpIRnd1aFVPanFyS3lzYWFyNkE0QW5zckt5cGdING9FYXpzLzErZjBMVi8wVGtsc2hPbjgrWHJxcnJWUFU5QU1NQU9FVEVBZUFWeTdJT0h6OStmRi9Mc2phWnBubEx6Zk83M2U2ZnFPcFdyOWQ3S2lxTGhRa0FKcWpxMzdPenM5OFVrUTBpVXBLZG5mMm1ZUmluQXlnRjhKZklxUUZraFI4UFY5WDFxQ3hVSm9nSWk0TVV4WjZEUkVSRVJFUkVSQVRETUw0TDk1QWJJaUpEQUtRRE9CMlZoY05TeTdLK0ZwRWxnVUJnYVVWRlJWRW9GS29vTEN3TUFMQmpIWHRyTVUzVHlzakk2Q2tpYmxVOUpDTWo0MWdBL1FIc3FObldzcXhIQUF6MysvMW5WTjJ1cWt2QzcyZVVpSHdkZVJ3S2hTNEw5MFE4dkk0UWpsWlZPeEFJTEVkbHNYQ2FpTGh0Mi81M3pZYXFtaTBpbi9uOS9xM2p4NDhmWk52MllTS3lMSHkrc1FBK0M3ZExBTURpSUVXeE9FaEVSRVJFUkVSRUNJVkNteHlPeWpKQkhhdmd4b3ZJWkFDVEhRN0gvUTZINHpzQStWNnZOMWRWVjR2SSttQXd1QzQvUC8rN3pqUnZvWWc4WVJpR3JhcnhBSzQyRE9QWEl1SUdzTGlPNWs0UmNkWGNHQXFGampJTXcySGJ0cGltK1NVQWw2cjZJdnNyS2lxMmVUeWVWQUFYMTNITW8wVWtlK1hLbFR0UVdjRDlaeWdVdWk0bkoyZE56WWJCWVBDMXZMeTg5ZUZ6bm0wWXh2NHRXN1o4a3B5YzdGSFZjYXI2U1BnMWRXZHhrS3BpY1pDSWlJaUlpSWlJRUFxRk5rZUtnM1dwVWpBMFJDUUpRQktBa3czRDJLK3FPNXhPNTFhdjExc3NJaXRVOVhQVE5ML0t6TXdzYmF2NFcxaUpiZHYzMnJhOUlEYzNkNHRsV1VVaThuQldWdGJEUHAvdlo2cGFhNW8yRVRGVXRWWXZ5dHpjM0dKVTlpdzhVVVFHQU5pK2RldldINHFMaThzaWJieGU3OWVHWWR4bVdkWmd2OS8vWFhpekFlQm9BRTlGMm1WbVpnWUEvRFh5czZvYUlqTFE1L090VWxWM2VGNUVNUXpqR2xYOVIzRnhjVmw0SldWM01CaU05QnhNRkpIaTFualRxR05pY1pDSWlJaW9hNVBVMU5RQkJRVUYzOGM2RUNJaWFsTkdTa3FLTXo0KzNyRm56NTVRVVZIUmZsWGRHVjVVdzZXcXRWYkxSWlVDWVpWQ29RQ0lFNUVocWpyWU1JeXg0YUd3ZmNyS3l2NGJuZ092bzNyUU1BeDR2ZDZlSW1MWXRoM245WHA3MnJiOUh3QklTVWt4YTdTUER5OWVVcC9iQVd3RzBLTi8vLzdyK3ZidCsvdnM3T3luVVRsOE9VdFZvYXBXZUVWaVdKYVZKaUk5YmR1dU5zZmgrUEhqKzlxMmZTNkFYd0NZcEpYL0dGK0p5RFBoNTEwT1lJeXFYb0xLZjZ2elJHUmRwRmNoZ0VRdVNFSlZzVGhJUkVSRTFJV2xwYVZOY2pnYzB3RDhMdGF4RUJGUnF6SzhYdTh3RVJrT1lMQ3FqaENSY1FCU2UvWHE5WEV3R0x6ZDdYWUhBZXdCMExjSng5OGpJc3R0MjE1aW11WS9zck96djIyRjE5Qm0zRzczdjBSa1l0VnRobUhjQitDK3lNL2R1bldiVk9OcGcxVjFYVjNIQy9jYW5LaXFmeGFSNjFUMWJoRjV3dWZ6RGNuS3lwcVRtWm01M3JLc0VoSHhBWGdYbFQwUkp3SFl2MjNidHM4angvRjZ2Y21xdWphOG9NbTNxdnBmRVRHeXNySk9DdTgvVEVUbUFYZ2tPenM3ZSt6WXNiMUY1QmVxK3RjcTRmUVNrVDB0OW1aUmg4ZmlJQkVSRVZFWE5XN2N1REVPaCtOcEVmbG5yR01oSXFKV1lhU25wNmVLeUdtR1lVd09yNVRiRDBCUHd6Q2ljK09wNm5mOSt2VkxDQVFDSVpmTHRidXU0bUFkY3hCR2VoWnVBL0NhcWk2cXFLaFlIWmticjZNekRPTkNBUEVBWU52MjcwVGtFdHUyNTRuSTA0WmgyQUFRQ0FTS1RUUGFlVkJVZFp5SUxLMTVyTlRVVkJlQUJRQ2VFNUd0QU9EMyt4L3orWHo3VmZVdjQ4ZVBYNVNabWJsT1JQSUJXRldlZWdLQVQ2b09QODdPenQ3bzgvbmVBUEJjVmxiV0J6NmZid0dBS2VIekRCU1JKUUMyN3R1MzcvZW9MSExPQXVBR3NEQWFxRWhQVldWeGtLSllIQ1FpSWlMcWVtVGN1SEZwVHFmekN4SHBadHYyaGxnSFJFUkVMY3V5ckhNQlBCanVLUWhWVlJHeEFWUUFLRmZWVGFyNktZQ1BSZVI5djkrL2RmVG8wWDJjVHVmdXlIRGl1Z3FDQUZSRWdxcTZUMVVYaFVLaEJ5Sno2blVtbVptWjM2S3lKOTVFd3pET0JWQm1HTWJscXBvZUNBUXV6TTNOM1FMQTRmTlZyaXRpV2RZSkl0SlBWZGZYUEpiSDQ3a0h3SkJRS0hTZmFacG5SN1puWldVOTUvVjYvNUdabWJrcnZDbFhWVThLUHpaVWRiS0kzRjNqY0tHc3JLd0w2b3JaN1hhL0RTRFJ0dTFqVjY5ZXZkZnI5UjZucWpNQXpJM01ZNWljbk93SkZ6MTN0OVI3UlIwZmk0TkVSRVJFWFV4NmV2b0UwelFmRjVGdXFvcFFLTlNSNTRNaUl1cnlVbE5URTBLaGtLeGV2VG82ajV5STdGRFZZYXE2QThCNkFQOVQxUUlBM3dTRHdmeTh2THovMVZ4VnVGdTNia0ZWclZVMHFsSXMzQWZnRzFWZEdnZ0VYczdQejkvWU5xOHdOakl5TWthS3lOOEJ6RlRWVzBYa1RSRTV5alJOZjBaR3hzOXpjbksrQ0s5YXZBdkE0Nmg4cjU3eCtYd2FDb1hXR0lieE5pcmZ0NGtBWnVUazVHeUtGQk1qc3JPekk0VkJxT3I4eUdJalhxOTN2SWowdG0zNzNjYkdhOXYyYk5NMHQvdjkvclhqeDQ4ZmJkdjJZZ0M1ZS9mdXZTdlNKakV4TWRJcmxNVkJpbUp4a0lpSWlLZ0xTVTFOSFdhYTVrSUFhWkZ0aG1HRUduNFdFUkcxUitucDZmME53emhQUkU1VDFjVUFYb2pzMjdObno3SnUzYnBkRFdDdGlCUlhWRlJzTGlnb2FHaXhESlNWbFlVOEhrKzBhRlNsS0ZndUlxK3I2djhGZzhHcy9QejhZZ0IxZGl2c0xESXlNbzQwVGZPZnF2cE9WbGJXUXN1eWJnVlFKQ0szQWJqWE5NMEhBUndiQ0FTdWNUcWRiNFRuYnp3RHdNa0EzakJOODJFUm1SRSszTFYrdnovblFPZjArLzBGa2NjaU1rMVYxMlJuWjY5dGJNdzVPVG52bzdJWFk0YXEvZ3RBTUJnTW5sTllXRmdlYWVOd09JNUVaU0Z4OVVHL0tkUnBzVGhJUkVSRTFFWDRmTDRVVmYxS1JIcFZHU3FtdG0xenhVSWlvZzVpL1BqeHpyS3lza0V1bCtzbUVmbFYrRys2R29heFkvejQ4ZitYbVpsWkNnRGhndENUQjNQczB0TFNvTnZ0M2kwaUVKRlFlRVhidjVlWGw4OHBLQ2pvMEF1TUhDelROSjlXMWRmOGZ2OU5WYmRuWm1ZR0FNd0U0UEI2dmVjYmh2R2dxc2FwNnBuWjJkbnZBbmpic3F3Vkl2S0ViZHNUeG8wYjkvT0dDb00rbis4L3FucGt6ZTBpNGdZZ2xtV1ZWTm0yTGlzcks2T2h1QzNMT2tkRVhsVFZYWVpobk9oME9vZFlsbldkaUd4WFZZK3FUZ2RRdkh2MzdtK2EvdTVRWjhQaUlCRVJFVkVYa0o2ZVBrNVZuNmxSR0FTQWZZWmhjRmd4RVZFN04zNzgrSGpidG8rMmJmc3N0OXY5S3hGSlVOVUtBUGtpOHJXcXZweVZsVlhSbkhNVUZSVUZlL1hxdFZsVnYxVFZqMEtoMEV0NWVYbXJPM3N2d2JxRVFxRlRjbkp5TnRXM1B5TWpZNVNJTEFTd0JNRE03T3pzN3lMNy9INy9TMTZ2Tjg4d2pBVWkwaE5BdmNPdmJkdCtLTHhJVERYMUxBQnp3RVZFYk52ZWFCakdGK1hsNVpjVUZCUjg3L1Y2QnhxR01TUDgvQ0NBbkZBb2RHMVJVZEgrQXgyTHVnNkpkUUJFUkVUVWVhV25weDlsbXVZckFIcUt5Qyt5c3JMK0ZldVl1cUwwOVBUK3BtbStMaUxIcU9xUHl5cFdEaGRiRVFnRUxzekx5NnMxZ1RvUlVXZGtXZFprRVhsVlZUMEF6dkw3L1ovRU9xWURNQzNMT2g3QTFTSnl0S29PRWhGYlZUOFRrVmREb2REbkRvZGpUYmhIVzdPbHBhV05NRTNUenM3T0xtcUo0M1ZtU1VsSmNWVlhFbTdISkRVMTFWbFFVQkNxT2M4a0VkaHprSWlJaUtoelMwOVBUekpOY3ptQUlYWDFRbERWbFN3TUVoRzFUNm1wcVFQZGJ2Y3JJbktjVnY0Ukx3ZXdQQmdNWHArYm01dlZHdWZrTmFIeE9raGhFQUMwb0tDZ1diMUtxWE5qY1pDSWlJaW9rL0o2dlllSnlLTWlFaTBNaWtqTm9Vci9pMVY4UkVSMFFEc0FtS3E2UlVRK3NXMzc1VjI3ZHYyTFEwS0pxQ1d4T0VoRVJFVFVDU1VuSi9jRXNGQkVqcStyeDJDRXFuYXBDZWFKaU5vNVozallwdzBBQlFVRkZlbnA2VmVxNnRDS2lvb1ZxMWV2NWdKU1JOVGlXQndrSWlJaTZtUkdqUnJWUFQ0Ky9tc1JTYW5hWTdBdXRtMnpPRWhFMUE2a3BxWU84M2c4VHdVQ2dSdno4dkwrRzltZW01dTdHc0RxMkVaSFJKMFppNE5FUkVSRW5VaDZldm9ocG1uT2IweGhNR3hEVzhWR1JFUzFqUjQ5dW8vSDQ3bFlSSDRQb0xmVDZid1p3UFJZeDBWRVhRZUxnMFJFUkVTZFJGSlNVcHhwbWc4RE9Ma3g3VlUxRUF3R043VitaRVJFVkpkeDQ4WU5kVHFkRDRqSTJhcnFVdFZsb1ZCb1VhempJcUt1aGNWQklpSWlvazZpVDU4K28wVmtIQUJYMWUycVdxdjNZUGpuMVZ5OWtJZ29Oc2FNR1RQYzZYUitKU0w5dzV2ZTJyMTc5NlhyMTYvZkhlUFFpS2lMTVdJZEFCRVJFUkcxakp5Y0hIOGdFRGhjVlc4RXNFSkVTaU5GUVZXdHVVb3hiTnZPamxHb1JFUmRtWkdlbmo3SjQvSDhHMEEvVlMwS2hVSy84ZnY5WjdFd1NFU3h3SjZEUkVSRVJKMUlYbDdlVGdBTDB0UFQ4dzNEK0t1SWpCS1JhR0d3Um9Id20xakZTVVRVVldWa1pKeHFHTVk4QUllS1NGNHdHSnllbTV2N05ZRDZsNVluSW1wRkxBNFNFUkVSZFRJK24rOUtBRS9peHg2RDJ3Q29pUFNyMms1RTJIT1FpS2dOK1h5KzgxWDFWYW5zMXAyL2I5KytZMWV2WHIwMzFuRVJVZGZHWWNWRVJFUkVIVmhLU2tyaTJMRmplMWZkRmdxRlZnRUlBc2dDY0t2Zjd4KzhiOSsrVk51Mlp3UElCTEJmVmUxZ01KZ2J1OGlKaUxxV3RMUzBYcXA2a1lpRVZQV0Rpb3FLVTFrWUpLTDJnRDBIaVlpSWlEcVk1T1RrbmoxNzlwd0k0QmdSR2F1cUt3SE1qdXpQeWNsWmtaR1JjWjJxZnBLYm03c1dnTDFtelpwdEFPNUxTMHQ3MWVGdy9CVEE2ZUVoeUVSRTFBYnk4dkoyZXIzZUcxVTFTMVZmeWMvUDN4anJtSWlJd09JZ0VSRVJVZnVYbEpRVTE3ZHZYNStJbkFqZ0JCRTVGb0JacFVueW1ERmpGcTVhdFdweitPZEFUazdPazNVZEt5OHZiejJBQmVIL2lJaW9EV1ZuWnhjQm1CUHJPSWlJcW1KeGtJaUlpQ2gyREsvWG0xaFJVWkVJWUVkQlFVRkpaSWZQNXpzS3dIUlY5WW5JWVFEaXFqeHZqNnB1QWxDc3F0a0FQdG03ZCsrdTJMd0VJaUtxVDFwYVdpOFJxY2pOemQwWDYxaUlpT3JENGlBUkVSRlJHeGd4WWtTUHhNVEVRMVExU1VTR2ljaFFBSU5GcEpmSDQra1ZEQWJuQW5nNzBqNFVDZzB6VGZNY0VlbXVxaFVBVmdMSUJaQ2pxcXRGWkVOcGFlbDZ6bGRGUk5RK0pTY25lNXhPNTQycW1qeHk1TWpaYTlhczJSVHJtSWlJNnNMaUlCRVJFVkVyU0UxTlRYQTZuVGNaaGpFUlFMcUlERzZvdldFWS82NWFIRFFNSTE5VkZ3YUR3YzljTHRjWG1abVp1OXNrY0NJaWFoRTlldlE0WEZWL0p5TE9idDI2ZlFyZzJWakhSRVJVRnhZSGlZaUlpQm9wTFMydGwyRVkvUXpENkFPZ3AyM2JRMFhrc1BDdzM3Zjlmdjh6a2JZaTRqSU00eVFSbVJUZUZBQ3dHOEFlQUx0VmRZK0k3RlRWelFEK1o5djJKMVhQNWZmN0N3RDhyczFmSkJFUk5adGxXY01CTEFKZzJyYjl0K3pzYkJZR2lhamRZbkdRaUlpSXFINU9yOWZyRlpGMEViRUFKQU1ZcEtvRFJLU1BhWnFlU0VOVjNRNGdXaHpjdlh0M1daOCtmZDQwRENNblhBQXNNZ3hqUnlnVTJpRWlPMHRMUzNldVdiTm1KNEJRekY0ZEVSRzF1TlRVMUFRUm1RdGdPSUE4VmVVQ0pFVFVyckU0U0VSRVJDMGlOVFYxb012bG1sQjFtMkVZbzFRMUhvQlRWWS8yZXIzdXF2dFY5WnVjbkp4Mk93ZVRaVmszQVBoak9INkhpQmlvN0JVSVZNYS9NM3pqbDZtcS82cjYzT0xpNHJMaTR1SUZBQ1JjQUxSajlES0lpTG9zeTdLR3ErcHhOVGFQQmhBbklrNVZuZWIxZXBPcjdyUnQrOVBjM053TlRUMm4wK2s4QzhCUEFaUUJlREk3Tzd1d3lTK0FpS2dOc0RoSVJFUkVMY0xwZENZYWh2Rm16ZTJSUWhxQTMxZDVEQUFJQm9OcEFHSmFIRXhKU1hGN1BKNFJobUVNdDIzYm41K2YvME5rWHlBUVdPcHl1WDRmWGhsNHM2b1cyYmFkS1NKNXRtMFg1dWJtZm5lQW9sK3diVjRGRVJIVlJWVmRobUU4WDk5K0VibTk1clhKdHUzUlRUM2Y2TkdqK3hpR2NSV0FlTnUyLzFGU1V2SVVBRzNxOFlpSTJvSTBvZzBSRVJGUm8xaVc5WTJJakc5TVcxWE45dnY5dmxqZU5GbVdkWXFJbktXcUU4TER2Njd3Ky8xdjFHaHpSaWdVS2k0dExkMVlXRmk0TlZheEVoRlIwM2k5M3VXR1lVeG9SRk9vYXFiZjd6KzhxZWZLeU1nNDN6Q01sd0FFYk52MjVlVGtyR25xc1lpSTJncDdEaElSRVZHTHNXMzdhZE0weDZ0VzF2dHE5c2Fvc1gxUnJBcUQ0OGFOTzl6cGRENGtJa2VvcWpzOFhMak10dTBCTmR2Ni9mNjNZaEVqRVJHMURGVjlIc0NFUmw2Ylhtbk91VVRrZmhGeHFlcmpMQXdTVVVmQjRpQVJFUkcxbUZBbzlJRnBtdHNCOUdtb25hcnVWdFVQMnk2eXl1SERpWW1KbzJ6YnZrNUVMaFNSaFBES3dTdFY5ZTFnTUxnb0x5OXZmVnZHUkVSRXJVOVYzd053d0dzVGdPMkJRT0NEcHA0blBUMzkxNFpoakZEVkxiWnRQOW5VNHhBUnRUVVdCNG1JaUtqRnVOM3ViYXE2WEVST2kvVEVxRWxFb0tvcmc4SGc1cmFLYSt6WXNiM2RidmZ0cW5xUllSaURBWlRhdHIwSXdLdkJZUENicXZNTUVoRlI1MUphV3JxOWUvZnVXU0l5OVFEWHBpekRNTDV2eWpsU1VsTGNwbW1lb3FxMnFyNjdmZnQyZnRsRVJCMkdFZXNBaUlpSXFQUEl6TXpjcTZxZmhWZm5SZFdic01oalZiVUJaT1huNTI5dmk1aVNrNU05THBmckhRQTNpOGhnVlMxVTFUTktTa3F1eU03T2ZwZUZRU0tpenEyd3NMQUV3UEpHWEp1VzUrYm1OdW5hVkZoWVdHNFl4cVcyYlI5dDIvWmZpb3VMeTFyc0JSQVJ0VEwySENRaUlxS1daQVBJQkxBRndLQzZHb2pJdm1Bd3VLeXRWdkl0S2lyYTM3Tm56endBb3dDOFcxRlJjZFBLbFN0M3RNVzVpWWlvWGJBQmZBTmdWMzFEaTBWa242cCtFeWtnTmtWbVptWXBnSythRlNrUlVReXc1eUFSRVJHMXFIMzc5bVdyNnFiSXo2cGFzNWZHWGhINXJDMWpVdFUvQXBoZVhsNStCUXVEUkVSZDBwY0FvaXZPMTNGdDJoTnVRMFRVNVVnajJoQVJFUkVkRk11eUZvaklEVFhuZGdyUDZmUzYzKzgvTDJiQkVSRlJsK1QxZXA4MERPUEtlcTVOci9yOS9sL0VMRGdpb2hoaXowRWlJaUpxRFcvVXQ4TzI3UmRhK2R3T3k3S3V6c2pJR01uUE9rUkVGS0dxcjlTM1QwU2ViK3B4dlY3dmhaWmxQWktXbG5aMGs0TWpJb29oZm1BbUlpS2lGdWYzK3o5VDFlOXFibGZWTFRrNU9VdGE4OXhlci9kWUFBK0t5SXRlcnplOU5jOUZSRVFkUjA1T3ppZjFYSnUrejhySytxQ3B4elVNNHl3UnVkNHdqRE9hSFNRUlVReXdPRWhFUkVTdHdRYndna2psRENZaUVobTI5V1o0WDZ0SVNVbEpCUEJyQVBFQVhLV2xwVnNiOFRRaUl1b2E2cncyQVhpdE9kY21WWjBZZnNqRlNJaW9RMkp4a0lpSWlGcEZNQmg4QThEK3lNK3FXZ0dnVlhzTkppUWtqRE1NWTFyNHh3ZlhyRm16NlFCUElTS2lMa1JWWDZ0NmJRby8vbnRUajVlYW1qcE1SQVlEMkdzWXh1cVdpWktJcUcyeE9FaEVSRVN0SWhBSUZLbHFWcFVlR3F0VmRWVnJudE13aktrQStnSllWMUpTVXUrOGgwUkUxRFh0Mzc5L282cm1SNjVOQUZhR1FxRjFUVDJldytFNEVwVkZ4K0x5OHZLU2xvcVRpS2d0c1RoSVJFUkVyY0l3akwycStybUcyYmFkR3dnRWFzMzExSkpVOWF6dy94OHRMQ3dzYjgxekVSRlJ4Mk1ZeGw0QVgrdVB2dDZ4WThmMlpoenZDRlIrQWJiUk5NMjlMUm9zRVZFYllYR1FpSWlJV2tWQlFVR0ZpS3dFVUFZZ1dMbXBvTlY2VmFTa3BDU0tTSnFxVmxSVVZMemFXdWNoSXFLT3E2Q2dvQUpBbm9qc0J4QlExYnppNHVLeXBoNVBSRWFnOGt1cDdUdDM3dHgvNEdjUUViVS9MQTRTRVJGUnF4R1JMd0JzQUxCTFZaZTI1cmtTRWhJbUFUQkZaSVBENFdEdkRTSWlxcE50Mng4QzJBeGdWeWdVK2s5emppVWlpYWdzRHU1UFRFd010VmlRUkVSdGlNVkJJaUlpYWpWWldWbUZBSEpWZFhWT1RrNU9LNS9PaThvYnRQK1dscFlHVy9sY1JFVFVRZVhrNUt3RnNFcFYxK1RsNWExcHpyRnMyKzZCeXVIRlpRVUZCYnoyRUZHSDVJaDFBRVJFUlBTanZuMUhkZmNrR2dNZHBuUlQwNGdYT0Z5eGpxbTVTaXZzUXRNd05pZVA5djZrTmM4VHROVnlHVURJdG8weTIzVnM4bWh2aS9mZ1VBUXJnaUc3Vkd3cEtaWHlMVHNLQy9lMDlEbW81WFRHZk9wTW1FOGRSMmZNcGZKQUtBOHdYTTI1TmdXRFFRRFNWMVUxYUd2ZjFyN08xWWU1MUxGMHhuenFUTHBxUGtrajJoQVJFVkVyR243WXVERXd6SE1nT0VvRXlWREVpWWhERlE2SWRvWmUvcEhQRzlxYUorbm1OSHE2SGVJcEM0UktTd082cDhwS2xDMUh4UlpCVUlFQWdQMXEyLzhEOElWdDRKOGJWK1htdC93SjZXQjFnWHpxUEpoUDdWcG56eVVCUkZVQmtlWmNteVRSYmZReEJZNzlRUzBwQzJwc1ZpdG1MclY3blQyZk9wVXVtazhzRGhJUkViVTlZOENoNlgzam5Ib3FZRnd0SWhPcTduUzdYREJNRTZaaFFBeGVxaHRMUXVVUXRXR0xDVFdjYUkzaW9Lb2lGTElSQ29VUUNGUkFxOXhTMnFxWmFtUCsva0RvL1MwYjhyY0NzRnM4QUtvTDg2bURZajYxTzhhQVE5UDdlcHc2UldEOGhybDBZS28yRERzSVFLSGlBQXd6Um5Fd2w5b2hYcHM2cUs2YVQvd3RKQ0lpYWtQSm83M0p0cTBYR0FiT0V4RWZBSmltaVRHalJ5Smx4QWdja2p3Y2d3Y09RTGR1M1JBZkh3ZVhpeU5OMnBPS1FBQ2xwYVVvS2RtSEg3WnN3Zm9OLzhQYXduVll2WFl0QW9FZ1ZOV0dJRWRWWHc5VUJCZDl0NzdnMjFqSDNKa3huem8yNWxQN01TUWxQY2swNUdMbVVzZkVYR3BmZUczcTJMcHFQckU0U0VSRTFFYVNSb3c1ek9seVBRZmdDSWk0ZXZYc2liUFBPQTJuVHB1S1FRTUhvSHRDZHlRa2RJdDFtSFFRU3ZidHc5NDllL0g5bHExNC85Ly93V3R2dkltZHUzWUIwSUJDdmd5RUFyL1p0R1psYXkvRTBpVXhuem9mNWxOc0pJMFljNWpENVhwU2dHTWc0dXFSbUloenpqcWR1ZFNCTVpkaWg5ZW16cWVyNUJPTGcwUkVSSzB0TmRWMWlPMDRXU0dMUkNReExpNE9Wa1k2L2pEN05xU01HTkVxdzErcDdha3FDdGV0eC8xL2ZoZ3J2c2xFV1ZrWlZIV3ZyWHI1dDJid0xSUVVWTVE2eGs2QitkUWxNSi9hd25qbklhTUQwMnJtMHV5Wk4yUDBxSkhNcFU2Q3VkUkdlRzNxRWpwelBzVm1VZ1FpSXFLdUlqWFZsUnh5M1NRaUR4c2lpV05UUitPMm0zK0RtVGZmZ0g1OSsvTERZaWNpSXVqVHV6ZE9uWFlTRGtrZWh2OXQzSWp0MjNlNElmTFRIaXBsM1Z4bTl0Njlld094anJORFl6NTFHY3luVnBhYTZrcnVqV3RFaklXR1NPS293MUx3MjF0dXdzeWJiOENBL3YyWlM1MEljNmtOOE5yVVpYVG1mR0p4a0lpSXFCVWw5eDU4cTRqTWhpQXhkZlFvUER6M1BrdzRZandjRGtlc1E2TldZcG9HVWc0ZGdTTU85eUZ2WlFGKytHR0xVeUJIR2U2NDBPNXRQM3dXNi9nNk11WlQxOE44YWgzSnZRZmZDc080VXdROVVrZVB3cnk1OStLb0l3OW5MblZpektYV3cydFQxOU1aODRuRlFTSWlvdFpoRGh1ZGNaVmh5TU9tdzNDUHR6THd3dE9QWWREQWdUQU1JOWF4VVN1TGZMTjh5a2xUa2VYUHhnOWJ0cmloT0xGSDcvNWJkMi8vSVF1QU51SXc5Q1BtVXhmR2ZHcFJQK2FTWVhnaXVUUms4Q0RtVWhmQVhHcHh2RFoxWVowdG4xZ2NKQ0lpYW5tU1BETHREQkg1aTJtYTNVNDVhUXJtM25NWGV2ZnFGZXU0cUkxNTNHNU1PV0V5TmhaL2gvVWJpcURRWTNyMUdWQ3dhL3NQYXp2YWg4WVlZajRSd0h4cUNUSjBkTVpVRTFoZ21tYTNFeVpQd2tOL3VvZTUxQVV4bDFvRXIwMEVkS0o4WW5HUWlJaW9oUTBlT2JLdmFiaWZCVEJpK0xDaDh1RDlkMlBnd0FHY2M2YUw4cmpkU0JzM0JsK3MrQnJidG0zM3dKQXg4WWw5bHV6ZHVYVjNyR1ByQ0poUFZCWHpxZWtHanh6WjF5bXVad0FjTm56WVVIbm9UM2RqOEtDQnpLVXVpcm5VUEx3MlVWV2RJWi9ZMTVXSWlLaGxtVTRqN3ZjaXlPaWVrQ0IvZmZoQkRFMGF3ZytMWFppSVlHaFNFdWJOdlFmZHUzY1hnWGhkRjdTajFnQUFJQUJKUkVGVVRzZnQvSksyVVpoUFZBM3pxY2tpdVhSRUpKZVNodzlqTG5WaHpLVm00YldKcXVrTStkUmhBaVVpSXVvSWtrZW5YeW93N3ZGNFhNWWZmdmRiSFBlVGliRU9pZHFKdm4zNllPQ0EvdmprMDJVSTJiYVYyTHZmZDd1M2I4bUtkVnp0R2ZPSjZzTjhPamlSWEhLN25jWWZaak9YNkVmTXBZUEhheFBWcHlQbkUzc09FaEVSdFpCaGg2V05FTWl0SWpBblQ1cUlrNlljSCt1UXFKMlplc0x4bUR4cElnQTRETU9ZTlh4VStpR3hqcW05WWo3UmdUQ2ZHbWZ3b2VPR1JuTHBxQ01PWnk1UkxjeWx4dU8xaVE2a28rWVRpNE5FUkVRdFF3d3h6Z1NRa3RDdEd5NDQ5MmZvMmFOSHJHT2lkaVlob1J2T1ArZHM5T3JaRXlLU0pERE9CTUJ4U0xVeG4raUFtRStOSWs3VE9EbWFTK2VmdzF5aVdwaExqY1pyRXgxUVI4MG5GZ2VKaUloYVFGTFMyRjR3Y1FGRVBKWTNIVWRQT0NMV0lWRTdkZlJSUitDSXczMEE0SVRnL0tHalJnMktkVXp0RGZPSkdvdjUxTENrcExHOXhKUkxJN2wwM0NRT2Y2UzZNWmNPak5jbWFxeU9tRThzRGhJUkViVUFaemVaSWhBZkFOenltK3ZnZHJ0akhSSzFVM0VlRDY2Lytnb0FnQWdPRjhNOUpkWXh0VGZNSjJvczVsUER3cmwwRk1LNTVQRjRZaDBTdFZQTXBRUGp0WWthcXlQbUU0dURSRVJFelpXUzRsWXg3d2JnT1BYa3FVaFBHeHZyaUtpZEc1YzZCajg5NVdRQWNKb3FkeUlsaFhjWUVjd25Pa2pNcDNyOG1FdE81aEkxQm5PcEFidzIwVUhxYVBuRTRpQVJFVkV6SlR1Ni9VcEVSdmJ1MVF0WC9PcVNXSWRESGNRMVYxMk9YajE3QWlJcHc1MEpWOFE2bnZhQytVUk53WHlxTFpKTFBYdjBZQzVSb3pHWDZzWnJFelZGUjhvbkZnZUppSWlheHdIb2hRQnczS1NKT0N4bFJLempvUTRpZWZnd1REcjJhQUNBUUg4TndJeDFUTzBBODRtYWhQbFVTelNYSmh4NU9IT0pHbzI1VkNkZW02aEpPbEkrc1RoSVJFVFVETU5UTXRKRWpHUzMyNFZqanA2QWJ0MjZ4VG9rNmlEaVBCNU1QR29DNHVQaUlDcEpRMGFPSFJmcm1HS04rVVJOeFh5cWJsaEs2cWhJTGswODZram1FalVhYzZrMlhwdW9xVHBTUHJFNFNFUkUxQnlHSHEyS2ZnbmRFbUJscE1VNkd1cGd2T2xwNk5XckZ3Qk5kSXJqNkZqSEUzUE1KMm9HNWxNVmh0TVh5YVVKUjR5UGRUVFV3VENYYXVDMWlacWhvK1FUaTRORVJFUk5sSnljN0JIRE9CSlFUL0x3WVJnMk5DbldJVkVIYzBqeU1Bd2ZsZ1FGWEJBY09XQkFlcGZ0anNCOG91WmlQbFZLVGs3MmlPaFJrVndhY1VoeXJFT2lEb2E1OUNOZW02aTVPa28rc1RoSVJFVFVSR1ZtWWlJRVI0cUluRFp0S2t5ejNVNGpRdTJVdytIQXlWTk9nSWdJZ0NQajRpcjZ4VHFtV0dFK1VYTXhueXFWbVltSklzYXh6Q1ZxS3ViU2ozaHRvdWJxS1BuRTRpQVJFVkVUT1J3WUo4QmhMcGNMcDA2Ykd1dHdxSU02YWNvSmNMdmRFSkZSNnZTTWpYVThzY0o4b3BiQWZBcm5raUNWdVVUTndWeXF4R3NUdFlTT2tFOHNEaElSRVRXUlErU25BQnhISHU1RHY3NTlZeDBPZFZEOSsvV056QW5tZ0trbnh6cWVXR0UrVVV0Z1BqR1hxR1V3bHlveG42Z2xkSVI4WW5HUWlJaW9xUVJIQU1ERW95YWdjcVFBMGNFVEVmeGtZbmgrYW9FVjYzaGlodmxFTFlENXhGeWlsc0ZjQ21NK1VRdm9DUG5FNGlBUkVWSFRPQXlWZEFBWU0zcFVyR09oRGk0OWJSd0FRRlRTdXVqbk0rWVR0Wmd1bmsvTUpXb3hYVHlYd0h5aWx0VGU4Nm5kQlVSRVJOUVJEQms5ZWdRRWlkMFRFakJ3UVA5WWgwTWQzS0JCQTlBdFBoNGk2SkUwWXN5aHNZNm5yVEdmcUNWMTVYeUs1RkszYnZITUpXcTJycHhMNExXSldsaDd6eWNXQjRtSWlKckFWRmM2QUF3Y09BRHg4WEd4RG9jNk9JL0xIYjN4Y0RoTVg2emphV3ZNSjJwSlhUbWZJcm5VdjI5ZjVoSTFXMWZPSmZEYVJDMnN2ZWNUaTRORVJFUk5ZSXBoQWNEZ1FRTVJIOWQ1UHpDcUtqWnYzdHpvOXUrOTl4NWVlZVVWN04rL3Y5YStWYXRXNFk0NzdrQkpTVW16WWlvdkw2L3orQjJaeSszQzRNR0RBQUJxT0E2UGRUeHRyYlh5YWUvZXZkaTJiVnU5K3pkdDJ0Umk1MnBKR3pkdXhKNDllMklkUnF2dysvMllOMjllcStad1Y4Nm5TQzcxNzkrL1RhNU5SVVZGQ0FRQ2pXNS8rZVdYNDkxMzMyMnd6WjEzM29rbm4zeXlCYUlEZHUvZWplTGk0aFk1Vm52MDE3LytGUjk5OUZHckhiOHI1eExhNldlOTNidDNJeTh2TC9wWmF1Zk9uYkVPcWQxYnUzWXQ5dTdkRytzdzJuMCtPV0lkQUJFUlVVZGtRek1NQ0FZTkhJQzRkdktCOFdBRWcwR0VRcUZxMjB6VGhNTlIvYVBCZ2dVTDhOWmJiK0dsbDE3QzRNR0REM2pjVjE1NUJSczNic1I1NTUxWGE5LzMzMytQcFV1WDRxYWJia0pDUWtLVFk3L3h4aHZSdTNkdjNIZmZmVTArUm52amNya3dhT0FBQUlCQTI5MjN5YTJ0dGZMcDVwdHZSa2xKQ1o1Kyt1bGF2M001T1RuNDlhOS9qZC8rOXJkMS9yNnFLbDU2NlNYMDc5OGYwNlpOQThJM1pWdTNibTMwK1ZOU1VnQUErL2Z2eCtiTm0xRmFXb3JTMGxLVWxaV2h0TFFVdTNmdnh2YnQyN0Z6NTA1czM3NGQ0OGFOdytXWFg0Nnp6am9MMTF4ekRhNjQ0b3BHbmVkdmYvc2JQdnJvSTl4eHh4MUlUazRHQUd6YnRnMzMzWGNmVGo3NVpKeDhjc01MSTc3Nzdyc29MQ3pFRFRmY0FNTm8zYjREcTFhdHdxSkZpM0RaWlpmQjQvRzB5am02Y2o1RmNxbC92NzZ0Zm0yeWJSdFhYbmtsMHRMUzhKZS8vS1ZSejhuTHk4T2tTWk9xYmR1MWF4ZTJiOStPUXcrdEhHVzNjdVZLQklQQmVvL3gvZmZmWTgrZVBkRmNLaXNyUTBsSkNYYnMyRkV0bis2KysyNjg4Y1liZVBycHAvSDExMTgzS3I1QUlJQUxMN3dRVTZkT3hWVlhYUlhkL3ZMTEwrT2JiNzQ1NE9zc0tTbkJYWGZkaGVuVHArT3d3dzVyMURtYlkvSGl4VGoxMUZOeC9QSEh0OHJ4dTNJdW9aMSsxc3ZKeWNITk45K014eDkvSENrcEtUanp6RE54L1BISFk4YU1HZWpSbzBldDlrVkZSY2pOelQyb2MvVHYzeDlISFhWVUMwWjljSzY4OGtvVUZSWGhndzgrYVBheFNrcEtjTVVWVjJEa3lKRjQ5TkZINFhLNVdpVEdwbWp2K2NUaUlCRVIwY0VURVJrQ0FBUDc5NGZINDQ1MVBBZnQ3cnZ2eGp2dnZGTnQyd2tubklBLy8vblAxYlpkZlBIRmVPdXR0ekJyMWl3ODg4d3p0WXFIVmUzYXRRdjUrZm40MmM5KzFtQzdBd2tHZ3czMkxqenZ2UFB3NUpOUDR0dHZ2MFZpWW1LZGJWd3VGK0xqNDVzY1ExdHpPWjFWNXpOS2ptMDBCelpxMUtqQjhmSHg4UHY5MzdYQTRWb3RuMmJPbkluTExyc01iNzMxRmk2ODhNTG85a0FnZ0x2dnZodERoZ3pCcWFlZVd1L3p2L3JxSzJSbloyUE1tREVZUG53NC92V3ZmMkh1M0xtTlB2K0tGU3ZnY0RoUVZGU0VpeTY2cU5aK2o4ZUQ3dDI3SXpFeEVZbUppVTN1MmZEV1cyOWh5NVl0R0RSb1VIUmJXVmtaUHZua0U0d2FkZUJKOUl1S2l2RGlpeStpc0xBUUR6endBT0xqNC9IQ0N5OGNkTyt0WjU1NUJybTV1ZmpiMy81V2I1dElibDl5eVNVTkZpSVhMMTdjNU9KaFI4dW5tcEtUa3owSkNRbUg1T2ZucndaZ0g4UlRvN25VcjIrZlp1WFMyMisvalgvLys5OTE3cnYzM251UmtKQ0FuSndjN05peDQ0REY1d1A1ejMvK2czdnZ2UmN2dnZnaXhvNGRlOEQyRHp6d0FENzk5Tk5xMjB6VFJFSkNBcnAzN3g3TnFlM2J0eDkwTEo5KytpbldyMThQdDd2NmUxZFFVSUJQUHZua2dNL2Z0V3NYVnExYWhWLzk2bGU0Nzc3N01IbnlaQURBNU1tVEd5eDQxalJ4NGtUTW5Uc1hQL3ZaejJwOWtWZlZ2bjM3c0dUSkVuenh4UmYxdGpucnJMTncyV1dYTmZyY1ZYVzBYQm8xYXRSZzB6UWRCUVVGMzdiQTRkcmxaNzNJNzZhcW9sZXZYcmozM250eDExMTNZZG15Wlhqa2tVY3dac3lZYXUxWHJGaUJ1WFBuTnZydmFYbDVPWTQ2NnFoV0x3NkdRaUdVbDVmRDdYYkROTTFXZTA1Q1FnSnV2LzEyM0hubm5majg4ODl4d2drbk5EUHlwbXZ2K2NUaUlCRVIwVUVhTUNBOVhsUWRwc09CN3QwVElDS3hEcWxKdkY0dmJybmxGZ0RBbzQ4K0NvUjdaS3hkdTdaYXU1Lzg1Q2NvTEN6RVo1OTlWcTNvMTd0MzcybzNjdSsvL3o1VXRjRmlTMk5rWm1iaTJtdXZQV0M3czg4K3U5NTlwNXh5Q3U2NTU1NW14ZEdXUkFUZEV4TGdjRGdRREFZZFNVbEpjY1hGeFdXeGpxcytIby9uV0JGNXpyS3M1UUJlVU5WUFMwcEtkaFFXRnBZY1pER2pSZk5wNnRTcHRRcHN3V0FRQ3hZc3dJSUZDNkxiVkJYQllCQ0dZZURFRTArczF2N21tMi9HejMvK2M0Z0k3cnJyTHB4MzNubVlQWHMybm4vK2VaeHp6ams0L2ZUVEVRcUZzSFRwVWt5Wk1pVjZ3eFVJQlBER0cyL2doUmRlUVBmdTNYSFZWVmRGOHlVbEpRVlBQLzAwUEI0UGV2VG9nWktTRW56eHhSZjQxYTkrRlkxbi92ejVUY3FkVmF0V29iQ3dFQmRkZEZHdGdrWjlQdnJvSTZTbHBhRnYzNzRBZ091dXV3NEpDUWxZc0dBQnBrK2Zqa2NlZVFTQlFBRDc5Ky9IckZtekdoM0xnQUVENFBQNUd1d1ovT1dYWDJMSmtpWDQ1UzkvMldBQnZ6bGZNSFMwZktvcE1UR3hyOFBoK05LeXJFSlZYV1FZeGp1MmJXL0x6czdlQzZEZVNsRlNVcElua2t1SmlZbk55aVdQeDRPZVBYdFcyMVpVVklUOC9QeG9rZXVERHo1QVFrSUNqanZ1dUlNK2ZpZ1VpdDdjKy8xK3hNZkhONnFRalhDT1huYlpaVWhNVEVSQ1FnS1dMVnVHNU9Sa1pHUmtBQUNXTFZ1R2I3LzlGaWtwS2ZqNDQ0OFBLcTYzMzM0YlRxY1RaNXh4UnFQYTc5bXpCMTkrK1dXMFFKcVVsSVJubjMwV1YxOTlOVzY5OVZiY2VlZWRPT09NTTFCYVdvcGpqam1tVnEvSitrUUsvVmRlZVNWVXRkNTI5OTU3TDhhT0hZdWYvdlNuOWJZNTVKQkRHblhPdW5TMFhQSjRQTWNhaHZHc1pWa3IydE8xcVNWRnJqbVJQSncwYVJJV0wxNk1sMTU2S2RwYnZTNmZmUEpKby82dVhuenh4UzBZYmYwKy9mUlQzSHJyclhqNDRZY2JuUmNyVnF6QURUZmNnQWNlZUFCVHBreUpibCsvZm4yMUx3RHJvcXI0M2U5K1YrLytFMDQ0b2RWSHBMVDNmR0p4a0lpSTZDQ1pQZmJIcWNTYmhpRndOZkptdkQxS1NFaEFhbW9xVUhremltQXdpTTgvL3h6MzMzOS9uZTF2dmZYV2FqOGZlK3l4bUQ5L2Z2VG5OOTk4RXlOR2pNRElrU1B4elRmZjFIcit1blhyQUFDNXVibDE5dmdiTzNac3RXRTd6ejMzWExSNFlOczJQdnJvSXh4enpERzFodmJzM0xrVG1abVoxVDRvZHUvZXZkSHZRM3ZoY3J0aEdnYUNxb1poOVBJQTdlY0RZMTFVMVJTUkUxVDFlQkhabXBpWTZMY3M2d3NSK1NvUUNLekl5OHRyMUVSSUxabFBkOXh4QndLQkFMWnQyeFl0Zk8zY3VSTi8rdE9mY09XVlYwWnZuQjU3N0RIMDZkTUg1NTkvUGdCZzY5YXQ2TldyRnh3T1I3VUNSZCsrZlRGejVremNjY2NkZVBYVlYzSHh4UmZENFhCZzdkcTFXTHg0TVo1NDRnbGNjc2tsNk4yN041NTQ0Z2tFZzBGY2Q5MTF0WHJQT2h3T0xGMjZGSVpoNFBiYmIwZCtmajRlZWVRUkhIUE1NUmc1Y2lTV0wxK09sMTU2Q2NjY2M4eEJ2K1lYWG5nQnBtbmlGNy80UmFQYWYvbmxsNWc1Y3laR2pScUZSWXNXUmJmLzhwZS9oSWpnODg4L3IxYTBPL2ZjYzZPUDE2MWJoNmVmZmhwWFhYVlZ2UVdIWHIxNm9YLy8vdGk5ZTNlZCt6ZHMyQUFBR0RObVRKMS9CK0xpNHFML2RzM1IwZktwRG9hSWpBZmdVOVUvaUVpMlpWa3JWSFc1YVpvck1qTXphMDBHYXhpOVBDcGlHb1kwdTVmVDFLbFRNWFhxMUdyYkZpOWVqUHo4ZkNCY21IanZ2ZmV3YjkrK0JudmlYSC85OWJWK04vL3hqMzlnM2JwMXVPZWVleEFLaGJCczJUTDRmTDVHRjRSRG9SQnV1KzAydlBEQ0MramJ0eS8rL2U5L3crbDBSb2Y4UHZYVVV3ZVZFeEhyMTYvSFo1OTloclBQUGh1OWV2VTZZUHRnTUlpWk0yZmk2NisvUmx4Y0hIN3lrNThBNFNMNWswOCtpV3V1dWFiYWNWSlRVNnZsMDVOUFBna1J3WlZYWGxudk9VNDU1UlFVRnhmWFd5QTBEQU45K3ZSQldscGFuZnNIRGh3SXA5TjV3TmZTa0k2V1N5SmlBbWhYMTZhRGNjRUZGMkRqeG8zMTdvLzhMdHh5eXkyMWVsKy8vdnJyR0RwMEtGNTk5ZFZXajdNOXNXMGJnVUFBWjU1NVp2UnpiY1M2ZGV2Z2Nya3dkT2pRQm8rUmxKVFV5bEZXYXMvNXhPSWdFUkhSd1FxNTRzUlVoNGdCZHd6bkxta05aNTk5Tms0Ly9YUWczSXR3NE1DQjBYMTc5dXlCWVJqUlhrRlZoM1NzWExrU3ExZXZ4aTIzM0lLTkd6ZGkrdlRwOVo3anR0dHVxM1A3NHNXTHEzM3JmY2doaDZDOHZCd0l6OW4yNUpOUDRwaGpqa0hQbmowUkh4K1BrcElTcUNvMmJOaUE1NTkvUHRxVDBEVE5GaWt1dERXM3l3WEROS0VRUStNcTRnQzA5MW5HQmVGeFZ3RDZBemhaUkU1VTFaME9oMk9yeitmN09CZ012cHFibS90WmcwZHB3WHlhUEhreVB2NzRZOHlmUHgvMzMzOC9qanZ1T0h6M1hlWElaOHV5TUdIQ0JDQThmOWlnUVlNd1pjb1U3TjI3RjVkZWVpa09QZlJRUFBqZ2c3V09lY29wcDJEMzd0MDQ4OHd6RVF3R1VWUlVCQkhCbi83MEo3ei8vdnQ0NXBsblVGcGFpc01PT3d4MzNua24zRzQzaW9xS0FBRERodytQM3BoN3ZWN01tVE1IbDExMkdjYU5HNGNoUTRiZ25YZmV3WXdaTTdCNDhXSjR2VjRjZWVTUkIvVjZpNHVMOGVHSEgyTGF0R25WaGhUWFo4T0dEYmo5OXR2aGREb3hlL2JzV3ZzdnZmUlNYSGpoaGZVV2FiWnMyWUwzMzM4ZlAvLzV6eHM4ejJ1dnZZYkhIbnVzd1RhWFhucHBuZHZybXQ2Z0tUcGdQbFdqcWlJaWtmenFDZUE0VmYySmlPeFMxYTJXWlgybHFpOVZWRlI4VWxCUVVBRUEwaTNvRVJnT0VRT2VWaTVtZlB6eHg5aTFheGVtVDU5ZWJiamloZzBib3NQNCsvWHJGKzNOTjJ2V3JHanZ0dmo0ZUN4ZHVoVG5uMzgreXNyS3NIdjNiaXhmdmh3VEowNEV3bi92aTR1TG96OUhUSmt5QlhQbXpNSHc0Y01SSHgrUDU1NTdEck5temNMSko1K011KysrRzd0Mzc4WjMzMzJIdkx5OEEvNysxZVdGRjE2QWlOVDd1MW5UQXc4OGdLKy8vaHBUcDA2TkZnWWordlhyaDFkZmZiWEJndWNYWDN6UnFIbnN6ajc3Yk5oMi9aM2VsaXhaZ2lWTGx0UzVyK1oxdFNrNmFpNjFwMnZUd1NnckswTlNVaEpPTysyME92ZnYzYnNYeno3N0xJNDc3cmhhUTRnUi9ySzNxNW93WVVLdGFRNHV2ZlJTZlAvOTkzam5uWGRpT3Q5Z1JIdk9KeFlIaVlpSURwSTR6VGhWbUliUitqZGdyV252M3IzSXk4c0R3dk1rSlNRa3dEUk5tS2FKdkx3OFhISEZGWmd6WjA1ME1ZYVpNMmRDVmZIWHYvNjExbkRBWjU1NUJnZ1BoVHIwMEVPcjNhaW9hblFJV0dGaElRWU5Hb1FUVHp5eDFoQ1FQbjM2MUlxeDVvZTh5RERNcTY2NkNrOC8vWFMxRzZiSWtNd2VQWHJnUC8vNVQ3UGZuN2JtRG4rYkxLS21CaHdkWWNKRXJhTTNpd05BUHhIcEJ5RFY0WEJjYTFuV0JsVjl3VENNZjVTWGx4ZDdQSjY5bVptWjBlVk5XenFmSmsyYWhPT1BQeDR6Wjg3RS9QbnpNWHo0OEhyYmxwV1Y0WVliYmtCcGFTbHV1dW1tZXR0ZGNNRUZBSUR2dnZ1dTNzTFkyclZyYXhVVjNuampqZWdDSVNlZGRCSVdMRmlBTjk1NEE5ZGVleTJtVHAyS3JWdTNZczJhTmZqc3M4K2FWTXhZc0dBQmJOdkd1SEhqRHRoMjA2Wk4wZGY2d0FNUFJHOHExNjFiaDBXTEZ1R1dXMjVCUW5pNFUzMGl3OWdPTk5mVHBaZGVXdS83OUgvLzkzOTQ5TkZIOGM5Ly9yUE95Zk9iMjhzcG9nUG1VelVpb3FqU1N5ak1BTkFiUUc4UkdTVWlsN2pkN2syV1pTMVcxVmQzbGxRRTFSSE9wVlphN0NVaTBqUHB6RFBQeElBQkE2TGJYMy85ZGJ6MTFsdjQ1UzkvR2YyU3BxS2lBaDkrK0NGT091a2tJSndMRG9jREN4Y3VSSjgrZlJBZkgxL3RTNk9GQ3hkaTRNQ0IxWHJaQWNDUUlVTXEzd1REd0lVWFhvaUhIMzRZTjl4d0F5WlBub3pISG5zTTMzNzdMWjUvL3ZrbUZkclhybDJMSlV1V0lERXhFY09HRFR0Zyt5ZWVlQUovLy92ZmtaR1JnYnZ1dWl1NmZkNjhlVGo4OE1NeGFkS2tBL2FFREFhRGpabzM3YU9QUHFxMzUrQnBwNTJHazA0NkNUZmVlR09kKzd0MTYzYkE0eDlJUjh5bDluaHRPaGpEaGcycnQwaTlZOGNPUFB2c3MvRDVmSFV1cHRYVjVlZm5ZOCtlUFVENFMrNlZLMWRpNnRTcGRZNW9pZWpkdXpkR2p4N2RKdkcxNTN4aWNaQ0lpT2hnMmNFNG1NN3dVSlBZZnd2WlZEazVPZEZpRzhJOWRoQmVNR0QyN05sSVNrcUtUcVlPQURObXpNQzExMTZMbTI2NkNRc1dMSWplZks1WnM2YmFSTzBPaDZQYXplSlhYMzJGTFZ1MjROeHp6MFZoWVNHT1AvNTRmUGJaWjdqNTVwc1BHT09LRlN0UVZGU0VHMis4RWQ5Ly96M3V2UE5PSEhmY2NVaE1UTVQwNmRQeCtPT1A0NzMzM3NPbVRac3djdVJJM0hYWFhjM3VKUkVyYnJjTGhta0FLa1kzaHpIVzUvTU5Db1ZDS2lLMmlHZ29GTElOdzZqMjJEQU1PeEFJcUdFWXRtbWExUjVYVkZSRUg1ZVhsNnZENFlnOHRnM0RVS2ZUYVplVmxkbW1hYXJUNmJSTFNrcHNsOHRsT3h3TzNiRmpoKzN4ZUd5WHk2VUZCUVUyZ0FabjBvL014VlQxaGl6eVdFUU9FWkc3QU14MHVWejV0bTB2OTNxOVh3SDRLanM3dTdDbDg4azBUZnp4ajM5RVNrb0tNakl5c0d2WHJnYmVjemNtVHB5SUUwNDRvZHFRb3YzNzkrTzExMTZML3B5U2tsSnR5Tytqano2SzlQUjBBRUJoWVNFdXUrd3lMRnEwS0ZxSVhMMTZkYTJWaHZQejgzSEpKWmRnK1BEaCtPYWJiM0QwMFVjRDRVTElvRUdEWUJnR05tL2UzS2dlZ0FDUWxaV0ZEei84c0ZGdDE2NWRpK3V2dng3YnRtM0RYWGZkVlcwWTZKbzFhN0JreVJKa1ptYml6My8rYzYxNTM0cUxpN0Y4K2ZMb2NSRHVOYlo2OWVwcTdVNDg4VVQwNnRVTFYxOTlOVFp2cmpYaU5TcXlJTWsxMTF6VDRJSWswNmRQYjliOHBaRjhVaHRHZ3RPUmJsbldZTnUyYlJGUkViRkRvWkF0SW1vWVJyWEhrUndTRWEwdnB3ekQwSXFLQ3R2aGNOZ2lvaFVWRmJhSVJISk15OHJLYktmVGFadW1xU1VsSmJacG11cDJ1MjJuMDZuYnQyKzNIUTZIOXVqUnc4N016TFFibWtNd29xSDhBakJFUkdhSXlMV0o4YTROSlFIdDN4TERpaHV5Y3VWSytQMStJUHo3WC9Ydi9hWk5tK0IwT3F0OTJiTisvWHFFUXFIbzMyWVJ3YzAzMzR3ZmZ2Z0JjK2JNd2M5Ly92TnFjL3c5Ly96ekdESmtTTDN6L20zWnNnVURCdzdFZGRkZGgvLys5NzhBZ0RsejVtRHo1czM0K09PUE1YMzZkR1JtWm1MOCtQR05mazBQUGZSUWc3M3pJbFFWZi83em43RjQ4V0tNSGoyNjJyVnczNzU5eU1uSndhSkZpM0RwcFpmaSt1dXZyMVg4ZS8vOTk2T0ZpeDA3ZHFDaW9nS3Z2LzU2dFRhREJnM0N4SWtUOGZISEgyUGV2SGtOeGxOYVdvb1BQdmlnd2RXWUV4TVQ4ZEpMTHgzd3RkV0gxNmIyOVZrdjh1WHN2bjM3cW0zMysvMUlTMHVydHloZDlmTmNReUlMa25SVTgrZlBSMVpXVnJWdEgzendRWU1ySDArZVBMblJLNjQzVjlWOEVwaXQreTNPUVdKeGtJaUk2Q0E1YlRNT2hqb01NUnE5QUVCN05ISGl4T2lIb1R2dXVBT2hVQ2c2aDlMMjdkdng0b3N2Vmh2eWxKYVdodm56NStPNjY2N0RyYmZlaW5uejVzSHBkR0x1M0xtSWk0dERXVm5kMDZhODhjWWJHREZpQkVhTUdBR0VpNUF2di93eWNuTnpvd1dXK21SbloyUDI3Tm00NmFhYmNNY2RkMkRac21WNDZxbW44Tnh6ejJIUm9rVllzV0lGWnN5WWdkdHV1dzJ6WnMzQzlkZGZqMnV2dlJhbm5YWmFvMWV5YXk4cXYwMDJvUUxERStmNE5ZREREY09JM05GbytQVm91QWdSM1I2K0VWQlZWWWZERWVseHBPSGhNNnFxY0x2ZENrQlJPWmw1OUhGY1hGejBPTjI3ZDFlRWV5ejE3OTgvdXQyeXJHajdLbm9DcU5YRnE2NEoyNnZjbE1XTHlKR3FlcmhoR0NVQXRsbVdsVjlXSHNyYWJ6Yy9ueDU5OUZHOC9QTEwxYlpGZXJRQ3dFMDMzUlF0UnBXWGx5TS9Qeis2R3V2enp6OWY3WG12dmZZYW5uamlpV2piMDA0N3JVbnpBVlkxWThhTWV1ZmhRN2dZZHMwMTE5UXFLdGFsb3FJQzk5OS9Qd3pET0dCQlkrWEtsWGpsbFZkUVZsYUcrKzY3cjFadjNGTk9PUVZEaGd6QmpCa3pjTmxsbDJIZXZIbVlNR0ZDOU45dDdkcTEwUUpGNUZ5dnZQSks5Tjg2RkFvaEVBZ2dMUzBOdlhyMXdnVVhYSURTMHRKR3ZDTU5hOHlxdFEySjVCTkVUWmZidUY1RVJqZVFUNGo4amp1ZHp1anZlNDJjZ3N2bDBycHlxbW9lVmZsWlVUbi9hVFN2VkJXOWUvZU9IcU9lM0tvQVlBS28xYU9rdmdVUnd2OVdIaEVaSTFDMHhMVXBFQWhnNmRLbDFiWkY1aHQ4K3Vtbk1XVElFSlNYbDJQbHlwWFZodit1V2JNR3c0WU5xeFpyYm00dUVoSVNxaFhneDQ4Zmozbno1a0ZWRDdpUVFFMGZmZlJSZzZ1R1AvSEVFekFNbzhHQ1dWVkxsaXpCMTE5LzNXQ3hPdUxPTysvRTBxVkxZVmtXNXMyYlYyM3huVzdkdXVHcHA1N0NmZmZkaHhkZmZCRnIxcXpCd29VTElTSlFWWWdJWG5ycEpheGZ2eDRJLzIzWnVuVnJ0UUxnL3YzN01YbnlaRXljT0JHSEhYWllnMU4wTkZaemgxSjJ0R3VUcXRaNndiRzhOalhGdDk5K2l4ZGZmTEhXOXJQUFBodmR1M2VIMCttczlzWFhEei84Z09uVHAyUGF0R240NHgvL1dPY3haODZjMmFoRlZRNTJsZnJtZXU2NTUvRFdXMjlWMjdaKy9YcnMyN2V2MWpRME8zYnNPT0R4SG56d1FRUUNBV1JsWldIV3JGbTQ4Y1liY2VxcHB5SVlET0szdi8wdFRqbmxsR3B6VktQS0N0QnRvV28rd1RRT1BLOUFHMkp4a0lpSTZDQ0ZERGhOaUNFaWNEWmpSYzFZRTVIb044eVJENHgvK01NZnNHTEZDc3lkTzdmVzBPSElQRkMzM1hZYjdyMzNYaXhjdUJDalI0K0czKy9IcmJmZVd1ZDhiV3ZYcnNXSEgzNklHVE5tUkxjTkhUb1VZOGVPeFZOUFBZVkhIbm1rM3ZnS0N3dnhtOS84QnJObno0NSs0LzJiMy93R2UvZnV4Zno1ODdGdTNUbzgrdWlqMGZuZHhvNGRpN2x6NTJMV3JGbll2WHMzTHJua2toWjZwOXFHMCtrSTM1eXFBWVZiZ1RpcC9rbGVxdjVmVld2dHE5SSt1aSt5TGRLKzZ2UHFhQi9kVjZXZDFJaWp3ZFV6R3hKK25nR2dHNEFLVlIwQVE3ckRodG5jZkpveVpVcUw5Um9kTUdBQWxpMWJCZ0IxRHR1NjdycnJhbTA3MEFxUHI3LytlcDJGdkdYTGx1R2hoeDVDdjM3OUdyM3E2OEtGQzdGKy9YcGNmdm5sZVBiWlp4dHN1MnpaTWlRbUptTEJnZ1hST1JkclNrOVB4d3N2dklESEhuc3N1ckRCL3YzNzRYYTdjZnp4eDBmZmkvZmZmeCt6WnMzQ3l5Ky9IQjB1L1k5Ly9BUDMzSE5QOU9ZcThocUtpNHV4YWRPbVJyMmVxc2FQSDkrc2xZb2pvdm1rTUF3UnQ2bzJtRStvOFR1UEgvOHVOaWFucXJXcmNwcGE1NnVSZjNWV28xUTFXa3c2R0xZcVZDdmpkalZ6ZVBiKy9mc3haODRjT0J5TzZMOUhaRmo1c2NjZWl3RURCdURqanovRzh1WExjZFZWVjFXZTM3YVJuNThmSFQ0Y2taMmRqYkZqeDlaNlBlbnA2U2dySzZzMnQyMWpuSG5tbWJWV0dVZTRWK3FERHo2STVjdVhWK3NWMzVEdnYvOGVEenp3QUVhTkdvVStmZnBnNWNxVkRiWmZ1blFwcGs2ZGlqbHo1dFJaVUhBNm5makRILzZBb1VPSFlzaVFJUkFSVkZSVUlGd0lxOWFENzV4enpzSElrU09yTFFJMmJkcTA2SEdIREJrU0hVcTlZc1dLUnIyZXFnWU1HQkROMCtiZ3RhbHRQK3NGZzBGczJMQWgrZ1VWcW53SmM5SkpKNkY3OSs3bzE2OGZ0bS9mSHQzLzZxdXZJaFFLUmVkZXJ1clVVMC9GaEFrVEd2MjdjTVFSUnpTcVVONWNQWHIwd0xoeDR4QUtoYkJseTVacSt5STVVM043cE9kNWZVUUVQWHIwUUVWRkJSNS8vSEdNSERrU0YxMTBFVXpUakg0cE9HblNwSmpPUzEwMW53Um9WejBNT3U0ZERSRVJVWXlZaWdxQmhsUTJrSHE0QUFBZ0FFbEVRVlFWZ2NEL3MzZm5jVlhWK2YvQVg1OXpEcGNkUVZGUVVVZ1JYSEZMVGEyeFRGdlU4bGZUT0ZQem5ha3NKOXNzbTV4c1dzeXliY1lXVzIyMXJHeDBTczNXTWN1eXpJVlV3QjFSQVJGQlhKRGxjcmR6UHI4LzVONHVxNkRBdVJkZXo4ZWpSNWQ3enozM2hmTDJjTi8zc3pnYjhBei8wYWRQSHlRbkoyUEhqaDJZUDM4K3Z2amlDODhJdlBYcjEyUHUzTGw0KysyMzhjUVRUK0NpaXk3QzVzMmJjZkhGRjJQczJMRzFOZ2NYTEZpQXlNaElYSHZ0dGRpd1lZUG4vcHR1dWdtelpzMUNhbW9xaGcwYlZ1VTU3Z1pLVWxJU1B2dnNNM1RzMkJGT3B4TTMzbmdqd3NQRDBhMWJOOHljT1JOQlFVRUlDd3VEdytId2pMWktTVW5CMHFWTGF6UTIvWUhMNllJaERRRENLTE1iaTBJRDhLeXFxb3FVVWtncEZVVlI2cndOUUJpRzRiNWZxWHpUVk9PMmxGSlJWVlc0YjR2VHc1bVV5dk5VdVEzQWZZeFdyY2tCQUNsQ2lNbFN5aXJETTcybWEzbnU4NXJXNVFTUUs2WGNEV0N2cnV0TE1qSXkwaE42cFp3dlZQSEhjNjJuNU9Ua0dsTmltOHZqanovdWVhMmNuQno4NHgvL3dBc3Z2SUF1WGJvQWxhTWVIbnp3d1NyUGFkKytmWld2eTh2TDhmenp6MlBseXBXWU1tVUs3cm5ubmdhdEUxZFJVWUdsUzVkaTRzU0pHRGR1WEszTndjT0hEK09aWjU0QkFQVHMyUk12dlBDQ3A4bFFsNjVkdTJMZXZIbWVyNjFXYTQzTkV0eC9QOTdyQWpvY0RxQ1cwVWxmZnZrbDNuenp6UWF2ZmVkeXVlQnl1ZkRkZDk4aE1qS3lRYytwOTN5VjlTUUY5REtIZkMxRU00NTQxNU9xcXNJd0RBV0FVQlJGOGI3dFBxYXlib1IzSFFId1BPYSs3YTRkcjhmT1ZGZWlzbTZydkJlclBFNFZRclFEOERjQWxtcVBBN1dNZ3FyODJnVnBGQUV5U2tvWjVQNTdPVmYzM1hlZlovM0kxYXRYWS9IaXhmampILytJME5CUWxKYVc0b1VYWHZEc0RyNTkrM2FVbFpWaDhPREJWYzd4d0FNUDFEcmk1OUpMTDYyMXlYY21RVUZCTlg2dU5tN2M2R2xtdnZYV1d6VXkxT1dUVHo2QncrSEF2SG56OE1vcnI5UjRYRXFKVHovOUZPdldyUU1BM0hQUFBRM2FzR1RxMUttZTIrNlJ0TFhWVS9VMU5oME9SNjBqL2U2NDQ0NHFqZG96c2Rsc21ESmxDaDU0NElFR0hWOGZQN3cyWFMybHJGNWJnRW5YcHNZcUx5L0h4SWtUTVdmT0hNOTl5NVl0dzdQUFB1djV1WStKaWZFczMxQlNVb0xseTVmai9QUFByL0p6WDF4Y2pGMjdkbm0rZG0vT2hkTWptajBmQk8zZHU3ZEtvOUZ0Ly83OWlJbUpRYytlUFp2bCt4d3laQWplZi8vOVdoK2JObTBhc3JPemF6eWVsNWVIYjc3NXBzWUhnZTYvSDNlTnZmUE9POGpKeWNHaVJZdDhiaGFKZHowWmtFM3pEM1VUWVhPUWlJaW9rVnlLVVJFZ05OMHdETmhzZHJQam5MV1RKMC9pbDE5K0FRQWNPM1lNa1pHUm50RlBtemR2eHVMRmkvSGpqejk2MWlmNy9QUFAwYVZMRnd3YU5NanpDK2lZTVdNd2NPQkE2SHJOWmJQV3JGbUREUnMyMU5yMHVQamlpNUdRa0lCbm5ua0dIM3p3UVpWbW5zMW04N3hlOVpHRlM1Y3VyZlA3V2JSb2tlZjJYWGZkaGV1dnYvNnMvbHpNWXJQYm9lczZoSVJoZDhpZCszZFg3aGJqZ3dZT0hQaEhSVkVtQ1NGVTl5aW42cnplZUJWSktmL3JjcmxXQWpqZ2NybUt5OHJLckhsNWVSVm9wbnE2N3JycjZsMzNyallQUGZSUWc5ZTQ2OUtsaStmTmlmdG52M3YzN3A2UkdRMXB6TXlZTVFNNU9UbDQ1WlZYUE9zUFZsUlVuSEgzMHVEZ1lGeC8vZlc0OWRaYmE0ek1xNmlvd01jZmY0eDMzbm5IVTBlWFhucnBHUnVEcUp5cUdSUVVoQXN1dUFCQ0NKU1ZsZFdvMjJQSGpnSFZOZzl5ZjY5MVRjdHlqem84a3lWTGx1QzU1NTVyMExFTjRhNG5CWXBocytrWldRZDh0NTZxRVgzNzl1MFdHQmg0azdzNWVJYjZPaW1sL01Jd2pHVTJwKzZBVU44MkRLTmJSVE5jbXk2NzdMSXFvd0l2dWVRU3pKOC9INTkvL2psdXZ2bG1mUDMxMTdCWUxMam9vb3VxUEs5ZHUzYTFiajREQU5PblQwZGFXbHFWKzV4T0ozSnpjN0YyN2RvcTk3LzQ0b3Uxcm9XMmFkTW0zSG5ublpnd1lRSm16NTZOME5CUXVGeXVCbzBpdStLS0t4QWRIZTFaOXNMYmpoMDc4Tnh6enlFakk4TnpYME1hZzNhN0hVdVdMTUZWVjEyRjZPaG96MmluMnVxcCtrWmNEb2VqemxxYU9uVnFnNmNaTjNSOXVZYnd0MnVUcXFvVGhCQ2FMMTZiR3FLaW9xTEdCeVR1ZjgvZDE0ZjQrSGpQV3M4dnZmUVN5c3JLYW14S3MydlhMdHg5OTkyMXZzYkFnUU05SHl5OS9mYmJkVzdpTm5ueVpEejY2S05OOEYzVjlONTc3OEZpc1RScVdZRzR1RGhFUlVWaDllclZuaEhMOEZwLzBmMjdwSHZKa050dnY3M0dPZHhMMDNnYlBYcDB2VXNWTkNYdmVvTExxSDA5SHBPd09VaEVSTlJZVHIxQ1d0VFR2ekRhYldhbk9TdFNTdXpldmR1em5vdlQ2YXp5Wm1MNDhPRklURXpFTysrOGd6Rmp4aUF2THcvcjE2L0hQZmZjVStXVGQwM1RFQjBkamNMQ3dpcm5QM0xrQ0o1NDRnbjA2dFdyMWlhZG9paVlOV3NXN3J6elRqejIyR05WZmltcnFLaEFRRUFBTHJua0VweDMzbm1lZk80RjR4OTQ0SUV6ZmhKYzN3NjF2c3BtczUxdU5BbHBDRVdlKzZKdHpVZ0lZWGp2VnV6MU02RURzRW9wU3dIOG91djY0b3lNak0vclBWa3oxRk5GUlFXR0RCbUNTWk1tbmZGWW04Mkd4eDkvM0RObHNpSHV2UFBPR2d2ZC8vblBmL1k4WGw5VG9xeXNERWVPSEVGaFlTSGF0MitQNzc3N0RtKy8vVFlPSGp5SVljT0c0ZGxubjYzMWVYYTczZE0wcUcxbjVhKysrZ292dlBBQ1RwdzRnVkdqUnVHNjY2NnJNcDMvVEpZdVhZcWRPM2ZpaHg5K2dLcXF5TXJLUXJkdTNhb2NzM2Z2WG5UcTFLbEtrOE51UC8ybXVhNkdodmQ2ZFBWcHpKOS9RL2hUUFZVakt6YzY4Y3hCOS9wWmt3Q3NBRW9NdzlndXBYeW5xS2pvaS96OGZDc0F4UGJ1blJBa1ZhZGhHSFd1QWR1VVltTmpNWHIwYUN4WnNnU1hYbm9wUHYvOGM0d2RPeGJoNGVFTlBzZU5OOTVZWStPUkJRc1dvSFBuenBneVpVcVYrNnVQRnRKMUhVVkZSWjZwd0JhTEJYUG16TUdCQXdlUWw1Zm4yVkc1TmphYkRVRkJRVWhNVEt4eDN1TGlZc3lkT3hmcjFxMURSRVFFL3Y3M3Z5TWpJNlBlRFEyODdkcTFDNis4OGdvVVJjR05OOTZJckt3c29ISkpEYmVjbkJ6WTdmWWExeXJ2T3EvdTNYZmZyWFVkdXJxK3Y2YmlUN1hrNjllbU16bDI3QmhjTGhlaW9xS3EzRysxV3FGcG11ZG5JeWtwQ1N0WHJzUlhYMzJGRlN0VzROcHJyMFhmdm4xclBlZWlSWXM4djBzQndLT1BQbHBqL2RzQkF3YlUrREMyb1ZQeno5YVhYMzZKa0pDUXMxcHo5T0RCZzFXYWc2V2xwVURsaUVnQXVPV1dXenozdWVtNmp1ZWVldzRqUjQ3MGZDRG41aDcxM3hKOHVaN1lIQ1FpSW1vc3pXSVZnTXVRQm14Mi94dzVXRkZSZ2JGangzb2FFUTgrK0dDTk4rZTMzWFliWnMyYWhTVkxsbURidG0ySWlvckM3My8vK3pPZXU2eXNEUGZmZno5c05odWVlT0tKR3RPbTNDNjQ0QUpNbVRJRnk1WXR3OXk1Yy9IUVF3OUIwelFjTzNZTTdkdTNSMHhNREdKaVlsQmVYbzc3Nzc4ZlZxc1Y3Nzc3Ym9OR1Fma2ptODBPWFRjZ3BkQ2hPbjNxMCtUcXBKUkNDT0g5eHV1NGxISXJnSTFDaU0xT3B6TjF4NDRkaGZXZnBWSXoxVk44Zkh5TnpUZHFVMXBhV3VjQzduVzU2NjY3UEZPdDh2THk4TlJUVCtHQkJ4N3c3TnFhazVOVHBjbjN5U2VmNE5OUFAwVitmbjZWTlpNMFRZTmhHSWlQajhma3laTng0WVVYMXZtYTY5ZXZ4OHN2djR6WFgzKzkxalhhT25Ub2dBNGRPdUNKSjU3QUJSZGNnRU9IRHRYN1BiejIybXNZT1hJa0JnOGVERjNYc1gzN2Rnd2VQQmlxcXNMcGRPTEFnUU9lNmFTb2JONmxwcWJXMkFIMlRNM0IycVpxMW1iTm1qWDFObk1heTUvcXFRN2U2eDZXQUVnRGtBcGdvNVF5TlMwdExhZjZFM1NiWWhOQnAydXBvZ21iUTk0S0Nnb1FHUm5wYVJCUG16WU5OOTEwRTI2KytXYTRYQzdjY3NzdGpUcGY5VGZwcUJ6SjFMbHo1MXBIOGxxdFZ0eDc3NzNJejgvSDBhTkhxNHhhWDdkdUhlTGo0ekZvMENCTW5qeTUzamY4dDk1Nks4YU1HWU5wMDZiVmVDd2lJZ0kybXcxLy92T2ZNVzNhTklTSGgxZVpubGxkYW1vcTl1L2ZqNGtUSnlJOFBOd3pFbkxJa0NGQVpWTWRBSHIxNnVWNWpudVpqWUVEQjNydWM3bGNNQXlqemxxYU1HRkNuVHM0VjFmWGlMR3o0VSsxVkxrZW9mRGxhMU45M0p2VlZGOGY4TlNwVTFVMnYzSC9iTTJkT3hleHNiRTFSZzE2Q3drSnFkS3dyMjFxdXFJb05acjZMYkh1WUZNNWVQQWdoQkRvM3IwN1VGa3IxZG50ZGp6MzNIUG8zNzkvbFd0YlMvUGxlbUp6a0lpSXFKRmt1ZDBtSTRKMHc1Q3crK20wNGhNblR0UTZqY3JiMkxGak1YTGtTTHo4OHN2UWRSMVBQUEhFR2FjOGxwZVg0ODQ3NzhTZVBYdnc2S09QSWp3ODNETnl5TDJXNE9USmt3RUFuVHAxd3NjZmY0enM3R3lzV3JVS29hR2h1UC8rKzVHYm0rdloxVElyS3d1UFBQSUlNak16b1dsYWpaRWsxZlhxMWF2R3pyUCt3djFwc29BMFNscGkyTTg1RWtJWWhtSDhMS1ZjcXV2NnVvQ0FnQ1BidG0wN0NhQlJROENhcTU3Kys5Ly9Zc1dLRlUxMlBtOTkrdlR4VEsxM1QvL3EyN2N2RWhJU29HbWFaMVNHKzAyK3FxcFZSc1AyNk5FRDgrZlBSOSsrZmF0c1JsQ2Zzckl5NU9ibTF2bUdiY1NJRVkxcXJuMzAwVWZJeU1qQXdvVUxrWm1aQ1p2TjVubkR1WFhyVnJoY0x2VHUzZHR6L0xwMTYzRGl4QWxjY3NrbFZjNWpzOW1nS0VxZEh3STBkSTIwcG40ajZtLzFWQXNwcGN3QThJblQ2ZnphTUl5ODRPRGc0MXUyYktsejhiTlFXRzFTUk9xR0ladDA1QmdxZi83ZWUrODlmUFRSUjNqOTlkY3hhTkFnb0hMRTBiQmh3NUNhbW9vcnJyamlqTmVWY3hVU0VvTHk4bkwwN05rVDQ4ZVB4M25ubllmQ3drSXNYTGdRYjczMVZvTTNYVGg1OGlRS0NncHFmVXhSRkx6Kyt1c056clI3OTI0c1dMQUF5Y25KR0R4NE1OTFQweEVVRklRK2Zmb0FsZE9lNCtMaVBNMGRLU1ZXcmx5SitQajRLaU82M0g5bmRhM1Q2YjJKV0V2eXQxcVNVaHBTU3ArOU50WEgzWVN1UGdydzZOR2pWYVlhSnlRa0lDd3NERmFyRlU4Ly9iVG5aMnZUcGszNDZLT1A4TWdqajdSSVhsK3hiOTgreE1YRm9heXNES3RYcjY3MUdQY0g0SHYyN0tteE96SXFSL1kyZEszU2MrSEw5Y1RtSUJFUlVTTUpVV1lWTXREbHoyc09Iamh3b01hYi9OcjA2ZE1IR3pac2dLcXFEWHJ6N25BNDRIQTRNR3ZXTEV5ZVBCbmw1ZVdZTVdNR1VQbkwyNG9WSzNETExiY2dORFFVd2NIQkNBb0t3b0lGQy9Ec3M4L2l4aHR2QkNyZmFQWHQyeGV2dnZvcUZpOWU3QmtwK09DREQ5WTdYWGpac21VNGVQQmdJLzRVZkl0N0hSb0lZWnl5V0h4cXFra3QxanNjanVRZE8zYlVQenl0QVpxcm5rYU5Hb1ZycjczMmpNZFZWRlRVMkR6RUxUTXpFd1VGQlRXbTE5YkdQZExPWXJIQTRYQ2dXN2R1bnBHRTExeHpUWTFkSkY5NjZhVUdmeStvbkc2bWFWcU5OY3JPeHNtVEoyR3oyVHkxdFhYclZnRHd2REZhdVhKbGxiWGpuRTRuWG52dE5VUkhSOWZZVWJtMmpVdThUWjgrdlVHWm1ueGFzWC9WVXhVblRwdzQzcUZEaDFIcDZlbTdBZFRjNHJvTzJZRHRQQ2xkcDZjVm4xdHowRDB0czZLaUFvc1dMY0xpeFl0UlZsYUdTWk1tZVVibk9KMU92UGppaTBoTlRVVmdZQ0QrOTcvL29YLy8vczIrM3V0SEgzMVU1V3YzK21LTmNmejQ4VWJ2a2x3WDkwWVBYYnQyaGE3clNFdEx3NEFCQTZCcEdyS3pzNUdlbmw1bGl1YlhYMytOZmZ2MjRmNzc3Njl5bnJvMkxuSDc4c3N2OGIvLy9hOUJtWnAwV3JGLzFkSjZLV1cvdExTMDdITTlrUm0vNjYxWnN3WnhjWEdJakl6RTh1WEwwYjU5ZXhRWEYrT1hYMzdCK1BIamdjb1BZZSsvLzM3UEtQU1NraExQOHpNek03RisvZm82UDZ3NUYyKzg4UVlxS2lvd1k4WU1ueHBWNkhBNDhNc3Z2MkRzMkxISXpzN0czTGx6NnoxKzdkcTFOZFl6QllBcnI3eXlaWnFEUGx4UGJBNFNFUkUxVWw1ZW5pMmhUM1RsT2pUKzF4emN2WHMzU2twSzZseWZCcFc3bmY3NzMvL0dUei85aEFrVEp1REFnUU40NktHSDhPT1BQK0xlZSsvMU5EMnFpNHFLd3VMRml6Mi9tSWFHaG5xbWI2eGR1eFlyVnF6QTFWZGZqZWpvYU05ekxCYUw1MVB1b3FJaTdObXpCOTI3ZDhmeTVjdngxNy8rRlZkZWVTV3V2LzU2SkNVbDFadjVoeDkrOE52bW9KUVNOcHNkaG1GQVN1bENWcFpQLzJDbHA2Y2Zic0JoRGRKYzlkUzFhOWNhR3lQVXB2cTZSRzVaV1ZtWVBuMDYycmR2ajNYcjFtSFpzbVdZTkdrUzVzeVpVNlZKM2ExYk43ejIybXZvMTY4ZkhuNzRZVGlkVGdRR0JtTE1tREgxdm9HeTIrMTFQaDRZR0lqaTR1SXE5MlZrWktCNzkrNE4zbm5SWFlQZTA1amQzR3UwdVVkNWJkaXdBUmFMQmYzNzk4Zmh3NGZ4L2ZmZlk5eTRjWjVwWnZQbno4ZkJnd2Z4OE1NUDE1anllUGp3NFJyclkzbHI2SVlrSDMzMEVaNS8vdmtHSFhzbS9sWlAxZVhsNVZYazVlWHRiUFFUczdOdHNzOGczVERPZlZxeGU1MDg5enBrRjExMEVlNisrMjdQZFBxMHREUTgvZlRUeU1yS3dyaHg0ekI3OW16TW5qMGI4K2ZQeDg4Ly80eVpNMmZXV011dnViaW50dGRXVDBGQlFUQU1BeVVsSllpSWlBQXFyNEZPcDdQS3FMMHo4YTRuNyttZHFLeW4wTkJRZE9yVUNkdTNiMGRwYWFsbkZPNkhIMzRJQUo3cHdPNGxCK0xpNG1wOGVPSGVZS2l1ZW1yTWhpUy8rOTN2R3Z5OTFjZmZhc2tmcmsxMXljek14TzdkdXpGOStuUm9tb1kzM25qRHN3bFU1ODZkUFR2NHpwNDlHL3YzNzhlTUdUT3dmUGx5ekprekIyKzg4UVlTRXhPeGUvZHV4TWJHVmhsbGFMZmJQWTFuZU0zaXFPNU1IOUJZclZaOCtPR0h5TW5Kd1ZOUFBYWEdtU1F0WmUzYXRTZ3JLOE9FQ1JOdy92bm5ZOHVXTGJVZVo3ZmJNV3JVS054KysrMjQ5ZFpiV3p3bi9LQ2UyQndrSWlKcVBDbWx6Qk5DRENvK2RRb09od01XaThYc1RBMzIxVmRmSVRJeUVpa3BLZmo1NTUraGFScDI3ZHFGSVVPR0lEMDlIU3RXck1EWFgzK05nSUFBUFBqZ2c3anV1dXZnY0Rqd3IzLzlDeXRXck1DYU5Xc3dhdFFvM0hUVFRiVit5bm91bjFqLzV6Ly9RZWZPblRGdjNqeE1tVElGZ3djUDlyeEpUVXRMdy9IangrdDhidldkVy8ySnk2Vjdta0ZTd2o4N25HZXZXZW9wTXpPejN0MnQzZXkxdk9rN2Z2dzRwaytmanVEZ1lMejc3cnRZdVhJbG5uMzJXYXhhdFFvWFhuZ2gxcTVkQzR2RkFsVlZvV2thVkZWRmFtcXFaNWRVcDlPSk5Xdld3T1Z5WWVEQWdlalRwdy9LeXNydy92dnZJenc4SFBuNStUaDgrTEJuSi9EcUVoTVQ4ZC8vL2hkRlJVVUlEUTFGYm00dXRtM2IxcWoxM0RwMTZvVEl5RWlzV0xHaXlucFNkcnNkbjMvK09ZUVFHRDE2Tk94Mk83WnUzWXIrL2Z0RDB6UTg5dGhqMEhVZE45eHdBM1JkeDRzdnZvaFBQdmtFWThhTXdUWFhYSU9pb2lJc1hyd1k3ZHExdytIRGg1R2FtdHJnWFo2OVpXUmtZUFhxMWJCWUxOQTBEZDk5OXgyQ2dvSWF0WmxGWGRweVBibHJxYVNrNUp4cTZiUFBQZ01BOU92WEQvZmVlNituMmJWanh3NHNXclFJUC96d0E0S0NndkNQZi96RDh3SFFxNisraWpmZWVBUHZ2LzgrL3ZTblArR2lpeTdDWC83eUY4OXpxK1hFNTUvWHZoOUVXVmtaRGg4K1hPdlV2MUdqUmlFNk9ocmZmdnN0Y25Oem9Xa2FQdnZzTXdnaGFoMVY2MjVRM25MTExlamZ2eitjVGljMmJOaUFrSkFRREI4K3ZNRi9Ia2xKU1FDQW1UTm5ZdGl3WVo1R1pHWm1KbmJ0MnVWWjM5UzlsdUNRSVVPd2VmTm1yRml4QWhkZGRCSGk0K094Yjk4K3pKZ3hBM2E3SFU4ODhRUUNBd094ZlBseUZCUVVRTk0wZlAzMTExQVVCZjM2OVd0d0xyZlhYMzhkTnBzTkZvc0Z4Y1hGS0M4dlI4ZU9IUnQ5bnVyYWNpMjE5Tzk2Ly83M3YyR3hXRHlONUE4Ly9CQWxKU1hRTkExZHUzYkY2dFdyTVcvZVBBUUhCMlBCZ2dVWU5Xb1VSbzRjaVR2dXVBTi8rY3RmTUdqUUlHelpzZ1VUSjA2c2N0N2FkdGoyWHVzU3A1dXFHREZpUkkzakJnd1k0TGs5YytaTXhNVEU0TG5ubnNQMDZkUHg4c3N2ZXhydVoydm56cDIxYmxwbHQ5c2hwYXoxTVlmRGdVNmRPZ0dWSTJSZmV1a2xKQ1FrMUZnUDF4ZjVlajJ4T1VoRVJIUVdCT1FXUUV3NmZEZ2ZWbXVGWHpVSER4MDZoR3V2dlJhYXB1SHBwNTlHUVVFQk9uVG9nTXN1dXd3UFAvd3dpb3FLY1BYVlYyUGF0R21lWDhBc0Znc2VmdmhoWEhYVlZYanp6VGV4YmRzMnpKdzUwM05PSVFRVVJUbm5xU1pGUlVXZTNZaXJOeDdmZmZmZGV0ZGJLaXNyODZ4VjZHL3NEanZ5OG84QUFJU1FtODNPMDlLYW81NzI3dDFiWXhmdDJ0UTJpaUl5TXRLenVVZUhEaDF3eXkyM29GKy9mbGkyYkJsV3JWcUZFeWRPd09tc2MrbTNLdHpyQUlhR2htTFpzbVVvS3l1RHFxcm8wNmNQcnJ2dXVscWZNMmZPSEx6NTVwczRkT2dRWEM0WFFrTkRjZHR0dDJIcTFLa05lazFVanFKNjVwbG5zR0RCQXF4Y3VkSXpLa1JSRk1URXhHREdqQmxJU0VqQXZuMzdFQkFRZ0NGRGh1RFVxVlBJejgvSGxDbFQwSzlmUCt6YnR3L0xseS9IMEtGRDhkUlRUM24rYkZhdFdvV3lzaklFQlFWaDFLaFJucVVER2lNZ0lBRHIxNi8zL1BsMzZOQUJkOTExVjROSFJ0YW5MZGVUdTVZS0NvK2VVeTNkZDk5OWlJK1B4NDAzM3VqNU85bXpadyttVHAwS3d6QncrZVdYNDU1Nzdxa3lpbHpUTk54NTU1MFlOMjRjbm4vK2VXemV2QmwzM0hGSHJlYzNES1BPbmJrQllQLysvYlUrL3NvcnJ5QTZPaG9GQlFWNDdiWFhBQUJoWVdHWVBuMDZRa05EYXh3L2V2Um8zSFhYWFZpL2ZqMTI3dHpwdWJiY2ZQUE5qV3BzL1A3M3Y4ZUJBd2Z3MDA4L1ZkbWNKQ1FrQkpkZWVpbG16Wm9GVkU0eERnZ0l3SUFCQTdCMDZWSUVCd2RqOXV6WkFJREZpeGZqNU1tVGVQcnBwNUdTa2dKVTdveThhTkVpR0lhQm1KaVlNeTZmVVplQ2dnS2twNmREU2dtTHhZS3JycnJxakd2ME5rUmJyaVcwOE85NnZYcjF3b1VYWHVpcHFZNGRPMVpwOEE0YU5BZ1RKMDdFN2JmZmp2YnQyd09WVGVzUFB2Z0FyN3p5Q2padDJvU0VoQVRjZlBQTlZjNDdaODZjS3B2ekxGeTRzTVoxTHpFeDBmTno2dmJvbzQvV3lIakREVGRBMHpUODYxLy93cVpObXp4VG5jL0dILzd3QjV3OGViTFJ6L3ZxcTYrcWpITHMxcTBiYnJubEZwK2E2bHdYWDY4bjBZQmppSWlJcUpxNHBJSFhCS2hpZWQ4K3lYanpsUmZScFhQVHJGM1VFcXhXSzF3dWwrZU5rWlRTcyt2c2dRTUhFQlVWVmU4MFFWUytvZkdldHRMY1hDNlhLUXV4dDVRVEowN2kvNmJlaGoyWisyQkk0N3FjUFJtZm1wMnBKZmxpUGRVMmZiQTZwOVBwK2M5ZFIrNUdPU29iY1NFaElWV2U0MzVUNWt0dlpIUmRoODFtUTJob0tBb0tDaEFlSHU1cHRPelpzd2M5ZS9hc01TTFkrOThOWDlPVzY4bGRTNzBTZTJEUkc2ODJlUzM5OE1NUDZONjllNE0ySGpsNjlLam5BNmJtNG92WEJ1OHB6UHYzNy9kTXhYYnZBcDZjbkZ6ak9iNWFUMjI1bHREQzF5YW4wd2xGVVpya0E1TG1kdkRnd1VaTnkyOU92dmh2UUYxOHZaNzg0MCtSaUlqSXg2aDJtU2FESWZQekM0VDNXaTcrb0hxend2c05TVU4zbW16SnhpQWFzZU9wdjdJNzdNZy9VZ0FwcGJUYmxOb1h6R25GZkxHZXp0UVlST1hvdDhaT28vZWxwcUNicXFxZVptRDFUUnE4ZHl6MjVvdU5ETGUyWEUvdVdpb3NMR3FXV3FxK0lVMTltcnN4Q0IrOU5uaVBTSFEzQmxINTcwVnRqVUg0Y0QyMTVWcENDMStibW1NVGtlYmlLNDFCK09pL0FYWHg5WHJ5dmQ5T2lJaUkvRUJPVGthT2hEaFJmT29VamhTY2Vlb2lVWDN5anhTaXBMUVVBamhXa0gzdXV5ejZHOVlUTmFXMlhFL3VXaW9wTFdVdDBUbHJ5N1VFWHB1b2lmbDZQYkU1U0VSRWRIWU13TmdHQUx2M1pwcWRoZnhjK3ZZZGxiZGt1c2xSek1KNm9pYlR4dXVKdFVSTnBvM1hFbGhQMUpSOHZaN1lIQ1FpSWpwTEFrZ0ZnRjgyYm9hVTB1dzQ1S2VrbFBqcDU5TTdYQm9DMjh6T1l4YldFelVGMWhOcmlab0dhK2swMWhNMUJYK29KellIaVlpSXpwS0UvQnlBYytQbVgxRjR0TWpzT09TbkNndVA0cGVObXdEQUtXRjhhM1llczdDZXFDbXduaXByU1VvSGE0bk9CV3ZwTkY2YnFDbjRRejJ4T1VoRVJIU1c3SzZLTEFtNXorRnc0SnZWYTh5T1EzNXF6ZG9mNFhTNUFDbjNPbTE2bTUyM3hIcWlwc0I2Y3RjU2RyT1c2Rnl3bGs3anRZbWFnai9VRTV1RFJFUkVaNm5BNVNxRkZLbFNTcm5xeTIrZzY3clprY2pQNkxxTy82MzVIbEpLS1FVMkc5YUFZMlpuTWd2cmljNFY2K20wQXBlclZBSS9zNWJvYkxHV2ZzTnJFNTByZjZrbi85bjN1UWxFUnllSEIwVW9zWm9xUXFXcWhBaG9Gck16MFc4a1hBNlhibGlGSWNxc3duNzBSRlpXaWRtWmlJanFsWjF0UTNMS0pnaGxTdTZodk9BREI3UFJLN0duMmFuSWordy9jQkRaT2JrUWdFTktiQ29zekNnM081TnBXRTkwamxoUGxiS3piVEo1NEVZaHhOVGNRM25CZS9kbG9XL3ZaTE5Ua1I5aExYbmh0WW5Pa2IvVVU2dHZEc2IzNnQ4SGl2cDdDRndnQkJJZ0VTeUUwQ0NoUVVpT25QUWhRbXFHUllOTEFzNElCTmpDazFOeUFQeGlLUGpzME82TUhRMDRCUkZSaTlOaHBHcENIQ3N2TCsrV3NXTVhmMkdrUnNuWXNRc25pNHNCaUZMcE1uNDFPNC9aV0U5MExsaFB2ekdnWjZoQ1BWWmVYdDV0eTlZME5nZXBVVmhMVmZIYVJPZkNYK3FwTlRZSGxaaWVLZEhCQVhJQ29Fd1hRb3p3ZmpBdzBBSkZWYUVxQ29RaXpFdEpOVWdwb2VzR2RGMkgwK21BVkpSK0FDWW93THo0M2dPM1NBTUxiRTU5OWRHRE80cE9ieXRQUkdTK1EzdDNwQ2YwSHBodmR6aTZiZGkwR1ZlTUg0dlEwRkN6WTVFZnNObnQyTGo1VjFpdEZRQ01ncHlzakhTek01bU45VVJuaS9WVVZkN2VIYnZjdGZUTHBsUmNPM2tTYTRrYWhMVlVFNjlOZExiOHFaNWFWWE13b2ZlZ0JNT1FmMUlVL0VFSVpRZ0FxS3FLUHIyVGtOaWpCODVMaUVlWDJCaUVob1lpSkNRWUZndG5GZnNTaDlNSnE5V0tzckp5RkI0OWlnTUhjN0F2YXovMjd0c0hwOU0xVkNyeXZaQWdOVDIrZDhvblRvZnJ3L3dEdTNMTnpreEVWTG5yMkljQzZvaTFQLzZNNjZka1llamdnV1puSWorUW5aMkw3MzljQndDUUV1OEE0RUpHckNjNlM2eW5HbHp1V3RxNEtSVjdNbGxMMURDc3BWcngya1JueFovcXFkVTBCK042OU9rbElCZXBDb1pCQ0V0VVpDU3V1WG9pSmx3eEhwMWpZeEFlRm82d01IYjMvVWxaZVRsS1MwcFJjTFFJcTlkOGoyV2ZybFJPRmhjUEZnTDlMWUdXeTdzbTladHhPSE9uejNiZWlhanRzQjdYM3d1TlZ1NC9XVndjdjNqSmYvZ0xJelhJVzRzV283ajRGS1NVQjh0UHVONDJPNCt2WUQzUjJXQTkxZVN1cFZNbEphd2xhakRXVXUxNGJhS3o0VS8xNVAvemF2djJ0WnhuYUpkTGlBK0ZFQkhCd2NFWVBEQUZjeDZhaGNRZVBTQ0UvMytMZEhyS2NkYitBM2o2M3k5aTA2OWJVRkZSQVNsbHFTSGwxRnpWdFFxN2Rqbk16a2hFYlZ2M3BKUy9Lb3J5cmhCUXYxeXhGSDJTazh5T1JENXMxNTVNVExyMmo1QVNPcURma2Ixbis1dG1aL0lsckNkcUROWlQzYm9ucGZ4VlZaVjNBR2lzSlRvVDFsTDllRzJpeHZDM2V2THZEVG42OXJVazZKWjdBZVZEUllpSWZuMTc0Nm01aitDOU4xOUJyNTQ5MlJoc1JZUVE2SlhZRTIrODhnS2VuVGNIZmZza1ExR1VjRVZSM284M3RCbGR1blFKTVRzakViVnRobFgvUWtCdUJZQm41cjhJdTkxdWRpVHlVVGFiRFMrOXV2RDBGMEwrNmpLVUw4M081R3RZVDlSUXJLZjZHVmI5Q3pvVzVHSUFBQ0FBU1VSQlZFQnVSR1V0Mld3MnN5T1JqMkl0blJtdlRkUlEvbGhQZnQwY1ROQURaZ3FCaHlBUTBhZDNNbDU0OWtsTXV2SXlhRnFybVMxTjFRUUVhSmh3K1hnOC8reVRTQm5RRHdJSVVhQThFaEFSZmEvWjJZaW9iY3ZMMjFrc3BmZ0VVdHEzcFc5SDZwYXRaa2NpSDdYNTE2MzRkV3NhQURpRklUL055MHcvWW5ZbVg4TjZvb1ppUGRVdkwyOW5zVFRrRW5jdC9ieGhvOW1SeUVleGxzNk0xeVpxS0grc0ozOXREcXJkZXcrOFRTamlHVlZUSXM0Zk1naEwzbjhMaVQxN1FGVlZzN05STTFNVUJVbUpQZkhlbTY5aDJOREJVRFVsUWhIS2svRkpLWGNBNEE4QUVabkZjQXE1VWdMWlpXVmxXTExzVXhTZk9tVjJKdkl4NWVYbFdQckpDcHc0ZVJJQWpqaGQrZ29BaHRtNWZCRHJpYzZJOWRRZ2hnUytjZGZTUi8vNWhMVkVOYkNXR296WEpqb2pmNjBuZjJ5a2lJU2tBVmNMSVo1WFZUWDB5c3ZHNFYvekhrUDdxQ2l6YzFFTEN3b014TGl4WTNBb0x4OEhEbVpEUW82SzZoQ3pxL2g0NFQ0QTB1eDhSTlQybEI0clBCNFJIVk1xSUs0NmxKZW5SRVZGWWNpZ0ZMTmprUTlaOXVsS3ZQZmh4OUIxUXpjTS9ZRkRXVHZXbUozSlY3R2U2RXhZVHcxejZuaGhzYnVXOG84VUtPMVpTMVFOYTZuaGVHMmlNL0hYZXZLNzVtQ1hwS1JvVlFsOEYwQ1ArTzdkeFB5bm4wQnNiQXpYRjJ5amdnSURNYUIvSC95eUtSWEhqaDBQZ2lMNmhFUjArS3IwWkJFL3dpRWlVNXc2VnJnck1qcW11MkVZZzlQU3QyUEk0SUdJNjlMRjdGamtBN2FsWmVBZkQ4OUJSWVVOVXNxUGNqTXpIdmVIVDVMTnhIcWl1ckNlR29lMVJIVmhMVFVlNjRucTRzLzE1Ry9OUWJWOXg3aW5GU0d1RGc4TEUrKzkrU3A2OWppUGpjRTJUQWlCZGhFUk9IL29JSHoyeFRmQzZYREdxb29JS2o1ZStBMUhEeEtSU1l5QXNBNmJMQUhxLzdQYjdWSHJOMndTWXkvK0hTTGJ0ZVAxcW8yU1VpSTdKeGQzMy9jQUNncVBTZ0NaMGpDbW5UcHg5TGpaMmZ3QTY0bXFZRDJkTlNNZ3JNT21nQUIxb3QxdWoxNi9ZWlA0M1VXajBUNHFrclhVUnJHV3pnbXZUVlJGYTZnbnYyb09KdlJPK2F1QU1pOG95S0xNK2VjRHVQaDNvODJPUkQ0aXVrTUh4TVowd28vcjFrTTNqTUVSN1R2bW56cCtsQ3ZFRXBFcHJNVkYxb2dPbmZJVklTNHB0MWFFNWg3S3c5QWhneEFSRVc1Mk5ESkJVZEV4UERMM1NhUnYzd2twVVNJTjNKMjdMMk1UUDhScUdOWVRlV005blQxcmNaRTFJaW9tVzFFd3Z0eGFFYnIvd0VHTUdEYVV0ZFJHc1piT0RhOU41SzAxMUpQZk5BZTc5eHJRUTFHVWw0VVFzWmRlOGp2Y2R1dE5DQW9LTWpzVytaQnVYYnNpYzE4VzloL01Wb1FRL2R0MWlGbDE2bmhoc2RtNWlLaE5rcWVPZDhpSzdLRFlJTVFWaC9JT0l5MTlPOFpmZWpHQ2VlMXFVMDZjT0lrN1ovNERtMUovaFNFbGRLSC9NM2R2d0lmQUVkM3NiSDZFOVVRQTY2a3B5Rk1uQ2c5R2RvaXhRNGdyRHVjZlFWckdEdFpTRzhSYWFoSzhOaEhRaXVySlg1cURJaXE2ODAxQzRBOWhZV0hhckpsM28zZHlrdG1aeU1kWUxCYUVoSVRncC9VYllMUGJ3eURGb2VMakJadk16a1ZFYlZXUlhueThjR05rZENjWUJrWVVGQllHL1BUekJsdzQ2Z0pFaElkejJra3JaeGdHc25NUDRZNTdaMkZiV2pvTVExWVlocHgzYUcvR3M4QVJ2MWg3eHJld250b3kxbE9UTXR5MUpJSGhCUVduYTJuVUJjUFJMaUtDdGRUS3NaYWFHcTlOYlZscnF5ZS9hQTdHeGZWcnJ3UXB6d2doNGtjTVB4OTMvRzBxTkUwek94YjVvTmpZR0d6ZnVSdjdEeHhVQWJRTDc5RHU2NUxqeDB2TnprVkViVmR4WlBqR1NFVnpDb2hoeDQ0ZkQ5eVV1Z1VCQVFIbzFiTW5OTTB2THNQVVNBNkhBeXRXZllGNXo4ekg3ajE3SVFFcmhIemNXVnIwWW1scHFkUHNmUDZNOWRUMnNKNmFSM0ZrK01aSUJKUUtJVVllTzM0ODhKZU5teEVZR01oYWFzVllTODJIMTZhMnB6WFdrMS84cEhib0hIT1ZFT3BkQUpTWDVqK0RybDA2bXgySmZGU0FwaUVodmpzK1h2WXBoRUNzRk9xT1U4Y0swODNPUlVSdDJJa1Rlb2hGM2FvR0JPZEM0UExqeDA4RWJOeWNpaTFiMHhFZjN3MHhuVHJ5aytWV3dqQU1iRTNMd0dOUFBvc2x5ejdCa1lMQzA3OHNTdHpwS0NsYWxKK2ZielU3bzk5alBiVVpyS2RtZHVLRUhoWWNrSzVvUWJrUXVQemt5V0pQTFhYcEVvdk9zYkdzcFZhQ3RkUUNlRzFxTTFwelBmbitUMmhpWW1DQ0Zwb2hoRWlhY1BsNHZQTEN2OHhPUkg1Z3h0OW40NHV2L3dkSW1YWFFWZDRmV1ZsMnN6TVJFY1VsOTAvUmhQWUJnSDVDUUEzUU5Gdzg1aUxjL0pjYmtOU3JKMEtDZzdtZXJwK3gyZXl3VmxpUm1iVWZIM3kwRk45K3Z4WXVsdzRwcFFHQkRKZnV2QzB2YzlkbXMzTzJScXluMW9mMVpJN1R0YVF1QXNSQUlhQnFtb1pMV0V0K2piVmtIbDZiV3ArMlVrOCszeHhNNkQzd05pSEV3dlpSVVhqN3RRVVlOSENBMlpISUQremVtNG4vdS9rMm5Dd3VoZ0hjbGJNNzdWV3pNeEVSQVVDM3hQNDlWVTI5RlVKY0xZQytBS0FvQ3BKN0pTSTVxUmZPUzRoSGw5Z1loSWFHSWlRa0dCYUx4ZXpJNU1YaGRNSnF0YUtzckJ5RlI0L2l3TUZzN042YmlYMVpCNkRycDllZGxsTHVsVUtza2k1OVllNis3UWZNenR5YXNaNzhHK3ZKZDNRK3IwOThZS0JsT212SlA3R1dmQXV2VGY2dHJkYVRyemNIdFlUZUtkOEpvZnp1MnFzblllNGpzeEVhR21wMkp2SURGVFliSG56MGNhejY0bXRJeUczWnU5T0hBZkNyM1lLSXFCVkxUQXpzaHFBNFJWT3ZGTUROUW9naDdvZUVBSUtEZzZGcEdqUlZnNklvNW1hbEtneHB3T1Z5d2VWMG9jSm1nNVRTODVpVVNKY0NiK2wyck01VHluSTVhcjJGc0o3OEZ1dkp4MVRXa3REVWNRcndOOWFTLzJBdCtTQmVtL3hXVzYwbm4yNE94aWNPSEt3RWlKV0JnWmJ1VHo3MkNLNmRQTW5zU09SSC9ydjhNOHg5OGxsWXJSVkZEc001L25EbVRxNDlTRVErS2E1SDd3R2F4WEk5aERKYVFKNEh3QUlwVkNta0FnaS8vNDFSU0FoQVFnb2hHM0M0ajVPR2tNS0FrRG9BaDJFZ1J4RnlIUXg5MlVGZVozeENhNituMW9YMTVNdFlTLzZFdGVUcldFLytwRzNXazI5dithdklrVktLam1HaFlSak02Y1RVU0lOU0JpQXFLZ3BXcXpVaVFHZ2pBYlRhUWlZaS81WjNZTTkyQU5zQklEbzZPVHdvUW9uVlZCRXFWU1ZFUVBQN3VTWWhBYmhhQ0tobERxd3dPOHU1a3RBZFR0MndDa09VV1lYOTZJbXNyQkt6TTFGVnJiMmVXaFBXazI5akxma1AxcEx2WXozNWo3WmFUejdiSEV4SVNBaUNvZ3dIWkZCQ2ZIZDA3eFpuZGlUeU0rY2xkRWQ4OXpqa0hUNXNnY0R3bUppVUR3b0xNOHJOemtWRVZKOWp4L2FXNGhoS3pjN1JoSlRCZ3djL0Fvanc3RDNiN2dYUUNrWVBrcjlvaGZWRVpBcldFbEhUWVQyUkwvTFo0YXNWYWtRRUJJWUxJY1RFSzhaRFZWV3pJNUdmMFRRTmw0OGJDM0Y2My9qaHdjR09qbVpuSWlKcWF3WU1HSEFoZ0Q0QWVnNGFOR2lVMlhtSWlJaUlpS2dxbjIwT2FocjZDNkNYeFdMQmhDdkdteDJIL05SbDQ4WWlNREFRUW9oa0dSRFV6K3c4UkVSdGphSW93d0JFQ3lFaUFBd3pPdzhSRVJFUkVWWGx1ODFCSVNZQjBJYWZQd1FkbzZQTmprTitxbFBIYUl3WU5oUUFOS2p5Y3JQekVCRzFKWW1KaVlHcXF2WUhvRWtwVlNGRXZ5NWR1b1NZbll1SWlJaUlpSDdqczgxQmlOT2pDMFpmTUFLblo0VVNOWjRRQXI4YlBiTHlDd3cyT3c4UlVWc1NIaDRlSWFVY0xuNHpvblBuenZ6RWo0aUlpSWpJaC9ocWMxQlRwRWdCZ0Q2OWs4M09RbjR1WlVCL0FJQ1FZb0FQLzh3VEViVTZobUVrQ3lHU0FFQktDU2xsc3E3cnZMQVRFUkVSRWZrUW4yeVVkTzNkdXdjRUlzTER3aEFiMDhuc09PVG5PbmVPUVdoSUNJUkF1N2dlZlhxYW5ZZUlxSzFRRk9YUGxWT0tnZE9qdVMwQXJqTTdGeEVSRVJFUi9jWW5tNE9xdEtRQVFHeHNERUpDZ3MyT1EzNHV5QkxvYVRKcm1qckU3RHhFUkczQjBLRkRRd0Q4eWQwWVJPWG9RU0hFNytQaTRuaHhKeUlpSWlMeUViN1pIQlRLWUFEbzBqa1dJY0Y4LzFDWDR1SmlyRnExQ29jUEh6WTdpayt6QkZyUXBVdG5BSUJVdFBQTnprTkUxQmJvdWo1UkNCRlovWDRoUkllT0hUdE9OQ2NWRVJFUkVSRlY1NVBOUVFOeUlBQjBqbzFCTUp1RGRjclB6OGZjdVhPeFk4Y09zNlA0Tkl2RmdzNnhNUUFBQWNtUmcwUkVMVUFJOFgvMVBIWlR5NlloSWlJaUlxSzYrR0p6VUFnaHVnSkFiS2RPQ0FvS05Ec1ArVGxMUUlEMzJwVUo1cVloSW1yOSt2ZnYzMU1JMGM5N1NyRmI1WDFEK3ZmdjM4Mk1iRVJFUkVSRVZKWFBOUWRqWWxKQ2hKU2FxcW9JRHcrREVNTHNTRDZ2dGpkZkFHQzFXbHM4aXk4U1FpQThMQXlhcGtFSW9YR3RLeUtpNWhVUUVEQWNRTFQ3YXlGRWxldTVsREpDVmRXUlp1VWpJaUlpSXFMZitGeHpVRzFuQzVaQ3FJb2lZQW5rcU1HRzJMUnBVNDM3VWxOVGNkVlZWMkhyMXEybVpQSTFsc0JBcUlvQ1NLa29TbFNRMlhtSWlGb3hGY0JRS1dWRVBjZUVLSW95Zk9qUW9RRXRtSXVJaUlpSWlHcWhtUjJnQnQwU0xGU3BDYUVnMEdJeE80MnBEaHc0Z0crLy9iYld4eVpQbnV5NXZYcjFhdno5NzM5SFdGZ1lBR0QzN3QyNDc3NzdJSVNBcXFvdGx0ZVhCVm9zVUZRVkVrS1J3WTVnQUNmTnprUkUxQnIxNjlldm5SRGlRZ0NpY25kaXoyTkNDUGVPeFVKS09kSXdqSTRBOGswTlRFUkVSRVRVeHZsY2MxQUVxTUZTUWxVVUJVRnRmT1JnVGs0T0ZpOWVYT1Urd3pEZ2NEZ3dZc1FJV0NxYnB6YWJEWjk4OGdsdXV1a203Tnk1RTNmZmZUY1VSY0dycjc2Sy92MzdtNVRldHdSV2pod1VRcXJTcVlXWW5ZZUlxTFVLREF5TUF6Q2dyaVV2OE50eUdDbTZybmRqYzVDSWlJaUl5RncrMXh5RTRRcUdHbEE1cmJodGp4eTg1SkpMc0g3OStpcjNMVnEwQ0FzWExrUmlZaUp5YzNNQkFPSGg0ZmpnZ3cvUW8wY1AvUE9mLzBSb2FDaGVmLzExSkNjbm01VGM5d1FHV3FDb0NxUUJ4YUlvQ1NrcEtTcE9qMkx4dkh2MXZxMG9pclRiN1hVK1h2MVk3L3RzTmx1Vng3MlBxWDZzOTMzZXQ2MVdxK2NZNzhlOXYxWlZ0Y3J6U2t0TGF4enJQc2I3ZnUvbmxaU1UxSGh0NzhlOWIydWE1cmw5N05peEd1ZjFmdHo3dHNWaWtRQ3dhOWN1NzJ6MTNaYlY3aU1pUHlLbHZFNElFVkxYbXNGZW93ZkRGRVc1R2tETnRUR0lpSWlJaUtqRitGeHpNTUJRZzZGSVRSRUtBdHY0eU1IYWZQdnR0eGc1Y3FSbkNqRUEzSERERFhqcnJiY3djK1pNSkNZbVlzR0NCWWlOalRVMXA2ODVQWEpRQlJTcGhnZXA5NnFxMGxQK05xeWxScU5LU29uQXdNRGE3ajlqZ3lzNE9Mak84OVp6RG9uS2thRkNDQmtjSEZ6ZjgybzgzekFNaElXRm5TbHZqZGVMakl5czlYdXY3Vmp2MTQyTmphMXgzc3JuMVpZUkFPVGd3WU9yTjAzcmVtMmplbk8xZ1J5Vk9id3pTQ0dFTkF4RGVwM1RmWXpuYSsvSHFwK2o4ckc2bnVPNXovMDYxUjZEMS9OcXZJN1hjM2FscGFVdEJhQ2Z4ZmRONURPR0RoMGFZQmpHOVdjNnp0MDRGRUpjQjJBT0FGZEw1Q01pSWlJaW9wcDhyam1vS3doUUlSUWhCQUkwbjR0bnFuMzc5bUh2M3IyNDRZWWJxdHdmSHgrUGlSTW40dlBQUDhkRER6M0V4bUF0QWdJMEtJb0NBU2dRNkFLZzk5bnNoTjBVdTJlZjdUbGFLbTlMNW11cGN5aUtjc1pqenZSNFE3SlZmNTJHUEsveU9kYVVsSlQ5R1JrWkhFRkZmczNsY28xUVZUV3hFVS9wTlhEZ3dBdlMwOU4vYnNaWVJFUkVSRVJVRDUvcnZxa1NEZ0dwU3luaGREck5qdU5UM25qakRiUnYzeDdqeDQrdjhkanR0OStPdFd2WDRxbW5uc0xpeFlzOTZ4SFNhUzZuQzRZMElDWDBDcnZ4ZG1pUU9DbWxGSlVMNXJ1N04wSlJsQ3BmU3ltRm9pZzFqbk0vdC9JNVZlNnI3eHc0UFpKTVZEdEhsZU9xNS9GK1R2VWM0blRucWNxNXZjNVI0elc5bmxOdjV0cnllYjJXNTN6ZTU2cWU3UXpQOGR6djlYV0ExK3MxbUpSUytlMDBudGYyL2orOGNxSGFhMVE1dHZJY1ozcGVqZnZxZVY2dHIrc09LNlVNRjBMMEJxQm9taGJWcUcrY3lBZFZOdm1xMVBHZ1FZTXVWaFRsWXlsbGtKVHltclMwdEIvTVMwaEVSRVJFUk5YNVhIUFFwUmdWQVVMVERjT0F6V1kzTzQ3UDJMMTdOOWF1WFlzWk0yYlVPdDA2SmlZR3MyYk53cHc1Yy9ETU04L2cwVWNmTlNXbnI3TFo3ZEIxSFFLS1liWHJQMlh1M3JiZDdFelVaTHkzNVBZMDVZWU9IWXFLaWdwUGs4TGhjQWljSHRsVTVmK0dZWGlPaVk2T3J2S1lydXVleDl5MzI3VnJWK1V4OS8rOXoxUGJmYUdob1RYT3FTaksrVUtJaFFBNk51MGZDUkVSRVJFUkVWSEQrRnh6RUU2OVFsclUwODFCdTgzc05EN0I2WFJpN3R5NWlJeU14SFhYWFZmbmNaTW1UY0s2ZGV2dzJXZWZvWFBuenBnMmJWcUw1dlJsTnBzTnVxNERRaHBDa1ZhejgxQ1RxbldkdmkxYnRqVDZSUG41TGJ0cGFrcEt5Z2toaE40VTA2bUppSWlJaUlpSXpvYnZOUWMxaTFVQUxrTWFzTms1Y2hBQUZpNWNpSDM3OXVIcHA1OUdhR2hvdmNmT25Uc1hSNDRjd2NLRkN5R2x4Ti8rOXJjV3krbkxiRFk3ZE4yQWxFS0g2cXd3T3c4UkVSRVJFUkVSa1Mrb3VYcSt5V1M1M1NhRjBBMUR3czVweGZqKysrL3gvdnZ2WTh5WU1ianNzc3ZPZUh4d2NEQmVldWtsZE92V0RXKzg4UWFlZlBKSk9CeU9Gc25xeTl3akJ3V2tVVkpSd2VZZ0VSRVJFUkVSRVpFdk5nZUZLTE1LS1YxY2N4RFl2bjA3SG43NFlYVHQyclZSYXdoR1JVWGhyYmZlUWxKU0VwWXZYNDVwMDZiQjVYSTFhMVpmNTE1ekVFSVlweXdXVGlzbUlpSWlJaUlpSXZMRjVtQmVYbDdseUVGT0swNU5UWVhGWXNHQ0JRc1FHUmxaNC9IQ3drSUFRRWhJU0kzSE9uYnNpSGZlZVFlalI0L0dYLy82VjJpYTc4MGdieWxTU3Roc2RoaUdBU21sQzFsWmJmc0hpNGlJaUlpSWlJaW9raTkyaktTVU1rOElNYWo0MUNrNEhBNVlMQmF6TTVsaTZ0U3BtREJoQW1Kall3RUFwYVdsbUR0M0x0cTFhd2NwSlg3ODhVZG9tb1pldlhyVit2eVFrQkM4OU5KTExaemE5N2hjT29xTGl3RUFVdUtnMlhtSWlJaUlpSWlJaUh5Rkx6WUhJU0MzQUdMUzRjUDVzRm9yMm14ekVJQ25NUWdBNGVIaDJMcDFLMDZkT2dVaEJMcDA2WUw3N3J1dnlqRlVrOTFoUjE3K0VRQ0FFSEt6MlhtSWlJaUlpSWlJaUh5RlR6WUhYWVpJRDFDQncwZU93RnBSZ2NqSWRtWkg4aG5mZi8rOTJSSDhqc1B1UUg1bGMxQUNXOHpPUTBSRVJFUkVSRVRrSzN4dXpVRUFVTzB5VFVvcDgvTUxZTFZ5N3dnNk4zYUhIZmxIQ2lDbGxIYWJ3dVlnRVJFUkVSRVJFVkVsbjJ3TzV1Ums1RWlJRThXblR1RklRYUhaY2NqUDVSOHBSRWxwS1FSd3JDQTdMZHZzUEVSRVJFUkVSRVJFdnNJbm00TUFETURZQmdDNzkyYWFuWVg4WFByMkhaVzNaTHJKVVlpSWlJaUlpSWlJZklxdk5nY2hnRlFBK0dYalprZ3B6WTVEZmtwS2laOSszZ0FBTUFTMm1aMkhpSWlJaUlpSWlNaVgrR3h6VUVKK0RzQzVjZk92S0R4YVpIWWM4bE9GaFVmeHk4Wk5BT0NVTUw0MU93OFJFUkVSRVJFUmtTL3gyZWFnM1ZXUkpTSDNPUndPZkxONmpkbHh5RSt0V2Zzam5DNFhJT1ZlcDAzbkhIVWlJaUlpSWlJaUlpK2EyUUhxVXVCeWxTWm9JbFZDOWxuMTVUZmlMemY4RWFxcW1oMkwvSWl1Ni9qZm11OGhwWlFRMkd4WUE0NlpuWW5hcm9FREJ5YXBxbnE5OTMxU3lqZ0FrWlgvRnY5NXlKQWhJN3dmZDdsY24yWmtaT3lvY1RJaUlpSWlJaUtpSnVLenpVRmtaOXVRbkxJSlFwbVNleWd2K01EQmJQUks3R2wyS3ZJait3OGNSSFpPTGdUZ2tCS2JDZ3N6eXMzT1JHMlhvaWhsQUI3enZrOEk0ZjNsLzFWL1RrQkF3S0lXaUVaRVJFUkVSRVJ0bU05T0t3WUFIVWFxRVBKWWVYazVNbmJzTWpzTytabU1IYnR3c3JnWWdDaVZMdm1yMlhtb2JkdTJiVnUrWVJoblhDUEJ2UUdUWVJpYnRtelprdHNTMllpSWlJaUlpS2p0OHVubTRLRzlPOUtsUkw3ZDRjQ0dUWnRSWHM2Qlg5UXdOcnNkR3pmL0NxdTFBb0JSa0pPVmtXNTJKaUxETUJhaXNnRlkyeTdzMWU1YjNvTFJpSWlJaUlpSXFJM3k2ZVpnNVE2ekh3TEEyaDkveHA3TUxMUHprSi9JenM3Rjl6K3VBd0JJaVhjQTZHWm5Jbkk0SEQ5SUtmUFBkSnlVOGdTQW4xc21GUkVSRVJFUkViVmx2dDRjaFBXNC9wNkV6RGxaWEl6RlMvNWpkaHp5RTI4dFdvemk0bE9RVWg0c1ArRjYyK3c4UkRpOTdtQXBnTy9jYXcxNmp4UjAzeFpDUUFpUkxvVElOaTBvRVJFUkVSRVJ0UmsrM3h3c0t0cFZadWp5VVNtaGYvN2xOOWk5TjlQc1NPVGpkdTNKeElwVlgwQks2SUR4VEZIUnJqS3pNeEVCd0s1ZHU1d0FmcEJTT3VvNVRBZXdaZHUyYlVkYk1Cb1JFUkVSRVJHMVVUN2ZIQVFBdzZwL0lTQzNBc0F6ODErRTNXNDNPeEw1S0p2TmhwZGVYWGo2Q3lGL2RSbktsMlpuSXZJaURjUFlBYUMreGwrNXJ1c2JBTGhhTUJjUkVSRVJFUkcxVVg3UkhNekwyMWtzcGZnRVV0cTNwVzlINnBhdFprY2lIN1g1MTYzNGRXc2FBRGlGSVQvTnkwdy9ZblltSW0vbDVlVjdoQkI1N3E5cjJaemtsSlNTNncwU0VSRVJFUkZSaS9DTDVpQUF3eW5rU2dsa2w1V1ZZY215VDFGODZwVFptY2pIbEplWFkra25LM0RpNUVrQU9PSjA2U3NBR0dibkl2S1dsWlZWWWhqR1QrNTFCNzBKSVNDbC9DRWpJNE5UaW9tSWlJaUlpS2hGK0V0ekVJZjNwR2Nha0U5TENmMzdIOWJoMDVXZm14MkpmTXlLVlY5aXpkb2ZJU1YwWGRmbjVlM2Z5ZTJ0eVNlNVhLNWw5VHpNRFhTSWlJaUlpSWlveGZoTmN4QUFjdmRrTEFIa1lvZkRpWmRlZlFPYmZ0MWlkaVR5RWR2U012RHZGMStHMCttRWxISkpidWIyOTh6T1JGU1hIVHQyL0NxbDNPODllckJ5MUdEZXRtM2IxcGtham9pSWlJaUlpTm9VdjJvT0FuQ1cyNXovQkpCVlVsb3FaODc2Snc1bTUxUmZyNHZhRUNrbERtYm5ZTlkvSDBWSlNhbVVVdTZWaHZFWUFLZloyWWpxSTZWYzZMN3QxU1JjWVZvZ0lpSWlJaUlpYXBQOHJUbUlvdXhkUjNYRGVGQUF4d3FQRm1IZU0vTnhPSjk3VHJSVlJVWEg4UGhULzhMQm5Gd0Fva1FhZURCMzMvWnNzM01SblluZGJ2OHZBS3ZYWFRZQVg1c1lpWWlJaUlpSWlOb2d2MnNPQWpCeTk3cFdTU21ma2xKaTNmb051SGZXUDNHeXVOanNYTlRDVHB3NGlidi9QaHMvLzdJUlVrcm9RcCtiazZsOXdVMUl5QitVbHBZZWxWSnVjWThhbEZMdWxWSnluVXdpSWlJaUlpSnFVZjdZSEFTd3k1RzlOK05GS1kzSFhDNjlZbXRhT3Y3djV0dVFrM3NJaHNHK1VHdG5HQVlPNXVSaTZ1MHprTHBsSzF5NlVhSHJjczZoM2R0ZkFMWndPakg1aGJ5OFBEdUE5YklTZ0F6RE1QTE56a1ZFUkVSRVJFUnRpNTgyQjAvTGRsbWZBWXduSUZHeWUyOG1ici9uZnZ4MytXZXcyeDFtUjZObTRuQTQ4T25LVmJoanh0K3hmY2RPU01BS0llZTZ5b3JtbTUyTnFKRU1LZVVPQU9WQ0NFTkt1U01qSTZQYzdGQkVSRVJFUkVUVXRxaG1CemduSjA3b0lSWjFxeG9RbkF1Qnk0OGZQeEd3Y1hNcXRteE5SM3g4TjhSMDZ1aTkwRC81TWNNd3NEVXRBNDg5K1N5V0xQc0VSd29LVHpjR0plNTBsQlF0eXMvUHR6YmdORVErcFgzNzlxYzBUYnNDUUxqTDVacDE5T2pSWTJabkltcHFzYkd4Q1VLSTZ3Qm9BSllXRkJSd1hWZ2lJaUlpSWgvU2FqcG5jY245VXpTaGZRQ2dueEJRQXpRTkY0KzVDRGYvNVFZazllcUprT0JnQkFVRm1SMlRHc0ZtczhOYVlVVm0xbjU4OE5GU2ZQdjlXcmhjT3FTVUJnUXlYTHJ6dHJ6TVhadk56a2wwTGdZUEhyd1lRTjl0MjdZTjUzcVoxQm9OR2pUb1lrVlJQcFpTQmtrcHIwbExTL3ZCN0V4RVJFUkVSUFNiVnRNY0JJQnVpZjE3cXBwNks0UzRXZ0I5QVVCUkZDVDNTa1J5VWkrY2x4Q1BMckV4Q0EwTlJVaElNQ3dXaTltUnlZdkQ2WVRWYWtWWldUa0tqeDdGZ1lQWjJMMDNFL3V5RGtEWGRjQzlhWU1RcTZSTFg1aTdiL3NCc3pOVHk0cU9UZzRQaWxCaU5WV0VTbFVKRWREOHZvaEROSXdSQXBIbFRueG1kcFp6SmVGeXVIVERLZ3hSWmhYMm95ZXlza3JNemtUbVkzT1FpSWlJaU1pM3Rhcm1JQUFnTVRHd0c0TGlGRTI5VWdBM0N5R0d1QjhTQWdnT0RvYW1hZEJVRFlyaTEwc3V0anFHTk9CeXVlQnl1bEJocytIMEhnMm5TWWwwS2ZDV2JzZnFQS1VzRjFsWmRsUERVb3VKNzlXL0R4VDE5eEM0UUFna1FDSllDS0ZKQ1ExQ3RvWWlGbElhRUVLUkRUald0MGxoQ0FHWEJKd0FiTkl3Y2dEOFlpajQ3TkR1akIxbXh5TnpzRGxJUkVSRVJPVGJXbDl6c0pxNEhyMEhhQmJMOVJES2FBRjVIZ0FMcEZDbGtBb2dXa05qb1JXUmhwRENnSkE2QUlkaElFY1JjaDBNZmRuQnpKM3BacWVqRnFQRTlFeUpEZzZRRXdCbHVoQmloUGVEZ1JZTEZGV0ZxaWdRU3F2L0o4eXZTQ21oNndaMFhZZlQ2WUJYZngrR2xGdWtnUVUycDc3NjZNRWRSWnhDM1hhd09VaEVSRVJFNU5zMHN3TTB0N3dEZTdZRDJJNVdPaVd4TlpIUUhVNU9TV3pURW5vUFNqQU0rU2RGd1IrRVVJWUFnS3FxNk5NN0NZazllbkJwQUI5WGMybUFIT3pMMm8rOSsvYkI2WFFObFlwOEx5UklUWS92bmZLSjArSDZNUC9Bcmx5ek14TVJFUkVSRWJWMXJiNDU2TzNZc2IybE9JWlNzM01RVVUxeFBmcjBFcENMVkFYRElJUWxLaklTMTF3OUVST3VHSS9Pc1RFSUR3dEhXRmlvMlRHcEVjckt5MUZhVW9xQ28wVll2ZVo3TFB0MHBYS3l1SGl3RU9odkNiUmMzaldwMzR6REhCVk1SRVJFUkVSa0tzN0pJeUp6OWUxck9jL1FMcGNRSHdvaElvS0RnekY0WUFybVBEUUxpVDE2UUFqK005VWFTQ21SdGY4QW52NzNpOWowNnhaVVZGUkFTbGxxU0RrMVYzV3R3cTVkRHJNelV2UGd0R0lpSWlJaUl0K21taDJBaU5xd3ZuMHRDYnJsWGlIRWk0b1FFZjM2OXNhc21UUHdqNWwzbzJOME5CdURyWWdRQWgzYXQ4ZUVLeTdEZVFuZGtYUG9FSTRmUHhFSUlTYTFrNklpMUtLbWxaYVdPczNPU1Uwdk5qWTJRUWh4WGVWc2hhVUZCUVhaWm1jaUlpSWlJcUxmY0VNT0lqSk5naDR3VXdnOEJJR0lQcjJUOGNLelQyTFNsWmRCMDlyVWlnZHRTa0NBaGdtWGo4Znp6ejZKbEFIOUlJQVFCY29qQVJIUjk1cWRqWWlJaUlpSXFDMWljNUNJektCMjd6M3dOcUdJWjFSTmlUaC95Q0FzZWY4dEpQYnNBVlhsZ09iV1RsRVVKQ1gyeEh0dnZvWmhRd2REMVpRSVJTaFB4aWVsM01FUjdVUkVSRVJFUkMyTHpVRWlhbWtpSVduQVZRcnd1S0lvdUdMOE9MejZ3cjhSRVI1dWRpNXFZZTBpd3JIdzVlZHh4Zmh4VUZVVlFoWHp6a3RPbWNockV4RVJFUkVSVWN2aEd6QWlhbEZka3BJNlFGRWZBOUN4VzF4WC9PTytHWWlPN21CMkxESkpaTHQyK01kOWQ2TlhZazlBSWxJcVltNlhIbjNqek01RlJFUkVSRVRVVnJBNVNFUXRTUTFRZ2g4VkFnUER3OExFYXkvT1I3ZTRydHg0cEEwVFFxQmJYQnhlK05jOGhJZUhDd0V4eUJLZ3plYjBZaUlpSWlJaW9wYkI1aUFSdFppRTNpbi9KeUR1Q0F5MDRPSFo5Nk5QN3lTekk1R1BTTzdWQzNNZmZnQ0JGZ3VFb2t6cm5qUmdxdG1aaUlpSWlJaUkyZ0kyQjRtb1JYVHZOYUNIZ0xoZkNLaGpMaHFOeThaZFluWWs4akhqeDE2Q01SZU5CZ0JOVVpRSDQ1TlR6ak03RXhFUkVSRVJVV3ZINWlBUnRRU2hDR1V5Z01TdzBGRDg2YnByRWRtdW5kbVp5TWVFaFlWaXl1K3ZRVlJrSklRUWNRTEtaQUNjYzA1RVJFUkVSTlNNMkJ3a29tWVhGOWN2Q2lyK0JDR0NCZzlLd2NnUnc4eU9SRDVxNUFYRE1PejhJUUFRQUlFcDNaS1RPNXVkaVlpSWlJaUlqcVJnZkFBQUlBQkpSRUZVcURWamM1Q0ltbDFBcUJnbklJWUF3TjluM0luQXdFQ3pJNUdQQ2c0S3dsM1Rid1VBQ0lIemhSSTR6dXhNUkVSRVJFUkVyUm1iZzBUVXZCSVRBNlZRbndDZ1RiaDhQRklHOURNN0VmbTQvbjM3WU5LVmx3TkFnQ3JGSTBoTVpEZVppSWlJaUlpb21iQTVTRVROS2tFTHZVa0lrZFErS2dxMzN2UVhzK09RbjdqOWIxTVJGUmtKQ0pFWUh4QjJxOWw1aUlpSWlJaUlXaXMyQjRtb09XbUF2QUVBTHI1b05Ib2w5akE3RC9tSmhQanV1T2pDa1FBQUFYa0xBTlhzVEVSRVJFUkVSSzBSbTRORTFHemlFd2NPRUVKSkNBeTBZTlRJRVFnTkRUVTdFdm1KNEtBZ2pMNWdCRUtDZ3lHa2lPdWExSysvMlptSWlJaUlpSWhhSXpZSGlhajVLSEtrbE9nWUZocUd3UU1IbUoyRy9NeWdsQUdJaW9vQ0lDTUNoRGJTN0R4RVJFUkVSRVN0RVp1RFJOUXNFaElTZ29TaURBZGtVRUo4ZDNUdkZtZDJKUEl6NXlWMFIzejNPRWpBQW9IaE1URXBISHBLUkVSRVJFVFV4TmdjSktKbVVhRkdSRUJndUJCQ1RMeGlQRlNWUzhaUjQyaWFoc3ZIallVUVFnQVlIaHpzNkdoMkppSWlJaUlpb3RhR3pVRWlhaGFhaHY0QzZHV3hXRERoaXZGbXh5RS9kZG00c1FnTURJUVFJbGtHQlBVek93OFJFUkVSRVZGcncrWWdFVFVMVFloSkFMVGg1dzlCeCtob3MrT1FuK3JVTVJvamhnMEZBQTJxdk56c1BFUkVSRVJFUkswTm00TkUxRHdFaGdIQTZBdEc0UFNzVUtMR0UwTGdkNk1yOXlJUkdHeDJIaUlpSWlJaW90YUd6VUVpYWc2YUlrVUtBUFRwbld4MkZ2SnpLUVA2QXdDRUZBTjQzU0lpSWlJaUltcGFmSk5GUkUydWErL2VQU0FRRVI0V2h0aVlUbWJISVQvWHVYTU1Ra05DSUFUYXhmWG8wOVBzUEVSRVJFUkVSSzBKbTRORTFPUlVhVWtCZ05qWUdJU0VCSnNkaC94Y2tDWFEwMlRXTkhXSTJYbUlpSWlJaUloYUV6WUhpYWpKcVVJWkRBQmRPc2NpSkxqdE5RY3JLaXBnczltYTVkekhqaDFEZG5aMnM1emJWMWtDTGVqU3BUTUFRQ3JhK1dibklTSWlJaUlpYWszWUhDU2lKbWRBRGdTQXpyRXhDRzZEemNHUFAvNFlZOGFNd2Y3OSt4djhuRVdMRnVHNTU1NkRydXYxSG5mWFhYZGg5dXpaTUF5akNaTDZCNHZGZ3M2eE1RRHcvOXU3OC9DcXFudi80NSsxejVBNUJCa1NJRUpra0VGbUtpZzRvSFdvVnIzcTlWYnI4Rk54ck9PMWo2M3R0VmF2d2srbytsUDdXR2RyZjRpMlRqOHBTcldLVXE5YUJXUklJbE1JVTRoQUdBTkpUczdKT1dldjN4OFpta0JBd01BK0ozbS9ub2ZuN0wzMjJtdC85aUh3UEh4WmV5OFpXV1lPQWdBQUFFQWJvamdJb0swWlkwd3ZTY3JyM2wycHFTbGU1em1zUXFHUXFxcXFXdng2Ly8zMzFhOWZQM1h2M24ydlk0Mi9vdEZvaTNIQzRiQmVlKzAxM1hycnJhcXFxdHJuOVc2KytXYXRYYnRXaFlXRlIrRHVFa013RUdqKzdzb0NiOU1BQUFBQVFQdmk5em9BZ1BZbE4zZDR1ckhXNy9QN2xaV1ZLV09NMTVFT3F4dHZ2RkhMbHk5djlkakVpUlAzZWQ0dmYvbExYWHJwcFUzN1Avdlp6OVNqUnc5Tm1USkZWMTk5dGE2ODhrbzk5dGhqclo1cnJkVnR0OTNXNnJFdnZ2amlvTzhoMFJsamxKV1pLYi9mcjFnczVzL1B6MDhyTHkrdjlUb1hBQUFBQUxRSEZBY0J0Q2xmcDNDYU5layt4ekVLcHJUdldZT054bzRkcTF0dXVlV0Erc2JqY1YxMzNYV3RIcnZ3d2d1Vm5aMnRzckl5alI4L1h0bloyYXFycTlQY3VYTTFmdng0WldWbGFmdjI3U292TDlmUW9VUGw4L25hK0U0U1Z6QWxSVDdIVWN4YXgzRTZwMG9VQndFQUFBQ2dMVkFjQk5DMjRzRTA0N04rWXh5bEJJTmVwemtpY25KeU5HellzQVBxRzR2Rjludjg5Tk5QYjlyT3k4dlQzLzcyTjMzeXlTZTYvZmJiMWJ0M2J6My8vUE42NjYyMzlMT2YvVXpwNmVuZk8zdXlTQWtHNWZoOHNqS09UYXRMazdUVDYwd0FBQUFBMEI1UUhBVFFwa3pBbDJhdGZJN2pLTFdEekJ6ODVKTlBkT3FwcHg3eStZV0ZoWHJwcFpkMC8vMzNxMHVYTGkyT3ZmWFdXenIrK09QVnUzZHZ1YTZyMmJObmE4S0VDUjJxTUNoSktRMHpCNDJ4UGh2MWQ2eWJCd0FBQUlERGlPSWdnTGJseHRMa0N6UThWdHd4Wmc0T0h6NWMxMTU3N1FIMWRWMVhkOTU1WjR1MnlzcEtMVjY4V0pkZmZya2VmdmhoalI1ZHZ5RHZnZ1VMVkZoWXFJY2ZmbGlTTkdmT0hKV1hsMnZ6NXMyYU1HRkNpekZ5Y25JMGUvYnNOcnVuUkpPU0VwVGpjMlJkT1NsKzlSODFhbFNHTWNZYVkyeGRYWjJNTVZiMTd5ZTBqdU5ZU1lwR283WjUrNTU5SXBGSXErMk4yNUlVaVVTczR6Z3QyaHUzdytId1htMk80MWlmejJjbHFhYW1wcW5kNS9PMTJHN3NzMnZYcnFidHhrKy8zMiszYmR2VzFOL3Y5emQ5Qm9OQkswbHBhV2wyNGNLRnR1SHJzWkxjaGs4QUFBQUFPQ2dVQndHMHFZRHJTNU5qL1k1eGxOSkJaZzUyN2RwVjQ4ZVBQNkMrclQxV2ZPcXBwMnI2OU9tNjg4NDdkZlBOTit1NTU1N1RpQkVqOU9TVFQwcVNUanZ0TkVXalVUM3p6RE1hTUdDQWJycnBwaGJudi9qaWk2cXVybTZqdTBsTTlUTUhmWkpqZlpuQndGMlNCbGhySmNrR0FnSHRVUml6a2hRSUJQWnFheXo2U2JJTlA1LzFnelNNdFdmZjFOVFVGdWMzNjk5NHJPa2F6Y2VXcE16TXpLYStlK1p3WGRkS1VsWlcxbDduV1d0dGJtNXVxL2ZVMk5kYWF4dUx5QTNqMndNb0RzYU5NVEZyclN2SkdtT3M2N3JXR09NMkRHTWIydDNtbjQzdHpjOXIzTjZqZjR0KzFscTNvVzh2YTIyMnBMcnZ5QWNBQUFEQUF4UUhBYlNwdUtPQVQ4WXh4aWpnN3hoL3hXelpza1Z6NTg0OW9MNHQ2MFQvY3N3eHgyajY5T2w2OTkxM05XclVLTDMrK3V0TnF5QUhBZ0c5L1BMTEtpc3IwOTEzM3kxampONTk5MTA5K3VpamtxVEpreWUzZUZkaGV4UUkrT1U0am95TUkyTTZHMk42N0t1dnRYYWZTMlEzKy80UGRCbnRWdnZ0c1FyM2ZzZHE2UHVkMTl0Zjd2MzFNUWU1SkhqejdvN2p0TnJlV3YvbXgvZDN5VDM3TjM1YWE4T1NvZ2VURlFBQUFNRGgxekgrNVE3Z2lQRloxUm5adUxWVzBXakhxQU1VRnhmck43LzV6ZmNlSnljblIxZGRkWlhXcmwycjMvLys5MHBOVFZVNEhOYXFWYXYwN0xQUHluRWN6WnMzVHovLytjLzErZWVmYS9iczJlclZxNWNxS3l0MTBra250Y205SktwWU5DYlh1ckl5OFZCZDdNWDBnTFBWcWE5c0dkWFB4SE1rR1d1dDhmbDhwcUdJWmh6SE1kWmFSdzJGdFlidHh2YW1QbzNuTm41YWF4MmZ6eWRycmRPOHZYbmZodXUzR0xlaFZtY2F0eHZQYVhaYzFscG56ejdOem0wYTAzRWNwL214Wm1PWlBhNzFuYy92VzJ0OStsY2hzVEZIMDNhejhacTJXK3ZUa0VHdEhXOStUMnBaeUd6TXY2SzZ1cnE0VFg4d0FBQUFBSHh2RkFjQnRLbVk0OVlHakQvdXVxN0M0WWpYY1E2N1BuMzZhT3pZc2Jyampqc2tTWFYxZFpvK2ZickdqeCt2SVVPRzdOWGZkVjNkZSsrOTZ0Mjc5MTdIeXN2TFZWeGNySTgvL2xoWldWbTYvUExMOWVTVFQycisvUG5xMmJPbkprMmFwQWNmZkZEMzNIT1BicmpoQmtuUzIyKy9yUzVkdXV6MURzTDJKaHlKS0I2UHkxaTV0UkY5dVdwWklVV21nK00wMnpaN2ZvNFpNMGFTVkZ0YmExVC9jOXcwTlRBV2k1bm1uN201dVViMTczVGNxMDg4SG0veDZicXU2ZHk1c3lScDRjS0YxWkxpaC9jMkFRQUFBQUNBcC9MN0RoNVFNR2pFNnNFang5bVo3ODYySGMzdTNidnQ2TkdqN1YvKzhwZDk5Z21IdzNibnpwMzIyMisvdFpzMmJXcHFmL1hWViszbzBhUHRqQmt6N0pJbFMreGYvL3BYTzNyMGFCc0toZXpxMWF0dExCYXo1NTU3cnAweVpZcTExdHFTa2hJN1pzd1krOUpMTHgyUmUvUFNPN1BlczBOL01ONGVNM2pFNXFQN0QrM245Yzg1QUFBQUFMUVh6QndFMExiOHdaQ1JZcTUxRlk2MDM1bURDeFlzVUNnVVVrMU5qVUtoVU5PdnlzcEtxV0ZHMzl5NWM1djYxTmJXTm4zRzQvK2FQSFhDQ1Nmb0QzLzRROU9ZUFh2MjFCVlhYQ0ZKV3I5K3ZWUy9NcTM2OXUwclNicnV1dXMwZGVwVW5YMzIyWHJra1VmVXJWczNYWDc1NVI1OEEwZFdPQnhSUE83S1doT1hMMXJyZFI0QUFBQUFhQzhvRGdKb1U3WW1FcmJacVhIWHRZcTA0OGVLYjd2dHRxYVZoMU5UVTVXV2xxYjA5UFNtRlpyajhiZ3lNakxVclZzM3BhZW50L2lWbHBhbTFOUlVaV1ZscVZ1M2JsTEQ0OGFMRmkzU21XZWV1ZC9yWG56eHhmcjQ0NDkxODgwM1M1S2VlKzQ1TlZ0UnQ5MEtoOFAxanhYTHVydHJheWtPQWdBQUFFQWJvVGdJb0UwWlV4MHlOaVhXM3Q4NStNRUhIeWdsSlVWcGFXa3RWbTZ0cXFyU3hJa1Q5Wk9mL0VTWFhucHBxK2RXVlZYcGtrc3UwVzkrOHhzTkdqUklrbFJVVktUcTZtcU5IVHQydjlmZHZIbXphbXBxNUxxdU9uWHFKSDhIV1JHNjhaMkRNc2JkRlF5R3ZNNERBQUFBQU8yRmN3QjlBT0NBbFplWGg2MHg5UXVTdE9QSGlqdDM3cXowOVBRV2hVSFZyOWdxTmN3YzNKY1ZLMVpvMjdadFRiTU1KZWtmLy9pSEpPMnpPR2l0MWV6WnMzWFpaWmRwN2RxMXV1KysrOVNyVnk5Tm1qUkpVNlpNMGViTm05dm96aEtQdFZiaGNFU3U2OHBhRzFOcGFmdjl3UUlBQUFDQUk2eGpURGtCY0NSWmEyMjVNV1prNWE1ZHFxdXJVekFZOURyVEVaT1ptYW5zN0d5OSsrNjc2dHk1c3dLQlFJdmp1M2J0MHB0dnZxbk9uVHRyNU1pUlRlMXo1ODdWd0lFRGxaT1RzOWVZaXhjdjF1OSs5enVWbEpSb3hJZ1JldWloaDlTclZ5K2RkOTU1ZXZubGwvV25QLzFKczJiTjBzU0pFelY1OHVTOXJwbnNZckY0MDdzY3JkVmFyL01BQUFBQVFIdENjUkJBbXpPeUN5VnozcmZmYmxRb1ZOdWhpb09TZFAvOTkrdnh4eC9YZmZmZEoydHRpMk1wS1NrYU1HQ0FIbm5ra2FidnBhNnVUcWVlZXFweWMzTmJIUzhZRENvY0Rtdnk1TWs2NTV4em10cjlmcjl1dU9FR1hYamhoWm8rZmJyeTh2TGFYV0ZRa2lKMUVaVnYzQ1JKTXNiTzl6b1BBQUFBQUxRbjVnRDZBTUJCeVQ5MnhFVUJuL2wvUXdZUDFQTlBQYUdlUGZLOGpvUWt0bVBIVGwwNTZTYXRLRmtsMTdxWHJGOVI5TGJYbVFBQUFBQ2d2ZUNkZ3dEYW5DOWlsMWhyN2NhTm14VUtzWFlFdnA5SVhVUWJOMjJXdGRaR3dzNUNyL01BQUFBQVFIdENjUkJBbTF1L3ZtaTlsZGxSdVd1WE5tMnU4RG9Pa3R6R1RSWGFYVlVsSTIzYnZHN0pPcS96QUFBQUFFQjdRbkVRd09IZ1N1NWlTVnErc3NUckxFaHloY1hmTkd6WlFvK2pBQUFBQUVDN1EzRVF3R0ZocEFXUzlNK3Y1dSsxS0Fkd29LeTErdXp6THlWSnJ0RmlyL01BQUFBQVFIdERjUkRBWVdGbDM1VVUvV3IrMTZyWXN0WHJPRWhTRlJWYjlNK3Y1a2xTMU1yOXlPczhBQUFBQU5EZVVCd0VjRmhFWXJXbFZuWlZYVjJkUHZod2p0ZHhrS1RtelAxVTBWaE1zblpsTkJ6bkdYVUFBQUFBYUdNVUJ3RWNGcHRqc1NwWnM4QmFhMmZOL2tEeGVOenJTRWd5OFhoY2Y1L3ppYXkxMWhyTmQwT0JiVjVuQWdBQUFJRDJodUlnZ01OajNicXdyRHRQTXVHeURlVmFzNVpGWm5Gd1ZxOVpxM1hyeTJTa09sbk5xNmdvcXZFNkV3QUFBQUMwTnhRSEFSdzJjYmtMakxIYmFtcHFWUFROTXEvaklNa1VmYk5NT3lzckpaa3FHN05mZTUwSEFBQUFBTm9qaW9NQURwc05LNzhwdEZZYkkzVjErbkxlZk5YVU1QRUxCeVljaWVpcitWOHJGS3FWNUc1ZVgxcFU2SFVtQUFBQUFHaVBLQTRDT0p5aVZ1NE1TWnI3NmVkYVVWTHFkUjRraVhYcnl2VEpwLzhqU2JKV0wwbmlwWlVBQUFBQWNCaFFIQVJ3V0lXMngvOWtaZGZ2ckt6VTlOZis0blVjSklrWFhwNnV5c3Bkc3RhdXJka1JlOUhyUEFBQUFBRFFYbEVjQkhCWWJkMjZyTnFOMjk5YXEvaTdzei9ROHBVbFhrZENnbHUyb2tUdnpIcFAxaW91dVZPM2JsMVc3WFVtQUFBQUFHaXYvRjRIT0pLNmRoMllsWnJ0NVBsOUpzUDZuSFFqZjlEclRQZ1hxMWhkTE82R2pHdXFReWF5WlVkcDZXNnZNNkZ0dUtINGU3NU1zMGd5eDA5OTlBazkvOVRqU2tsSjhUb1dFbEE0SE5idi8vQnMvWTZ4WDhmaXpteXZNd0VBQUFCQWU5YnVpNE45Qmd3ZExNZjM3ekk2d1JnVnlDck5HT09YbFYvR01uTXlnUmpyZDROK3hhd1V6VllnbkRWdytIcEovM1FkL1hYRDhxSnZ2TTZIUTFkZXZyU3lZT0RJdDR6czhNV0Z4U2tMRmk3U1NlTlA5RG9XRXREOHJ4ZnA2MFZMSkNscVhQdDJlVW5SSnE4ekFRQUFBRUI3MWg2TGcwNXV2K0ZkMHdMMlhNbTUyUmd6cnZuQmxKU2dISjlQUHNlUmNZeDNLYkVYYTYzaWNWZnhlRnpSYUoyczR4d242VnhIbXR4bjBJaUYxdFdUNFdqOHd5MXJ2OWtxeWZVNkx3NktHelYyWmtDYVZGMWRQZkMxTjk3VzBPT0dLS2RUSjY5eklZSFUxTlRvOWJmZTBZNmRPeVZwVXpRV2Y0Yy82d0FBQUFCd2VMV3I2bGpCb0pFRnJtc3ZjeHo5aHpGbXRDVDVmRDROSG5Tcyt2ZnRxMk1LK3FoblhxNHlNaktVbnA2bVlKQ25paE5KWFRTcVVDaWs2dW9hVld6Wm9qVnIxMnRWNldxdFhMVkswV2hNMWxwWFJvWFcycmVpZGJFWkc5Y3NLL002TXc1TzcwSERyM2JrdkpTU0V2RDk0cTQ3ZE4zVlYzb2RDUWxreHAvZjBFTlRIMVZkWFRUdXV2R2ZsWlVVditCMUpnQUFBQUJvNzlwTmNUQy83K0FCZ1dEd1pVbkh5NWhnNTV3Y1hYVEJqM1h1ajg1VWo3eGNaV1ZtS1RNencrdVlPQWpWTlRXcTJsMmx6VnUyNnNNNW4raU50MmRxWjJXbEpCdTFNbDlHNDlFN3ZpMVpXdWgxVGh5VVFNR2dFYzhaWTY3TnlzelU4MDgvb1hFL0dPTjFKaVNBeFV1S2RNMU50NnFxcWxxdWExOVp2N0x3T2tsUnIzTUJBQUFBUUh1WC9NWEJJVU9DeDdqK3M2M01ER05NZGxwYW1rYU5HSzc3Ny8yRit2ZnRLMk9TL3haUi84aHg2ZW8xZXZpUkp6VHY2NFdxcmEyVnRiYkt0WFpTbVM4MlM4dVcxWG1kRVFlbVc4R1F2TXkwNEdmVzJuNDk4bkxOcXk4L3I0SSt2Zm16MmtGWmE3VnVmWmx1dU9WT3JWNjd6a29xY2VQdXVXV3JpdGQ0blEwQUFBQUFPZ0tmMXdHK2x5RkRnZ1h4NEg4YVk1NXdqTWsrYnNnZy9lS3VPL1RMdTI1WHQ2NWRLVGEwSThZWWRUbnFLSjM3bzdOMFRFRnZyZCt3UWR1MzcwaVJNZWQxc3FZMkkraGJVbFZWeFN5akpCQ3EzQnJLN3RKOW8yUE1hVFdoMm95eURlVWFNM3Frc3JPenZJNEdEMnpkdWszMy9mY1VGUll2bGJYYWJWM2RYcmFxYUo0azYzVTJBQUFBQU9nSWtybzRXSEJVejd1Tk1mZktLSHZJb0lGNjRuZi9XK09PSHlPL3Z6MnVzd0pKOHZrYzllL1hWOGYvWUxTS2x5NVRSY1dXZ0pFNXdVbEppKy9hVnZHWjEvbHdRT3l1N1YxS2M3bzRZUm56b3czbDMycEpZYkhPL09GRXBhV21lcDBOUjlDT0hUdDE2MTIvMUx3Rlg4dTFWbkVULzYreWxZRVowcWE0MTlrQUFBQUFvS05JMXVLZ3IvZWdFVGM2am5uQzUzZFN4b3dhb2YvNzRqUHFrWmNueDNHOHpvYkRySEVXNFRsbm5hbEZpNWVvWXN1V0ZGbjlzTk5SM2JmdTJsNnhpQmxIeVdCcnZISjd4VmM1WGJ2TGRUVnVjMFZGNExQUHY5Uko0MDlRZGxZV3MzN2JPZGQxdGE1c2cyNzV6MTlvOFpKQ3VhNnRkVjA3ZWNQS29tblNKbFluQmdBQUFJQWpLQm1MZzZiZzJHRVhHR1Arajgvbnl6am5yRFAwdThrUDZLak9uYjNPaFNNc05TVkZaNXgrcWphVWI5U2F0ZXRrWmNkMzdwSzdySEo3eFNvS2hNbWhNaWZycXh6SEh6VXl4Mi9idmoxbDNvS0ZDZ1FDR3RDdm4veitaUHpyQ2QrbHJxNU83OHg2VDVPblBxcmxLMWJLU2lFWisyQzBhdXNUdkJvQUFBQUFBSTY4cFB2WGQ4OWpqKzNxYzFMK0tLbHZuOTVIbTBjZmZraDVlYm5NTk9xZ1VsTlNOR3pvWVAxejNnSnQyN1k5Vlk0Wm5KN2Q1VzlWTzdmdThqb2JEc0NPSGZIMG9HK1JMNUJXSnFPenQyL2ZFZmhxL2dJdFhGU29QbjJPVm03M2J2elpiaWRjMTlXaUpVVjZZTW8wdmZiR1c5cTB1YUsrTUdoMWE5M3VyUzl2M0xneDVIVkdBQUFBQU9pSWt1MWYzYjQrZzBZODdoaHplMlpHaGw1LzVZOGFQT2hZcnpNaEFheGN0VXIvY2NVa1ZWZFh5N3J1TSt0V0Z0MHVpZmVXSlpIOGdVT0grNDMvRlVuSEdTTmZ3Ty9YeEZOUDFyVlhYYTVqQi9SVGVscWFVbmtuWVZJSmh5TUsxWVpVVXJwYXI3ejZ1ajc2Wks1aXNiaXN0YTZNaW1MeDZFM2xKY3ZtZTUwVEFBQUFBRHF5cENvT0Znd2FmclhrdkpTYUd2VDk5MjkrclovOCs0VmVSMElDZVdmV2UvcXYzejZrU0YxZExCNlAzMUpXVXZ5QzE1bHdjSTd1UDdTZnorKzdYc1pjWUtRaGt1UTRqZ1lPNksrQnh3N1FNUVY5MURNdlZ4a1pHVXBQVDFNd0dQUTZNcHFwaTBZVkNvVlVYVjJqaWkxYnRHYnRPaTFmV2FKVnBXc1VqOWZYNnEyMUs2MHhzMndzL216WnF1STFYbWNHQUFBQWdJNHVhWXFEdlFjTTYrdnpPWCtWTVVQUE91TTBUWDNvZnVWMDZ1UjFMQ1NRNnVvYTNmM3IrL1RoeDNObHJWMXJyZjNoK3BWRmE3M09oWVBVdjMvSzBVck5kL3krYzR4MHJURm1kT01oWTZTMHREVDUvWDc1Zlg0V0lFb3dyblVWaThVVWk4WlVHdzdMMm4rOSt0TmFGVnFqRitJUmZWanVWSmVwdERUaWFWZ0FBQUFBZ0NUSjczV0FBMlFjNC95YnBQNlpHUm02N0pLTEtReGlMNW1aR2ZySnYxK2tCUXNYYTJkbFpiNnMrVGRKVDdJNFNaSXBMWTFza0ZaTGVrclNVL2w5QnczekI0TS9sWEVteU5walFxRlFVTmI0ckxHT1pKSytPbWlzTlpKa2pXa0hQNmZXTmRhNE1qWXVxYzUxdGQ0eDluL2t4dDlZVjdLMDBPdDBBQUFBQUlDOUpVVnhNRC8vdU03eTZUTEpwSTRhT1Z3bmpqdmU2MGhJVUNlZWNMeU8vOEZvZlRqbms0Q01mbkwwd0lGdmJGaTVjcVBYdVhEb3l0ZXNLSlpVTEVsZHV3N01TczEyOHZ3K2syRjlUcnFSUCttZkswNFBtQXNjUjUyckl2cS9YbWY1dnF6aWRkRzRHekt1cVE2WnlKWWRwYVc3dmM0RUFBQUFBTmkvcEhpcytKaUJRMzhpeC8rcUpQL00xMmRvK0xEanZJNkVCUGJOc3VXNjRKTExKU2thbDN0OTJmS2k2VjVuQXZiQkdUVnExR3hqekhHTEZpM3F3eXhYQUFBQUFNQ1JsdmlQNVBYdm4yS043eUZKL25QUFBwUENJTDdUMENHRGRkNDVaMHRTd0dmTmZlcmZQOFhyVEVCclJvd1lNVjcxQzY5MEd6bHk1RGxlNXdFQUFBQUFkRHdKWHh3czhHZGNZNHc1OXFqT25YWDlOVmQ1SFFkSjRtYzNUbExubkJ6Sm1QNTlBcG5YZTUwSDJJZmpKT1ZaYTRQR21IRmVod0VBQUFBQWREeUpYaHowUy9aeVNacDQ4Z1FONk4vWDZ6eElFZ1Y5ZXV2a2swNlVKQm5aNnlUNXZNNEU3TUh2T000b1kwelFHT05JR2pKeTVNZ2NyME1CQUFBQUFEcVdoQzRPOXVrL1lwZ3hUa0ZLU2xEalR4eW5qSXdNcnlNaFNhU2xwbXJDQ2VPVW5wWW1ZMDErcjJPUEcrcDFKcUM1NGNPSHAwZzZwWEhmR0RQS2RkMThiMU1CQUFBQUFEcWFoQzRPeXJFbldxdHVtUm1aR2pWaW1OZHBrR1JHRGgrbXpwMDdTN0xaQWVNLzBlczhRSFBXMnVIR21HTWJ0aVdwd0hHYzRWN25BZ0FBQUFCMExBbGJIQ3dvS0VnMWpqTldzcWtGZlhxcjk5Rk1xTUhCT2FhZ3QvcjB6cGVWZ2pJYW01czduS21uU0JnK24rOWFTYjZHd3FBYUhuMy9OMjlUQVFBQUFBQTZtb1F0RHRiNnNyTmxOTllZWTM3OG96UGw4L0hLT0J3Y3Y5K3ZzODg0WGNZWUkybHNXbHBkTjY4ekFaSTBiTml3em83alhOYXNNQ2hyclJ6SCtkR3dZY002ZXhvT0FBQUFBTkNoSkd4eDBPL1hVQ01OQ0FhRE92ZEhaM29kQjBucXJETk9WMHBLaW93eEEyMGc5VGl2OHdDUzVEak9tWkt5V2ptVTdmZjd6L01nRWdBQUFBQ2dnMHJjNHFBeDUwbnlqLzNCYUhYcjJ0WHJPRWhTM2J0MTFiamp4MGlTWHo1N3R0ZDVnUHJhb1BPVDVyTUdHelcwWFpQSWZ6Y0RBQUFBQU5xWHhQMEhxTkh4a2pUaGhIR3FmeW9VT0hqR0dKMHlvV0V0RXFOUlh1Y0JSbzRjMlZ2U29QMTBPVzdVcUZIN093NEFBQUFBUUp0SjFPS2czN0ZtdUNRTkhqVFE2eXhJY3NPSERaVWtHV3VHSmZEUFBEb0lZOHhnWTB4K3MvMFcvd0Zpak1tV2RLcFgrUUFBQUFBQUhVdENGa3A2RFJyVVYwYlpXWm1aeXN2dDduVWNKTGtlUFhLVmtaNHVZOVFwdisvZ2ZsN25RWWZtU1BxQnBFNzc2Wk5takJrL2ZEaXJhd01BQUFBQURyK0VMQTc2YkhDNEpPWGw1U285UGMzck9FaHlxY0dVcGlLejMrOGI3WFVlZEZ3OWUvWk1sZlNqeHYwOVpndzI3enJTR05QckNNY0RBQUFBQUhSQWlWa2NOTTRvU2VyWkkwL3BhUlFISmFtOHZGeWJOMjl1MHpHTGk0djEybXV2SFhEL3hZc1hhOTI2ZFcyYTRVZ0lwZ1RWczJjUFNaSjEvRC93T2c4NnJpNWR1dlEyeG94dGJUR1NSdFphV1dzSFdXdDVwd0lBQUFBQTRMQkx5T0tnS3p0Q2tucms1U290eVlxRFpXVmx1dVdXVzFvVThxeTFpa1FpQi96TGRkMjl4cjM3N3J2MXlDT1B0R25XenovL1hJOC8vcmhXcmx4NVFQMS8vZXRmNjlWWFgyM1RERWRDTUJoVWo3eGNTWktSWmVZZ1BPUDMrNitwWDR6ZHRMclFVbU9iTWNidk9NNzVIa1FFQUFBQUFIUXdmcThEdE1JMFBrNlgxNzI3VWxOVHZNNXpVR3BxYWxSYVdxcXJycnBLanozMm1JWVBINjdWcTFmcjBrc3ZQZUF4bm43NmFZMGJOMjZ2OXJaZXRYblNwRW42NElNUDlNd3p6K2lKSjU1bzA3RVRTVEFRYVA3dXlnSnYwNkNqeXMvUFR6UEcvSy92NnRlc1FIaEJRVUhCSGV2V3JRc2ZpWHdBQUFBQWdJNHA0WXFEdWJuRDA0MjFmcC9mcjZ5c3pEWXZpQjF1Z3djUDF2VHAwM1hMTGJmb3hodHYxTlNwVTNYODhjZnZWWHo3MWE5K3BYSGp4dW1paXk3YWE0eUJBL2QrbXJDMTJZU05ObXpZb0ovLy9PZjdQRDUxNmxUMTY5ZFBjK2ZPVlZWVlZZdGpwNXh5aXZMeThqUnIxcXdXN1dlY2NZWW1UWnFrL3YzN2EvTGt5ZnU5NTBSbmpGRldacWI4ZnI5aXNaZy9QejgvcmJ5OHZOYnJYT2hZdW5UcGNvcWtIZ2R4U3ZmczdPd3pKYjE3R0dNQkFBQUFBRHE0aENzTytqcUYwNnhKOXptT1VUQWx1V1lOTnNyTHk5TWYvL2hIUGZiWVl4bzZkS2d5TWpKMDhza25OeDNmdEdtVHd1R3dKa3lZMEtKOVQ0OCsrcWplZWVjZFNWSWtFdEhhdFdzMVljS0VwdU9PNCtpenp6NVRKQkxSbWpWck5ISGlSUFhwMDZmcGVIbDV1VDcrK0dORkloRkowbXV2dmFZTkd6YnM4M3BidDI1VmFtcXFzckt5V3AyNW1NeUNLU255T1k1aTFqcU8wemxWb2ppSUk2dXdzUER2a2xyOGI4Znc0Y05QOFBsOGZ6Ykc1RW02YU5HaVJSOTRseEFBQUFBQTBCRWxYSEZROFdDYThWbS9NWTVTZ2tHdjB4eTBTQ1NpbEpRVTVlVGs2S0dISG1xMXo2ZWZmaXBKR2pObXpIN0hHamR1bkxLeXNpUkpiN3p4aHJwMDZhSWYvdkNIa3FSNTgrWnA2ZEtsTGZxZmM4NDVPdU9NTTVyMlAvdnNNMzM4OGNkTit5Kzg4SUkrK3VnajFkVFU2UHp6ejVmUDUyczY5dGUvL2xVUFB2aWdwazJicHBOT091bVE3ajJScFFTRGNudytXUm5IcHRXbFNkcnBkU1lBQUFBQUFBQ3ZKVnh4MEFSOGFkYks1emlPVXBOczVtQmxaYVd1dnZwcVRadzRVYmZkZHBzQ2dZRFdyMSt2eXkrL3ZFVy9hRFFxU2JyaWlpdjJPZGFNR1ROMDhza25OODBzZlAvOTl6Vnc0RURkZE5OTmtxUlFLS1FWSzFZY2RNYk5temZyMldlZjFTdXZ2S0xiYnJ0TnA1MTJta3BLU3ZUWVk0L3A3TFBQYnBlRlFVbEthWmc1YUl6MTJhZy8zZXM4QUFBQUFBQUFpU0RoaW9OeVkybnlCUm9lSzA2dW1ZTlpXVm1hT0hHaVpzeVlvU1ZMbG1qYXRHbnEwcVdMN3Jubm5xWStuMzc2cWY3eGozL282cXV2VmtGQmdWNTY2U1ZWVlZYcDl0dHZiekdUcjJ2WHJpM0dqa2FqQ2phYlNSbVB4MXYwUDFCWFhYV1Z6anJyTFAzKzk3L1gzWGZmcldFd0hWZFlBQUFROVVsRVFWVERocW04dkZ4OSsvYlZiMy83MjBPKzkwU1hraEtVNDNOa1hUbCs0L1FhTldwVXRQR1k0emhXa21wcmExdnM3N2x0akxITngyeXRYeWdVT3VDK2t1VHorVnB0cjZxcWFyRy92NzdOMjV0djc5eTVjNzlqTk45Vy9VcTZUZnVCUUtCcHU2S2lZcC85bW0rcmZtWG9GdnRwYVdsTit3c1hMbXgrYkYvYmtyVHZGMndDQUFBQUFJQTJsWERGd1lEclM1TmovWTV4bEpKa013ZDlQcC91dXVzdUhYdnNzWHJ3d1FmMXdBTVA2TmxubjlVRkYxd2dTU291THRhMGFkTjB3Z2tuNkk0NzdwQWs5ZW5UUjlkZmY3MEtDd3QxMzMzMzdiUGdWMTFkcmZUMGYwMTRpOGZqOHZzUDdiY3ZOemRYRHozMGtGSlRVelZ6NWt5cFlSR1VyVnUzNnVpamp6NmtNUk5kL2N4Qm4rUllYNmMwMzM5S0ttZ3M0RmxyclNTbHBxWTJiallXcS9ZcVlPMVI5R3ZxMzdCZ2pFMU5UZDFYZjd2bk9YdU8zWGhBa2pJek0vZVZwYlZpWmRQNXpSYXVzWjA2ZGRwbjduMWthZXJiTElydDNyMTdpMndIbWtYMUMrazB0WThhTmVxN3Zwdkc4OXc5aTZzSEtOb3doRzJlMFJoakczUHNjVTNic04vMCs5Zjh1T3U2amYxYjlHMFd0Y1UxV2h1MytYZlJlR3lQODQ2VzFPa1E3aFVBQUFBQWdEYVJjTVhCdUtPQVQ4WXh4aWh3aU1VdnIvMzR4ejlXZm41K2kwTGI1NTkvcmwvLyt0ZnEwYU9ISG43NFlTMWR1bFRkdW5YVGlCRWpkUC85OSt2KysrL1g1czJiOWNBRER5Z3ZMNi9GZVBGNFhOWFYxY3JKeVduUmRpZ3pCNjIxK3VxcnIvVGtrMDlxMWFwVit1bFBmNm8rZmZyb3FhZWUwaVdYWEtMTExydE1OOXh3Z3pJek03L250NUJZQWdHL0hNZVJrWEVrOVRIR2pHeXQzOEd1am4wb3Eya2Y2RGtkTGN2M09VOTdGRmYzYU45ckptZnpZL3U2cnVNNCt6enZBTExhZmZYYlk5OVlheDFKWWRkMTQvc2JFQUFBQUFDQXd5SGhxbTgrcXpvakc3ZldOcjJiTHhtTkdERkNraFFPaC9YTU04OW94b3daR2pKa2lCNS8vSEZsWjJmcnhodHYxTFhYWHF2cnI3OWU1NTEzbm9MQm9CNTg4RUZkZE5GRnV2RENDM1h4eFJkcndJQUJrcVRkdTNkTGtocG1na24xTTdJT2F1Ymd0bTNiOU9xcnIrcnZmLys3S2lvcU5IRGdRTDM0NG90cW5NMDFjZUpFVFpzMlRUTm16TkI3NzcybjExOS92WTIvRVcvRm9qRzUxcFcxTmw0YnNTOW1wSnFkMWxyVFVKeHByTllZYTYxeEhLZTFmYVA2WWxMemM0enFpMGl0dGpYdnUrZVllMTYzZWIvbTdZM25OUnU3eGI3NVY2V3B0VEgyNnIvbk9ZM3RlMTUzei90cGR0NTNYci81L243T2FXcHZ0aC9ZY3pYZkE5RlFYR3NXUldhUFR6WExwVDJ1MGFKdnd4amZkZDVlYmZzNXI5WHJ0Z2hiUDFXekxCcU5ManpnbXdZQUFBQUFvSTBrWEhFdzVyaTFBZU9QdTY2cmNEamlkWnhEc25QblRqMzExRk82OHNvcjlidmYvVTd6NTgvWHhSZGZyRnR2dmJYRjdML216anJyTFBsOFByMzU1cHQ2ODgwM2RkSkpKelVWQnpkdTNDaEpPdXFvbzVyNlJ5SVJCUUtCQTg2VW5wNnVEei84VU1jY2M0ek9QdnRzbFpTVXFLQ2dvT240TysrOG8xNjlldW5SUngvVnNtWEw5bnJuWWJJTFJ5S0t4K015Y3R4UUpQNVp5ZkxGeFY1blFwdHBQb1cycVNnM1pzd1kxZGJXTmhYaDZ1cnFqQ1RGWXJFV242N3JOdlhwMnJWcmkyUHhlTHpwV09OMnAwNmRXaHhyL0d3K1RtdHRHUmtaZTQzWmVEd2xKV1hIMHFWTGsvZC9Rd0FBQUFBQVNTdmhpb09LeG10dDBGZGZISXlFdlU1elNJcUtpalJ6NWt5Tkd6ZE85OXh6ajdaczJhTGV2WHZyL1BQUDE5U3BVelZod29TbXZuLzg0eC9WcTFjdkJZTkIvZXBYdjlLcnI3NHF2OSt2dm4zN052VXBMcTZ2WXcwZVBMaXA3VkNLZ3pObnpsUWdFTkRmL3ZZM1RaOCtYZkg0djU1aVhMRmloU29ySzNYWFhYZnB0Tk5PYTROdkliR0V3K0g2K3pYV05ZNE5lWjBIYmFyVngzRVhMano0aVhpTmhYZ0FBQUFBQURvS3grc0FlL0VIUTBhS3VkWlZPSktjTXdlTGlvb2tTYU5HalZKQlFZSEdqaDJydDk1NlM2N3JhdGl3WVh2MS9mT2YvNnhUVHoxVi9mcjEwN1JwMDFvVUJodjdkTzNhVlQxNjlHaHFDNGZETFZZdlBoQ054Y1NxcWlxcGZ0R0xRNzdIWkJNT1J4U1B1N0xXeE9XTDFucWRCd0FBQUFBQUlCRWtYSEhRMWtUQzFwaTQ2MXBGa3ZTeDRxS2lJdVhuNTZ0YnQyNVN3enNEMzM3N2JaMS8vdm5LenM1dTBmZVVVMDVSY1hHeHZ2MzJXOTE1NTUxYXNtU0o1c3laMDNTOHRyWldYM3p4UmRNN0RCdEZJcEdETGc0MktpOHZWMlptcHBxdHJOdnVOYzRjTkxMdTd0cGFpb01BQUFBQUFBQ0orRml4TWRVaFkxTml5ZnJPd1Vna29xVkxsK3JNTTg5c2FudjIyV2NWaVVSMDdiWFg3dFgvbEZOTzBaUXBVL1R4eHgvcm1tdXUwYWhSby9UMDAwL3J0Tk5PazgvbjAzdnZ2YWZxNm1wZGNNRUZMYzZycmEzZHE3aFhXbHFxckt5c3B2MlNrcEpXTTg2Yk4wK0RCZzM2em50NSt1bW5EMnJSazBUVytNNUJHZVB1Q2daNXJCZ0FBQUFBQUNBUmk0UGw1ZVhoZ3NGZEc5NDVtSHpGd1VXTEZpa1NpV2preUpGU3c2ckNPM2Z1MUJWWFhLSGMzRnlwZmlYVCtsbHN4cWhyMTY0Njdyamo5TVVYWCtpYWE2N1JMYmZjb2s4KytVU1JTRVNPNDJqR2pCbkt6ODl2OFo3Q2FEU3Fzckt5Rm0yUzlNSUxMM3hudmxtelptbjE2dFc2OTk1N3Y3TnY4d1ZRWXJHWXFxcXFEbm0yb3Blc3RRcUhJM0pkVjliYW1FcExrKzhIQ3dBQUFBQUE0REJJdU9KZ2ZTM0hsaHRqUmxidTJxVzZ1cnFrS2toOStlV1hVc1A3QmlYSmNSdzkvUEREcXF1cjAvUFBQNitjbkJ5VmxKUW9HbzAyclFnOFpjb1VkZS9lWFpJMGV2Um9qUjQ5dXFtOXZMeGM5OTEzbjdadDI2Ym5ubnRPbVptWldyNTh1YXFxcXBvS2tJM3V2ZmZlRmdYRCtmUG42NEVISG1qYS8raWpqelJseWhRTkhqeDRyNW1JclprNWM2WldybHlwMU5SVXJWaXhRdUZ3ZUsvM0lTYURXQ3l1eXNwS1NaSzFXdXQxSGdBQUFBQUFnRVNSaU1WQkdkbUZram52MjI4M0toU3FUYXJpWUNRU1ViZHUzVlJRVU5DaVBSZ002dTIzMzlhMmJkdms5L3QxNG9rbjZxeXp6cElrSFgzMDBYdU5VMTFkclRsejV1aWtrMDdTaFJkZXFHZzBxZzgrK0VDMXRmWGZ4K21ubjY3enp6Ky94VG5aMmRsTnN4TWxLU2NucDJuYldxdjMzMzlmUFh2MjFCTlBQSEZBand2djJyVkxiN3p4aGlRcEpTVkZaNXh4aHM0Nzc3eEQrRmE4RmFtTHFIempKa21TTVhhKzEza0FBQUFBQUFBU2hmRTZRR3Z5angxeFVjQm4vdCtRd1FQMS9GTlBxR2VQUEs4akhaUllMTGJQNGxzOEhwZmpPRExtdTcvNjR1Smk5ZXpaVTEyNmRHbHFzOVpLMGdHZDMxcXVtcG9hZGVyVTZhRFA4L2w4aDNUTlJMQmp4MDVkT2VrbXJTaFpKZGU2bDZ4ZlVmUzIxNWtBQUFBQUFBQVNRVUxPSFBSRjdCS2JKcnR4NDJZVENpWGYyaEg3bTVYbjgva09lSnhodzRidDFmWjlDblIrdi8rZ0M0UDZqdnRKQnBHNmlEWnUyaXhyclkyRW5ZVmU1d0VBQUFBQUFFZ1VqdGNCV3JOK2ZkRjZLN09qY3RjdWJkcGM0WFVjSkxtTm15cTB1NnBLUnRxMmVkMlNkVjduQVFBQUFBQUFTQlFKV1J5VTVFcnVZa2xhdnJMRTZ5eEljb1hGM3pSczJVS1Bvd0FBQUFBQUFDU1VSQzBPeWtnTEpPbWZYODF2ZXM4ZWNMQ3N0ZnJzOC9vVnBGMmp4VjduQVFBQUFBQUFTQ1FKV3h5MHN1OUtpbjQxLzJ0VmJObnFkUndrcVlxS0xmcm5WL01rS1dybGZ1UjFIZ0FBQUFBQWdFU1NzTVhCU0t5MjFNcXVxcXVyMHdjZnp2RTZEcExVbkxtZktocUxTZGF1aklialBLTU9BQUFBQUFEUVRNSVdCemZIWWxXeVpvRzExczZhL1lIaThialhrWkJrNHZHNC9qN25FMWxyclRXYTc0WUMyN3pPQkFBQUFBQUFrRWdTdGppb2RldkNzdTQ4eVlUTE5wUnJ6Vm9XbWNYQldiMW1yZGF0TDVPUjZtUTFyNktpcU1iclRBQUFBQUFBQUlra2NZdURrdUp5RnhoanQ5WFUxS2pvbTJWZXgwR1NLZnBtbVhaV1Zrb3lWVFptdi9ZNkR3QUFBQUFBUUtKSjZPTGdocFhmRkZxcmpaRzZPbjA1Yjc1cWFwajRoUU1UamtUMDFmeXZGUXJWU25JM3J5OHRLdlE2RXdBQUFBQUFRS0pKNk9KZ3d3cXpNeVJwN3FlZmEwVkpxZGQ1a0NUV3JTdlRKNS8ranlUSldyMGtpWmRXQWdBQUFBQUE3Q0hSaTRNS2JZLy95Y3F1MzFsWnFlbXYvY1hyT0VnU0w3dzhYWldWdTJTdFhWdXpJL2FpMTNrQUFBQUFBQUFTVWNJWEI3ZHVYVmJ0eHUxdnJWWDgzZGtmYVBuS0VxOGpJY0V0VzFHaWQyYTlKMnNWbDl5cFc3Y3VxL1k2RXdBQUFBQUFRQ0pLK09LZ0pMbWgrSHRHZHBFa1RYMzBDVVVpRWE4aklVR0Z3Mkg5L2cvUDF1OFkrM1hNZFdaN25Ra0FBQUFBQUNCUkpVVnhzTHg4YWFXMTVpMVpHMWxjV0t3RkN4ZDVIUWtKYXY3WGkvVDFvaVdTRkRXdWZidThwSENUMTVrQUFBQUFBQUFTVlZJVUJ5VzVVV05uV21sZGRYVzFYbnZqYlZYdTJ1VjFKaVNZbXBvYXZmN1dPOXF4YzZja2JZckc0dTlJY3IzT0JRQUFBQUFBa0toOFhnYzRVRlhiS3JabmQ4MnRNakxuYnlndmR6cDM3cXpSSTRkN0hRc0o1STIzWitwUE0vNnNlTnlOdTI3OG5nMmwzOHp4T2hNQUFBQUFBRUFpUzVyaW9DVHQybGF4TEtkcmJtL1hkVWN0S1N6VzZGRWpsTit6cDlleGtBQVdMeW5TTDM5enYycHJ3N0xXdmxwV1V2UWdzd1lCQUFBQUFBRDJMNm1LZzVMY1FHYVhlY0dBNzhKSUpOTDVpeS9ubWRNbm5xS2NUcDFralBFNkd6eGdyZFc2OVdXNi9lZjNhSFBGRml1cHhMcnVEYnQyYk5udWRUWUFBQUFBQUlCRWwyekZRWVVxdDRheXUzVGY2Qmh6V2syb05xTnNRN25HakI2cDdPd3NyNlBCQTF1M2J0TjkvejFGaGNWTFphMTJXMWUzbDYwcW1pZkplcDBOQUFBQUFBQWcwU1ZkY1ZDUzNiVzlTMmxPRnljc1kzNjBvZnhiTFNrczFway9uS2kwMUZTdnMrRUkyckZqcDI2OTY1ZWF0K0JydWRZcWJ1TC9WYll5TUVQYUZQYzZHd0FBQUFBQVFESkl4dUtncEszeHl1MFZYK1YwN1M3WDFiak5GUldCeno3L1VpZU5QMEhaV1ZrOFl0ek91YTZyZFdVYmRNdC8va0tMbHhUS2RXMnQ2OXJKRzFZV1RaTTI4WjVCQUFBQUFBQ0FBNVNreGNGNmxUbFpYK1U0L3FpUk9YN2I5dTBwOHhZc1ZDQVEwSUIrL2VUM0ovV3RZUi9xNnVyMHpxejNOSG5xbzFxK1lxV3NGSkt4RDBhcnRqNVJWVlVWOVRvZkFBQUFBQUJBTWtuNktYWTllL1pNRDJaMi9RODU1aGxqVEZwR1JyckdqQnlwTzIrN1NTT0dEWlhqT0Y1SFJCdHdYVmVMQzR2MTlQTXZhZjdYQzFWVEU2b3ZERnJkV3JkN3l4c2JOMjRNZVowUkFBQUFBQUFnMlNSOWNiQlIvc0Nody8zRy80cWs0NHlSTCtEM2ErS3BKK3ZhcXk3WHNRUDZLVDB0VGFtOGt6Q3BoTU1SaFdwREtpbGRyVmRlZlYwZmZUSlhzVmhjMWxwWFJrV3hlUFNtOHBKbDg3M09DUUFBQUFBQWtLemFUWEZRa283dVA3U2Z6Kys3WHNaY1lLUWhrdVE0amdZTzZLK0J4dzdRTVFWOTFETXZWeGtaR1VwUFQxTXdHUFE2TXBxcGkwWVZDb1ZVWFYyamlpMWJ0R2J0T2kxZldhSlZwV3NVajlldk1XS3RYV21ObVdWajhXZkxWaFd2OFRvekFBQUFBQUJBTW10WHhVRkpVdi8rS1Vjck5kL3grODR4MHJYR21OR05oNHlSMHRMUzVQZjc1ZmY1ZWVRNHdialdWU3dXVXl3YVUyMDRMR3R0MHpGclZXaU5Yb2hIOUdHNVUxMm0wdEtJcDJFQkFBQUFBQURhZ2ZaWEhOeERmdDlCdy96QjRFOWxuQWxHOWhoSlFWbmpzOFk2a3FFNm1GQ3NhNnh4Wld4Y1VwM3JhcjFqN1AvSWpiK3h0bVJwb2RmcEFBQUFBQUFBMnB0Mlh4eHNybXZYZ1ZtcDJVNmUzMmN5ck05Sk4vTHpYSEVDc1lyVnhlSnV5TGltT21RaVczYVVsdTcyT2hN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NBdytyL0EybG8wTmo3U0duUkFBQUFBRWxGVGtTdVFtQ0MiLAoJIlRoZW1lIiA6ICIiLAoJIlR5cGUiIDogImZsb3ciLAoJIlVzZXJJZCIgOiAiMzczNjk1MzQxIiwKCSJWZXJzaW9uIiA6ICI0MSIKfQo="/>
    </extobj>
  </extobjs>
</s:customData>
</file>

<file path=customXml/item2.xml><?xml version="1.0" encoding="utf-8"?>
<contractReview xmlns="http://schemas.wps.cn/vas-ai-hub/contract-review">
  <reviewItems>
    <reviewItem>
      <errorID>f574d5de-5ffa-408a-a752-ea7538b39b08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16AC89EC</paraID>
      <start>29</start>
      <end>30</end>
      <status>unmodified</status>
      <modifiedWord/>
      <trackRevisions>false</trackRevisions>
    </reviewItem>
    <reviewItem>
      <errorID>80b24efc-cb26-470a-be57-06670407eded</errorID>
      <errorWord>《</errorWord>
      <group>L1_Punc</group>
      <groupName>标点问题</groupName>
      <ability>L2_Punc_CN</ability>
      <abilityName>标点符号问题</abilityName>
      <candidateList/>
      <explain>同一形式括号套用。</explain>
      <paraID>2319596F</paraID>
      <start>25</start>
      <end>26</end>
      <status>unmodified</status>
      <modifiedWord/>
      <trackRevisions>false</trackRevisions>
    </reviewItem>
    <reviewItem>
      <errorID>a398e3a6-24c1-45d2-83dd-54e87b082ad9</errorID>
      <errorWord>(</errorWord>
      <group>L1_Format</group>
      <groupName>格式问题</groupName>
      <ability>L2_HalfPunc_CN</ability>
      <abilityName>全半角问题</abilityName>
      <candidateList>
        <item>（</item>
      </candidateList>
      <explain>文本全半角错误。</explain>
      <paraID>2319596F</paraID>
      <start>41</start>
      <end>42</end>
      <status>unmodified</status>
      <modifiedWord/>
      <trackRevisions>false</trackRevisions>
    </reviewItem>
    <reviewItem>
      <errorID>1629df4c-ecf8-44a1-88c7-2a4bf9d46496</errorID>
      <errorWord>)</errorWord>
      <group>L1_Format</group>
      <groupName>格式问题</groupName>
      <ability>L2_HalfPunc_CN</ability>
      <abilityName>全半角问题</abilityName>
      <candidateList>
        <item>）</item>
      </candidateList>
      <explain>文本全半角错误。</explain>
      <paraID>2319596F</paraID>
      <start>52</start>
      <end>53</end>
      <status>unmodified</status>
      <modifiedWord/>
      <trackRevisions>false</trackRevisions>
    </reviewItem>
    <reviewItem>
      <errorID>06764a1e-f36c-4eb9-b0f2-9626efcac362</errorID>
      <errorWord>》</errorWord>
      <group>L1_Punc</group>
      <groupName>标点问题</groupName>
      <ability>L2_Punc_CN</ability>
      <abilityName>标点符号问题</abilityName>
      <candidateList/>
      <explain>同一形式括号套用。</explain>
      <paraID>2319596F</paraID>
      <start>53</start>
      <end>54</end>
      <status>unmodified</status>
      <modifiedWord/>
      <trackRevisions>false</trackRevisions>
    </reviewItem>
    <reviewItem>
      <errorID>13572e27-6a34-4a36-b626-c1690e9a237b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248F4F04</paraID>
      <start>27</start>
      <end>28</end>
      <status>unmodified</status>
      <modifiedWord/>
      <trackRevisions>false</trackRevisions>
    </reviewItem>
    <reviewItem>
      <errorID>7e8d1595-2f56-4d95-be10-395502c1d5d9</errorID>
      <errorWord>荐实</errorWord>
      <group>L1_Word</group>
      <groupName>字词问题</groupName>
      <ability>L2_Typo</ability>
      <abilityName>字词错误</abilityName>
      <candidateList>
        <item>落实</item>
      </candidateList>
      <explain/>
      <paraID>75AC062F</paraID>
      <start>49</start>
      <end>51</end>
      <status>unmodified</status>
      <modifiedWord/>
      <trackRevisions>false</trackRevisions>
    </reviewItem>
    <reviewItem>
      <errorID>ba75f011-4bb9-4dff-9b6a-63c56402a194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5A198A1F</paraID>
      <start>0</start>
      <end>3</end>
      <status>unmodified</status>
      <modifiedWord/>
      <trackRevisions>false</trackRevisions>
    </reviewItem>
    <reviewItem>
      <errorID>98a07c7c-2214-4b47-9ea7-91221f1130a9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A3144A9</paraID>
      <start>0</start>
      <end>3</end>
      <status>unmodified</status>
      <modifiedWord/>
      <trackRevisions>false</trackRevisions>
    </reviewItem>
    <reviewItem>
      <errorID>22d9ec57-b0ae-440d-b37d-f4f092bc5945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3633393F</paraID>
      <start>0</start>
      <end>3</end>
      <status>unmodified</status>
      <modifiedWord/>
      <trackRevisions>false</trackRevisions>
    </reviewItem>
    <reviewItem>
      <errorID>e17eaaaf-6076-4196-a2a0-ac03e536d49c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1088386F</paraID>
      <start>0</start>
      <end>3</end>
      <status>unmodified</status>
      <modifiedWord/>
      <trackRevisions>false</trackRevisions>
    </reviewItem>
    <reviewItem>
      <errorID>54a87e27-173f-44cd-bb2d-9b5c559962f2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166533CE</paraID>
      <start>0</start>
      <end>3</end>
      <status>unmodified</status>
      <modifiedWord/>
      <trackRevisions>false</trackRevisions>
    </reviewItem>
    <reviewItem>
      <errorID>b48c3eb2-1fc5-489b-b575-edf14a38cdd3</errorID>
      <errorWord>(</errorWord>
      <group>L1_Format</group>
      <groupName>格式问题</groupName>
      <ability>L2_HalfPunc_CN</ability>
      <abilityName>全半角问题</abilityName>
      <candidateList>
        <item>（</item>
      </candidateList>
      <explain>文本全半角错误。</explain>
      <paraID>398F0351</paraID>
      <start>26</start>
      <end>27</end>
      <status>unmodified</status>
      <modifiedWord/>
      <trackRevisions>false</trackRevisions>
    </reviewItem>
    <reviewItem>
      <errorID>dadfbe82-9e78-407f-9c8f-05c7d50df598</errorID>
      <errorWord>)</errorWord>
      <group>L1_Format</group>
      <groupName>格式问题</groupName>
      <ability>L2_HalfPunc_CN</ability>
      <abilityName>全半角问题</abilityName>
      <candidateList>
        <item>）</item>
      </candidateList>
      <explain>文本全半角错误。</explain>
      <paraID>398F0351</paraID>
      <start>33</start>
      <end>34</end>
      <status>unmodified</status>
      <modifiedWord/>
      <trackRevisions>false</trackRevisions>
    </reviewItem>
    <reviewItem>
      <errorID>52590849-a51d-440a-b5b4-985470a469b8</errorID>
      <errorWord>(</errorWord>
      <group>L1_Format</group>
      <groupName>格式问题</groupName>
      <ability>L2_HalfPunc_CN</ability>
      <abilityName>全半角问题</abilityName>
      <candidateList>
        <item>（</item>
      </candidateList>
      <explain>文本全半角错误。</explain>
      <paraID>398F0351</paraID>
      <start>55</start>
      <end>56</end>
      <status>unmodified</status>
      <modifiedWord/>
      <trackRevisions>false</trackRevisions>
    </reviewItem>
    <reviewItem>
      <errorID>252605e1-c1a3-46fd-85e6-e25a0dc9175f</errorID>
      <errorWord>)</errorWord>
      <group>L1_Format</group>
      <groupName>格式问题</groupName>
      <ability>L2_HalfPunc_CN</ability>
      <abilityName>全半角问题</abilityName>
      <candidateList>
        <item>）</item>
      </candidateList>
      <explain>文本全半角错误。</explain>
      <paraID>398F0351</paraID>
      <start>62</start>
      <end>63</end>
      <status>unmodified</status>
      <modifiedWord/>
      <trackRevisions>false</trackRevisions>
    </reviewItem>
    <reviewItem>
      <errorID>28211844-b14c-434b-b06c-590b16bb0d6c</errorID>
      <errorWord>类类</errorWord>
      <group>L1_Word</group>
      <groupName>字词问题</groupName>
      <ability>L2_Typo</ability>
      <abilityName>字词错误</abilityName>
      <candidateList>
        <item>类</item>
      </candidateList>
      <explain/>
      <paraID>7574E142</paraID>
      <start>69</start>
      <end>71</end>
      <status>unmodified</status>
      <modifiedWord/>
      <trackRevisions>false</trackRevisions>
    </reviewItem>
    <reviewItem>
      <errorID>6b72716e-f907-4c85-8dc3-3593109af3b8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F217A38</paraID>
      <start>0</start>
      <end>2</end>
      <status>unmodified</status>
      <modifiedWord/>
      <trackRevisions>false</trackRevisions>
    </reviewItem>
    <reviewItem>
      <errorID>26a5d405-ab77-4ab9-9c50-828c642f2a5f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1DB1F2B3</paraID>
      <start>0</start>
      <end>2</end>
      <status>unmodified</status>
      <modifiedWord/>
      <trackRevisions>false</trackRevisions>
    </reviewItem>
    <reviewItem>
      <errorID>346af0cc-05cd-49f0-844a-c919c436c7db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7C4C635A</paraID>
      <start>0</start>
      <end>2</end>
      <status>unmodified</status>
      <modifiedWord/>
      <trackRevisions>false</trackRevisions>
    </reviewItem>
    <reviewItem>
      <errorID>d88a6d96-6655-461b-a540-8623488aae34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60EAE323</paraID>
      <start>0</start>
      <end>2</end>
      <status>unmodified</status>
      <modifiedWord/>
      <trackRevisions>false</trackRevisions>
    </reviewItem>
    <reviewItem>
      <errorID>21f6c154-85f6-4c36-aca3-4588335ecea9</errorID>
      <errorWord>需</errorWord>
      <group>L1_Word</group>
      <groupName>字词问题</groupName>
      <ability>L2_Typo</ability>
      <abilityName>字词错误</abilityName>
      <candidateList>
        <item>须</item>
      </candidateList>
      <explain/>
      <paraID>60EAE323</paraID>
      <start>8</start>
      <end>9</end>
      <status>unmodified</status>
      <modifiedWord/>
      <trackRevisions>false</trackRevisions>
    </reviewItem>
    <reviewItem>
      <errorID>2bd6de60-d0d9-45df-b431-932e452f0185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3F39AAF</paraID>
      <start>0</start>
      <end>2</end>
      <status>unmodified</status>
      <modifiedWord/>
      <trackRevisions>false</trackRevisions>
    </reviewItem>
    <reviewItem>
      <errorID>af9e2f95-ad4d-4276-9ed0-f02eacf02234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31A65DF3</paraID>
      <start>0</start>
      <end>2</end>
      <status>unmodified</status>
      <modifiedWord/>
      <trackRevisions>false</trackRevisions>
    </reviewItem>
    <reviewItem>
      <errorID>81b8f46e-531b-44cd-a1da-124de5c2abb6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1E2A8A7A</paraID>
      <start>0</start>
      <end>2</end>
      <status>unmodified</status>
      <modifiedWord/>
      <trackRevisions>false</trackRevisions>
    </reviewItem>
    <reviewItem>
      <errorID>14bc57a2-648f-4867-acf3-5f48566ee365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4FC5CBC2</paraID>
      <start>0</start>
      <end>2</end>
      <status>unmodified</status>
      <modifiedWord/>
      <trackRevisions>false</trackRevisions>
    </reviewItem>
    <reviewItem>
      <errorID>80c4ee70-14e1-4f7b-a3dd-286bbceff0e9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4FC5CBC2</paraID>
      <start>18</start>
      <end>19</end>
      <status>unmodified</status>
      <modifiedWord/>
      <trackRevisions>false</trackRevisions>
    </reviewItem>
    <reviewItem>
      <errorID>8cb87ba8-4a8f-4c59-84d1-1f41436f5562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735D04B1</paraID>
      <start>0</start>
      <end>2</end>
      <status>unmodified</status>
      <modifiedWord/>
      <trackRevisions>false</trackRevisions>
    </reviewItem>
    <reviewItem>
      <errorID>f5652cda-6bd9-4764-843a-887ba389e25f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33BB074E</paraID>
      <start>0</start>
      <end>2</end>
      <status>unmodified</status>
      <modifiedWord/>
      <trackRevisions>false</trackRevisions>
    </reviewItem>
    <reviewItem>
      <errorID>e14ca36e-8af3-4a42-8673-92f903c9591d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722A14B2</paraID>
      <start>0</start>
      <end>2</end>
      <status>unmodified</status>
      <modifiedWord/>
      <trackRevisions>false</trackRevisions>
    </reviewItem>
    <reviewItem>
      <errorID>2840050f-2b77-4f05-a6e1-61599d689c04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21C46DF5</paraID>
      <start>0</start>
      <end>2</end>
      <status>unmodified</status>
      <modifiedWord/>
      <trackRevisions>false</trackRevisions>
    </reviewItem>
    <reviewItem>
      <errorID>c2943eb4-bb38-4d8a-af34-125f5efa02fa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59D3BEE3</paraID>
      <start>0</start>
      <end>2</end>
      <status>unmodified</status>
      <modifiedWord/>
      <trackRevisions>false</trackRevisions>
    </reviewItem>
    <reviewItem>
      <errorID>0aa9771b-20cd-41cd-afd0-caaf949264a5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409D7AF0</paraID>
      <start>0</start>
      <end>2</end>
      <status>unmodified</status>
      <modifiedWord/>
      <trackRevisions>false</trackRevisions>
    </reviewItem>
    <reviewItem>
      <errorID>72563bce-a9a6-4a53-9bbe-7b0254b71add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561E4E32</paraID>
      <start>0</start>
      <end>2</end>
      <status>unmodified</status>
      <modifiedWord/>
      <trackRevisions>false</trackRevisions>
    </reviewItem>
    <reviewItem>
      <errorID>86c51585-d8d7-45f4-b9ba-e3ec177e7912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3C6AE973</paraID>
      <start>0</start>
      <end>2</end>
      <status>unmodified</status>
      <modifiedWord/>
      <trackRevisions>false</trackRevisions>
    </reviewItem>
    <reviewItem>
      <errorID>3af42166-557a-478f-a16f-d7fb3857088d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4ACD7A8A</paraID>
      <start>0</start>
      <end>2</end>
      <status>unmodified</status>
      <modifiedWord/>
      <trackRevisions>false</trackRevisions>
    </reviewItem>
    <reviewItem>
      <errorID>9bf1f943-a3c3-4433-8838-6e7edf358aa9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7887A901</paraID>
      <start>0</start>
      <end>2</end>
      <status>unmodified</status>
      <modifiedWord/>
      <trackRevisions>false</trackRevisions>
    </reviewItem>
    <reviewItem>
      <errorID>19931cd1-e11c-4c1e-8a1c-13645b26c944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42F5FC5F</paraID>
      <start>0</start>
      <end>2</end>
      <status>unmodified</status>
      <modifiedWord/>
      <trackRevisions>false</trackRevisions>
    </reviewItem>
    <reviewItem>
      <errorID>459d5c26-a674-4f4e-9b59-61408ea47fef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56CC45AB</paraID>
      <start>0</start>
      <end>2</end>
      <status>unmodified</status>
      <modifiedWord/>
      <trackRevisions>false</trackRevisions>
    </reviewItem>
    <reviewItem>
      <errorID>f649a735-5b70-4965-aac1-81f734bfb8f5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3A3014B5</paraID>
      <start>0</start>
      <end>2</end>
      <status>unmodified</status>
      <modifiedWord/>
      <trackRevisions>false</trackRevisions>
    </reviewItem>
    <reviewItem>
      <errorID>c9b5ab35-a9d4-4cb1-9185-b46682233d67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64EEA880</paraID>
      <start>0</start>
      <end>2</end>
      <status>unmodified</status>
      <modifiedWord/>
      <trackRevisions>false</trackRevisions>
    </reviewItem>
    <reviewItem>
      <errorID>64d12571-d0cb-4318-84f6-d8d3bceb5574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3734099D</paraID>
      <start>0</start>
      <end>2</end>
      <status>unmodified</status>
      <modifiedWord/>
      <trackRevisions>false</trackRevisions>
    </reviewItem>
    <reviewItem>
      <errorID>50a24aa4-9590-4023-8c18-94e9c612504e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63475B8F</paraID>
      <start>0</start>
      <end>2</end>
      <status>unmodified</status>
      <modifiedWord/>
      <trackRevisions>false</trackRevisions>
    </reviewItem>
    <reviewItem>
      <errorID>2eacba2b-428a-480c-a578-ef4287fe84a1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190AB4EF</paraID>
      <start>0</start>
      <end>2</end>
      <status>unmodified</status>
      <modifiedWord/>
      <trackRevisions>false</trackRevisions>
    </reviewItem>
    <reviewItem>
      <errorID>ef51bd90-5181-484c-aac7-02fd25eae5b2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59E7F754</paraID>
      <start>0</start>
      <end>2</end>
      <status>unmodified</status>
      <modifiedWord/>
      <trackRevisions>false</trackRevisions>
    </reviewItem>
    <reviewItem>
      <errorID>ad6ae509-e5eb-446a-95dd-459dffcc946f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61535A3</paraID>
      <start>0</start>
      <end>2</end>
      <status>unmodified</status>
      <modifiedWord/>
      <trackRevisions>false</trackRevisions>
    </reviewItem>
    <reviewItem>
      <errorID>638864bf-3a30-4059-aaa4-48225516d8cb</errorID>
      <errorWord>已</errorWord>
      <group>L1_Word</group>
      <groupName>字词问题</groupName>
      <ability>L2_Typo</ability>
      <abilityName>字词错误</abilityName>
      <candidateList>
        <item>依</item>
      </candidateList>
      <explain>存在发音相同字词的误用。</explain>
      <paraID>29976576</paraID>
      <start>2</start>
      <end>3</end>
      <status>unmodified</status>
      <modifiedWord/>
      <trackRevisions>false</trackRevisions>
    </reviewItem>
    <reviewItem>
      <errorID>ae4a1f77-9b30-4d97-afb1-0ffd14943be2</errorID>
      <errorWord>(</errorWord>
      <group>L1_Format</group>
      <groupName>格式问题</groupName>
      <ability>L2_HalfPunc_CN</ability>
      <abilityName>全半角问题</abilityName>
      <candidateList>
        <item>（</item>
      </candidateList>
      <explain>文本全半角错误。</explain>
      <paraID>5FFDF49F</paraID>
      <start>14</start>
      <end>15</end>
      <status>unmodified</status>
      <modifiedWord/>
      <trackRevisions>false</trackRevisions>
    </reviewItem>
    <reviewItem>
      <errorID>ece7b92f-2798-4a35-997b-2a8b1c224ae3</errorID>
      <errorWord>)</errorWord>
      <group>L1_Format</group>
      <groupName>格式问题</groupName>
      <ability>L2_HalfPunc_CN</ability>
      <abilityName>全半角问题</abilityName>
      <candidateList>
        <item>）</item>
      </candidateList>
      <explain>文本全半角错误。</explain>
      <paraID>5FFDF49F</paraID>
      <start>16</start>
      <end>17</end>
      <status>unmodified</status>
      <modifiedWord/>
      <trackRevisions>false</trackRevisions>
    </reviewItem>
    <reviewItem>
      <errorID>9c7ad366-2c79-414e-9644-dac9d5ba9db1</errorID>
      <errorWord>(</errorWord>
      <group>L1_Format</group>
      <groupName>格式问题</groupName>
      <ability>L2_HalfPunc_CN</ability>
      <abilityName>全半角问题</abilityName>
      <candidateList>
        <item>（</item>
      </candidateList>
      <explain>文本全半角错误。</explain>
      <paraID>5FFDF49F</paraID>
      <start>51</start>
      <end>52</end>
      <status>unmodified</status>
      <modifiedWord/>
      <trackRevisions>false</trackRevisions>
    </reviewItem>
    <reviewItem>
      <errorID>852e12ed-85e5-4af1-919b-cd61729b8aa1</errorID>
      <errorWord>)</errorWord>
      <group>L1_Format</group>
      <groupName>格式问题</groupName>
      <ability>L2_HalfPunc_CN</ability>
      <abilityName>全半角问题</abilityName>
      <candidateList>
        <item>）</item>
      </candidateList>
      <explain>文本全半角错误。</explain>
      <paraID>5FFDF49F</paraID>
      <start>54</start>
      <end>55</end>
      <status>unmodified</status>
      <modifiedWord/>
      <trackRevisions>false</trackRevisions>
    </reviewItem>
    <reviewItem>
      <errorID>766bef92-c9fd-4cba-acde-e29b1234775a</errorID>
      <errorWord>(</errorWord>
      <group>L1_Format</group>
      <groupName>格式问题</groupName>
      <ability>L2_HalfPunc_CN</ability>
      <abilityName>全半角问题</abilityName>
      <candidateList>
        <item>（</item>
      </candidateList>
      <explain>文本全半角错误。</explain>
      <paraID>68844783</paraID>
      <start>67</start>
      <end>68</end>
      <status>unmodified</status>
      <modifiedWord/>
      <trackRevisions>false</trackRevisions>
    </reviewItem>
    <reviewItem>
      <errorID>ee56fa52-c0fd-4535-992e-7a7dce2a382d</errorID>
      <errorWord>)</errorWord>
      <group>L1_Format</group>
      <groupName>格式问题</groupName>
      <ability>L2_HalfPunc_CN</ability>
      <abilityName>全半角问题</abilityName>
      <candidateList>
        <item>）</item>
      </candidateList>
      <explain>文本全半角错误。</explain>
      <paraID>68844783</paraID>
      <start>74</start>
      <end>75</end>
      <status>unmodified</status>
      <modifiedWord/>
      <trackRevisions>false</trackRevisions>
    </reviewItem>
    <reviewItem>
      <errorID>13ccd6b7-f555-431e-85c3-a3badd59eef7</errorID>
      <errorWord>胶粘剂</errorWord>
      <group>L1_Word</group>
      <groupName>字词问题</groupName>
      <ability>L2_Typo</ability>
      <abilityName>字词错误</abilityName>
      <candidateList>
        <item>胶黏剂</item>
      </candidateList>
      <explain/>
      <paraID> 35372C9</paraID>
      <start>39</start>
      <end>42</end>
      <status>unmodified</status>
      <modifiedWord/>
      <trackRevisions>false</trackRevisions>
    </reviewItem>
    <reviewItem>
      <errorID>170c334b-caf1-4aa8-9532-969e8f7bf844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1553033E</paraID>
      <start>32</start>
      <end>33</end>
      <status>unmodified</status>
      <modifiedWord/>
      <trackRevisions>false</trackRevisions>
    </reviewItem>
    <reviewItem>
      <errorID>1604a657-400b-4db3-954d-518a6d6e5f48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56FADD7F</paraID>
      <start>28</start>
      <end>29</end>
      <status>unmodified</status>
      <modifiedWord/>
      <trackRevisions>false</trackRevisions>
    </reviewItem>
    <reviewItem>
      <errorID>d878f9a9-9bcd-46be-917b-d0986aa02efc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CCFEF23</paraID>
      <start>232</start>
      <end>233</end>
      <status>unmodified</status>
      <modifiedWord/>
      <trackRevisions>false</trackRevisions>
    </reviewItem>
    <reviewItem>
      <errorID>9dc5cf6d-c2a7-4c62-b569-56e6b43c2594</errorID>
      <errorWord>胶粘剂</errorWord>
      <group>L1_Word</group>
      <groupName>字词问题</groupName>
      <ability>L2_Typo</ability>
      <abilityName>字词错误</abilityName>
      <candidateList>
        <item>胶黏剂</item>
      </candidateList>
      <explain/>
      <paraID>284A8339</paraID>
      <start>6</start>
      <end>9</end>
      <status>unmodified</status>
      <modifiedWord/>
      <trackRevisions>false</trackRevisions>
    </reviewItem>
    <reviewItem>
      <errorID>b5d09f05-dfb3-4342-83a1-7895a24cb400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284A8339</paraID>
      <start>20</start>
      <end>21</end>
      <status>unmodified</status>
      <modifiedWord/>
      <trackRevisions>false</trackRevisions>
    </reviewItem>
    <reviewItem>
      <errorID>303dc70b-6c42-4fb5-9f04-6fd095ac9103</errorID>
      <errorWord>《新疆维吾尔自治区2025年空气质量持续改善行动实施方案的通知》（一）</errorWord>
      <group>L1_Knowledge</group>
      <groupName>知识性问题</groupName>
      <ability>L2_Knowledge</ability>
      <abilityName>其他知识</abilityName>
      <candidateList>
        <item>《新疆维吾尔自治区2025年空气质量持续改善行动实施方案的通知（一）》</item>
      </candidateList>
      <explain>疑似政策文件、法律法规名称等书写不规范，请注意检查。</explain>
      <paraID>2A97DCBC</paraID>
      <start>2</start>
      <end>37</end>
      <status>unmodified</status>
      <modifiedWord/>
      <trackRevisions>false</trackRevisions>
    </reviewItem>
    <reviewItem>
      <errorID>89e561b7-c8f0-4bc2-83cc-d6d2f712ab8e</errorID>
      <errorWord>2019年08月20日</errorWord>
      <group>L1_Knowledge</group>
      <groupName>知识性问题</groupName>
      <ability>L2_Time</ability>
      <abilityName>日期时间</abilityName>
      <candidateList>
        <item>2019年8月20日</item>
      </candidateList>
      <explain>根据日常书写习惯，月份一般会省略前导零。</explain>
      <paraID>79A6707E</paraID>
      <start>18</start>
      <end>29</end>
      <status>unmodified</status>
      <modifiedWord/>
      <trackRevisions>false</trackRevisions>
    </reviewItem>
    <reviewItem>
      <errorID>e3e3d7c3-3c3a-454e-90ae-6bc16bea25f9</errorID>
      <errorWord>kw</errorWord>
      <group>L1_Word</group>
      <groupName>字词问题</groupName>
      <ability>L2_Typo</ability>
      <abilityName>字词错误</abilityName>
      <candidateList>
        <item>kW</item>
      </candidateList>
      <explain/>
      <paraID>51CF58A3</paraID>
      <start>23</start>
      <end>25</end>
      <status>unmodified</status>
      <modifiedWord/>
      <trackRevisions>false</trackRevisions>
    </reviewItem>
    <reviewItem>
      <errorID>737df653-9d44-487a-8f2e-211dd41babec</errorID>
      <errorWord>-</errorWord>
      <group>L1_Format</group>
      <groupName>格式问题</groupName>
      <ability>L2_HalfPunc_CN</ability>
      <abilityName>全半角问题</abilityName>
      <candidateList>
        <item>－</item>
      </candidateList>
      <explain>文本全半角错误。</explain>
      <paraID>2690C90C</paraID>
      <start>38</start>
      <end>39</end>
      <status>unmodified</status>
      <modifiedWord/>
      <trackRevisions>false</trackRevisions>
    </reviewItem>
    <reviewItem>
      <errorID>3cd09f6e-e0ff-4e8b-ace7-c683cb5b4abd</errorID>
      <errorWord>-</errorWord>
      <group>L1_Format</group>
      <groupName>格式问题</groupName>
      <ability>L2_HalfPunc_CN</ability>
      <abilityName>全半角问题</abilityName>
      <candidateList>
        <item>－</item>
      </candidateList>
      <explain>文本全半角错误。</explain>
      <paraID>2690C90C</paraID>
      <start>41</start>
      <end>42</end>
      <status>unmodified</status>
      <modifiedWord/>
      <trackRevisions>false</trackRevisions>
    </reviewItem>
    <reviewItem>
      <errorID>9bac3465-2687-43f1-8cae-5e67a14770a4</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2690C90C</paraID>
      <start>83</start>
      <end>87</end>
      <status>unmodified</status>
      <modifiedWord/>
      <trackRevisions>false</trackRevisions>
    </reviewItem>
    <reviewItem>
      <errorID>95444a0d-33b7-46f2-ac33-78ce9cb19d9d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2690C90C</paraID>
      <start>180</start>
      <end>181</end>
      <status>unmodified</status>
      <modifiedWord/>
      <trackRevisions>false</trackRevisions>
    </reviewItem>
    <reviewItem>
      <errorID>8bf8e2a0-095d-4afc-8bc2-bcc05392b1ff</errorID>
      <errorWord>40-60%</errorWord>
      <group>L1_Knowledge</group>
      <groupName>知识性问题</groupName>
      <ability>L2_Knowledge</ability>
      <abilityName>其他知识</abilityName>
      <candidateList>
        <item>40%—60%</item>
      </candidateList>
      <explain>1. “40-60%”中的单位“%”仅出现在后一个数字上，容易引起歧义；根据《现代汉语标点符号数字用法规范手册》，数字表示范围两边需要使用统一的格式。2. 根据标点国标 4.13 中的规则，数字、时间或地域连接符应使用（视觉上更长的）“—”或“～”。</explain>
      <paraID>2690C90C</paraID>
      <start>197</start>
      <end>203</end>
      <status>unmodified</status>
      <modifiedWord/>
      <trackRevisions>false</trackRevisions>
    </reviewItem>
    <reviewItem>
      <errorID>9fd5630c-9882-4433-aea3-13cf1aa1c894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7C065F3</paraID>
      <start>44</start>
      <end>45</end>
      <status>unmodified</status>
      <modifiedWord/>
      <trackRevisions>false</trackRevisions>
    </reviewItem>
    <reviewItem>
      <errorID>13e1ca0b-3e7b-4a79-8819-edf329e05c6b</errorID>
      <errorWord>1.5-3%</errorWord>
      <group>L1_Knowledge</group>
      <groupName>知识性问题</groupName>
      <ability>L2_Knowledge</ability>
      <abilityName>其他知识</abilityName>
      <candidateList>
        <item>1.5%—3%</item>
      </candidateList>
      <explain>1. “1.5-3%”中的单位“%”仅出现在后一个数字上，容易引起歧义；根据《现代汉语标点符号数字用法规范手册》，数字表示范围两边需要使用统一的格式。2. 根据标点国标 4.13 中的规则，数字、时间或地域连接符应使用（视觉上更长的）“—”或“～”。</explain>
      <paraID>43BAF5AB</paraID>
      <start>146</start>
      <end>152</end>
      <status>unmodified</status>
      <modifiedWord/>
      <trackRevisions>false</trackRevisions>
    </reviewItem>
    <reviewItem>
      <errorID>5ff37648-9484-41e5-9466-61bdec8a0bee</errorID>
      <errorWord>完</errorWord>
      <group>L1_Word</group>
      <groupName>字词问题</groupName>
      <ability>L2_Typo</ability>
      <abilityName>字词错误</abilityName>
      <candidateList>
        <item>完成</item>
      </candidateList>
      <explain/>
      <paraID>320C2E0D</paraID>
      <start>14</start>
      <end>15</end>
      <status>unmodified</status>
      <modifiedWord/>
      <trackRevisions>false</trackRevisions>
    </reviewItem>
    <reviewItem>
      <errorID>96eac3a8-2580-48f3-8347-812880b7b7f4</errorID>
      <errorWord>[2014]2号</errorWord>
      <group>L1_Knowledge</group>
      <groupName>知识性问题</groupName>
      <ability>L2_Knowledge</ability>
      <abilityName>其他知识</abilityName>
      <candidateList>
        <item>〔2014〕2号</item>
      </candidateList>
      <explain>发文字号格式错误。</explain>
      <paraID>5365091A</paraID>
      <start>97</start>
      <end>105</end>
      <status>unmodified</status>
      <modifiedWord/>
      <trackRevisions>false</trackRevisions>
    </reviewItem>
    <reviewItem>
      <errorID>e9572cd5-369f-4397-a182-08d6bc5259a6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738DA465</paraID>
      <start>68</start>
      <end>69</end>
      <status>unmodified</status>
      <modifiedWord/>
      <trackRevisions>false</trackRevisions>
    </reviewItem>
    <reviewItem>
      <errorID>79afa2ff-26a7-4e86-b374-b3724fc43a99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738DA465</paraID>
      <start>101</start>
      <end>102</end>
      <status>unmodified</status>
      <modifiedWord/>
      <trackRevisions>false</trackRevisions>
    </reviewItem>
    <reviewItem>
      <errorID>417f618e-81b5-4087-b303-fa95f2c5dc4a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738DA465</paraID>
      <start>140</start>
      <end>141</end>
      <status>unmodified</status>
      <modifiedWord/>
      <trackRevisions>false</trackRevisions>
    </reviewItem>
    <reviewItem>
      <errorID>c9df43f6-3a7f-4d03-abc1-63ebcde1daf3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738DA465</paraID>
      <start>179</start>
      <end>180</end>
      <status>unmodified</status>
      <modifiedWord/>
      <trackRevisions>false</trackRevisions>
    </reviewItem>
    <reviewItem>
      <errorID>1ac86c88-701d-48c8-8885-d5cdefb05538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738DA465</paraID>
      <start>222</start>
      <end>223</end>
      <status>unmodified</status>
      <modifiedWord/>
      <trackRevisions>false</trackRevisions>
    </reviewItem>
    <reviewItem>
      <errorID>3e3430c0-e6f3-4a26-be42-03073d6563bb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68E072FA</paraID>
      <start>7</start>
      <end>8</end>
      <status>unmodified</status>
      <modifiedWord/>
      <trackRevisions>false</trackRevisions>
    </reviewItem>
    <reviewItem>
      <errorID>65f701e6-cd26-40c2-899b-4940557f6882</errorID>
      <errorWord>)</errorWord>
      <group>L1_Format</group>
      <groupName>格式问题</groupName>
      <ability>L2_HalfPunc_CN</ability>
      <abilityName>全半角问题</abilityName>
      <candidateList>
        <item>）</item>
      </candidateList>
      <explain>文本全半角错误。</explain>
      <paraID>15093D9F</paraID>
      <start>48</start>
      <end>49</end>
      <status>unmodified</status>
      <modifiedWord/>
      <trackRevisions>false</trackRevisions>
    </reviewItem>
    <reviewItem>
      <errorID>b3e12621-b85f-4365-8b4a-50d39c8fa74d</errorID>
      <errorWord>(</errorWord>
      <group>L1_Format</group>
      <groupName>格式问题</groupName>
      <ability>L2_HalfPunc_CN</ability>
      <abilityName>全半角问题</abilityName>
      <candidateList>
        <item>（</item>
      </candidateList>
      <explain>文本全半角错误。</explain>
      <paraID>2C85EBF5</paraID>
      <start>18</start>
      <end>19</end>
      <status>unmodified</status>
      <modifiedWord/>
      <trackRevisions>false</trackRevisions>
    </reviewItem>
    <reviewItem>
      <errorID>ff4805dd-e1a0-4530-b2f9-04db4e2fed4d</errorID>
      <errorWord>)</errorWord>
      <group>L1_Format</group>
      <groupName>格式问题</groupName>
      <ability>L2_HalfPunc_CN</ability>
      <abilityName>全半角问题</abilityName>
      <candidateList>
        <item>）</item>
      </candidateList>
      <explain>文本全半角错误。</explain>
      <paraID>2C85EBF5</paraID>
      <start>31</start>
      <end>32</end>
      <status>unmodified</status>
      <modifiedWord/>
      <trackRevisions>false</trackRevisions>
    </reviewItem>
    <reviewItem>
      <errorID>db773fc9-81e9-485c-a32b-033091b3d6fd</errorID>
      <errorWord>（</errorWord>
      <group>L1_Format</group>
      <groupName>格式问题</groupName>
      <ability>L2_HalfPunc_CN</ability>
      <abilityName>全半角问题</abilityName>
      <candidateList>
        <item>(</item>
      </candidateList>
      <explain>文本全半角错误。</explain>
      <paraID>62817107</paraID>
      <start>0</start>
      <end>1</end>
      <status>unmodified</status>
      <modifiedWord/>
      <trackRevisions>false</trackRevisions>
    </reviewItem>
    <reviewItem>
      <errorID>f032b973-c76f-42b5-8af5-a5518e16ed85</errorID>
      <errorWord>）</errorWord>
      <group>L1_Format</group>
      <groupName>格式问题</groupName>
      <ability>L2_HalfPunc_CN</ability>
      <abilityName>全半角问题</abilityName>
      <candidateList>
        <item>)</item>
      </candidateList>
      <explain>文本全半角错误。</explain>
      <paraID>62817107</paraID>
      <start>6</start>
      <end>7</end>
      <status>unmodified</status>
      <modifiedWord/>
      <trackRevisions>false</trackRevisions>
    </reviewItem>
    <reviewItem>
      <errorID>4494751b-112c-47ee-bb22-01c5e55ef982</errorID>
      <errorWord>（</errorWord>
      <group>L1_Format</group>
      <groupName>格式问题</groupName>
      <ability>L2_HalfPunc_CN</ability>
      <abilityName>全半角问题</abilityName>
      <candidateList>
        <item>(</item>
      </candidateList>
      <explain>文本全半角错误。</explain>
      <paraID>23963F09</paraID>
      <start>0</start>
      <end>1</end>
      <status>unmodified</status>
      <modifiedWord/>
      <trackRevisions>false</trackRevisions>
    </reviewItem>
    <reviewItem>
      <errorID>dfde38e8-11f9-4247-a322-e66c07b2b22e</errorID>
      <errorWord>）</errorWord>
      <group>L1_Format</group>
      <groupName>格式问题</groupName>
      <ability>L2_HalfPunc_CN</ability>
      <abilityName>全半角问题</abilityName>
      <candidateList>
        <item>)</item>
      </candidateList>
      <explain>文本全半角错误。</explain>
      <paraID>23963F09</paraID>
      <start>6</start>
      <end>7</end>
      <status>unmodified</status>
      <modifiedWord/>
      <trackRevisions>false</trackRevisions>
    </reviewItem>
    <reviewItem>
      <errorID>80e6ae46-08f7-4e21-acb7-30a4bf4842b4</errorID>
      <errorWord>表</errorWord>
      <group>L1_Word</group>
      <groupName>字词问题</groupName>
      <ability>L2_Typo</ability>
      <abilityName>字词错误</abilityName>
      <candidateList>
        <item>表可</item>
      </candidateList>
      <explain/>
      <paraID>2DEFB730</paraID>
      <start>2</start>
      <end>3</end>
      <status>unmodified</status>
      <modifiedWord/>
      <trackRevisions>false</trackRevisions>
    </reviewItem>
    <reviewItem>
      <errorID>1dc2706c-f3b5-4a70-9bd7-48c6f2c39bac</errorID>
      <errorWord>知</errorWord>
      <group>L1_Word</group>
      <groupName>字词问题</groupName>
      <ability>L2_Typo</ability>
      <abilityName>字词错误</abilityName>
      <candidateList>
        <item>可知</item>
      </candidateList>
      <explain/>
      <paraID>2DEFB730</paraID>
      <start>3</start>
      <end>4</end>
      <status>unmodified</status>
      <modifiedWord/>
      <trackRevisions>false</trackRevisions>
    </reviewItem>
    <reviewItem>
      <errorID>b3db16b9-096a-43e2-94f8-131d73e66a68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D1CC994</paraID>
      <start>10</start>
      <end>11</end>
      <status>unmodified</status>
      <modifiedWord/>
      <trackRevisions>false</trackRevisions>
    </reviewItem>
    <reviewItem>
      <errorID>e4031c51-ef77-4f6b-9a54-09be82cce210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76FED107</paraID>
      <start>10</start>
      <end>11</end>
      <status>unmodified</status>
      <modifiedWord/>
      <trackRevisions>false</trackRevisions>
    </reviewItem>
    <reviewItem>
      <errorID>fcf285b3-f3af-4dc2-bb0a-c82cffc77485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9AC6D64</paraID>
      <start>10</start>
      <end>11</end>
      <status>unmodified</status>
      <modifiedWord/>
      <trackRevisions>false</trackRevisions>
    </reviewItem>
    <reviewItem>
      <errorID>9717d579-2e06-4ff6-9e9e-42ad886e9b62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7F88D556</paraID>
      <start>10</start>
      <end>11</end>
      <status>unmodified</status>
      <modifiedWord/>
      <trackRevisions>false</trackRevisions>
    </reviewItem>
    <reviewItem>
      <errorID>ddfaa574-7342-4ecc-a922-92c3a0e965d6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4F4AE169</paraID>
      <start>10</start>
      <end>11</end>
      <status>unmodified</status>
      <modifiedWord/>
      <trackRevisions>false</trackRevisions>
    </reviewItem>
    <reviewItem>
      <errorID>a120130f-76f2-478c-b19a-d31d6a87b7b5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33F8DFD1</paraID>
      <start>10</start>
      <end>11</end>
      <status>unmodified</status>
      <modifiedWord/>
      <trackRevisions>false</trackRevisions>
    </reviewItem>
    <reviewItem>
      <errorID>afc03584-e58b-4373-9a31-3a3c3ef2f897</errorID>
      <errorWord>从以上</errorWord>
      <group>L1_Word</group>
      <groupName>字词问题</groupName>
      <ability>L2_Typo</ability>
      <abilityName>字词错误</abilityName>
      <candidateList>
        <item>以上</item>
      </candidateList>
      <explain/>
      <paraID>7AA5C2BF</paraID>
      <start>0</start>
      <end>3</end>
      <status>unmodified</status>
      <modifiedWord/>
      <trackRevisions>false</trackRevisions>
    </reviewItem>
    <reviewItem>
      <errorID>7666bfaf-581d-4c05-b988-1433336b1914</errorID>
      <errorWord>III</errorWord>
      <group>L1_Knowledge</group>
      <groupName>知识性问题</groupName>
      <ability>L2_Knowledge</ability>
      <abilityName>其他知识</abilityName>
      <candidateList>
        <item>Ⅲ</item>
      </candidateList>
      <explain>中文环境下罗马数字格式错误。</explain>
      <paraID>333E76E1</paraID>
      <start>30</start>
      <end>33</end>
      <status>unmodified</status>
      <modifiedWord/>
      <trackRevisions>false</trackRevisions>
    </reviewItem>
    <reviewItem>
      <errorID>f3a16f99-1764-4a28-8628-f4339f3719dc</errorID>
      <errorWord>&lt;</errorWord>
      <group>L1_English</group>
      <groupName>英文问题</groupName>
      <ability>L2_Other_Grammar</ability>
      <abilityName>其他语法问题</abilityName>
      <candidateList>
        <item/>
      </candidateList>
      <explain>单词&lt;疑似冗余，建议删除</explain>
      <paraID>6415359E</paraID>
      <start>0</start>
      <end>1</end>
      <status>unmodified</status>
      <modifiedWord/>
      <trackRevisions>false</trackRevisions>
    </reviewItem>
    <reviewItem>
      <errorID>f5e5064f-9af3-4605-8658-fcba494c4cb9</errorID>
      <errorWord>大气污染物防治</errorWord>
      <group>L1_Knowledge</group>
      <groupName>知识性问题</groupName>
      <ability>L2_Knowledge</ability>
      <abilityName>其他知识</abilityName>
      <candidateList>
        <item>大气污染防治</item>
      </candidateList>
      <explain/>
      <paraID>4BAEF520</paraID>
      <start>17</start>
      <end>24</end>
      <status>unmodified</status>
      <modifiedWord/>
      <trackRevisions>false</trackRevisions>
    </reviewItem>
    <reviewItem>
      <errorID>b4649310-f7f9-46b0-a6d9-50862cf50dcf</errorID>
      <errorWord>要</errorWord>
      <group>L1_Word</group>
      <groupName>字词问题</groupName>
      <ability>L2_Typo</ability>
      <abilityName>字词错误</abilityName>
      <candidateList>
        <item>要是</item>
      </candidateList>
      <explain/>
      <paraID>54B1551C</paraID>
      <start>11</start>
      <end>12</end>
      <status>unmodified</status>
      <modifiedWord/>
      <trackRevisions>false</trackRevisions>
    </reviewItem>
    <reviewItem>
      <errorID>d92f9e09-ec3b-4fd0-8e99-e7b5d926620a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13E24AD2</paraID>
      <start>139</start>
      <end>140</end>
      <status>unmodified</status>
      <modifiedWord/>
      <trackRevisions>false</trackRevisions>
    </reviewItem>
    <reviewItem>
      <errorID>ed9c9e5f-d47c-48d6-acde-66e3346060a2</errorID>
      <errorWord>污染为</errorWord>
      <group>L1_Word</group>
      <groupName>字词问题</groupName>
      <ability>L2_Typo</ability>
      <abilityName>字词错误</abilityName>
      <candidateList>
        <item>污染物</item>
      </candidateList>
      <explain/>
      <paraID>4B6CDDA4</paraID>
      <start>10</start>
      <end>13</end>
      <status>unmodified</status>
      <modifiedWord/>
      <trackRevisions>false</trackRevisions>
    </reviewItem>
    <reviewItem>
      <errorID>1dfdbade-51f0-44db-ad16-60917fc3000c</errorID>
      <errorWord>(</errorWord>
      <group>L1_Format</group>
      <groupName>格式问题</groupName>
      <ability>L2_HalfPunc_CN</ability>
      <abilityName>全半角问题</abilityName>
      <candidateList>
        <item>（</item>
      </candidateList>
      <explain>文本全半角错误。</explain>
      <paraID>3DC8E4CD</paraID>
      <start>24</start>
      <end>25</end>
      <status>unmodified</status>
      <modifiedWord/>
      <trackRevisions>false</trackRevisions>
    </reviewItem>
    <reviewItem>
      <errorID>5c87972e-febd-4cd9-8e61-108c5a460542</errorID>
      <errorWord>)</errorWord>
      <group>L1_Format</group>
      <groupName>格式问题</groupName>
      <ability>L2_HalfPunc_CN</ability>
      <abilityName>全半角问题</abilityName>
      <candidateList>
        <item>）</item>
      </candidateList>
      <explain>文本全半角错误。</explain>
      <paraID>3DC8E4CD</paraID>
      <start>40</start>
      <end>41</end>
      <status>unmodified</status>
      <modifiedWord/>
      <trackRevisions>false</trackRevisions>
    </reviewItem>
    <reviewItem>
      <errorID>d24b3548-514a-45e2-9e23-6b8489866a8b</errorID>
      <errorWord>(</errorWord>
      <group>L1_Format</group>
      <groupName>格式问题</groupName>
      <ability>L2_HalfPunc_CN</ability>
      <abilityName>全半角问题</abilityName>
      <candidateList>
        <item>（</item>
      </candidateList>
      <explain>文本全半角错误。</explain>
      <paraID>3DC8E4CD</paraID>
      <start>232</start>
      <end>233</end>
      <status>unmodified</status>
      <modifiedWord/>
      <trackRevisions>false</trackRevisions>
    </reviewItem>
    <reviewItem>
      <errorID>8a8ca331-8a55-463f-9620-e28a524366f8</errorID>
      <errorWord>)</errorWord>
      <group>L1_Format</group>
      <groupName>格式问题</groupName>
      <ability>L2_HalfPunc_CN</ability>
      <abilityName>全半角问题</abilityName>
      <candidateList>
        <item>）</item>
      </candidateList>
      <explain>文本全半角错误。</explain>
      <paraID>3DC8E4CD</paraID>
      <start>240</start>
      <end>241</end>
      <status>unmodified</status>
      <modifiedWord/>
      <trackRevisions>false</trackRevisions>
    </reviewItem>
    <reviewItem>
      <errorID>2dab0006-63e3-4150-8381-3c15fe96da95</errorID>
      <errorWord>，</errorWord>
      <group>L1_Format</group>
      <groupName>格式问题</groupName>
      <ability>L2_HalfPunc_CN</ability>
      <abilityName>全半角问题</abilityName>
      <candidateList>
        <item>, </item>
      </candidateList>
      <explain>文本全半角错误。</explain>
      <paraID>202B417E</paraID>
      <start>31</start>
      <end>32</end>
      <status>unmodified</status>
      <modifiedWord/>
      <trackRevisions>false</trackRevisions>
    </reviewItem>
    <reviewItem>
      <errorID>361da43a-b3f7-49a1-b548-1c4620a348ed</errorID>
      <errorWord>，</errorWord>
      <group>L1_Format</group>
      <groupName>格式问题</groupName>
      <ability>L2_HalfPunc_CN</ability>
      <abilityName>全半角问题</abilityName>
      <candidateList>
        <item>,</item>
      </candidateList>
      <explain>文本全半角错误。</explain>
      <paraID>202B417E</paraID>
      <start>36</start>
      <end>37</end>
      <status>unmodified</status>
      <modifiedWord/>
      <trackRevisions>false</trackRevisions>
    </reviewItem>
    <reviewItem>
      <errorID>90f406c2-fde2-4791-90b7-994f5478b475</errorID>
      <errorWord>，</errorWord>
      <group>L1_Format</group>
      <groupName>格式问题</groupName>
      <ability>L2_HalfPunc_CN</ability>
      <abilityName>全半角问题</abilityName>
      <candidateList>
        <item>, </item>
      </candidateList>
      <explain>文本全半角错误。</explain>
      <paraID>202B417E</paraID>
      <start>45</start>
      <end>46</end>
      <status>unmodified</status>
      <modifiedWord/>
      <trackRevisions>false</trackRevisions>
    </reviewItem>
    <reviewItem>
      <errorID>7c012e6d-80ae-43d6-a582-f396ca5adc10</errorID>
      <errorWord>，</errorWord>
      <group>L1_Format</group>
      <groupName>格式问题</groupName>
      <ability>L2_HalfPunc_CN</ability>
      <abilityName>全半角问题</abilityName>
      <candidateList>
        <item>, </item>
      </candidateList>
      <explain>文本全半角错误。</explain>
      <paraID>202B417E</paraID>
      <start>64</start>
      <end>65</end>
      <status>unmodified</status>
      <modifiedWord/>
      <trackRevisions>false</trackRevisions>
    </reviewItem>
    <reviewItem>
      <errorID>4a2c1cc4-2995-4268-807f-23f9b84b9cb4</errorID>
      <errorWord>，</errorWord>
      <group>L1_Format</group>
      <groupName>格式问题</groupName>
      <ability>L2_HalfPunc_CN</ability>
      <abilityName>全半角问题</abilityName>
      <candidateList>
        <item>, </item>
      </candidateList>
      <explain>文本全半角错误。</explain>
      <paraID>202B417E</paraID>
      <start>70</start>
      <end>71</end>
      <status>unmodified</status>
      <modifiedWord/>
      <trackRevisions>false</trackRevisions>
    </reviewItem>
    <reviewItem>
      <errorID>95afb1f8-27be-483a-b646-4dc6dbb63fb4</errorID>
      <errorWord>；</errorWord>
      <group>L1_Format</group>
      <groupName>格式问题</groupName>
      <ability>L2_HalfPunc_CN</ability>
      <abilityName>全半角问题</abilityName>
      <candidateList>
        <item>;</item>
      </candidateList>
      <explain>文本全半角错误。</explain>
      <paraID>202B417E</paraID>
      <start>78</start>
      <end>79</end>
      <status>unmodified</status>
      <modifiedWord/>
      <trackRevisions>false</trackRevisions>
    </reviewItem>
    <reviewItem>
      <errorID>5c1efe4e-44e8-4fa9-b728-656e0144511d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50BCE56</paraID>
      <start>106</start>
      <end>107</end>
      <status>unmodified</status>
      <modifiedWord/>
      <trackRevisions>false</trackRevisions>
    </reviewItem>
    <reviewItem>
      <errorID>ab0419c2-3153-49d4-b6c2-6741603b3ffa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33B2EB36</paraID>
      <start>174</start>
      <end>175</end>
      <status>unmodified</status>
      <modifiedWord/>
      <trackRevisions>false</trackRevisions>
    </reviewItem>
    <reviewItem>
      <errorID>8cd5fd70-7d1a-4bb3-96de-41bbdae81e5d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33B2EB36</paraID>
      <start>193</start>
      <end>194</end>
      <status>unmodified</status>
      <modifiedWord/>
      <trackRevisions>false</trackRevisions>
    </reviewItem>
    <reviewItem>
      <errorID>f1864ee7-e38b-4b19-a21d-2cf4d073bd27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72576EA7</paraID>
      <start>142</start>
      <end>143</end>
      <status>unmodified</status>
      <modifiedWord/>
      <trackRevisions>false</trackRevisions>
    </reviewItem>
    <reviewItem>
      <errorID>ab78f7c7-3d60-4afb-9b61-d5015b4b4618</errorID>
      <errorWord>-</errorWord>
      <group>L1_Format</group>
      <groupName>格式问题</groupName>
      <ability>L2_HalfPunc_CN</ability>
      <abilityName>全半角问题</abilityName>
      <candidateList>
        <item>－</item>
      </candidateList>
      <explain>文本全半角错误。</explain>
      <paraID>5921C317</paraID>
      <start>23</start>
      <end>24</end>
      <status>unmodified</status>
      <modifiedWord/>
      <trackRevisions>false</trackRevisions>
    </reviewItem>
    <reviewItem>
      <errorID>a9b470eb-652b-4c80-9ddb-61736a51f74e</errorID>
      <errorWord>-</errorWord>
      <group>L1_Format</group>
      <groupName>格式问题</groupName>
      <ability>L2_HalfPunc_CN</ability>
      <abilityName>全半角问题</abilityName>
      <candidateList>
        <item>－</item>
      </candidateList>
      <explain>文本全半角错误。</explain>
      <paraID>5921C317</paraID>
      <start>62</start>
      <end>63</end>
      <status>unmodified</status>
      <modifiedWord/>
      <trackRevisions>false</trackRevisions>
    </reviewItem>
    <reviewItem>
      <errorID>d7fb9d7f-a430-4b06-be74-7e8266da7aa5</errorID>
      <errorWord>-</errorWord>
      <group>L1_Format</group>
      <groupName>格式问题</groupName>
      <ability>L2_HalfPunc_CN</ability>
      <abilityName>全半角问题</abilityName>
      <candidateList>
        <item>－</item>
      </candidateList>
      <explain>文本全半角错误。</explain>
      <paraID>2BD76E60</paraID>
      <start>23</start>
      <end>24</end>
      <status>unmodified</status>
      <modifiedWord/>
      <trackRevisions>false</trackRevisions>
    </reviewItem>
    <reviewItem>
      <errorID>dd5b1846-a5d3-4cd4-baaa-25e78db322ea</errorID>
      <errorWord>-</errorWord>
      <group>L1_Format</group>
      <groupName>格式问题</groupName>
      <ability>L2_HalfPunc_CN</ability>
      <abilityName>全半角问题</abilityName>
      <candidateList>
        <item>－</item>
      </candidateList>
      <explain>文本全半角错误。</explain>
      <paraID>2BD76E60</paraID>
      <start>62</start>
      <end>63</end>
      <status>unmodified</status>
      <modifiedWord/>
      <trackRevisions>false</trackRevisions>
    </reviewItem>
    <reviewItem>
      <errorID>8ba72044-515a-4640-8445-00ab5ec947b9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325B82E</paraID>
      <start>45</start>
      <end>46</end>
      <status>unmodified</status>
      <modifiedWord/>
      <trackRevisions>false</trackRevisions>
    </reviewItem>
    <reviewItem>
      <errorID>a2f74012-3648-4e22-8087-bbc410639005</errorID>
      <errorWord>15-25%</errorWord>
      <group>L1_Knowledge</group>
      <groupName>知识性问题</groupName>
      <ability>L2_Knowledge</ability>
      <abilityName>其他知识</abilityName>
      <candidateList>
        <item>15%—25%</item>
      </candidateList>
      <explain>1. “15-25%”中的单位“%”仅出现在后一个数字上，容易引起歧义；根据《现代汉语标点符号数字用法规范手册》，数字表示范围两边需要使用统一的格式。2. 根据标点国标 4.13 中的规则，数字、时间或地域连接符应使用（视觉上更长的）“—”或“～”。</explain>
      <paraID>1FA9BABA</paraID>
      <start>93</start>
      <end>99</end>
      <status>unmodified</status>
      <modifiedWord/>
      <trackRevisions>false</trackRevisions>
    </reviewItem>
    <reviewItem>
      <errorID>4854056c-f36e-4b07-a42c-cf7bb56286ea</errorID>
      <errorWord>92-95%</errorWord>
      <group>L1_Knowledge</group>
      <groupName>知识性问题</groupName>
      <ability>L2_Knowledge</ability>
      <abilityName>其他知识</abilityName>
      <candidateList>
        <item>92%—95%</item>
      </candidateList>
      <explain>1. “92-95%”中的单位“%”仅出现在后一个数字上，容易引起歧义；根据《现代汉语标点符号数字用法规范手册》，数字表示范围两边需要使用统一的格式。2. 根据标点国标 4.13 中的规则，数字、时间或地域连接符应使用（视觉上更长的）“—”或“～”。</explain>
      <paraID>1FA9BABA</paraID>
      <start>193</start>
      <end>199</end>
      <status>unmodified</status>
      <modifiedWord/>
      <trackRevisions>false</trackRevisions>
    </reviewItem>
    <reviewItem>
      <errorID>97c7a7c0-6d4a-47b9-94c5-b855befe9b52</errorID>
      <errorWord>（&gt;</errorWord>
      <group>L1_Punc</group>
      <groupName>标点问题</groupName>
      <ability>L2_Punc_CN</ability>
      <abilityName>标点符号问题</abilityName>
      <candidateList>
        <item>（</item>
      </candidateList>
      <explain/>
      <paraID>198EAFA3</paraID>
      <start>9</start>
      <end>11</end>
      <status>unmodified</status>
      <modifiedWord/>
      <trackRevisions>false</trackRevisions>
    </reviewItem>
    <reviewItem>
      <errorID>ae1b6c54-fbf0-45bb-9ad1-c3b6a23a500d</errorID>
      <errorWord>便</errorWord>
      <group>L1_Word</group>
      <groupName>字词问题</groupName>
      <ability>L2_Typo</ability>
      <abilityName>字词错误</abilityName>
      <candidateList>
        <item>便地</item>
      </candidateList>
      <explain/>
      <paraID>1A908CD6</paraID>
      <start>113</start>
      <end>114</end>
      <status>unmodified</status>
      <modifiedWord/>
      <trackRevisions>false</trackRevisions>
    </reviewItem>
    <reviewItem>
      <errorID>332635dc-4b3d-4df9-b9da-19ac25795f64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2A2B38D3</paraID>
      <start>0</start>
      <end>3</end>
      <status>unmodified</status>
      <modifiedWord/>
      <trackRevisions>false</trackRevisions>
    </reviewItem>
    <reviewItem>
      <errorID>cd0728d4-65ed-43aa-a221-6dc0ab6f2ef1</errorID>
      <errorWord>(</errorWord>
      <group>L1_Format</group>
      <groupName>格式问题</groupName>
      <ability>L2_HalfPunc_CN</ability>
      <abilityName>全半角问题</abilityName>
      <candidateList>
        <item>（</item>
      </candidateList>
      <explain>文本全半角错误。</explain>
      <paraID>1EC30252</paraID>
      <start>7</start>
      <end>8</end>
      <status>unmodified</status>
      <modifiedWord/>
      <trackRevisions>false</trackRevisions>
    </reviewItem>
    <reviewItem>
      <errorID>6393ce72-4e73-4832-8001-c944bff8699b</errorID>
      <errorWord>)</errorWord>
      <group>L1_Format</group>
      <groupName>格式问题</groupName>
      <ability>L2_HalfPunc_CN</ability>
      <abilityName>全半角问题</abilityName>
      <candidateList>
        <item>）</item>
      </candidateList>
      <explain>文本全半角错误。</explain>
      <paraID>1EC30252</paraID>
      <start>9</start>
      <end>10</end>
      <status>unmodified</status>
      <modifiedWord/>
      <trackRevisions>false</trackRevisions>
    </reviewItem>
    <reviewItem>
      <errorID>1bac03ca-8811-4652-a94d-6075b85bed2a</errorID>
      <errorWord>(</errorWord>
      <group>L1_Format</group>
      <groupName>格式问题</groupName>
      <ability>L2_HalfPunc_CN</ability>
      <abilityName>全半角问题</abilityName>
      <candidateList>
        <item>（</item>
      </candidateList>
      <explain>文本全半角错误。</explain>
      <paraID>1E52DBB1</paraID>
      <start>5</start>
      <end>6</end>
      <status>unmodified</status>
      <modifiedWord/>
      <trackRevisions>false</trackRevisions>
    </reviewItem>
    <reviewItem>
      <errorID>add5b3a1-04f7-41a5-b93b-06ec5e48f18d</errorID>
      <errorWord>)</errorWord>
      <group>L1_Format</group>
      <groupName>格式问题</groupName>
      <ability>L2_HalfPunc_CN</ability>
      <abilityName>全半角问题</abilityName>
      <candidateList>
        <item>）</item>
      </candidateList>
      <explain>文本全半角错误。</explain>
      <paraID>1E52DBB1</paraID>
      <start>7</start>
      <end>8</end>
      <status>unmodified</status>
      <modifiedWord/>
      <trackRevisions>false</trackRevisions>
    </reviewItem>
    <reviewItem>
      <errorID>974b4554-4411-422b-aac2-5fb999e641cb</errorID>
      <errorWord>(</errorWord>
      <group>L1_Format</group>
      <groupName>格式问题</groupName>
      <ability>L2_HalfPunc_CN</ability>
      <abilityName>全半角问题</abilityName>
      <candidateList>
        <item>（</item>
      </candidateList>
      <explain>文本全半角错误。</explain>
      <paraID>6876FF4C</paraID>
      <start>7</start>
      <end>8</end>
      <status>unmodified</status>
      <modifiedWord/>
      <trackRevisions>false</trackRevisions>
    </reviewItem>
    <reviewItem>
      <errorID>17247fe3-7a48-427c-8add-10f1e3e4e662</errorID>
      <errorWord>)</errorWord>
      <group>L1_Format</group>
      <groupName>格式问题</groupName>
      <ability>L2_HalfPunc_CN</ability>
      <abilityName>全半角问题</abilityName>
      <candidateList>
        <item>）</item>
      </candidateList>
      <explain>文本全半角错误。</explain>
      <paraID>6876FF4C</paraID>
      <start>9</start>
      <end>10</end>
      <status>unmodified</status>
      <modifiedWord/>
      <trackRevisions>false</trackRevisions>
    </reviewItem>
    <reviewItem>
      <errorID>69304000-c682-4dc8-b887-32375e8946a2</errorID>
      <errorWord>(</errorWord>
      <group>L1_Format</group>
      <groupName>格式问题</groupName>
      <ability>L2_HalfPunc_CN</ability>
      <abilityName>全半角问题</abilityName>
      <candidateList>
        <item>（</item>
      </candidateList>
      <explain>文本全半角错误。</explain>
      <paraID>22C298D6</paraID>
      <start>4</start>
      <end>5</end>
      <status>unmodified</status>
      <modifiedWord/>
      <trackRevisions>false</trackRevisions>
    </reviewItem>
    <reviewItem>
      <errorID>a8f4c097-a7bb-4452-b097-52e16185664c</errorID>
      <errorWord>)</errorWord>
      <group>L1_Format</group>
      <groupName>格式问题</groupName>
      <ability>L2_HalfPunc_CN</ability>
      <abilityName>全半角问题</abilityName>
      <candidateList>
        <item>）</item>
      </candidateList>
      <explain>文本全半角错误。</explain>
      <paraID>22C298D6</paraID>
      <start>8</start>
      <end>9</end>
      <status>unmodified</status>
      <modifiedWord/>
      <trackRevisions>false</trackRevisions>
    </reviewItem>
    <reviewItem>
      <errorID>e161ed18-7033-4e03-bee0-d426907d51f4</errorID>
      <errorWord>(</errorWord>
      <group>L1_Format</group>
      <groupName>格式问题</groupName>
      <ability>L2_HalfPunc_CN</ability>
      <abilityName>全半角问题</abilityName>
      <candidateList>
        <item>（</item>
      </candidateList>
      <explain>文本全半角错误。</explain>
      <paraID> 19CA5E4</paraID>
      <start>4</start>
      <end>5</end>
      <status>unmodified</status>
      <modifiedWord/>
      <trackRevisions>false</trackRevisions>
    </reviewItem>
    <reviewItem>
      <errorID>daeca7af-1aab-4965-b6e6-fb1cdfdfe354</errorID>
      <errorWord>)</errorWord>
      <group>L1_Format</group>
      <groupName>格式问题</groupName>
      <ability>L2_HalfPunc_CN</ability>
      <abilityName>全半角问题</abilityName>
      <candidateList>
        <item>）</item>
      </candidateList>
      <explain>文本全半角错误。</explain>
      <paraID> 19CA5E4</paraID>
      <start>6</start>
      <end>7</end>
      <status>unmodified</status>
      <modifiedWord/>
      <trackRevisions>false</trackRevisions>
    </reviewItem>
    <reviewItem>
      <errorID>f1faf554-f8b2-448d-b372-d5434f2b6a8f</errorID>
      <errorWord>(</errorWord>
      <group>L1_Format</group>
      <groupName>格式问题</groupName>
      <ability>L2_HalfPunc_CN</ability>
      <abilityName>全半角问题</abilityName>
      <candidateList>
        <item>（</item>
      </candidateList>
      <explain>文本全半角错误。</explain>
      <paraID>7405D89A</paraID>
      <start>6</start>
      <end>7</end>
      <status>unmodified</status>
      <modifiedWord/>
      <trackRevisions>false</trackRevisions>
    </reviewItem>
    <reviewItem>
      <errorID>775816f5-43c3-4986-985b-6fe0153d6a8c</errorID>
      <errorWord>)</errorWord>
      <group>L1_Format</group>
      <groupName>格式问题</groupName>
      <ability>L2_HalfPunc_CN</ability>
      <abilityName>全半角问题</abilityName>
      <candidateList>
        <item>）</item>
      </candidateList>
      <explain>文本全半角错误。</explain>
      <paraID>7405D89A</paraID>
      <start>8</start>
      <end>9</end>
      <status>unmodified</status>
      <modifiedWord/>
      <trackRevisions>false</trackRevisions>
    </reviewItem>
    <reviewItem>
      <errorID>a410dd4c-5b47-4023-b5b2-35f05eea436b</errorID>
      <errorWord>(</errorWord>
      <group>L1_Format</group>
      <groupName>格式问题</groupName>
      <ability>L2_HalfPunc_CN</ability>
      <abilityName>全半角问题</abilityName>
      <candidateList>
        <item>（</item>
      </candidateList>
      <explain>文本全半角错误。</explain>
      <paraID>5504A9F3</paraID>
      <start>7</start>
      <end>8</end>
      <status>unmodified</status>
      <modifiedWord/>
      <trackRevisions>false</trackRevisions>
    </reviewItem>
    <reviewItem>
      <errorID>49b9e1d7-a3c5-4297-a9b6-31e850becafc</errorID>
      <errorWord>)</errorWord>
      <group>L1_Format</group>
      <groupName>格式问题</groupName>
      <ability>L2_HalfPunc_CN</ability>
      <abilityName>全半角问题</abilityName>
      <candidateList>
        <item>）</item>
      </candidateList>
      <explain>文本全半角错误。</explain>
      <paraID>5504A9F3</paraID>
      <start>12</start>
      <end>13</end>
      <status>unmodified</status>
      <modifiedWord/>
      <trackRevisions>false</trackRevisions>
    </reviewItem>
    <reviewItem>
      <errorID>4e6584dc-348a-4ea9-8b1b-e5d48e1ce8f7</errorID>
      <errorWord>CODCr</errorWord>
      <group>L1_English</group>
      <groupName>英文问题</groupName>
      <ability>L2_Case</ability>
      <abilityName>大小写问题</abilityName>
      <candidateList>
        <item>CODcr</item>
      </candidateList>
      <explain>疑似单词大小写错误，建议将CODCr修改为CODcr</explain>
      <paraID>3CDFD9A7</paraID>
      <start>0</start>
      <end>5</end>
      <status>unmodified</status>
      <modifiedWord/>
      <trackRevisions>false</trackRevisions>
    </reviewItem>
    <reviewItem>
      <errorID>68a64efd-7692-48ca-8806-031bb3b64a5b</errorID>
      <errorWord>：</errorWord>
      <group>L1_Format</group>
      <groupName>格式问题</groupName>
      <ability>L2_HalfPunc_CN</ability>
      <abilityName>全半角问题</abilityName>
      <candidateList>
        <item>:</item>
      </candidateList>
      <explain>文本全半角错误。</explain>
      <paraID>4BCE8BE7</paraID>
      <start>86</start>
      <end>87</end>
      <status>unmodified</status>
      <modifiedWord/>
      <trackRevisions>false</trackRevisions>
    </reviewItem>
    <reviewItem>
      <errorID>2aeed6a6-5650-4795-9de5-b3ed383fbd00</errorID>
      <errorWord>(</errorWord>
      <group>L1_Format</group>
      <groupName>格式问题</groupName>
      <ability>L2_HalfPunc_CN</ability>
      <abilityName>全半角问题</abilityName>
      <candidateList>
        <item>（</item>
      </candidateList>
      <explain>文本全半角错误。</explain>
      <paraID>2C316113</paraID>
      <start>2</start>
      <end>3</end>
      <status>unmodified</status>
      <modifiedWord/>
      <trackRevisions>false</trackRevisions>
    </reviewItem>
    <reviewItem>
      <errorID>051b96e5-fd28-416b-b6b1-5286859f06a7</errorID>
      <errorWord>(</errorWord>
      <group>L1_Format</group>
      <groupName>格式问题</groupName>
      <ability>L2_HalfPunc_CN</ability>
      <abilityName>全半角问题</abilityName>
      <candidateList>
        <item>（</item>
      </candidateList>
      <explain>文本全半角错误。</explain>
      <paraID> 1877385</paraID>
      <start>2</start>
      <end>3</end>
      <status>unmodified</status>
      <modifiedWord/>
      <trackRevisions>false</trackRevisions>
    </reviewItem>
    <reviewItem>
      <errorID>d79b9f21-d66a-4e09-a79a-48ceeac28bd5</errorID>
      <errorWord>：</errorWord>
      <group>L1_Format</group>
      <groupName>格式问题</groupName>
      <ability>L2_HalfPunc_CN</ability>
      <abilityName>全半角问题</abilityName>
      <candidateList>
        <item>:</item>
      </candidateList>
      <explain>文本全半角错误。</explain>
      <paraID>1A976FE0</paraID>
      <start>7</start>
      <end>8</end>
      <status>unmodified</status>
      <modifiedWord/>
      <trackRevisions>false</trackRevisions>
    </reviewItem>
    <reviewItem>
      <errorID>602a542c-943f-4ab1-b38e-5f27008a9f12</errorID>
      <errorWord>)</errorWord>
      <group>L1_Format</group>
      <groupName>格式问题</groupName>
      <ability>L2_HalfPunc_CN</ability>
      <abilityName>全半角问题</abilityName>
      <candidateList>
        <item>）</item>
      </candidateList>
      <explain>文本全半角错误。</explain>
      <paraID>4E425E10</paraID>
      <start>17</start>
      <end>18</end>
      <status>unmodified</status>
      <modifiedWord/>
      <trackRevisions>false</trackRevisions>
    </reviewItem>
    <reviewItem>
      <errorID>0e4f3fd0-e78d-4d8a-9a6c-efe69d621421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5336AF03</paraID>
      <start>180</start>
      <end>181</end>
      <status>unmodified</status>
      <modifiedWord/>
      <trackRevisions>false</trackRevisions>
    </reviewItem>
    <reviewItem>
      <errorID>4d9eaf0e-2e4d-4c95-add9-c5b100b43aa9</errorID>
      <errorWord>须留足够空间</errorWord>
      <group>L1_Word</group>
      <groupName>字词问题</groupName>
      <ability>L2_Typo</ability>
      <abilityName>字词错误</abilityName>
      <candidateList>
        <item>须保留足够空间</item>
      </candidateList>
      <explain/>
      <paraID>628BB5E2</paraID>
      <start>12</start>
      <end>18</end>
      <status>unmodified</status>
      <modifiedWord/>
      <trackRevisions>false</trackRevisions>
    </reviewItem>
    <reviewItem>
      <errorID>53be341e-13da-43e9-ad74-c8a4ef599994</errorID>
      <errorWord>，</errorWord>
      <group>L1_Format</group>
      <groupName>格式问题</groupName>
      <ability>L2_HalfPunc_CN</ability>
      <abilityName>全半角问题</abilityName>
      <candidateList>
        <item>, </item>
      </candidateList>
      <explain>文本全半角错误。</explain>
      <paraID>36E90494</paraID>
      <start>1</start>
      <end>2</end>
      <status>unmodified</status>
      <modifiedWord/>
      <trackRevisions>false</trackRevisions>
    </reviewItem>
    <reviewItem>
      <errorID>97978d5b-87d2-4131-882c-f7d06b914f90</errorID>
      <errorWord>，</errorWord>
      <group>L1_Format</group>
      <groupName>格式问题</groupName>
      <ability>L2_HalfPunc_CN</ability>
      <abilityName>全半角问题</abilityName>
      <candidateList>
        <item>, </item>
      </candidateList>
      <explain>文本全半角错误。</explain>
      <paraID> 99C102F</paraID>
      <start>1</start>
      <end>2</end>
      <status>unmodified</status>
      <modifiedWord/>
      <trackRevisions>false</trackRevisions>
    </reviewItem>
    <reviewItem>
      <errorID>83166abf-e721-4cfa-bb40-fa9893e69d7d</errorID>
      <errorWord>，</errorWord>
      <group>L1_Format</group>
      <groupName>格式问题</groupName>
      <ability>L2_HalfPunc_CN</ability>
      <abilityName>全半角问题</abilityName>
      <candidateList>
        <item>, </item>
      </candidateList>
      <explain>文本全半角错误。</explain>
      <paraID>4C2CDE51</paraID>
      <start>1</start>
      <end>2</end>
      <status>unmodified</status>
      <modifiedWord/>
      <trackRevisions>false</trackRevisions>
    </reviewItem>
    <reviewItem>
      <errorID>d7a3a2ef-8f06-4080-9e42-a0537c4fe25b</errorID>
      <errorWord>CODCr</errorWord>
      <group>L1_English</group>
      <groupName>英文问题</groupName>
      <ability>L2_Case</ability>
      <abilityName>大小写问题</abilityName>
      <candidateList>
        <item>CODcr</item>
      </candidateList>
      <explain>疑似单词大小写错误，建议将CODCr修改为CODcr</explain>
      <paraID>7BEEDECE</paraID>
      <start>0</start>
      <end>5</end>
      <status>unmodified</status>
      <modifiedWord/>
      <trackRevisions>false</trackRevisions>
    </reviewItem>
    <reviewItem>
      <errorID>7585b050-4394-4222-84f5-dbb863fca58a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55412E43</paraID>
      <start>79</start>
      <end>80</end>
      <status>unmodified</status>
      <modifiedWord/>
      <trackRevisions>false</trackRevisions>
    </reviewItem>
    <reviewItem>
      <errorID>75bc01ce-ca35-4ba6-9132-52b793d79193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74E5ECF8</paraID>
      <start>44</start>
      <end>45</end>
      <status>unmodified</status>
      <modifiedWord/>
      <trackRevisions>false</trackRevisions>
    </reviewItem>
    <reviewItem>
      <errorID>44613720-3af5-4713-b981-126a5c406748</errorID>
      <errorWord>III</errorWord>
      <group>L1_Word</group>
      <groupName>字词问题</groupName>
      <ability>L2_Typo</ability>
      <abilityName>字词错误</abilityName>
      <candidateList>
        <item>Ⅲ</item>
      </candidateList>
      <explain/>
      <paraID>1E97A1CC</paraID>
      <start>0</start>
      <end>3</end>
      <status>unmodified</status>
      <modifiedWord/>
      <trackRevisions>false</trackRevisions>
    </reviewItem>
    <reviewItem>
      <errorID>4083a517-3a7f-4bd1-b501-96b9df6123b0</errorID>
      <errorWord>III</errorWord>
      <group>L1_Word</group>
      <groupName>字词问题</groupName>
      <ability>L2_Typo</ability>
      <abilityName>字词错误</abilityName>
      <candidateList>
        <item>Ⅲ</item>
      </candidateList>
      <explain/>
      <paraID>59B47BE1</paraID>
      <start>0</start>
      <end>3</end>
      <status>unmodified</status>
      <modifiedWord/>
      <trackRevisions>false</trackRevisions>
    </reviewItem>
    <reviewItem>
      <errorID>8ec71feb-3ed1-40ae-b1da-5b9b23114397</errorID>
      <errorWord>III</errorWord>
      <group>L1_Word</group>
      <groupName>字词问题</groupName>
      <ability>L2_Typo</ability>
      <abilityName>字词错误</abilityName>
      <candidateList>
        <item>Ⅲ</item>
      </candidateList>
      <explain/>
      <paraID>4B2DDBA8</paraID>
      <start>0</start>
      <end>3</end>
      <status>unmodified</status>
      <modifiedWord/>
      <trackRevisions>false</trackRevisions>
    </reviewItem>
    <reviewItem>
      <errorID>66d8bed3-6c73-4035-818c-75ecb07833d0</errorID>
      <errorWord>III</errorWord>
      <group>L1_Word</group>
      <groupName>字词问题</groupName>
      <ability>L2_Typo</ability>
      <abilityName>字词错误</abilityName>
      <candidateList>
        <item>Ⅲ</item>
      </candidateList>
      <explain/>
      <paraID> B380EA3</paraID>
      <start>0</start>
      <end>3</end>
      <status>unmodified</status>
      <modifiedWord/>
      <trackRevisions>false</trackRevisions>
    </reviewItem>
    <reviewItem>
      <errorID>a99f7197-c4d8-4205-a558-fbba15ea72a1</errorID>
      <errorWord>III</errorWord>
      <group>L1_Word</group>
      <groupName>字词问题</groupName>
      <ability>L2_Typo</ability>
      <abilityName>字词错误</abilityName>
      <candidateList>
        <item>Ⅲ</item>
      </candidateList>
      <explain/>
      <paraID>637E5190</paraID>
      <start>0</start>
      <end>3</end>
      <status>unmodified</status>
      <modifiedWord/>
      <trackRevisions>false</trackRevisions>
    </reviewItem>
    <reviewItem>
      <errorID>b4ac57d0-c035-44eb-9663-0cdd3357ec27</errorID>
      <errorWord>III</errorWord>
      <group>L1_Word</group>
      <groupName>字词问题</groupName>
      <ability>L2_Typo</ability>
      <abilityName>字词错误</abilityName>
      <candidateList>
        <item>Ⅲ</item>
      </candidateList>
      <explain/>
      <paraID> 71FD90F</paraID>
      <start>0</start>
      <end>3</end>
      <status>unmodified</status>
      <modifiedWord/>
      <trackRevisions>false</trackRevisions>
    </reviewItem>
    <reviewItem>
      <errorID>b461cb75-6d7d-47aa-8aec-0ff889878084</errorID>
      <errorWord>，…</errorWord>
      <group>L1_Punc</group>
      <groupName>标点问题</groupName>
      <ability>L2_Punc_CN</ability>
      <abilityName>标点符号问题</abilityName>
      <candidateList>
        <item>，</item>
      </candidateList>
      <explain/>
      <paraID>3C7CCAA5</paraID>
      <start>8</start>
      <end>10</end>
      <status>unmodified</status>
      <modifiedWord/>
      <trackRevisions>false</trackRevisions>
    </reviewItem>
    <reviewItem>
      <errorID>4dfa8405-f0ec-49e9-98bc-8df22757881b</errorID>
      <errorWord>，…</errorWord>
      <group>L1_Punc</group>
      <groupName>标点问题</groupName>
      <ability>L2_Punc_CN</ability>
      <abilityName>标点符号问题</abilityName>
      <candidateList>
        <item>，</item>
      </candidateList>
      <explain/>
      <paraID>210A3C05</paraID>
      <start>5</start>
      <end>7</end>
      <status>unmodified</status>
      <modifiedWord/>
      <trackRevisions>false</trackRevisions>
    </reviewItem>
    <reviewItem>
      <errorID>22e78569-0673-48e6-a840-16dd63182eba</errorID>
      <errorWord>＜</errorWord>
      <group>L1_Format</group>
      <groupName>格式问题</groupName>
      <ability>L2_HalfPunc_CN</ability>
      <abilityName>全半角问题</abilityName>
      <candidateList>
        <item>&lt;</item>
      </candidateList>
      <explain>文本全半角错误。</explain>
      <paraID>61F6EDCE</paraID>
      <start>0</start>
      <end>1</end>
      <status>unmodified</status>
      <modifiedWord/>
      <trackRevisions>false</trackRevisions>
    </reviewItem>
    <reviewItem>
      <errorID>2f63bfee-c1e8-46d4-8f98-8734c2f5a550</errorID>
      <errorWord>（</errorWord>
      <group>L1_Format</group>
      <groupName>格式问题</groupName>
      <ability>L2_HalfPunc_CN</ability>
      <abilityName>全半角问题</abilityName>
      <candidateList>
        <item>(</item>
      </candidateList>
      <explain>文本全半角错误。</explain>
      <paraID>222373BF</paraID>
      <start>2</start>
      <end>3</end>
      <status>unmodified</status>
      <modifiedWord/>
      <trackRevisions>false</trackRevisions>
    </reviewItem>
    <reviewItem>
      <errorID>3013b0bb-debc-414a-9004-233f944bb650</errorID>
      <errorWord>）</errorWord>
      <group>L1_Format</group>
      <groupName>格式问题</groupName>
      <ability>L2_HalfPunc_CN</ability>
      <abilityName>全半角问题</abilityName>
      <candidateList>
        <item>)</item>
      </candidateList>
      <explain>文本全半角错误。</explain>
      <paraID>222373BF</paraID>
      <start>7</start>
      <end>8</end>
      <status>unmodified</status>
      <modifiedWord/>
      <trackRevisions>false</trackRevisions>
    </reviewItem>
    <reviewItem>
      <errorID>a4185d4b-dac9-4989-ba7e-efb25c477042</errorID>
      <errorWord>食欲不振</errorWord>
      <group>L1_Knowledge</group>
      <groupName>知识性问题</groupName>
      <ability>L2_Term</ability>
      <abilityName>专业术语</abilityName>
      <candidateList>
        <item>食欲缺乏</item>
      </candidateList>
      <explain>医学名词[食欲不振]为不规范表述或旧称，其规范书面表述为[食欲缺乏]。</explain>
      <paraID>79775040</paraID>
      <start>170</start>
      <end>174</end>
      <status>unmodified</status>
      <modifiedWord/>
      <trackRevisions>false</trackRevisions>
    </reviewItem>
    <reviewItem>
      <errorID>7e651213-8326-45df-8499-f40ffbf186dd</errorID>
      <errorWord>征状</errorWord>
      <group>L1_Word</group>
      <groupName>字词问题</groupName>
      <ability>L2_Typo</ability>
      <abilityName>字词错误</abilityName>
      <candidateList>
        <item>症状</item>
      </candidateList>
      <explain/>
      <paraID>79775040</paraID>
      <start>189</start>
      <end>191</end>
      <status>unmodified</status>
      <modifiedWord/>
      <trackRevisions>false</trackRevisions>
    </reviewItem>
    <reviewItem>
      <errorID>b662544d-b836-4250-af5f-8cae03be9404</errorID>
      <errorWord>)</errorWord>
      <group>L1_Format</group>
      <groupName>格式问题</groupName>
      <ability>L2_HalfPunc_CN</ability>
      <abilityName>全半角问题</abilityName>
      <candidateList>
        <item>）</item>
      </candidateList>
      <explain>文本全半角错误。</explain>
      <paraID>74D229CF</paraID>
      <start>18</start>
      <end>19</end>
      <status>unmodified</status>
      <modifiedWord/>
      <trackRevisions>false</trackRevisions>
    </reviewItem>
    <reviewItem>
      <errorID>a281f892-0374-4588-93ae-d111ac5c7972</errorID>
      <errorWord>一般是</errorWord>
      <group>L1_Word</group>
      <groupName>字词问题</groupName>
      <ability>L2_Typo</ability>
      <abilityName>字词错误</abilityName>
      <candidateList>
        <item>一般</item>
      </candidateList>
      <explain/>
      <paraID>1DEA3A48</paraID>
      <start>109</start>
      <end>112</end>
      <status>unmodified</status>
      <modifiedWord/>
      <trackRevisions>false</trackRevisions>
    </reviewItem>
    <reviewItem>
      <errorID>2682c2e5-c2bd-4e99-9db7-41d835009d97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6D7554A3</paraID>
      <start>171</start>
      <end>172</end>
      <status>unmodified</status>
      <modifiedWord/>
      <trackRevisions>false</trackRevisions>
    </reviewItem>
    <reviewItem>
      <errorID>17035d10-38bf-477d-a096-197d97511092</errorID>
      <errorWord>一般是</errorWord>
      <group>L1_Word</group>
      <groupName>字词问题</groupName>
      <ability>L2_Typo</ability>
      <abilityName>字词错误</abilityName>
      <candidateList>
        <item>一般</item>
      </candidateList>
      <explain/>
      <paraID>781B5B2B</paraID>
      <start>30</start>
      <end>33</end>
      <status>unmodified</status>
      <modifiedWord/>
      <trackRevisions>false</trackRevisions>
    </reviewItem>
    <reviewItem>
      <errorID>f69902ca-ffda-45f5-bee9-3e01c4d54b0e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245C8210</paraID>
      <start>0</start>
      <end>3</end>
      <status>unmodified</status>
      <modifiedWord/>
      <trackRevisions>false</trackRevisions>
    </reviewItem>
    <reviewItem>
      <errorID>47c6f6c8-3bce-4a94-8526-c0b6f4da5beb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7D1E6F28</paraID>
      <start>0</start>
      <end>3</end>
      <status>unmodified</status>
      <modifiedWord/>
      <trackRevisions>false</trackRevisions>
    </reviewItem>
    <reviewItem>
      <errorID>a1e46469-ea51-4e49-98f4-0ef36b9701eb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3E1D9BEC</paraID>
      <start>0</start>
      <end>3</end>
      <status>unmodified</status>
      <modifiedWord/>
      <trackRevisions>false</trackRevisions>
    </reviewItem>
    <reviewItem>
      <errorID>f6de2a99-540f-47aa-921b-007d8f1fdbdd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64048E2F</paraID>
      <start>0</start>
      <end>3</end>
      <status>unmodified</status>
      <modifiedWord/>
      <trackRevisions>false</trackRevisions>
    </reviewItem>
    <reviewItem>
      <errorID>ed00391a-4904-44b3-9d92-dc0af2e2cba0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64048E2F</paraID>
      <start>58</start>
      <end>59</end>
      <status>unmodified</status>
      <modifiedWord/>
      <trackRevisions>false</trackRevisions>
    </reviewItem>
    <reviewItem>
      <errorID>c9ec96db-de43-4833-8e46-f213c81e1156</errorID>
      <errorWord>(</errorWord>
      <group>L1_Format</group>
      <groupName>格式问题</groupName>
      <ability>L2_HalfPunc_CN</ability>
      <abilityName>全半角问题</abilityName>
      <candidateList>
        <item>（</item>
      </candidateList>
      <explain>文本全半角错误。</explain>
      <paraID>20C70CD1</paraID>
      <start>3</start>
      <end>4</end>
      <status>unmodified</status>
      <modifiedWord/>
      <trackRevisions>false</trackRevisions>
    </reviewItem>
    <reviewItem>
      <errorID>7080e893-b3ae-4b54-8e92-b2df91356f5c</errorID>
      <errorWord>)</errorWord>
      <group>L1_Format</group>
      <groupName>格式问题</groupName>
      <ability>L2_HalfPunc_CN</ability>
      <abilityName>全半角问题</abilityName>
      <candidateList>
        <item>）</item>
      </candidateList>
      <explain>文本全半角错误。</explain>
      <paraID>780F03D8</paraID>
      <start>2</start>
      <end>3</end>
      <status>unmodified</status>
      <modifiedWord/>
      <trackRevisions>false</trackRevisions>
    </reviewItem>
    <reviewItem>
      <errorID>0864bc97-b750-4d8c-a626-90e3ca196a64</errorID>
      <errorWord>值</errorWord>
      <group>L1_Word</group>
      <groupName>字词问题</groupName>
      <ability>L2_Typo</ability>
      <abilityName>字词错误</abilityName>
      <candidateList>
        <item>值要</item>
      </candidateList>
      <explain/>
      <paraID>714CCB68</paraID>
      <start>40</start>
      <end>41</end>
      <status>unmodified</status>
      <modifiedWord/>
      <trackRevisions>false</trackRevisions>
    </reviewItem>
    <reviewItem>
      <errorID>ce56dc3d-72cc-4076-9027-87267b01ec11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2389B345</paraID>
      <start>2</start>
      <end>3</end>
      <status>unmodified</status>
      <modifiedWord/>
      <trackRevisions>false</trackRevisions>
    </reviewItem>
    <reviewItem>
      <errorID>4cc219ef-aa0d-4b98-a909-321fd643510e</errorID>
      <errorWord>(</errorWord>
      <group>L1_Format</group>
      <groupName>格式问题</groupName>
      <ability>L2_HalfPunc_CN</ability>
      <abilityName>全半角问题</abilityName>
      <candidateList>
        <item>（</item>
      </candidateList>
      <explain>文本全半角错误。</explain>
      <paraID>495B396D</paraID>
      <start>39</start>
      <end>40</end>
      <status>unmodified</status>
      <modifiedWord/>
      <trackRevisions>false</trackRevisions>
    </reviewItem>
    <reviewItem>
      <errorID>e725be90-754e-4664-a5ae-79bd583fa7b2</errorID>
      <errorWord>)</errorWord>
      <group>L1_Format</group>
      <groupName>格式问题</groupName>
      <ability>L2_HalfPunc_CN</ability>
      <abilityName>全半角问题</abilityName>
      <candidateList>
        <item>）</item>
      </candidateList>
      <explain>文本全半角错误。</explain>
      <paraID>495B396D</paraID>
      <start>42</start>
      <end>43</end>
      <status>unmodified</status>
      <modifiedWord/>
      <trackRevisions>false</trackRevisions>
    </reviewItem>
    <reviewItem>
      <errorID>c9e16a2b-2b07-494c-9e60-a0459574bfcf</errorID>
      <errorWord>(</errorWord>
      <group>L1_Format</group>
      <groupName>格式问题</groupName>
      <ability>L2_HalfPunc_CN</ability>
      <abilityName>全半角问题</abilityName>
      <candidateList>
        <item>（</item>
      </candidateList>
      <explain>文本全半角错误。</explain>
      <paraID>495B396D</paraID>
      <start>74</start>
      <end>75</end>
      <status>unmodified</status>
      <modifiedWord/>
      <trackRevisions>false</trackRevisions>
    </reviewItem>
    <reviewItem>
      <errorID>ad8252a6-49f0-488e-b32f-3df579eb2241</errorID>
      <errorWord>(2013)81号</errorWord>
      <group>L1_Knowledge</group>
      <groupName>知识性问题</groupName>
      <ability>L2_Knowledge</ability>
      <abilityName>其他知识</abilityName>
      <candidateList>
        <item>〔2013〕81号</item>
      </candidateList>
      <explain>发文字号格式错误。</explain>
      <paraID>495B396D</paraID>
      <start>77</start>
      <end>86</end>
      <status>unmodified</status>
      <modifiedWord/>
      <trackRevisions>false</trackRevisions>
    </reviewItem>
    <reviewItem>
      <errorID>00220a63-2282-4125-b392-dca3f5dbebab</errorID>
      <errorWord>)</errorWord>
      <group>L1_Format</group>
      <groupName>格式问题</groupName>
      <ability>L2_HalfPunc_CN</ability>
      <abilityName>全半角问题</abilityName>
      <candidateList>
        <item>）</item>
      </candidateList>
      <explain>文本全半角错误。</explain>
      <paraID>495B396D</paraID>
      <start>86</start>
      <end>87</end>
      <status>unmodified</status>
      <modifiedWord/>
      <trackRevisions>false</trackRevisions>
    </reviewItem>
    <reviewItem>
      <errorID>94a320cc-17c9-4cdb-b022-18cde22f5272</errorID>
      <errorWord>(</errorWord>
      <group>L1_Format</group>
      <groupName>格式问题</groupName>
      <ability>L2_HalfPunc_CN</ability>
      <abilityName>全半角问题</abilityName>
      <candidateList>
        <item>（</item>
      </candidateList>
      <explain>文本全半角错误。</explain>
      <paraID>634BB0D2</paraID>
      <start>66</start>
      <end>67</end>
      <status>unmodified</status>
      <modifiedWord/>
      <trackRevisions>false</trackRevisions>
    </reviewItem>
    <reviewItem>
      <errorID>bb5b6af3-bad9-487f-b27d-300b813f8933</errorID>
      <errorWord>)</errorWord>
      <group>L1_Format</group>
      <groupName>格式问题</groupName>
      <ability>L2_HalfPunc_CN</ability>
      <abilityName>全半角问题</abilityName>
      <candidateList>
        <item>）</item>
      </candidateList>
      <explain>文本全半角错误。</explain>
      <paraID>634BB0D2</paraID>
      <start>69</start>
      <end>70</end>
      <status>unmodified</status>
      <modifiedWord/>
      <trackRevisions>false</trackRevisions>
    </reviewItem>
    <reviewItem>
      <errorID>1e21c36a-b09b-4f65-95b1-5173f44c9932</errorID>
      <errorWord>;</errorWord>
      <group>L1_Format</group>
      <groupName>格式问题</groupName>
      <ability>L2_HalfPunc_CN</ability>
      <abilityName>全半角问题</abilityName>
      <candidateList>
        <item>；</item>
      </candidateList>
      <explain>文本全半角错误。</explain>
      <paraID>634BB0D2</paraID>
      <start>129</start>
      <end>130</end>
      <status>unmodified</status>
      <modifiedWord/>
      <trackRevisions>false</trackRevisions>
    </reviewItem>
    <reviewItem>
      <errorID>28acefdf-b7a0-45b6-8be4-ad97cae956e5</errorID>
      <errorWord>(</errorWord>
      <group>L1_Format</group>
      <groupName>格式问题</groupName>
      <ability>L2_HalfPunc_CN</ability>
      <abilityName>全半角问题</abilityName>
      <candidateList>
        <item>（</item>
      </candidateList>
      <explain>文本全半角错误。</explain>
      <paraID>634BB0D2</paraID>
      <start>191</start>
      <end>192</end>
      <status>unmodified</status>
      <modifiedWord/>
      <trackRevisions>false</trackRevisions>
    </reviewItem>
    <reviewItem>
      <errorID>9ece3cc1-698b-438e-8839-fa85f1b9fafc</errorID>
      <errorWord>)</errorWord>
      <group>L1_Format</group>
      <groupName>格式问题</groupName>
      <ability>L2_HalfPunc_CN</ability>
      <abilityName>全半角问题</abilityName>
      <candidateList>
        <item>）</item>
      </candidateList>
      <explain>文本全半角错误。</explain>
      <paraID>634BB0D2</paraID>
      <start>195</start>
      <end>196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104678-cc72-4f1d-ace1-c5fde95f97aa}">
  <ds:schemaRefs/>
</ds:datastoreItem>
</file>

<file path=docProps/app.xml><?xml version="1.0" encoding="utf-8"?>
<Properties xmlns="http://schemas.openxmlformats.org/officeDocument/2006/extended-properties" xmlns:vt="http://schemas.openxmlformats.org/officeDocument/2006/docPropsVTypes">
  <Template>Normal.dotm</Template>
  <Pages>85</Pages>
  <Words>91</Words>
  <Characters>93</Characters>
  <Lines>0</Lines>
  <Paragraphs>0</Paragraphs>
  <TotalTime>1840</TotalTime>
  <ScaleCrop>false</ScaleCrop>
  <LinksUpToDate>false</LinksUpToDate>
  <CharactersWithSpaces>174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2025-12-09T03:09:00Z</dcterms:created>
  <dc:creator>Blame.</dc:creator>
  <cp:lastModifiedBy>小麦啾</cp:lastModifiedBy>
  <dcterms:modified xsi:type="dcterms:W3CDTF">2026-09-14T11:29:23Z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2DDBF4E5CF484CA6AD5AA97BB1C96856_13</vt:lpwstr>
  </property>
  <property fmtid="{D5CDD505-2E9C-101B-9397-08002B2CF9AE}" pid="4" name="KSOTemplateDocerSaveRecord">
    <vt:lpwstr>eyJoZGlkIjoiM2Q5NDlmNDc3N2ZkYzk3ZGJmOTUwNTM0Mzc5MTVlNDMiLCJ1c2VySWQiOiIzMjQ5NjUzODcifQ==</vt:lpwstr>
  </property>
</Properties>
</file>